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B96" w:rsidRDefault="00DC5B96" w:rsidP="00DC5B96">
      <w:pPr>
        <w:pStyle w:val="NeniTitull"/>
        <w:rPr>
          <w:spacing w:val="-4"/>
          <w:lang w:val="sq-AL"/>
        </w:rPr>
      </w:pPr>
      <w:r>
        <w:rPr>
          <w:spacing w:val="-4"/>
          <w:lang w:val="sq-AL"/>
        </w:rPr>
        <w:t>VENDIM</w:t>
      </w:r>
    </w:p>
    <w:p w:rsidR="00DC5B96" w:rsidRDefault="00DC5B96" w:rsidP="00DC5B96">
      <w:pPr>
        <w:pStyle w:val="NeniTitull"/>
        <w:rPr>
          <w:spacing w:val="-4"/>
          <w:lang w:val="sq-AL"/>
        </w:rPr>
      </w:pPr>
      <w:r>
        <w:rPr>
          <w:spacing w:val="-4"/>
          <w:lang w:val="sq-AL"/>
        </w:rPr>
        <w:t>Nr. 382, datë 27.6.2018</w:t>
      </w:r>
    </w:p>
    <w:p w:rsidR="00DC5B96" w:rsidRDefault="00DC5B96" w:rsidP="00DC5B96">
      <w:pPr>
        <w:pStyle w:val="Paragrafi"/>
        <w:rPr>
          <w:spacing w:val="-4"/>
          <w:sz w:val="14"/>
          <w:lang w:val="sq-AL" w:eastAsia="en-GB"/>
        </w:rPr>
      </w:pPr>
    </w:p>
    <w:p w:rsidR="00DC5B96" w:rsidRDefault="00DC5B96" w:rsidP="00DC5B96">
      <w:pPr>
        <w:pStyle w:val="NeniTitull"/>
        <w:rPr>
          <w:spacing w:val="-4"/>
          <w:lang w:val="sq-AL"/>
        </w:rPr>
      </w:pPr>
      <w:r>
        <w:rPr>
          <w:spacing w:val="-4"/>
          <w:lang w:val="sq-AL"/>
        </w:rPr>
        <w:t>PËR MIRATIMIN E RREGULLORES “PËR VEPRIMTARINË E STANDARDIZIMIT”</w:t>
      </w:r>
    </w:p>
    <w:p w:rsidR="006A5CC0" w:rsidRDefault="006A5CC0" w:rsidP="006A5CC0">
      <w:pPr>
        <w:autoSpaceDE w:val="0"/>
        <w:autoSpaceDN w:val="0"/>
        <w:adjustRightInd w:val="0"/>
        <w:spacing w:after="0" w:line="240" w:lineRule="auto"/>
        <w:jc w:val="center"/>
        <w:rPr>
          <w:rFonts w:ascii="Garamond" w:hAnsi="Garamond"/>
          <w:bCs/>
          <w:i/>
          <w:color w:val="000000"/>
          <w:sz w:val="24"/>
          <w:szCs w:val="24"/>
          <w:lang w:val="sq-AL" w:eastAsia="sq-AL"/>
        </w:rPr>
      </w:pPr>
      <w:r w:rsidRPr="006A5CC0">
        <w:rPr>
          <w:rFonts w:ascii="Garamond" w:hAnsi="Garamond"/>
          <w:i/>
          <w:spacing w:val="-4"/>
          <w:sz w:val="24"/>
          <w:szCs w:val="24"/>
          <w:lang w:val="sq-AL"/>
        </w:rPr>
        <w:t>(Ndrysh</w:t>
      </w:r>
      <w:r>
        <w:rPr>
          <w:rFonts w:ascii="Garamond" w:hAnsi="Garamond"/>
          <w:i/>
          <w:spacing w:val="-4"/>
          <w:sz w:val="24"/>
          <w:szCs w:val="24"/>
          <w:lang w:val="sq-AL"/>
        </w:rPr>
        <w:t>u</w:t>
      </w:r>
      <w:r w:rsidRPr="006A5CC0">
        <w:rPr>
          <w:rFonts w:ascii="Garamond" w:hAnsi="Garamond"/>
          <w:i/>
          <w:spacing w:val="-4"/>
          <w:sz w:val="24"/>
          <w:szCs w:val="24"/>
          <w:lang w:val="sq-AL"/>
        </w:rPr>
        <w:t xml:space="preserve">ar me vendimin nr. </w:t>
      </w:r>
      <w:r w:rsidRPr="006A5CC0">
        <w:rPr>
          <w:rFonts w:ascii="Garamond" w:hAnsi="Garamond"/>
          <w:bCs/>
          <w:i/>
          <w:color w:val="000000"/>
          <w:sz w:val="24"/>
          <w:szCs w:val="24"/>
          <w:lang w:val="sq-AL" w:eastAsia="sq-AL"/>
        </w:rPr>
        <w:t>673, datë 10.11.2021</w:t>
      </w:r>
      <w:r w:rsidRPr="006A5CC0">
        <w:rPr>
          <w:rFonts w:ascii="Garamond" w:hAnsi="Garamond"/>
          <w:bCs/>
          <w:i/>
          <w:color w:val="000000"/>
          <w:sz w:val="24"/>
          <w:szCs w:val="24"/>
          <w:lang w:val="sq-AL" w:eastAsia="sq-AL"/>
        </w:rPr>
        <w:t>)</w:t>
      </w:r>
    </w:p>
    <w:p w:rsidR="006A5CC0" w:rsidRDefault="006A5CC0" w:rsidP="006A5CC0">
      <w:pPr>
        <w:autoSpaceDE w:val="0"/>
        <w:autoSpaceDN w:val="0"/>
        <w:adjustRightInd w:val="0"/>
        <w:spacing w:after="0" w:line="240" w:lineRule="auto"/>
        <w:jc w:val="center"/>
        <w:rPr>
          <w:rFonts w:ascii="Garamond" w:hAnsi="Garamond"/>
          <w:bCs/>
          <w:i/>
          <w:color w:val="000000"/>
          <w:sz w:val="24"/>
          <w:szCs w:val="24"/>
          <w:lang w:val="sq-AL" w:eastAsia="sq-AL"/>
        </w:rPr>
      </w:pPr>
    </w:p>
    <w:p w:rsidR="006A5CC0" w:rsidRPr="006A5CC0" w:rsidRDefault="006A5CC0" w:rsidP="006A5CC0">
      <w:pPr>
        <w:autoSpaceDE w:val="0"/>
        <w:autoSpaceDN w:val="0"/>
        <w:adjustRightInd w:val="0"/>
        <w:spacing w:after="0" w:line="240" w:lineRule="auto"/>
        <w:jc w:val="right"/>
        <w:rPr>
          <w:rFonts w:ascii="Garamond" w:hAnsi="Garamond"/>
          <w:bCs/>
          <w:i/>
          <w:color w:val="000000"/>
          <w:sz w:val="24"/>
          <w:szCs w:val="24"/>
          <w:lang w:val="sq-AL" w:eastAsia="sq-AL"/>
        </w:rPr>
      </w:pPr>
      <w:r>
        <w:rPr>
          <w:rFonts w:ascii="Garamond" w:hAnsi="Garamond"/>
          <w:bCs/>
          <w:i/>
          <w:color w:val="000000"/>
          <w:sz w:val="24"/>
          <w:szCs w:val="24"/>
          <w:lang w:val="sq-AL" w:eastAsia="sq-AL"/>
        </w:rPr>
        <w:t>(I përditësuar)</w:t>
      </w:r>
    </w:p>
    <w:p w:rsidR="00DC5B96" w:rsidRDefault="00DC5B96" w:rsidP="00DC5B96">
      <w:pPr>
        <w:pStyle w:val="Paragrafi"/>
        <w:rPr>
          <w:spacing w:val="-4"/>
          <w:sz w:val="12"/>
          <w:lang w:val="sq-AL"/>
        </w:rPr>
      </w:pPr>
    </w:p>
    <w:p w:rsidR="00DC5B96" w:rsidRDefault="00DC5B96" w:rsidP="00DC5B96">
      <w:pPr>
        <w:pStyle w:val="Paragrafi"/>
        <w:rPr>
          <w:spacing w:val="-4"/>
          <w:lang w:val="sq-AL"/>
        </w:rPr>
      </w:pPr>
      <w:r>
        <w:rPr>
          <w:spacing w:val="-4"/>
          <w:lang w:val="sq-AL"/>
        </w:rPr>
        <w:t>Në mbështetje të nenit 100 të Kushtetutës dhe të pikës 5, të nenit 8, të ligjit nr. 9870, datë 4.2.2008, “Për standardizimin”, të ndryshuar, me propozimin e ministrit të Financave dhe Ekonomisë, Këshilli i Ministrave</w:t>
      </w:r>
    </w:p>
    <w:p w:rsidR="00DC5B96" w:rsidRDefault="00DC5B96" w:rsidP="00DC5B96">
      <w:pPr>
        <w:pStyle w:val="Paragrafi"/>
        <w:rPr>
          <w:spacing w:val="-4"/>
          <w:sz w:val="10"/>
          <w:lang w:val="sq-AL"/>
        </w:rPr>
      </w:pPr>
    </w:p>
    <w:p w:rsidR="00DC5B96" w:rsidRDefault="00DC5B96" w:rsidP="00DC5B96">
      <w:pPr>
        <w:pStyle w:val="NeniNr"/>
        <w:rPr>
          <w:spacing w:val="-4"/>
          <w:sz w:val="14"/>
          <w:lang w:val="sq-AL"/>
        </w:rPr>
      </w:pPr>
    </w:p>
    <w:p w:rsidR="00DC5B96" w:rsidRDefault="00DC5B96" w:rsidP="00DC5B96">
      <w:pPr>
        <w:pStyle w:val="NeniNr"/>
        <w:rPr>
          <w:spacing w:val="-4"/>
          <w:lang w:val="sq-AL"/>
        </w:rPr>
      </w:pPr>
      <w:r>
        <w:rPr>
          <w:spacing w:val="-4"/>
          <w:lang w:val="sq-AL"/>
        </w:rPr>
        <w:t>VENDOSI:</w:t>
      </w:r>
    </w:p>
    <w:p w:rsidR="00DC5B96" w:rsidRDefault="00DC5B96" w:rsidP="00DC5B96">
      <w:pPr>
        <w:pStyle w:val="Paragrafi"/>
        <w:rPr>
          <w:spacing w:val="-4"/>
          <w:sz w:val="10"/>
          <w:lang w:val="sq-AL"/>
        </w:rPr>
      </w:pPr>
    </w:p>
    <w:p w:rsidR="00DC5B96" w:rsidRDefault="00DC5B96" w:rsidP="00DC5B96">
      <w:pPr>
        <w:pStyle w:val="Paragrafi"/>
        <w:rPr>
          <w:spacing w:val="-4"/>
          <w:lang w:val="sq-AL"/>
        </w:rPr>
      </w:pPr>
      <w:r>
        <w:rPr>
          <w:spacing w:val="-4"/>
          <w:lang w:val="sq-AL"/>
        </w:rPr>
        <w:t>1. Miratimin e rregullores “Për veprimtarinë e standardizimit”</w:t>
      </w:r>
      <w:r>
        <w:rPr>
          <w:spacing w:val="-4"/>
          <w:vertAlign w:val="superscript"/>
          <w:lang w:val="sq-AL"/>
        </w:rPr>
        <w:footnoteReference w:id="1"/>
      </w:r>
      <w:r>
        <w:rPr>
          <w:spacing w:val="-4"/>
          <w:lang w:val="sq-AL"/>
        </w:rPr>
        <w:t>, sipas tekstit që i bashkëlidhet këtij vendimi.</w:t>
      </w:r>
    </w:p>
    <w:p w:rsidR="00DC5B96" w:rsidRDefault="00DC5B96" w:rsidP="00DC5B96">
      <w:pPr>
        <w:pStyle w:val="Paragrafi"/>
        <w:rPr>
          <w:spacing w:val="-4"/>
          <w:lang w:val="sq-AL"/>
        </w:rPr>
      </w:pPr>
      <w:r>
        <w:rPr>
          <w:spacing w:val="-4"/>
          <w:lang w:val="sq-AL"/>
        </w:rPr>
        <w:t>2. Ngarkohet Drejtoria e Përgjithshme e Standardizimit (DPS) për zbatimin e këtij vendimi.</w:t>
      </w:r>
    </w:p>
    <w:p w:rsidR="00DC5B96" w:rsidRDefault="00DC5B96" w:rsidP="00DC5B96">
      <w:pPr>
        <w:pStyle w:val="Paragrafi"/>
        <w:rPr>
          <w:spacing w:val="-4"/>
          <w:lang w:val="sq-AL"/>
        </w:rPr>
      </w:pPr>
      <w:r>
        <w:rPr>
          <w:spacing w:val="-4"/>
          <w:lang w:val="sq-AL"/>
        </w:rPr>
        <w:t>Ky vendim hyn në fuqi pas botimit në Fletoren Zyrtare.</w:t>
      </w:r>
    </w:p>
    <w:p w:rsidR="00DC5B96" w:rsidRDefault="00DC5B96" w:rsidP="00DC5B96">
      <w:pPr>
        <w:pStyle w:val="Paragrafi"/>
        <w:jc w:val="right"/>
        <w:rPr>
          <w:spacing w:val="-4"/>
          <w:sz w:val="2"/>
          <w:lang w:val="sq-AL"/>
        </w:rPr>
      </w:pPr>
    </w:p>
    <w:p w:rsidR="00DC5B96" w:rsidRDefault="00DC5B96" w:rsidP="00DC5B96">
      <w:pPr>
        <w:pStyle w:val="Paragrafi"/>
        <w:jc w:val="right"/>
        <w:rPr>
          <w:spacing w:val="-4"/>
          <w:lang w:val="sq-AL"/>
        </w:rPr>
      </w:pPr>
      <w:r>
        <w:rPr>
          <w:spacing w:val="-4"/>
          <w:lang w:val="sq-AL"/>
        </w:rPr>
        <w:t>ZËVENDËSKRYEMINISTRI</w:t>
      </w:r>
    </w:p>
    <w:p w:rsidR="00DC5B96" w:rsidRDefault="00DC5B96" w:rsidP="00DC5B96">
      <w:pPr>
        <w:pStyle w:val="Paragrafi"/>
        <w:jc w:val="right"/>
        <w:rPr>
          <w:b/>
          <w:spacing w:val="-4"/>
          <w:lang w:val="sq-AL"/>
        </w:rPr>
      </w:pPr>
      <w:r>
        <w:rPr>
          <w:b/>
          <w:spacing w:val="-4"/>
          <w:lang w:val="sq-AL"/>
        </w:rPr>
        <w:t>Senida Mesi</w:t>
      </w:r>
    </w:p>
    <w:p w:rsidR="00DC5B96" w:rsidRDefault="00DC5B96" w:rsidP="00DC5B96">
      <w:pPr>
        <w:widowControl w:val="0"/>
        <w:spacing w:after="0" w:line="240" w:lineRule="auto"/>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p>
    <w:p w:rsidR="00DC5B96" w:rsidRDefault="00DC5B96" w:rsidP="00DC5B96">
      <w:pPr>
        <w:widowControl w:val="0"/>
        <w:spacing w:after="0" w:line="240" w:lineRule="auto"/>
        <w:ind w:firstLine="0"/>
        <w:jc w:val="center"/>
        <w:rPr>
          <w:rFonts w:ascii="Garamond" w:hAnsi="Garamond"/>
          <w:b/>
          <w:spacing w:val="-4"/>
          <w:sz w:val="24"/>
          <w:szCs w:val="24"/>
          <w:lang w:val="sq-AL"/>
        </w:rPr>
      </w:pPr>
      <w:r>
        <w:rPr>
          <w:rFonts w:ascii="Garamond" w:hAnsi="Garamond"/>
          <w:b/>
          <w:spacing w:val="-4"/>
          <w:sz w:val="24"/>
          <w:szCs w:val="24"/>
          <w:lang w:val="sq-AL"/>
        </w:rPr>
        <w:t>RREGULLORE</w:t>
      </w:r>
    </w:p>
    <w:p w:rsidR="00DC5B96" w:rsidRDefault="00DC5B96" w:rsidP="00DC5B96">
      <w:pPr>
        <w:widowControl w:val="0"/>
        <w:spacing w:after="0" w:line="240" w:lineRule="auto"/>
        <w:ind w:firstLine="0"/>
        <w:jc w:val="center"/>
        <w:rPr>
          <w:rFonts w:ascii="Garamond" w:hAnsi="Garamond"/>
          <w:spacing w:val="-4"/>
          <w:sz w:val="24"/>
          <w:szCs w:val="24"/>
          <w:lang w:val="sq-AL"/>
        </w:rPr>
      </w:pPr>
      <w:r>
        <w:rPr>
          <w:rFonts w:ascii="Garamond" w:hAnsi="Garamond"/>
          <w:spacing w:val="-4"/>
          <w:sz w:val="24"/>
          <w:szCs w:val="24"/>
          <w:lang w:val="sq-AL"/>
        </w:rPr>
        <w:t>PËR VEPRIMTARINË E STANDARDIZIMIT</w:t>
      </w:r>
    </w:p>
    <w:p w:rsidR="00DC5B96" w:rsidRDefault="00DC5B96" w:rsidP="00DC5B96">
      <w:pPr>
        <w:widowControl w:val="0"/>
        <w:spacing w:after="0" w:line="240" w:lineRule="auto"/>
        <w:ind w:firstLine="0"/>
        <w:jc w:val="center"/>
        <w:textAlignment w:val="baseline"/>
        <w:rPr>
          <w:rFonts w:ascii="Garamond" w:hAnsi="Garamond"/>
          <w:spacing w:val="-4"/>
          <w:sz w:val="1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DISPOZITA TË PËRGJITHSHME</w:t>
      </w:r>
    </w:p>
    <w:p w:rsidR="00DC5B96" w:rsidRDefault="00DC5B96" w:rsidP="00DC5B96">
      <w:pPr>
        <w:widowControl w:val="0"/>
        <w:spacing w:after="0" w:line="240" w:lineRule="auto"/>
        <w:ind w:firstLine="0"/>
        <w:jc w:val="center"/>
        <w:textAlignment w:val="baseline"/>
        <w:rPr>
          <w:rFonts w:ascii="Garamond" w:eastAsia="Times New Roman" w:hAnsi="Garamond"/>
          <w:b/>
          <w:bCs/>
          <w:spacing w:val="-4"/>
          <w:sz w:val="14"/>
          <w:szCs w:val="24"/>
          <w:lang w:val="sq-AL"/>
        </w:rPr>
      </w:pPr>
    </w:p>
    <w:p w:rsidR="00DC5B96" w:rsidRDefault="00DC5B96" w:rsidP="00DC5B96">
      <w:pPr>
        <w:widowControl w:val="0"/>
        <w:spacing w:after="0" w:line="240" w:lineRule="auto"/>
        <w:rPr>
          <w:rFonts w:ascii="Garamond" w:eastAsia="Times New Roman" w:hAnsi="Garamond"/>
          <w:b/>
          <w:spacing w:val="-4"/>
          <w:sz w:val="24"/>
          <w:szCs w:val="24"/>
          <w:lang w:val="sq-AL" w:eastAsia="sq-AL"/>
        </w:rPr>
      </w:pPr>
      <w:r>
        <w:rPr>
          <w:rFonts w:ascii="Garamond" w:eastAsia="Times New Roman" w:hAnsi="Garamond"/>
          <w:b/>
          <w:spacing w:val="-4"/>
          <w:sz w:val="24"/>
          <w:szCs w:val="24"/>
          <w:lang w:val="sq-AL" w:eastAsia="sq-AL"/>
        </w:rPr>
        <w:t>1. Qëllimi</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Kjo rregullore përcakton rregullat lidhur me bashkëpunimin ndërmjet organizatave evropiane të standardizimit, organeve kombëtare të standardizimit, shteteve anëtare dhe Komisionit, hartimin dhe miratimin e standardeve dhe dokumenteve evropiane të standardizimit (të publikuara nga CEN, CENELEC dhe ETSI)</w:t>
      </w:r>
      <w:r>
        <w:rPr>
          <w:rStyle w:val="FootnoteReference"/>
          <w:rFonts w:ascii="Garamond" w:hAnsi="Garamond"/>
          <w:spacing w:val="-4"/>
          <w:sz w:val="24"/>
          <w:szCs w:val="24"/>
          <w:lang w:val="sq-AL"/>
        </w:rPr>
        <w:footnoteReference w:id="2"/>
      </w:r>
      <w:r>
        <w:rPr>
          <w:rFonts w:ascii="Garamond" w:hAnsi="Garamond"/>
          <w:spacing w:val="-4"/>
          <w:sz w:val="24"/>
          <w:szCs w:val="24"/>
          <w:lang w:val="sq-AL"/>
        </w:rPr>
        <w:t xml:space="preserve"> për produktet dhe shërbimet në mbështetje të legjislacionit dhe politikave të Bashkimit Evropian, identifikimin e specifikimeve teknike të teknologjisë së informacionit dhe komunikimit (TIK), që përdoren për referencë, si dhe financimin nga Bashkimi Evropian për veprimtaritë e standardizimit</w:t>
      </w:r>
      <w:r w:rsidR="006A5CC0">
        <w:rPr>
          <w:rFonts w:ascii="Garamond" w:hAnsi="Garamond"/>
          <w:spacing w:val="-4"/>
          <w:sz w:val="24"/>
          <w:szCs w:val="24"/>
          <w:lang w:val="sq-AL"/>
        </w:rPr>
        <w:t xml:space="preserve">  </w:t>
      </w:r>
      <w:r w:rsidR="006A5CC0" w:rsidRPr="006A5CC0">
        <w:rPr>
          <w:rFonts w:ascii="Garamond" w:hAnsi="Garamond"/>
          <w:i/>
          <w:spacing w:val="-4"/>
          <w:sz w:val="24"/>
          <w:szCs w:val="24"/>
          <w:lang w:val="sq-AL"/>
        </w:rPr>
        <w:t>d</w:t>
      </w:r>
      <w:r w:rsidR="006A5CC0" w:rsidRPr="006A5CC0">
        <w:rPr>
          <w:rFonts w:ascii="Garamond" w:hAnsi="Garamond"/>
          <w:i/>
          <w:color w:val="000000"/>
          <w:sz w:val="24"/>
          <w:szCs w:val="24"/>
          <w:lang w:val="sq-AL" w:eastAsia="sq-AL"/>
        </w:rPr>
        <w:t>he pjesëmarrjen e palëve të interesit në proceset e standardizimit</w:t>
      </w:r>
      <w:r w:rsidRPr="006A5CC0">
        <w:rPr>
          <w:rFonts w:ascii="Garamond" w:hAnsi="Garamond"/>
          <w:i/>
          <w:spacing w:val="-4"/>
          <w:sz w:val="24"/>
          <w:szCs w:val="24"/>
          <w:lang w:val="sq-AL"/>
        </w:rPr>
        <w:t>.</w:t>
      </w:r>
    </w:p>
    <w:p w:rsidR="00DC5B96" w:rsidRDefault="00DC5B96" w:rsidP="00DC5B96">
      <w:pPr>
        <w:widowControl w:val="0"/>
        <w:spacing w:after="0" w:line="240" w:lineRule="auto"/>
        <w:rPr>
          <w:rFonts w:ascii="Garamond" w:eastAsia="Times New Roman" w:hAnsi="Garamond"/>
          <w:b/>
          <w:spacing w:val="-4"/>
          <w:sz w:val="24"/>
          <w:szCs w:val="24"/>
          <w:lang w:val="sq-AL" w:eastAsia="sq-AL"/>
        </w:rPr>
      </w:pPr>
      <w:r>
        <w:rPr>
          <w:rFonts w:ascii="Garamond" w:eastAsia="Times New Roman" w:hAnsi="Garamond"/>
          <w:b/>
          <w:spacing w:val="-4"/>
          <w:sz w:val="24"/>
          <w:szCs w:val="24"/>
          <w:lang w:val="sq-AL" w:eastAsia="sq-AL"/>
        </w:rPr>
        <w:t>2. Përkufizime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Për qëllimet e kësaj rregulloreje përdoren përkufizimet e dhëna në ligjin nr. 9870, datë 4.2.2008, “Për standardizimin”, të ndryshuar, ndërsa termat e mëposhtëm kanë këtë kuptim:</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Projektstandard</w:t>
      </w:r>
      <w:r>
        <w:rPr>
          <w:rFonts w:ascii="Garamond" w:hAnsi="Garamond"/>
          <w:spacing w:val="-4"/>
          <w:sz w:val="24"/>
          <w:szCs w:val="24"/>
          <w:lang w:val="sq-AL"/>
        </w:rPr>
        <w:t xml:space="preserve">”, dokument që përmban tekstin e specifikimeve teknike në lidhje me një </w:t>
      </w:r>
      <w:r>
        <w:rPr>
          <w:rFonts w:ascii="Garamond" w:hAnsi="Garamond"/>
          <w:spacing w:val="-4"/>
          <w:sz w:val="24"/>
          <w:szCs w:val="24"/>
          <w:lang w:val="sq-AL"/>
        </w:rPr>
        <w:lastRenderedPageBreak/>
        <w:t>temë/fushë të caktuar, i cili miratohet në përputhje me procedurën përkatëse të standardeve dhe qarkullon për komente në publik;</w:t>
      </w:r>
    </w:p>
    <w:p w:rsidR="00DC5B96" w:rsidRDefault="00DC5B96" w:rsidP="00DC5B96">
      <w:pPr>
        <w:widowControl w:val="0"/>
        <w:spacing w:after="0" w:line="240" w:lineRule="auto"/>
        <w:ind w:left="284" w:firstLine="0"/>
        <w:textAlignment w:val="baseline"/>
        <w:rPr>
          <w:rFonts w:ascii="Garamond" w:hAnsi="Garamond"/>
          <w:spacing w:val="-4"/>
          <w:sz w:val="24"/>
          <w:szCs w:val="24"/>
          <w:lang w:val="sq-AL"/>
        </w:rPr>
      </w:pPr>
    </w:p>
    <w:p w:rsidR="00DC5B96" w:rsidRDefault="00DC5B96" w:rsidP="00DC5B96">
      <w:pPr>
        <w:widowControl w:val="0"/>
        <w:numPr>
          <w:ilvl w:val="0"/>
          <w:numId w:val="1"/>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Specifikim teknik</w:t>
      </w:r>
      <w:r>
        <w:rPr>
          <w:rFonts w:ascii="Garamond" w:hAnsi="Garamond"/>
          <w:spacing w:val="-4"/>
          <w:sz w:val="24"/>
          <w:szCs w:val="24"/>
          <w:lang w:val="sq-AL"/>
        </w:rPr>
        <w:t xml:space="preserve">”, dokument që përshkruan kërkesat teknike që duhet të përmbushë një produkt, proces, shërbim ose sistem dhe që përcakton një ose më shumë nga elementet e mëposhtme: </w:t>
      </w:r>
    </w:p>
    <w:p w:rsidR="00DC5B96" w:rsidRDefault="00DC5B96" w:rsidP="00DC5B96">
      <w:pPr>
        <w:widowControl w:val="0"/>
        <w:numPr>
          <w:ilvl w:val="0"/>
          <w:numId w:val="2"/>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t>Karakteristikat e kërkuara për një produkt, duke përfshirë nivelet e cilësisë, performancën, ndërfunksionimin, mbrojtjen e mjedisit, shëndetin, sigurinë ose përmasat, si dhe kërkesat e zbatueshme për produktin në lidhje me emrin me të cilin shitet produkti, terminologjinë, simbolet, testimet dhe metodat e provës, paketimin, markimin ose etiketimin dhe procedurat për vlerësimin e konformitetit;</w:t>
      </w:r>
    </w:p>
    <w:p w:rsidR="00DC5B96" w:rsidRDefault="00DC5B96" w:rsidP="00DC5B96">
      <w:pPr>
        <w:widowControl w:val="0"/>
        <w:numPr>
          <w:ilvl w:val="0"/>
          <w:numId w:val="2"/>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Metodat dhe proceset e prodhimit që përdoren në lidhje me produktet bujqësore, produktet e synuara për konsum nga njerëzit e kafshët dhe produktet mjekësore, si edhe metodat e proceset e prodhimit që lidhen me produkte të tjera, kur këto ndikojnë në karakteristikat e tyre;</w:t>
      </w:r>
    </w:p>
    <w:p w:rsidR="00DC5B96" w:rsidRDefault="00DC5B96" w:rsidP="00DC5B96">
      <w:pPr>
        <w:widowControl w:val="0"/>
        <w:numPr>
          <w:ilvl w:val="0"/>
          <w:numId w:val="2"/>
        </w:numPr>
        <w:spacing w:after="0" w:line="240" w:lineRule="auto"/>
        <w:ind w:left="0" w:firstLine="284"/>
        <w:textAlignment w:val="baseline"/>
        <w:rPr>
          <w:rFonts w:ascii="Garamond" w:eastAsia="Times New Roman" w:hAnsi="Garamond"/>
          <w:sz w:val="24"/>
          <w:szCs w:val="24"/>
          <w:lang w:val="sq-AL"/>
        </w:rPr>
      </w:pPr>
      <w:r>
        <w:rPr>
          <w:rFonts w:ascii="Garamond" w:hAnsi="Garamond"/>
          <w:sz w:val="24"/>
          <w:szCs w:val="24"/>
          <w:lang w:val="sq-AL"/>
        </w:rPr>
        <w:t>Karakteristikat që kërkohen nga një shërbim, duke përfshirë nivelet e cilësisë, performancën, ndërfunksionimin, mbrojtjen e mjedisit, shëndetin ose sigurinë, përfshirë edhe kërkesat e zbatueshme për ofruesin në lidhje me informacionin që duhet t’i vihet në dispozicion marrësit;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ç) Metodat dhe kriteret për vlerësimin e performancës së produkteve të ndërtimit, që përcaktojnë kriteret e harmonizuara për tregtimin e produkteve të ndërtimit</w:t>
      </w:r>
      <w:hyperlink r:id="rId8" w:anchor="ntr37-L_2012316EN.01001201-E0037" w:history="1">
        <w:r>
          <w:rPr>
            <w:rStyle w:val="Hyperlink"/>
            <w:rFonts w:ascii="Garamond" w:hAnsi="Garamond"/>
            <w:color w:val="auto"/>
            <w:spacing w:val="-4"/>
            <w:sz w:val="24"/>
            <w:szCs w:val="24"/>
            <w:u w:val="none"/>
            <w:lang w:val="sq-AL"/>
          </w:rPr>
          <w:t> </w:t>
        </w:r>
      </w:hyperlink>
      <w:r>
        <w:rPr>
          <w:rFonts w:ascii="Garamond" w:hAnsi="Garamond"/>
          <w:spacing w:val="-4"/>
          <w:sz w:val="24"/>
          <w:szCs w:val="24"/>
          <w:lang w:val="sq-AL"/>
        </w:rPr>
        <w:t>, në lidhje me karakteristikat e tyre thelbësore;</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Specifikim teknik i TIK</w:t>
      </w:r>
      <w:r>
        <w:rPr>
          <w:rFonts w:ascii="Garamond" w:hAnsi="Garamond"/>
          <w:spacing w:val="-4"/>
          <w:sz w:val="24"/>
          <w:szCs w:val="24"/>
          <w:lang w:val="sq-AL"/>
        </w:rPr>
        <w:t>”, specifikim teknik në fushën e teknologjisë së informacionit dhe të komunikimit;</w:t>
      </w:r>
    </w:p>
    <w:p w:rsidR="00DC5B96" w:rsidRDefault="00DC5B96" w:rsidP="00DC5B96">
      <w:pPr>
        <w:widowControl w:val="0"/>
        <w:numPr>
          <w:ilvl w:val="0"/>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w:t>
      </w:r>
      <w:r>
        <w:rPr>
          <w:rFonts w:ascii="Garamond" w:hAnsi="Garamond"/>
          <w:b/>
          <w:spacing w:val="-4"/>
          <w:sz w:val="24"/>
          <w:szCs w:val="24"/>
          <w:lang w:val="sq-AL"/>
        </w:rPr>
        <w:t>Produkt</w:t>
      </w:r>
      <w:r>
        <w:rPr>
          <w:rFonts w:ascii="Garamond" w:hAnsi="Garamond"/>
          <w:spacing w:val="-4"/>
          <w:sz w:val="24"/>
          <w:szCs w:val="24"/>
          <w:lang w:val="sq-AL"/>
        </w:rPr>
        <w:t>”, çdo produkt i prodhuar në mënyrë industriale dhe çdo produkt bujqësor, duke përfshirë produktet e peshkut;</w:t>
      </w:r>
    </w:p>
    <w:p w:rsidR="006A5CC0" w:rsidRPr="006A5CC0" w:rsidRDefault="00DC5B96"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spacing w:val="-4"/>
          <w:sz w:val="24"/>
          <w:szCs w:val="24"/>
          <w:lang w:val="sq-AL"/>
        </w:rPr>
        <w:t xml:space="preserve"> </w:t>
      </w:r>
      <w:r w:rsidR="006A5CC0" w:rsidRPr="006A5CC0">
        <w:rPr>
          <w:rFonts w:ascii="Garamond" w:hAnsi="Garamond"/>
          <w:i/>
          <w:color w:val="000000"/>
          <w:sz w:val="24"/>
          <w:szCs w:val="24"/>
          <w:lang w:val="sq-AL" w:eastAsia="sq-AL"/>
        </w:rPr>
        <w:t xml:space="preserve">5. </w:t>
      </w:r>
      <w:r w:rsidR="006A5CC0" w:rsidRPr="006A5CC0">
        <w:rPr>
          <w:rFonts w:ascii="Garamond" w:hAnsi="Garamond"/>
          <w:b/>
          <w:bCs/>
          <w:i/>
          <w:color w:val="000000"/>
          <w:sz w:val="24"/>
          <w:szCs w:val="24"/>
          <w:lang w:val="sq-AL" w:eastAsia="sq-AL"/>
        </w:rPr>
        <w:t>“Shërbim”</w:t>
      </w:r>
      <w:r w:rsidR="006A5CC0" w:rsidRPr="006A5CC0">
        <w:rPr>
          <w:rFonts w:ascii="Garamond" w:hAnsi="Garamond"/>
          <w:i/>
          <w:color w:val="000000"/>
          <w:sz w:val="24"/>
          <w:szCs w:val="24"/>
          <w:lang w:val="sq-AL" w:eastAsia="sq-AL"/>
        </w:rPr>
        <w:t xml:space="preserve"> është çdo aktivitet ekonomik vetëpunësimi, i cili normalisht sigurohet për shpërblim, përfshirë aktivitete të karakterit:</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 xml:space="preserve"> </w:t>
      </w:r>
      <w:r w:rsidRPr="006A5CC0">
        <w:rPr>
          <w:rFonts w:ascii="Garamond" w:hAnsi="Garamond" w:cs="Calibri"/>
          <w:i/>
          <w:color w:val="000000"/>
          <w:sz w:val="24"/>
          <w:szCs w:val="24"/>
          <w:lang w:val="sq-AL" w:eastAsia="sq-AL"/>
        </w:rPr>
        <w:t xml:space="preserve">- </w:t>
      </w:r>
      <w:r w:rsidRPr="006A5CC0">
        <w:rPr>
          <w:rFonts w:ascii="Garamond" w:hAnsi="Garamond"/>
          <w:i/>
          <w:color w:val="000000"/>
          <w:sz w:val="24"/>
          <w:szCs w:val="24"/>
          <w:lang w:val="sq-AL" w:eastAsia="sq-AL"/>
        </w:rPr>
        <w:t>industrial;</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cs="Calibri"/>
          <w:i/>
          <w:color w:val="000000"/>
          <w:sz w:val="24"/>
          <w:szCs w:val="24"/>
          <w:lang w:val="sq-AL" w:eastAsia="sq-AL"/>
        </w:rPr>
        <w:t xml:space="preserve">- </w:t>
      </w:r>
      <w:r w:rsidRPr="006A5CC0">
        <w:rPr>
          <w:rFonts w:ascii="Garamond" w:hAnsi="Garamond"/>
          <w:i/>
          <w:color w:val="000000"/>
          <w:sz w:val="24"/>
          <w:szCs w:val="24"/>
          <w:lang w:val="sq-AL" w:eastAsia="sq-AL"/>
        </w:rPr>
        <w:t>tregtar;</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cs="Calibri"/>
          <w:i/>
          <w:color w:val="000000"/>
          <w:sz w:val="24"/>
          <w:szCs w:val="24"/>
          <w:lang w:val="sq-AL" w:eastAsia="sq-AL"/>
        </w:rPr>
        <w:t xml:space="preserve">- </w:t>
      </w:r>
      <w:r w:rsidRPr="006A5CC0">
        <w:rPr>
          <w:rFonts w:ascii="Garamond" w:hAnsi="Garamond"/>
          <w:i/>
          <w:color w:val="000000"/>
          <w:sz w:val="24"/>
          <w:szCs w:val="24"/>
          <w:lang w:val="sq-AL" w:eastAsia="sq-AL"/>
        </w:rPr>
        <w:t>zejtar;</w:t>
      </w:r>
    </w:p>
    <w:p w:rsid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cs="Calibri"/>
          <w:i/>
          <w:color w:val="000000"/>
          <w:sz w:val="24"/>
          <w:szCs w:val="24"/>
          <w:lang w:val="sq-AL" w:eastAsia="sq-AL"/>
        </w:rPr>
        <w:t xml:space="preserve">- </w:t>
      </w:r>
      <w:r w:rsidRPr="006A5CC0">
        <w:rPr>
          <w:rFonts w:ascii="Garamond" w:hAnsi="Garamond"/>
          <w:i/>
          <w:color w:val="000000"/>
          <w:sz w:val="24"/>
          <w:szCs w:val="24"/>
          <w:lang w:val="sq-AL" w:eastAsia="sq-AL"/>
        </w:rPr>
        <w:t>të profesionistëve.</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 xml:space="preserve">6. </w:t>
      </w:r>
      <w:r w:rsidRPr="006A5CC0">
        <w:rPr>
          <w:rFonts w:ascii="Garamond" w:hAnsi="Garamond"/>
          <w:b/>
          <w:bCs/>
          <w:i/>
          <w:color w:val="000000"/>
          <w:sz w:val="24"/>
          <w:szCs w:val="24"/>
          <w:lang w:val="sq-AL" w:eastAsia="sq-AL"/>
        </w:rPr>
        <w:t>“Standard”</w:t>
      </w:r>
      <w:r w:rsidRPr="006A5CC0">
        <w:rPr>
          <w:rFonts w:ascii="Garamond" w:hAnsi="Garamond"/>
          <w:i/>
          <w:color w:val="000000"/>
          <w:sz w:val="24"/>
          <w:szCs w:val="24"/>
          <w:lang w:val="sq-AL" w:eastAsia="sq-AL"/>
        </w:rPr>
        <w:t xml:space="preserve"> është një specifikim teknik, i miratuar nga një organ i njohur standardizimi, për zbatim të përsëritur ose të vazhdueshëm, përputhshmëria me të cilin nuk është e detyrueshme dhe që është një nga përcaktimet e mëposhtme:</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a) “Standard ndërkombëtar”, një standard i miratuar nga një organ ndërkombëtar standardizimi;</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b) “Standard evropian”, një standard i miratuar nga një organizatë evropiane standardizimi;</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c) “Standard i harmonizuar”, një standard evropian i miratuar në bazë të një kërkese të bërë nga Komisioni Evropian për zbatimin e legjislacionit të harmonizuar të Bashkimit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ç) “Standard kombëtar”, një standard i miratuar nga një</w:t>
      </w:r>
      <w:r w:rsidRPr="006A5CC0">
        <w:rPr>
          <w:rFonts w:ascii="Garamond" w:hAnsi="Garamond"/>
          <w:i/>
          <w:color w:val="000000"/>
          <w:sz w:val="24"/>
          <w:szCs w:val="24"/>
          <w:lang w:val="sq-AL" w:eastAsia="sq-AL"/>
        </w:rPr>
        <w:t xml:space="preserve"> organ kombëtar standardizimi.</w:t>
      </w:r>
    </w:p>
    <w:p w:rsidR="00DC5B96" w:rsidRPr="006A5CC0" w:rsidRDefault="00DC5B96" w:rsidP="00DC5B96">
      <w:pPr>
        <w:widowControl w:val="0"/>
        <w:numPr>
          <w:ilvl w:val="0"/>
          <w:numId w:val="1"/>
        </w:numPr>
        <w:spacing w:after="0" w:line="240" w:lineRule="auto"/>
        <w:ind w:left="0" w:firstLine="284"/>
        <w:textAlignment w:val="baseline"/>
        <w:rPr>
          <w:rFonts w:ascii="Garamond" w:eastAsia="Times New Roman" w:hAnsi="Garamond"/>
          <w:i/>
          <w:spacing w:val="-4"/>
          <w:sz w:val="2"/>
          <w:szCs w:val="24"/>
          <w:lang w:val="sq-AL"/>
        </w:rPr>
      </w:pPr>
    </w:p>
    <w:p w:rsidR="00DC5B96" w:rsidRPr="006A5CC0" w:rsidRDefault="00DC5B96" w:rsidP="00DC5B96">
      <w:pPr>
        <w:widowControl w:val="0"/>
        <w:spacing w:after="0" w:line="240" w:lineRule="auto"/>
        <w:rPr>
          <w:rFonts w:ascii="Garamond" w:eastAsia="Times New Roman" w:hAnsi="Garamond"/>
          <w:i/>
          <w:spacing w:val="-4"/>
          <w:sz w:val="2"/>
          <w:szCs w:val="24"/>
          <w:lang w:val="sq-AL"/>
        </w:rPr>
      </w:pPr>
    </w:p>
    <w:p w:rsidR="00DC5B96" w:rsidRPr="006A5CC0" w:rsidRDefault="00DC5B96" w:rsidP="00DC5B96">
      <w:pPr>
        <w:widowControl w:val="0"/>
        <w:spacing w:after="0" w:line="240" w:lineRule="auto"/>
        <w:rPr>
          <w:rFonts w:ascii="Garamond" w:eastAsia="Times New Roman" w:hAnsi="Garamond"/>
          <w:i/>
          <w:spacing w:val="-4"/>
          <w:sz w:val="2"/>
          <w:szCs w:val="24"/>
          <w:lang w:val="sq-AL"/>
        </w:rPr>
      </w:pPr>
    </w:p>
    <w:p w:rsidR="00DC5B96" w:rsidRPr="006A5CC0" w:rsidRDefault="00DC5B96" w:rsidP="00DC5B96">
      <w:pPr>
        <w:widowControl w:val="0"/>
        <w:spacing w:after="0" w:line="240" w:lineRule="auto"/>
        <w:rPr>
          <w:rFonts w:ascii="Garamond" w:eastAsia="Times New Roman" w:hAnsi="Garamond"/>
          <w:i/>
          <w:spacing w:val="-4"/>
          <w:sz w:val="2"/>
          <w:szCs w:val="24"/>
          <w:lang w:val="sq-AL"/>
        </w:rPr>
      </w:pPr>
    </w:p>
    <w:p w:rsidR="00DC5B96" w:rsidRDefault="00DC5B96" w:rsidP="00DC5B96">
      <w:pPr>
        <w:widowControl w:val="0"/>
        <w:spacing w:after="0" w:line="240" w:lineRule="auto"/>
        <w:rPr>
          <w:rFonts w:ascii="Garamond" w:eastAsia="Times New Roman" w:hAnsi="Garamond"/>
          <w:spacing w:val="-4"/>
          <w:sz w:val="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TRANSPARENCA DHE PJESËMARRJA E GRUPEVE TË INTERESIT</w:t>
      </w:r>
    </w:p>
    <w:p w:rsidR="00DC5B96" w:rsidRDefault="00DC5B96" w:rsidP="00DC5B96">
      <w:pPr>
        <w:widowControl w:val="0"/>
        <w:spacing w:after="0" w:line="240" w:lineRule="auto"/>
        <w:jc w:val="center"/>
        <w:textAlignment w:val="baseline"/>
        <w:rPr>
          <w:rFonts w:ascii="Garamond" w:eastAsia="Times New Roman" w:hAnsi="Garamond"/>
          <w:bCs/>
          <w:spacing w:val="-4"/>
          <w:sz w:val="12"/>
          <w:szCs w:val="24"/>
          <w:lang w:val="sq-AL"/>
        </w:rPr>
      </w:pPr>
    </w:p>
    <w:p w:rsidR="00DC5B96" w:rsidRDefault="00DC5B96" w:rsidP="00DC5B96">
      <w:pPr>
        <w:widowControl w:val="0"/>
        <w:numPr>
          <w:ilvl w:val="0"/>
          <w:numId w:val="3"/>
        </w:numPr>
        <w:spacing w:after="0" w:line="240" w:lineRule="auto"/>
        <w:ind w:left="0" w:firstLine="284"/>
        <w:textAlignment w:val="baseline"/>
        <w:rPr>
          <w:rFonts w:ascii="Garamond" w:hAnsi="Garamond"/>
          <w:b/>
          <w:spacing w:val="-4"/>
          <w:sz w:val="24"/>
          <w:szCs w:val="24"/>
          <w:lang w:val="sq-AL"/>
        </w:rPr>
      </w:pPr>
      <w:r>
        <w:rPr>
          <w:rFonts w:ascii="Garamond" w:hAnsi="Garamond"/>
          <w:b/>
          <w:spacing w:val="-4"/>
          <w:sz w:val="24"/>
          <w:szCs w:val="24"/>
          <w:lang w:val="sq-AL"/>
        </w:rPr>
        <w:t>Transparenca për programet e punës së organizmave të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1.1 DPS-ja përgatit programin e saj të punës të paktën një herë në vit. Ky program pune përmban informacione për standardet dhe dokumentet e standardizimit që DPS-ja synon të hartojë, të adaptojë ose të amendojë, të cilat mund të jenë hartimi i projektstandardeve dhe/ose dokumenteve të reja të standardizimit ose amendimet e atyre standardeve dhe/ose dokumenteve të standardizimit që ka miratuar gjatë periudhës së programit paraardhës të punës.</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3.2</w:t>
      </w:r>
      <w:r>
        <w:rPr>
          <w:rFonts w:ascii="Garamond" w:hAnsi="Garamond"/>
          <w:spacing w:val="-4"/>
          <w:sz w:val="24"/>
          <w:szCs w:val="24"/>
          <w:lang w:val="sq-AL"/>
        </w:rPr>
        <w:tab/>
        <w:t>Për çdo projektstandard dhe/ose dokument standardizimi, programi i punës tregon: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a)</w:t>
      </w:r>
      <w:r>
        <w:rPr>
          <w:rFonts w:ascii="Garamond" w:hAnsi="Garamond"/>
          <w:spacing w:val="-4"/>
          <w:sz w:val="24"/>
          <w:szCs w:val="24"/>
          <w:lang w:val="sq-AL"/>
        </w:rPr>
        <w:tab/>
        <w:t>Titullin dhe fushën e zbatimit;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Statusin aktual të publikimeve (standardeve dhe dokumenteve të standardizimit);</w:t>
      </w:r>
    </w:p>
    <w:p w:rsidR="00DC5B96" w:rsidRDefault="00DC5B96" w:rsidP="00DC5B96">
      <w:pPr>
        <w:widowControl w:val="0"/>
        <w:spacing w:after="0" w:line="240" w:lineRule="auto"/>
        <w:textAlignment w:val="baseline"/>
        <w:rPr>
          <w:rFonts w:ascii="Garamond" w:eastAsia="Times New Roman" w:hAnsi="Garamond"/>
          <w:spacing w:val="-4"/>
          <w:sz w:val="24"/>
          <w:szCs w:val="24"/>
          <w:lang w:val="sq-AL"/>
        </w:rPr>
      </w:pPr>
      <w:r>
        <w:rPr>
          <w:rFonts w:ascii="Garamond" w:eastAsia="Times New Roman" w:hAnsi="Garamond"/>
          <w:spacing w:val="-4"/>
          <w:sz w:val="24"/>
          <w:szCs w:val="24"/>
          <w:lang w:val="sq-AL"/>
        </w:rPr>
        <w:lastRenderedPageBreak/>
        <w:t>c)</w:t>
      </w:r>
      <w:r>
        <w:rPr>
          <w:rFonts w:ascii="Garamond" w:eastAsia="Times New Roman" w:hAnsi="Garamond"/>
          <w:spacing w:val="-4"/>
          <w:sz w:val="24"/>
          <w:szCs w:val="24"/>
          <w:lang w:val="sq-AL"/>
        </w:rPr>
        <w:tab/>
        <w:t>Referencat e çdo standardi ndërkombëtar që është marrë për bazë.</w:t>
      </w:r>
    </w:p>
    <w:p w:rsidR="006A5CC0" w:rsidRDefault="00DC5B96" w:rsidP="006A5CC0">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3.3 DPS-ja e bën të disponueshëm programin e punës në faqen e tij të internetit ose në çdo faqe tjetër interneti të aksesueshme për publikun, si dhe bën njoftimin e jep </w:t>
      </w:r>
      <w:r>
        <w:rPr>
          <w:rFonts w:ascii="Garamond" w:hAnsi="Garamond"/>
          <w:i/>
          <w:spacing w:val="-4"/>
          <w:sz w:val="24"/>
          <w:szCs w:val="24"/>
          <w:lang w:val="sq-AL"/>
        </w:rPr>
        <w:t>link</w:t>
      </w:r>
      <w:r>
        <w:rPr>
          <w:rFonts w:ascii="Garamond" w:hAnsi="Garamond"/>
          <w:spacing w:val="-4"/>
          <w:sz w:val="24"/>
          <w:szCs w:val="24"/>
          <w:lang w:val="sq-AL"/>
        </w:rPr>
        <w:t>-un përkatës se ku gjendet ky program.</w:t>
      </w:r>
    </w:p>
    <w:p w:rsidR="006A5CC0" w:rsidRPr="006A5CC0" w:rsidRDefault="00DC5B96" w:rsidP="006A5CC0">
      <w:pPr>
        <w:widowControl w:val="0"/>
        <w:spacing w:after="0" w:line="240" w:lineRule="auto"/>
        <w:textAlignment w:val="baseline"/>
        <w:rPr>
          <w:rFonts w:ascii="Garamond" w:hAnsi="Garamond"/>
          <w:i/>
          <w:spacing w:val="-4"/>
          <w:sz w:val="24"/>
          <w:szCs w:val="24"/>
          <w:lang w:val="sq-AL"/>
        </w:rPr>
      </w:pPr>
      <w:r>
        <w:rPr>
          <w:rFonts w:ascii="Garamond" w:hAnsi="Garamond"/>
          <w:spacing w:val="-4"/>
          <w:sz w:val="24"/>
          <w:szCs w:val="24"/>
          <w:lang w:val="sq-AL"/>
        </w:rPr>
        <w:tab/>
      </w:r>
      <w:r w:rsidR="006A5CC0" w:rsidRPr="006A5CC0">
        <w:rPr>
          <w:rFonts w:ascii="Garamond" w:hAnsi="Garamond"/>
          <w:i/>
          <w:color w:val="000000"/>
          <w:sz w:val="24"/>
          <w:szCs w:val="24"/>
          <w:lang w:val="sq-AL" w:eastAsia="sq-AL"/>
        </w:rPr>
        <w:t>3.4 DPS-ja njofton organizatat e tjera të standardizimit në nivel rajonal dhe/ose ndërkombëtar për ekzistencën e programit të punës në përputhje me legjislacionin, rregulloret e brendshme dhe procedurat e saj në fuqi</w:t>
      </w:r>
      <w:r w:rsidR="006A5CC0" w:rsidRPr="006A5CC0">
        <w:rPr>
          <w:rFonts w:ascii="Garamond" w:hAnsi="Garamond"/>
          <w:i/>
          <w:sz w:val="24"/>
          <w:szCs w:val="24"/>
          <w:lang w:val="sq-AL" w:eastAsia="sq-AL"/>
        </w:rPr>
        <w: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 3.5 DPS-ja nuk do të kundërshtojë që një projektstandard dhe/ose një dokument standardi-zimi i planifikuar në programin e saj të punës të diskutohet në nivel evropian, në përputhje me rregullat e përcaktuara nga organet evropiane të standardizimit, dhe nuk do të ndërmarrë asnjë veprim që mund të cenojë një vendim që vjen si rezultat i këtij diskutimi.</w:t>
      </w:r>
    </w:p>
    <w:p w:rsidR="00DC5B96" w:rsidRDefault="00DC5B96" w:rsidP="00DC5B96">
      <w:pPr>
        <w:widowControl w:val="0"/>
        <w:spacing w:after="0" w:line="240" w:lineRule="auto"/>
        <w:textAlignment w:val="baseline"/>
        <w:rPr>
          <w:rFonts w:ascii="Garamond" w:hAnsi="Garamond"/>
          <w:sz w:val="24"/>
          <w:szCs w:val="24"/>
          <w:lang w:val="sq-AL"/>
        </w:rPr>
      </w:pPr>
      <w:r>
        <w:rPr>
          <w:rFonts w:ascii="Garamond" w:hAnsi="Garamond"/>
          <w:sz w:val="24"/>
          <w:szCs w:val="24"/>
          <w:lang w:val="sq-AL"/>
        </w:rPr>
        <w:t>3.6 Gjatë përgatitjes së një standardi të harmonizuar ose pas miratimit të tij, DPS-ja nuk do të ndërmarrë asnjë veprim që mund të cenojë harmonizimin e synuar dhe, në veçanti, nuk do të hartojë dhe publikojë në fushën në fjalë një standard kombëtar të ri ose të rishikuar që nuk është plotësisht në përputhje me standardin e harmonizuar ekzistues. Pas publikimit nga CEN, CENELEC dhe ETSI të një standardi të ri të harmonizuar, të gjitha standardet kombëtare, në konflikt me të, do të shfuqizohen brenda një afati kohor të arsyeshëm.</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4. Transparenca për përmbajtjen e standardeve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4.1</w:t>
      </w:r>
      <w:r>
        <w:rPr>
          <w:rFonts w:ascii="Garamond" w:hAnsi="Garamond"/>
          <w:spacing w:val="-4"/>
          <w:sz w:val="24"/>
          <w:szCs w:val="24"/>
          <w:lang w:val="sq-AL"/>
        </w:rPr>
        <w:tab/>
        <w:t xml:space="preserve"> DPS-ja u dërgon, të paktën në format elektronik, organizatave evropiane të standardizimit dhe organizatave të tjera kombëtare të standardizimit jashtë vendit ose Komisionit Evropian, çdo projekt të standardit kombëtar ose standarde e dokumente standardizimi me kërkesën e tyre.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4.2 </w:t>
      </w:r>
      <w:r>
        <w:rPr>
          <w:rFonts w:ascii="Garamond" w:hAnsi="Garamond"/>
          <w:spacing w:val="-4"/>
          <w:sz w:val="24"/>
          <w:szCs w:val="24"/>
          <w:lang w:val="sq-AL"/>
        </w:rPr>
        <w:tab/>
        <w:t>DPS-ja, brenda tre muajve, i përgjigjet dhe merr në konsideratë çdo koment të marrë nga çdo organizëm evropian dhe kombëtar standardizimi ose nga Komisioni Evropian në lidhje me projektet që përmenden në nënpikën 4.1 të kësaj rregulloreje.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4.3 </w:t>
      </w:r>
      <w:r>
        <w:rPr>
          <w:rFonts w:ascii="Garamond" w:hAnsi="Garamond"/>
          <w:spacing w:val="-4"/>
          <w:sz w:val="24"/>
          <w:szCs w:val="24"/>
          <w:lang w:val="sq-AL"/>
        </w:rPr>
        <w:tab/>
        <w:t>Në rastin kur DPS-ja merr komente që tregojnë se projektstandardi mund të ketë ndikim negativ në tregun e brendshëm, DPS-ja, përpara miratimit të tij, do të konsultohet me organizatat evropiane të standardizimit dhe me Komisionin Evropian.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4.4 Drejtoria e Përgjithshme e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Garanton aksesin në projektstandardet kombëtare në mënyrë të tillë që të gjitha palët përkatëse, në veçanti organet kombëtare të standardizimit të shteteve të tjera anëtare, të kenë mundësi që të paraqesin komente;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 xml:space="preserve"> Lejon që organizmat e tjerë kombëtarë të standardizimit të përfshihen në mënyrë pasive ose aktive, duke dërguar vëzhgues në veprimtaritë e planifikuara në programin e punës së standardeve.</w:t>
      </w:r>
    </w:p>
    <w:p w:rsidR="00DC5B96" w:rsidRDefault="00DC5B96" w:rsidP="00DC5B96">
      <w:pPr>
        <w:widowControl w:val="0"/>
        <w:spacing w:after="0" w:line="240" w:lineRule="auto"/>
        <w:textAlignment w:val="baseline"/>
        <w:rPr>
          <w:rFonts w:ascii="Garamond" w:eastAsia="Times New Roman" w:hAnsi="Garamond"/>
          <w:b/>
          <w:bCs/>
          <w:spacing w:val="-4"/>
          <w:sz w:val="24"/>
          <w:szCs w:val="24"/>
          <w:lang w:val="sq-AL"/>
        </w:rPr>
      </w:pPr>
      <w:r>
        <w:rPr>
          <w:rFonts w:ascii="Garamond" w:hAnsi="Garamond"/>
          <w:b/>
          <w:spacing w:val="-4"/>
          <w:sz w:val="24"/>
          <w:szCs w:val="24"/>
          <w:lang w:val="sq-AL"/>
        </w:rPr>
        <w:t>5. Aksesi i ndërmarrjeve të vogla dhe të mesme (NVM) te standardet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5.1 </w:t>
      </w:r>
      <w:r>
        <w:rPr>
          <w:rFonts w:ascii="Garamond" w:hAnsi="Garamond"/>
          <w:spacing w:val="-4"/>
          <w:sz w:val="24"/>
          <w:szCs w:val="24"/>
          <w:lang w:val="sq-AL"/>
        </w:rPr>
        <w:tab/>
        <w:t>DPS-ja nxit dhe lehtëson aksesin e NVM në standardet dhe në punën për hartimin/ adaptimin dhe miratimin e standardeve, me qëllim që të arrihet një nivel më i lartë pjesëmarrjeje në punën kombëtare të standardizimit, nëpërmjet: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a) </w:t>
      </w:r>
      <w:r>
        <w:rPr>
          <w:rFonts w:ascii="Garamond" w:hAnsi="Garamond"/>
          <w:spacing w:val="-4"/>
          <w:sz w:val="24"/>
          <w:szCs w:val="24"/>
          <w:lang w:val="sq-AL"/>
        </w:rPr>
        <w:tab/>
        <w:t>Identifikimit, në programet e saj të punës, të projektstandardeve dhe dokumenteve të standardizimit, me interes të veçantë për NVM;</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b)</w:t>
      </w:r>
      <w:r>
        <w:rPr>
          <w:rFonts w:ascii="Garamond" w:hAnsi="Garamond"/>
          <w:spacing w:val="-4"/>
          <w:sz w:val="24"/>
          <w:szCs w:val="24"/>
          <w:lang w:val="sq-AL"/>
        </w:rPr>
        <w:tab/>
        <w:t xml:space="preserve"> Dhënies së aksesit në veprimtaritë e standardizimit, pa e detyruar NVM, që të bëhet anëtare e DPS-së;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c)</w:t>
      </w:r>
      <w:r>
        <w:rPr>
          <w:rFonts w:ascii="Garamond" w:hAnsi="Garamond"/>
          <w:spacing w:val="-4"/>
          <w:sz w:val="24"/>
          <w:szCs w:val="24"/>
          <w:lang w:val="sq-AL"/>
        </w:rPr>
        <w:tab/>
        <w:t xml:space="preserve"> Ofrimit të aksesit pa pagesë ose ofrimit të tarifave të veçanta për pjesëmarrje në veprimtaritë e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ç)</w:t>
      </w:r>
      <w:r>
        <w:rPr>
          <w:rFonts w:ascii="Garamond" w:hAnsi="Garamond"/>
          <w:spacing w:val="-4"/>
          <w:sz w:val="24"/>
          <w:szCs w:val="24"/>
          <w:lang w:val="sq-AL"/>
        </w:rPr>
        <w:tab/>
        <w:t xml:space="preserve"> Ofrimit të aksesit pa pagesë të prjektstandardeve;</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d)</w:t>
      </w:r>
      <w:r>
        <w:rPr>
          <w:rFonts w:ascii="Garamond" w:hAnsi="Garamond"/>
          <w:spacing w:val="-4"/>
          <w:sz w:val="24"/>
          <w:szCs w:val="24"/>
          <w:lang w:val="sq-AL"/>
        </w:rPr>
        <w:tab/>
        <w:t xml:space="preserve"> Bërjes së disponueshme pa pagesë të abstrakteve të standardeve në faqet e tyre të internetit;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dh)</w:t>
      </w:r>
      <w:r>
        <w:rPr>
          <w:rFonts w:ascii="Garamond" w:hAnsi="Garamond"/>
          <w:spacing w:val="-4"/>
          <w:sz w:val="24"/>
          <w:szCs w:val="24"/>
          <w:lang w:val="sq-AL"/>
        </w:rPr>
        <w:tab/>
        <w:t xml:space="preserve"> Aplikimit të tarifave të veçanta për ofrimin e standardeve ose ofrimit të një grupi standardesh me çmim të reduktuar.</w:t>
      </w:r>
    </w:p>
    <w:p w:rsidR="00DC5B96" w:rsidRDefault="00DC5B96" w:rsidP="00DC5B96">
      <w:pPr>
        <w:widowControl w:val="0"/>
        <w:numPr>
          <w:ilvl w:val="1"/>
          <w:numId w:val="1"/>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DPS-ja bashkëpunon me homologët e saj të shteteve të tjera anëtare me qëllim shkëmbimin e praktikave më të mira në drejtim të rritjes së pjesëmarrjes së NVM në veprimtaritë e standardizimit dhe </w:t>
      </w:r>
      <w:r>
        <w:rPr>
          <w:rFonts w:ascii="Garamond" w:hAnsi="Garamond"/>
          <w:spacing w:val="-4"/>
          <w:sz w:val="24"/>
          <w:szCs w:val="24"/>
          <w:lang w:val="sq-AL"/>
        </w:rPr>
        <w:lastRenderedPageBreak/>
        <w:t>për të rritur e lehtësuar përdorimin e standardeve nga ana e NVM.</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5.3 </w:t>
      </w:r>
      <w:r>
        <w:rPr>
          <w:rFonts w:ascii="Garamond" w:hAnsi="Garamond"/>
          <w:spacing w:val="-4"/>
          <w:sz w:val="24"/>
          <w:szCs w:val="24"/>
          <w:lang w:val="sq-AL"/>
        </w:rPr>
        <w:tab/>
        <w:t>DPS-ja u dërgon organeve evropiane të standardizimit raporte vjetore në lidhje me veprimtarinë e saj, referuar nënpikave 5.1 e 5.2 të kësaj rregulloreje, dhe të gjitha masat e tjera që ndërmerr për të përmirësuar kushtet që NVM të përdorë standardet dhe të marrë pjesë në procesin e hartimit/adaptimit dhe miratimit të standardeve. DPS-ja i publikon këto raporte në faqen e saj të internetit.</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 xml:space="preserve">6. Pjesëmarrja e autoriteteve publike në veprimtaritë e standardizimit </w:t>
      </w:r>
    </w:p>
    <w:p w:rsidR="006A5CC0" w:rsidRDefault="00DC5B96" w:rsidP="006A5CC0">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6.1 Qeveria, kur është e përshtatshme, nxit pjesëmarrjen e autoriteteve publike, duke përfshirë autoritetet për mbikëqyrjen e tregut në veprimtaritë kombëtare të standardizimit për hartimin/ adaptimin dhe miratimin e standardeve ose për rishikimin e standardeve që kërkohen nga Komisioni.</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6.2 Kundërshtitë zyrtare ndaj standardeve të harmonizuara</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6.2.1 Kur autoritetet shqiptare, përfshirë DPS-në ose ministrinë përgjegjëse konsiderojnë se një standard shqiptar i harmonizuar nuk përmbush plotësisht kërkesat që synon të mbulojë dhe që përcaktohen në legjislacionin përkatës (rregulloret teknike), Këshilli i Ministrave, me propozimin e ministrisë përgjegjëse për çështjet tregtare dhe/ose ekonomike, pas konsultimit me DPS-në, mund të anulojë referencën për këtë standard dhe ta heqë atë nga lista e botuar për standardet e referencës. Procedura do të kryhet në përputhje me detyrimet e autoriteteve shqiptare dhe me legjislacionin, rregulloret e brendshme dh</w:t>
      </w:r>
      <w:r w:rsidRPr="006A5CC0">
        <w:rPr>
          <w:rFonts w:ascii="Garamond" w:hAnsi="Garamond"/>
          <w:i/>
          <w:color w:val="000000"/>
          <w:sz w:val="24"/>
          <w:szCs w:val="24"/>
          <w:lang w:val="sq-AL" w:eastAsia="sq-AL"/>
        </w:rPr>
        <w:t>e procedurat e DPS-së në fuqi.</w:t>
      </w:r>
    </w:p>
    <w:p w:rsidR="00DC5B96" w:rsidRDefault="00DC5B96" w:rsidP="00DC5B96">
      <w:pPr>
        <w:widowControl w:val="0"/>
        <w:spacing w:after="0" w:line="240" w:lineRule="auto"/>
        <w:ind w:firstLine="0"/>
        <w:jc w:val="center"/>
        <w:textAlignment w:val="baseline"/>
        <w:rPr>
          <w:rFonts w:ascii="Garamond" w:hAnsi="Garamond"/>
          <w:spacing w:val="-4"/>
          <w:sz w:val="14"/>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III</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SPECIFIKIMET TEKNIKE TË TIK-ut</w:t>
      </w:r>
    </w:p>
    <w:p w:rsidR="00DC5B96" w:rsidRDefault="00DC5B96" w:rsidP="00DC5B96">
      <w:pPr>
        <w:widowControl w:val="0"/>
        <w:spacing w:after="0" w:line="240" w:lineRule="auto"/>
        <w:jc w:val="center"/>
        <w:textAlignment w:val="baseline"/>
        <w:rPr>
          <w:rFonts w:ascii="Garamond" w:eastAsia="Times New Roman" w:hAnsi="Garamond"/>
          <w:bCs/>
          <w:spacing w:val="-4"/>
          <w:sz w:val="12"/>
          <w:szCs w:val="24"/>
          <w:lang w:val="sq-AL"/>
        </w:rPr>
      </w:pP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7. Identifikimi i specifikimeve teknike të TIK-ut që përdoren për referencë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7.1 </w:t>
      </w:r>
      <w:r>
        <w:rPr>
          <w:rFonts w:ascii="Garamond" w:hAnsi="Garamond"/>
          <w:spacing w:val="-4"/>
          <w:sz w:val="24"/>
          <w:szCs w:val="24"/>
          <w:lang w:val="sq-AL"/>
        </w:rPr>
        <w:tab/>
        <w:t>Me propozimin e një shteti anëtar ose me iniciativën e vet, Komisioni Evropian mund të vendosë që të identifikojë specifikime teknike të TIK-ut, që nuk janë standarde kombëtare, evropiane apo ndërkombëtare, por plotësojnë kërkesat e përcaktuara në shtojcën I, që i bashkëlidhet kësaj rregulloreje, të cilat mund të përdoren si referencë, kryesisht për të mundësuar ndërveprimin në prokurimin publik.</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7.2 </w:t>
      </w:r>
      <w:r>
        <w:rPr>
          <w:rFonts w:ascii="Garamond" w:hAnsi="Garamond"/>
          <w:spacing w:val="-4"/>
          <w:sz w:val="24"/>
          <w:szCs w:val="24"/>
          <w:lang w:val="sq-AL"/>
        </w:rPr>
        <w:tab/>
        <w:t xml:space="preserve">Kur një specifikim teknik i TIK-ut, i identifikuar në përputhje me nënpikën 7.1, ndryshohet, shfuqizohet ose nuk përmbush më kërkesat e përcaktuara në shtojcën I, Komisioni, me propozimin e një shteti anëtar ose me iniciativën e vet, mund të bëjë njoftimin për specifikimin teknik të TIK-ut që është ndryshuar ose të shfuqizojë identifikimin. </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7.3 </w:t>
      </w:r>
      <w:r>
        <w:rPr>
          <w:rFonts w:ascii="Garamond" w:hAnsi="Garamond"/>
          <w:spacing w:val="-4"/>
          <w:sz w:val="24"/>
          <w:szCs w:val="24"/>
          <w:lang w:val="sq-AL"/>
        </w:rPr>
        <w:tab/>
        <w:t>Vendimet e parashikuara në nënpikat 7.1 e 7.2 miratohen pas konsultimeve të platformës evropiane me shumë grupe interesi për standardet në fushën e TIK-ut, që përfshin organizatat evropiane të standardizimit, shtetet anëtare dhe grupet përkatëse të interesit dhe pas konsultimeve me komitetin e ngritur nga legjislacioni përkatës i Bashkimit Evropian, nëse ai ekziston, ose pas formave të tjera të konsultimit me ekspertë të sektorit, nëse ky komitet nuk ekziston.</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8. Përdorimi i specifikimeve teknike të TIK-ut në prokurimin publik</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8.1 </w:t>
      </w:r>
      <w:r>
        <w:rPr>
          <w:rFonts w:ascii="Garamond" w:hAnsi="Garamond"/>
          <w:spacing w:val="-4"/>
          <w:sz w:val="24"/>
          <w:szCs w:val="24"/>
          <w:lang w:val="sq-AL"/>
        </w:rPr>
        <w:tab/>
        <w:t xml:space="preserve">Specifikimet teknike të TIK-ut, që përmenden në pikën 7 të kësaj rregulloreje, përbëjnë specifikimet teknike të unifikuara sipas legjislacionit në fuqi. </w:t>
      </w:r>
    </w:p>
    <w:p w:rsidR="00DC5B96" w:rsidRDefault="00DC5B96" w:rsidP="00DC5B96">
      <w:pPr>
        <w:widowControl w:val="0"/>
        <w:spacing w:after="0" w:line="240" w:lineRule="auto"/>
        <w:textAlignment w:val="baseline"/>
        <w:rPr>
          <w:rFonts w:ascii="Garamond" w:hAnsi="Garamond"/>
          <w:spacing w:val="-4"/>
          <w:sz w:val="12"/>
          <w:szCs w:val="24"/>
          <w:lang w:val="sq-AL"/>
        </w:rPr>
      </w:pP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KREU IV</w:t>
      </w:r>
    </w:p>
    <w:p w:rsidR="00DC5B96" w:rsidRDefault="00DC5B96" w:rsidP="00DC5B96">
      <w:pPr>
        <w:widowControl w:val="0"/>
        <w:spacing w:after="0" w:line="240" w:lineRule="auto"/>
        <w:ind w:firstLine="0"/>
        <w:jc w:val="center"/>
        <w:textAlignment w:val="baseline"/>
        <w:rPr>
          <w:rFonts w:ascii="Garamond" w:hAnsi="Garamond"/>
          <w:spacing w:val="-4"/>
          <w:sz w:val="24"/>
          <w:szCs w:val="24"/>
          <w:lang w:val="sq-AL"/>
        </w:rPr>
      </w:pPr>
      <w:r>
        <w:rPr>
          <w:rFonts w:ascii="Garamond" w:hAnsi="Garamond"/>
          <w:spacing w:val="-4"/>
          <w:sz w:val="24"/>
          <w:szCs w:val="24"/>
          <w:lang w:val="sq-AL"/>
        </w:rPr>
        <w:t>FINANCIMI I STANDARDIZIMIT EVROPIAN</w:t>
      </w:r>
    </w:p>
    <w:p w:rsidR="00DC5B96" w:rsidRDefault="00DC5B96" w:rsidP="00DC5B96">
      <w:pPr>
        <w:widowControl w:val="0"/>
        <w:spacing w:after="0" w:line="240" w:lineRule="auto"/>
        <w:ind w:firstLine="0"/>
        <w:jc w:val="center"/>
        <w:textAlignment w:val="baseline"/>
        <w:rPr>
          <w:rFonts w:ascii="Garamond" w:eastAsia="Times New Roman" w:hAnsi="Garamond"/>
          <w:bCs/>
          <w:spacing w:val="-4"/>
          <w:sz w:val="6"/>
          <w:szCs w:val="24"/>
          <w:lang w:val="sq-AL"/>
        </w:rPr>
      </w:pP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9. Financimi i organizatave të standar-dizimit nga Bashkimi Evropian</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9.1 </w:t>
      </w:r>
      <w:r>
        <w:rPr>
          <w:rFonts w:ascii="Garamond" w:hAnsi="Garamond"/>
          <w:spacing w:val="-4"/>
          <w:sz w:val="24"/>
          <w:szCs w:val="24"/>
          <w:lang w:val="sq-AL"/>
        </w:rPr>
        <w:tab/>
        <w:t>Financimi nga Bashkimi Evropian mund t’u jepet organizatave evropiane të standardizimit për veprimtaritë e mëposhtme të standardizimit:</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Hartimi dhe rishikimi i standardeve evropiane ose dokumenteve të standardizimit evropian që janë të nevojshme dhe të përshtatshme për mbështetjen e legjislacionit dhe të politikave të Bashkimit Evropian;</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Verifikimi i cilësisë dhe përputhshmërisë së standardeve evropiane ose dokumenteve të standardizimit evropian me legjislacionin dhe politikat përkatëse të Bashkimit Evropian;</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lastRenderedPageBreak/>
        <w:t xml:space="preserve"> Kryerjen e punës paraprake ose ndihmëse në lidhje me standardizimin evropian, duke përfshirë studimet, veprimtaritë e bashkëpunimit, përfshirë bashkëpunimin ndërkombëtar, seminaret, vlerësimet, analizat krahasuese, punët kërkimore, punën laboratorike, testimet ndërlaboratorike, punën për vlerësimin e përputhshmërisë dhe masat për të garantuar që periudhat për zhvillimin dhe rishikimin e standardeve evropiane ose dokumenteve të standardizimit evropian të shkurtohen pa cenuar parimet themeluese, veçanërisht parimet e gjithëpërfshirjes, cilësisë, transparencës dhe konsensusit ndërmjet të gjitha grupeve të interesit;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ç) </w:t>
      </w:r>
      <w:r>
        <w:rPr>
          <w:rFonts w:ascii="Garamond" w:hAnsi="Garamond"/>
          <w:spacing w:val="-4"/>
          <w:sz w:val="24"/>
          <w:szCs w:val="24"/>
          <w:lang w:val="sq-AL"/>
        </w:rPr>
        <w:tab/>
        <w:t>Veprimtaritë e sekretariateve qendrore të organizatave evropiane të standardizimit, duke përfshirë zhvillimin e politikave, koordinimin e veprimtarive të standardizimit, përpunimin e punës teknike dhe sigurimin e informacionit për palët e interesuara;</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Përkthimin e standardeve evropiane ose dokumenteve të standardizimit evropian, që përdoren në mbështetje të legjislacionit dhe politikave të Bashkimit Evropian, në gjuhët zyrtare të Bashkimit Evropian, të ndryshme nga gjuhët në të cilat punojnë organizatat evropiane të standardizimit ose, për raste të justifikuara, siç duhet, në gjuhë të ndryshme nga gjuhët zyrtare të Bashkimit Evropian;</w:t>
      </w:r>
    </w:p>
    <w:p w:rsidR="00DC5B96" w:rsidRDefault="00DC5B96" w:rsidP="00DC5B96">
      <w:pPr>
        <w:widowControl w:val="0"/>
        <w:spacing w:after="0" w:line="240" w:lineRule="auto"/>
        <w:textAlignment w:val="baseline"/>
        <w:rPr>
          <w:rFonts w:ascii="Garamond" w:hAnsi="Garamond"/>
          <w:spacing w:val="-6"/>
          <w:sz w:val="24"/>
          <w:szCs w:val="24"/>
          <w:lang w:val="sq-AL"/>
        </w:rPr>
      </w:pPr>
      <w:r>
        <w:rPr>
          <w:rFonts w:ascii="Garamond" w:hAnsi="Garamond"/>
          <w:spacing w:val="-6"/>
          <w:sz w:val="24"/>
          <w:szCs w:val="24"/>
          <w:lang w:val="sq-AL"/>
        </w:rPr>
        <w:t xml:space="preserve">dh) </w:t>
      </w:r>
      <w:r>
        <w:rPr>
          <w:rFonts w:ascii="Garamond" w:hAnsi="Garamond"/>
          <w:sz w:val="24"/>
          <w:szCs w:val="24"/>
          <w:lang w:val="sq-AL"/>
        </w:rPr>
        <w:t>Përgatitjen e informacionit për të shpjeguar, interpretuar dhe thjeshtësuar standardet evropiane ose të dokumenteve të standardizimit evropian, duke përfshirë hartimin e udhëzuesve të përdoruesit, abstrakteve të standardeve, informacionit për praktikën më të mirë dhe veprimet ndërgjegjësuese, strategjitë dhe programet e trajnimit</w:t>
      </w:r>
      <w:r>
        <w:rPr>
          <w:rFonts w:ascii="Garamond" w:hAnsi="Garamond"/>
          <w:spacing w:val="-6"/>
          <w:sz w:val="24"/>
          <w:szCs w:val="24"/>
          <w:lang w:val="sq-AL"/>
        </w:rPr>
        <w:t>;</w:t>
      </w:r>
    </w:p>
    <w:p w:rsidR="00DC5B96" w:rsidRDefault="00DC5B96" w:rsidP="00DC5B96">
      <w:pPr>
        <w:widowControl w:val="0"/>
        <w:numPr>
          <w:ilvl w:val="0"/>
          <w:numId w:val="4"/>
        </w:numPr>
        <w:spacing w:after="0" w:line="240" w:lineRule="auto"/>
        <w:ind w:left="0" w:firstLine="284"/>
        <w:textAlignment w:val="baseline"/>
        <w:rPr>
          <w:rFonts w:ascii="Garamond" w:hAnsi="Garamond"/>
          <w:spacing w:val="-4"/>
          <w:sz w:val="24"/>
          <w:szCs w:val="24"/>
          <w:lang w:val="sq-AL"/>
        </w:rPr>
      </w:pPr>
      <w:r>
        <w:rPr>
          <w:rFonts w:ascii="Garamond" w:hAnsi="Garamond"/>
          <w:spacing w:val="-4"/>
          <w:sz w:val="24"/>
          <w:szCs w:val="24"/>
          <w:lang w:val="sq-AL"/>
        </w:rPr>
        <w:t xml:space="preserve"> Veprimtaritë që kërkojnë të kryejnë programe të asistencës teknike, bashkëpunim me vende të treta dhe nxitjen dhe përmirësimin e sistemit evropian të standardizimit e të standardeve evropiane dhe dokumenteve të standardizimit evropian ndërmjet palëve të interesuara në nivel të Bashkimit Evropian dhe në nivel ndërkombëtar.</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9.2 Financimi nga Bashkimi Evropian mund të jepet edhe për:</w:t>
      </w:r>
    </w:p>
    <w:p w:rsidR="00DC5B96" w:rsidRPr="006A5CC0" w:rsidRDefault="00DC5B96" w:rsidP="00DC5B96">
      <w:pPr>
        <w:widowControl w:val="0"/>
        <w:numPr>
          <w:ilvl w:val="0"/>
          <w:numId w:val="5"/>
        </w:numPr>
        <w:spacing w:after="0" w:line="240" w:lineRule="auto"/>
        <w:ind w:left="0" w:firstLine="284"/>
        <w:textAlignment w:val="baseline"/>
        <w:rPr>
          <w:rFonts w:ascii="Garamond" w:hAnsi="Garamond"/>
          <w:i/>
          <w:spacing w:val="-4"/>
          <w:sz w:val="24"/>
          <w:szCs w:val="24"/>
          <w:lang w:val="sq-AL"/>
        </w:rPr>
      </w:pPr>
      <w:r>
        <w:rPr>
          <w:rFonts w:ascii="Garamond" w:hAnsi="Garamond"/>
          <w:spacing w:val="-4"/>
          <w:sz w:val="24"/>
          <w:szCs w:val="24"/>
          <w:lang w:val="sq-AL"/>
        </w:rPr>
        <w:t xml:space="preserve"> Organet kombëtare të standardizimit për veprimtaritë e standardizimit, që përmenden në nënpikën 9.1, që ata ndërmarrin bashkërisht me organizatat evropiane të standardizimit, si dhe organizatat evropiane të grupeve të interesit, të përcaktuara në shtojcën II të kësaj rregulloreje</w:t>
      </w:r>
      <w:r w:rsidR="006A5CC0">
        <w:rPr>
          <w:rFonts w:ascii="Garamond" w:hAnsi="Garamond"/>
          <w:spacing w:val="-4"/>
          <w:sz w:val="24"/>
          <w:szCs w:val="24"/>
          <w:lang w:val="sq-AL"/>
        </w:rPr>
        <w:t xml:space="preserve"> </w:t>
      </w:r>
      <w:r w:rsidR="006A5CC0" w:rsidRPr="006A5CC0">
        <w:rPr>
          <w:rFonts w:ascii="Garamond" w:hAnsi="Garamond"/>
          <w:i/>
          <w:color w:val="000000"/>
          <w:sz w:val="24"/>
          <w:szCs w:val="24"/>
          <w:lang w:val="sq-AL" w:eastAsia="sq-AL"/>
        </w:rPr>
        <w:t>si dhe organizatat evropiane të grupeve të interesit, siç përcaktohen në shtojcën II të vendimit</w:t>
      </w:r>
      <w:r w:rsidRPr="006A5CC0">
        <w:rPr>
          <w:rFonts w:ascii="Garamond" w:hAnsi="Garamond"/>
          <w:i/>
          <w:spacing w:val="-4"/>
          <w:sz w:val="24"/>
          <w:szCs w:val="24"/>
          <w:lang w:val="sq-AL"/>
        </w:rPr>
        <w:t>;</w:t>
      </w:r>
    </w:p>
    <w:p w:rsidR="00DC5B96" w:rsidRDefault="00DC5B96" w:rsidP="00DC5B96">
      <w:pPr>
        <w:widowControl w:val="0"/>
        <w:numPr>
          <w:ilvl w:val="0"/>
          <w:numId w:val="5"/>
        </w:numPr>
        <w:spacing w:after="0" w:line="240" w:lineRule="auto"/>
        <w:ind w:left="0" w:firstLine="284"/>
        <w:textAlignment w:val="baseline"/>
        <w:rPr>
          <w:rFonts w:ascii="Garamond" w:eastAsia="Times New Roman" w:hAnsi="Garamond"/>
          <w:spacing w:val="-4"/>
          <w:sz w:val="24"/>
          <w:szCs w:val="24"/>
          <w:lang w:val="sq-AL"/>
        </w:rPr>
      </w:pPr>
      <w:r>
        <w:rPr>
          <w:rFonts w:ascii="Garamond" w:hAnsi="Garamond"/>
          <w:spacing w:val="-4"/>
          <w:sz w:val="24"/>
          <w:szCs w:val="24"/>
          <w:lang w:val="sq-AL"/>
        </w:rPr>
        <w:t xml:space="preserve"> Organizma të tjerë të cilëve u është besuar kontributi për veprimtaritë që përmenden në shkronjën “a”, të nënpikës 9.1 ose që kryejnë veprimtaritë që përmenden në shkronjat “c” dhe “e”, të nënpikës 9.1, në bashkëpunim me organizatat evropiane të standardizimit.</w:t>
      </w:r>
    </w:p>
    <w:p w:rsidR="00DC5B96" w:rsidRDefault="00DC5B96" w:rsidP="00DC5B96">
      <w:pPr>
        <w:widowControl w:val="0"/>
        <w:spacing w:after="0" w:line="240" w:lineRule="auto"/>
        <w:textAlignment w:val="baseline"/>
        <w:rPr>
          <w:rFonts w:ascii="Garamond" w:hAnsi="Garamond"/>
          <w:b/>
          <w:spacing w:val="-4"/>
          <w:sz w:val="24"/>
          <w:szCs w:val="24"/>
          <w:lang w:val="sq-AL"/>
        </w:rPr>
      </w:pPr>
      <w:r>
        <w:rPr>
          <w:rFonts w:ascii="Garamond" w:hAnsi="Garamond"/>
          <w:b/>
          <w:spacing w:val="-4"/>
          <w:sz w:val="24"/>
          <w:szCs w:val="24"/>
          <w:lang w:val="sq-AL"/>
        </w:rPr>
        <w:t>10. Organet kombëtare të standardizimit</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 xml:space="preserve">10.1 </w:t>
      </w:r>
      <w:r w:rsidR="006A5CC0" w:rsidRPr="006A5CC0">
        <w:rPr>
          <w:rFonts w:ascii="Garamond" w:hAnsi="Garamond"/>
          <w:i/>
          <w:color w:val="000000"/>
          <w:sz w:val="24"/>
          <w:szCs w:val="24"/>
          <w:lang w:val="sq-AL" w:eastAsia="sq-AL"/>
        </w:rPr>
        <w:t>Drejtoria e Përgjithshme e Standardizimit</w:t>
      </w:r>
      <w:r>
        <w:rPr>
          <w:rFonts w:ascii="Garamond" w:hAnsi="Garamond"/>
          <w:spacing w:val="-4"/>
          <w:sz w:val="24"/>
          <w:szCs w:val="24"/>
          <w:lang w:val="sq-AL"/>
        </w:rPr>
        <w:t xml:space="preserve"> informon Komisionin për organin kombëtar të standardizimit në Shqipëri dhe për çdo ndryshim që lidhet me të në rast se do të ketë.</w:t>
      </w:r>
    </w:p>
    <w:p w:rsidR="00DC5B96" w:rsidRDefault="00DC5B96" w:rsidP="00DC5B96">
      <w:pPr>
        <w:widowControl w:val="0"/>
        <w:spacing w:after="0" w:line="240" w:lineRule="auto"/>
        <w:textAlignment w:val="baseline"/>
        <w:rPr>
          <w:rFonts w:ascii="Garamond" w:hAnsi="Garamond"/>
          <w:spacing w:val="-4"/>
          <w:sz w:val="24"/>
          <w:szCs w:val="24"/>
          <w:lang w:val="sq-AL"/>
        </w:rPr>
      </w:pPr>
      <w:r>
        <w:rPr>
          <w:rFonts w:ascii="Garamond" w:hAnsi="Garamond"/>
          <w:spacing w:val="-4"/>
          <w:sz w:val="24"/>
          <w:szCs w:val="24"/>
          <w:lang w:val="sq-AL"/>
        </w:rPr>
        <w:t>10.2</w:t>
      </w:r>
      <w:r>
        <w:rPr>
          <w:rFonts w:ascii="Garamond" w:hAnsi="Garamond"/>
          <w:spacing w:val="-4"/>
          <w:sz w:val="24"/>
          <w:szCs w:val="24"/>
          <w:lang w:val="sq-AL"/>
        </w:rPr>
        <w:tab/>
        <w:t xml:space="preserve"> Komisioni Evropian boton një listë të organeve kombëtare të standardizimit dhe çdo përditësim të asaj liste në gazetën zyrtare të Bashkimit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10.3 Drejtoria e Përgjithshme e Standardizimit dërgon një raport vjetor në organizmat evropianë të standardizimit, në përputhje me detyrimet e autoriteteve shqiptare dhe me legjislacionin, rregulloret e brendshme dhe procedurat e saj në fuqi. Raporti përmban informacione të hollësishme për sa vijon: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a) transparencën e standardeve;</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b) pjesëmarrjen e palëve të interesuara në standardizimin shqiptar dhe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c) financimet nga Bashkimi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ç) përfaqësimin e NVM-ve, organizatave të konsumatorëve dhe aktorëve mjedisorë e socialë në organet kombëtare të standardizimit;</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d) publikimin në faqen e internetit të DPS-së për lehtësirat e krijuara për NVM-të, për përdorimin e standardeve dhe pjesëmarrjen e tyre në proceset e hartimit e adoptimit të standardeve;</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dh) përdorimin e specifikimeve teknike të TIK-ut në sistemin e standardizimit;</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e) bashkëpunimin ndërmjet organeve kombëtare të standardizimit dhe organizatav</w:t>
      </w:r>
      <w:r w:rsidRPr="006A5CC0">
        <w:rPr>
          <w:rFonts w:ascii="Garamond" w:hAnsi="Garamond"/>
          <w:i/>
          <w:color w:val="000000"/>
          <w:sz w:val="24"/>
          <w:szCs w:val="24"/>
          <w:lang w:val="sq-AL" w:eastAsia="sq-AL"/>
        </w:rPr>
        <w:t>e evropiane të standardizimit.</w:t>
      </w:r>
    </w:p>
    <w:p w:rsidR="006A5CC0" w:rsidRDefault="006A5CC0" w:rsidP="00DC5B96">
      <w:pPr>
        <w:widowControl w:val="0"/>
        <w:spacing w:after="0" w:line="240" w:lineRule="auto"/>
        <w:textAlignment w:val="baseline"/>
        <w:rPr>
          <w:rFonts w:ascii="Garamond" w:eastAsia="Times New Roman" w:hAnsi="Garamond"/>
          <w:i/>
          <w:spacing w:val="-4"/>
          <w:sz w:val="24"/>
          <w:szCs w:val="24"/>
          <w:lang w:val="sq-AL"/>
        </w:rPr>
      </w:pP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lastRenderedPageBreak/>
        <w:t>11. Pjesëmarrja e palëve të interesuara në standardizimin shqiptar dhe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11.1 DPS-ja zbaton qasjen e procedurave të mëposhtme në veprimtarinë kombëtare në fushën e standardizimit dhe bashkëpunon për zbatimin e saj në nivelin rajonal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11.2 DPS-ja inkurajon e lehtëson përfaqësimin dhe pjesëmarrjen efektive të të gjithë aktorëve relevantë, përfshirë NVM-të, organizatat e konsumatorëve dhe palët e interesit mjedisor dhe social në aktivitetet e saj të standardizimit. Ajo e realizon këtë veçanërisht përmes organizatave evropiane të interesit, që marrin financime nga Bashkimi Evropian, në përputhje me këtë rregullore në nivelin e zhvillimit të politikave dhe në fazat vijuese të zhvillimit të standardeve evropiane ose çdo publikim tjetër për standardizimin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a) propozimin e pranimin e titujve të rinj të punës;</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b) diskutimin teknik për propozimet;</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c) paraqitjen e komenteve për draftet e përgatitura;</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ç) rishikimin e standardeve ekzistuese evropiane ose të publikimeve të tjera të standardizimit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d) shpërndarjen e informacionit dhe rritjen e ndërgjegjësimit në nivel kombëtar për standardet evropiane të miratuara ose publikimet e standardizimit evropian.</w:t>
      </w:r>
    </w:p>
    <w:p w:rsidR="006A5CC0" w:rsidRPr="006A5CC0" w:rsidRDefault="006A5CC0" w:rsidP="006A5CC0">
      <w:pPr>
        <w:autoSpaceDE w:val="0"/>
        <w:autoSpaceDN w:val="0"/>
        <w:adjustRightInd w:val="0"/>
        <w:spacing w:after="0" w:line="240" w:lineRule="auto"/>
        <w:rPr>
          <w:rFonts w:ascii="Garamond" w:hAnsi="Garamond"/>
          <w:i/>
          <w:color w:val="000000"/>
          <w:sz w:val="24"/>
          <w:szCs w:val="24"/>
          <w:lang w:val="sq-AL" w:eastAsia="sq-AL"/>
        </w:rPr>
      </w:pPr>
      <w:r w:rsidRPr="006A5CC0">
        <w:rPr>
          <w:rFonts w:ascii="Garamond" w:hAnsi="Garamond"/>
          <w:i/>
          <w:color w:val="000000"/>
          <w:sz w:val="24"/>
          <w:szCs w:val="24"/>
          <w:lang w:val="sq-AL" w:eastAsia="sq-AL"/>
        </w:rPr>
        <w:t>11.3 DPS-ja bashkëpunon me autoritetet e mbikëqyrjes së tregut në rajon, objektet kërkimore të Komisionit Evropian dhe organizatat evropiane të interesit, që marrin financime nga Bashkimi Evropian, në përputhje me këtë rregullore, dhe lehtëson përfaqësimin, në nivelin teknik, të ndërmarrjeve, qendrave kërkimore, universiteteve dhe personave të tjerë juridikë (kur këta të fundit kanë marrë pjesë në projekte të kësaj fushe dhe që është financuar nga Bashkimi Evropian me programe shumëvjeçare në fushën e kërkimit, të inovacionit dhe zhvillimit teknologjik) në aktivitetet e standardizimit lidhur me një fushë në zhvillim me ndikim</w:t>
      </w:r>
      <w:r w:rsidRPr="006A5CC0">
        <w:rPr>
          <w:rFonts w:ascii="Garamond" w:hAnsi="Garamond"/>
          <w:i/>
          <w:color w:val="000000"/>
          <w:sz w:val="24"/>
          <w:szCs w:val="24"/>
          <w:lang w:val="sq-AL" w:eastAsia="sq-AL"/>
        </w:rPr>
        <w:t>e të rëndësishme teknologjike.</w:t>
      </w:r>
    </w:p>
    <w:p w:rsidR="006A5CC0" w:rsidRPr="006A5CC0" w:rsidRDefault="006A5CC0" w:rsidP="00DC5B96">
      <w:pPr>
        <w:widowControl w:val="0"/>
        <w:spacing w:after="0" w:line="240" w:lineRule="auto"/>
        <w:textAlignment w:val="baseline"/>
        <w:rPr>
          <w:rFonts w:ascii="Garamond" w:eastAsia="Times New Roman" w:hAnsi="Garamond"/>
          <w:i/>
          <w:spacing w:val="-4"/>
          <w:sz w:val="24"/>
          <w:szCs w:val="24"/>
          <w:lang w:val="sq-AL"/>
        </w:rPr>
      </w:pPr>
    </w:p>
    <w:p w:rsidR="00DC5B96" w:rsidRDefault="00DC5B96" w:rsidP="00DC5B96">
      <w:pPr>
        <w:widowControl w:val="0"/>
        <w:spacing w:after="0" w:line="240" w:lineRule="auto"/>
        <w:jc w:val="center"/>
        <w:textAlignment w:val="baseline"/>
        <w:rPr>
          <w:rFonts w:ascii="Garamond" w:hAnsi="Garamond"/>
          <w:spacing w:val="-4"/>
          <w:sz w:val="14"/>
          <w:szCs w:val="24"/>
          <w:lang w:val="sq-AL"/>
        </w:rPr>
      </w:pPr>
    </w:p>
    <w:p w:rsidR="002C0468" w:rsidRPr="002C0468" w:rsidRDefault="002C0468" w:rsidP="002C0468">
      <w:pPr>
        <w:autoSpaceDE w:val="0"/>
        <w:autoSpaceDN w:val="0"/>
        <w:adjustRightInd w:val="0"/>
        <w:spacing w:after="0" w:line="240" w:lineRule="auto"/>
        <w:jc w:val="center"/>
        <w:rPr>
          <w:rFonts w:ascii="Garamond" w:hAnsi="Garamond"/>
          <w:b/>
          <w:i/>
          <w:color w:val="000000"/>
          <w:sz w:val="24"/>
          <w:szCs w:val="24"/>
          <w:lang w:val="sq-AL" w:eastAsia="sq-AL"/>
        </w:rPr>
      </w:pPr>
      <w:r w:rsidRPr="002C0468">
        <w:rPr>
          <w:rFonts w:ascii="Garamond" w:hAnsi="Garamond"/>
          <w:b/>
          <w:i/>
          <w:color w:val="000000"/>
          <w:sz w:val="24"/>
          <w:szCs w:val="24"/>
          <w:lang w:val="sq-AL" w:eastAsia="sq-AL"/>
        </w:rPr>
        <w:t>Kreu V</w:t>
      </w:r>
    </w:p>
    <w:p w:rsidR="002C0468" w:rsidRPr="002C0468" w:rsidRDefault="002C0468" w:rsidP="002C0468">
      <w:pPr>
        <w:autoSpaceDE w:val="0"/>
        <w:autoSpaceDN w:val="0"/>
        <w:adjustRightInd w:val="0"/>
        <w:spacing w:after="0" w:line="240" w:lineRule="auto"/>
        <w:jc w:val="center"/>
        <w:rPr>
          <w:rFonts w:ascii="Garamond" w:hAnsi="Garamond"/>
          <w:i/>
          <w:color w:val="000000"/>
          <w:sz w:val="24"/>
          <w:szCs w:val="24"/>
          <w:lang w:val="sq-AL" w:eastAsia="sq-AL"/>
        </w:rPr>
      </w:pPr>
      <w:bookmarkStart w:id="0" w:name="_GoBack"/>
      <w:bookmarkEnd w:id="0"/>
      <w:r w:rsidRPr="002C0468">
        <w:rPr>
          <w:rFonts w:ascii="Garamond" w:hAnsi="Garamond"/>
          <w:i/>
          <w:color w:val="000000"/>
          <w:sz w:val="24"/>
          <w:szCs w:val="24"/>
          <w:lang w:val="sq-AL" w:eastAsia="sq-AL"/>
        </w:rPr>
        <w:t xml:space="preserve"> DISPOZITA KALIMTARE</w:t>
      </w:r>
    </w:p>
    <w:p w:rsidR="002C0468" w:rsidRPr="002C0468" w:rsidRDefault="002C0468" w:rsidP="002C0468">
      <w:pPr>
        <w:autoSpaceDE w:val="0"/>
        <w:autoSpaceDN w:val="0"/>
        <w:adjustRightInd w:val="0"/>
        <w:spacing w:after="0" w:line="240" w:lineRule="auto"/>
        <w:rPr>
          <w:rFonts w:ascii="Garamond" w:hAnsi="Garamond"/>
          <w:b/>
          <w:bCs/>
          <w:i/>
          <w:color w:val="000000"/>
          <w:sz w:val="24"/>
          <w:szCs w:val="24"/>
          <w:lang w:val="sq-AL" w:eastAsia="sq-AL"/>
        </w:rPr>
      </w:pPr>
    </w:p>
    <w:p w:rsidR="002C0468" w:rsidRPr="002C0468" w:rsidRDefault="002C0468" w:rsidP="002C0468">
      <w:pPr>
        <w:autoSpaceDE w:val="0"/>
        <w:autoSpaceDN w:val="0"/>
        <w:adjustRightInd w:val="0"/>
        <w:spacing w:after="0" w:line="240" w:lineRule="auto"/>
        <w:rPr>
          <w:rFonts w:ascii="Garamond" w:hAnsi="Garamond"/>
          <w:i/>
          <w:color w:val="000000"/>
          <w:sz w:val="24"/>
          <w:szCs w:val="24"/>
          <w:lang w:val="sq-AL" w:eastAsia="sq-AL"/>
        </w:rPr>
      </w:pPr>
      <w:r w:rsidRPr="002C0468">
        <w:rPr>
          <w:rFonts w:ascii="Garamond" w:hAnsi="Garamond"/>
          <w:i/>
          <w:color w:val="000000"/>
          <w:sz w:val="24"/>
          <w:szCs w:val="24"/>
          <w:lang w:val="sq-AL" w:eastAsia="sq-AL"/>
        </w:rPr>
        <w:t>12. Periudhat e zbatimit të rregullores</w:t>
      </w:r>
    </w:p>
    <w:p w:rsidR="002C0468" w:rsidRPr="002C0468" w:rsidRDefault="002C0468" w:rsidP="002C0468">
      <w:pPr>
        <w:autoSpaceDE w:val="0"/>
        <w:autoSpaceDN w:val="0"/>
        <w:adjustRightInd w:val="0"/>
        <w:spacing w:after="0" w:line="240" w:lineRule="auto"/>
        <w:rPr>
          <w:rFonts w:ascii="Garamond" w:hAnsi="Garamond"/>
          <w:i/>
          <w:color w:val="000000"/>
          <w:sz w:val="24"/>
          <w:szCs w:val="24"/>
          <w:lang w:val="sq-AL" w:eastAsia="sq-AL"/>
        </w:rPr>
      </w:pPr>
      <w:r w:rsidRPr="002C0468">
        <w:rPr>
          <w:rFonts w:ascii="Garamond" w:hAnsi="Garamond"/>
          <w:i/>
          <w:color w:val="000000"/>
          <w:sz w:val="24"/>
          <w:szCs w:val="24"/>
          <w:lang w:val="sq-AL" w:eastAsia="sq-AL"/>
        </w:rPr>
        <w:t>12.1 Me përjashtim të pikës 7, pikat 1 deri në 11 zbatohen me hyrjen në fuqi të vendimit të Këshillit të Ministrave, që miraton këtë rregullore.</w:t>
      </w:r>
    </w:p>
    <w:p w:rsidR="002C0468" w:rsidRPr="002C0468" w:rsidRDefault="002C0468" w:rsidP="002C0468">
      <w:pPr>
        <w:autoSpaceDE w:val="0"/>
        <w:autoSpaceDN w:val="0"/>
        <w:adjustRightInd w:val="0"/>
        <w:spacing w:after="0" w:line="240" w:lineRule="auto"/>
        <w:rPr>
          <w:rFonts w:ascii="Garamond" w:hAnsi="Garamond"/>
          <w:i/>
          <w:color w:val="000000"/>
          <w:sz w:val="24"/>
          <w:szCs w:val="24"/>
          <w:lang w:val="sq-AL" w:eastAsia="sq-AL"/>
        </w:rPr>
      </w:pPr>
      <w:r w:rsidRPr="002C0468">
        <w:rPr>
          <w:rFonts w:ascii="Garamond" w:hAnsi="Garamond"/>
          <w:i/>
          <w:color w:val="000000"/>
          <w:sz w:val="24"/>
          <w:szCs w:val="24"/>
          <w:lang w:val="sq-AL" w:eastAsia="sq-AL"/>
        </w:rPr>
        <w:t>12.2 Pika 7, e kësaj rregulloreje, zbatohet drejtpërdrejt me anëtarësimin e Shqipërisë në Bashkimin Evropian.”.</w:t>
      </w:r>
    </w:p>
    <w:p w:rsidR="00DC5B96" w:rsidRDefault="00DC5B96" w:rsidP="00DC5B96">
      <w:pPr>
        <w:widowControl w:val="0"/>
        <w:spacing w:after="0" w:line="240" w:lineRule="auto"/>
        <w:ind w:firstLine="288"/>
        <w:rPr>
          <w:rFonts w:ascii="Garamond" w:eastAsia="Times New Roman" w:hAnsi="Garamond"/>
          <w:spacing w:val="-4"/>
          <w:sz w:val="2"/>
          <w:szCs w:val="24"/>
          <w:lang w:val="sq-AL" w:eastAsia="sq-AL"/>
        </w:rPr>
      </w:pPr>
    </w:p>
    <w:p w:rsidR="00DC5B96" w:rsidRDefault="00DC5B96" w:rsidP="00DC5B96">
      <w:pPr>
        <w:widowControl w:val="0"/>
        <w:spacing w:after="0" w:line="240" w:lineRule="auto"/>
        <w:ind w:firstLine="288"/>
        <w:jc w:val="center"/>
        <w:textAlignment w:val="baseline"/>
        <w:rPr>
          <w:rFonts w:ascii="Garamond" w:hAnsi="Garamond"/>
          <w:spacing w:val="-4"/>
          <w:sz w:val="6"/>
          <w:szCs w:val="24"/>
          <w:lang w:val="sq-AL"/>
        </w:rPr>
      </w:pPr>
    </w:p>
    <w:p w:rsidR="00DC5B96" w:rsidRDefault="00DC5B96" w:rsidP="00DC5B96">
      <w:pPr>
        <w:widowControl w:val="0"/>
        <w:spacing w:after="0" w:line="240" w:lineRule="auto"/>
        <w:ind w:firstLine="288"/>
        <w:jc w:val="center"/>
        <w:textAlignment w:val="baseline"/>
        <w:rPr>
          <w:rFonts w:ascii="Garamond" w:eastAsia="Times New Roman" w:hAnsi="Garamond"/>
          <w:bCs/>
          <w:spacing w:val="-4"/>
          <w:sz w:val="24"/>
          <w:szCs w:val="24"/>
          <w:lang w:val="sq-AL"/>
        </w:rPr>
      </w:pPr>
      <w:r>
        <w:rPr>
          <w:rFonts w:ascii="Garamond" w:hAnsi="Garamond"/>
          <w:spacing w:val="-4"/>
          <w:sz w:val="24"/>
          <w:szCs w:val="24"/>
          <w:lang w:val="sq-AL"/>
        </w:rPr>
        <w:t>SHTOJCA I</w:t>
      </w:r>
    </w:p>
    <w:p w:rsidR="00DC5B96" w:rsidRDefault="00DC5B96" w:rsidP="00DC5B96">
      <w:pPr>
        <w:widowControl w:val="0"/>
        <w:spacing w:after="0" w:line="240" w:lineRule="auto"/>
        <w:ind w:firstLine="288"/>
        <w:jc w:val="center"/>
        <w:textAlignment w:val="baseline"/>
        <w:rPr>
          <w:rFonts w:ascii="Garamond" w:hAnsi="Garamond"/>
          <w:spacing w:val="-4"/>
          <w:sz w:val="24"/>
          <w:szCs w:val="24"/>
          <w:lang w:val="sq-AL"/>
        </w:rPr>
      </w:pPr>
      <w:r>
        <w:rPr>
          <w:rFonts w:ascii="Garamond" w:hAnsi="Garamond"/>
          <w:spacing w:val="-4"/>
          <w:sz w:val="24"/>
          <w:szCs w:val="24"/>
          <w:lang w:val="sq-AL"/>
        </w:rPr>
        <w:t>KËRKESAT PËR IDENTIFIKIMIN E SPECIFIKIMEVE TEKNIKE TË TIK-ut</w:t>
      </w:r>
    </w:p>
    <w:p w:rsidR="00DC5B96" w:rsidRDefault="00DC5B96" w:rsidP="00DC5B96">
      <w:pPr>
        <w:widowControl w:val="0"/>
        <w:spacing w:after="0" w:line="240" w:lineRule="auto"/>
        <w:jc w:val="center"/>
        <w:textAlignment w:val="baseline"/>
        <w:rPr>
          <w:rFonts w:ascii="Garamond" w:hAnsi="Garamond"/>
          <w:spacing w:val="-4"/>
          <w:sz w:val="12"/>
          <w:szCs w:val="24"/>
          <w:lang w:val="sq-AL"/>
        </w:rPr>
      </w:pP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1. </w:t>
      </w:r>
      <w:r>
        <w:rPr>
          <w:rFonts w:ascii="Garamond" w:eastAsia="Times New Roman" w:hAnsi="Garamond"/>
          <w:bCs/>
          <w:spacing w:val="-4"/>
          <w:sz w:val="24"/>
          <w:szCs w:val="24"/>
          <w:lang w:val="sq-AL"/>
        </w:rPr>
        <w:tab/>
        <w:t>Specifikimet teknike pranohen nga tregu dhe zbatimet e tyre nuk pengojnë ndërfunksionimin me zbatimet e standardeve ekzistuese evropiane ose ndërkombëtare. Pranimi nga tregu tregohet nëpërmjet shembujve operativë ose zbatimeve të pajtueshme nga shitës të ndryshëm.</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2.</w:t>
      </w:r>
      <w:r>
        <w:rPr>
          <w:rFonts w:ascii="Garamond" w:eastAsia="Times New Roman" w:hAnsi="Garamond"/>
          <w:bCs/>
          <w:spacing w:val="-4"/>
          <w:sz w:val="24"/>
          <w:szCs w:val="24"/>
          <w:lang w:val="sq-AL"/>
        </w:rPr>
        <w:tab/>
        <w:t xml:space="preserve"> Specifikimet teknike janë koherente meqenëse ato nuk janë në konflikt me standardet evropiane, që do të thotë se mbulojnë fusha ku miratimi i standardeve evropiane nuk parashikohet brenda një periudhe të arsyeshme, kur standardet ekzistuese nuk janë pranuar nga tregu ose kur këto standarde janë vjetruar ose kur transpozimi i specifikimeve teknike në dokumente të standardizimit evropian nuk parashikohet brenda një periudhe të arsyeshme.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3.</w:t>
      </w:r>
      <w:r>
        <w:rPr>
          <w:rFonts w:ascii="Garamond" w:eastAsia="Times New Roman" w:hAnsi="Garamond"/>
          <w:bCs/>
          <w:spacing w:val="-4"/>
          <w:sz w:val="24"/>
          <w:szCs w:val="24"/>
          <w:lang w:val="sq-AL"/>
        </w:rPr>
        <w:tab/>
        <w:t xml:space="preserve"> Specifikimet teknike janë përgatitur nga një organizatë jofitimprurëse që është një shoqëri profesionale e shoqërisë, industrisë ose tregtisë ose ndonjë organizatë me anëtarësi të ndryshme që brenda fushës së saj të ekspertizës përgatit specifikime teknike të TIK-ut dhe që nuk është një organizatë evropiane standardizimi, organ kombëtar ose ndërkombëtar standardizimi, nëpërmjet proceseve që përmbushin kriteret e mëposhtme: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Vendimmarrjen e hapur:</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Specifikimet teknike janë hartuar mbi bazën e një vendimmarrjeje të hapur të aksesueshme për të gjitha palët e interesuara në tregun ose tregjet që preken nga këto specifikime teknike;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lastRenderedPageBreak/>
        <w:t>b)</w:t>
      </w:r>
      <w:r>
        <w:rPr>
          <w:rFonts w:ascii="Garamond" w:eastAsia="Times New Roman" w:hAnsi="Garamond"/>
          <w:bCs/>
          <w:spacing w:val="-4"/>
          <w:sz w:val="24"/>
          <w:szCs w:val="24"/>
          <w:lang w:val="sq-AL"/>
        </w:rPr>
        <w:tab/>
        <w:t xml:space="preserve"> Konsensusin: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Procesi i vendimmarrjes ka qenë bashkëpunues dhe i bazuar në konsensus dhe nuk ka favorizuar asnjë grup interesi të caktuar. Konsensusi është një marrëveshje e përgjithshme e karakterizuar nga mungesa e kundërshtimit të vazhdueshëm ndaj çështjeve thelbësore nga çdo pjesë e rëndësishme e interesave të përfshirë dhe nga një proces që përfshin përpjekjet për të marrë në konsideratë pikëpamjet e të gjitha palëve të përfshira dhe rakordimin e çdo argumenti kundërshtues. Konsensusi nuk nënkupton unanimitet;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Transparencën:</w:t>
      </w:r>
    </w:p>
    <w:p w:rsidR="00DC5B96" w:rsidRDefault="00DC5B96" w:rsidP="00DC5B96">
      <w:pPr>
        <w:pStyle w:val="Paragrafi"/>
        <w:rPr>
          <w:spacing w:val="-4"/>
          <w:lang w:val="sq-AL"/>
        </w:rPr>
      </w:pPr>
      <w:r>
        <w:rPr>
          <w:spacing w:val="-4"/>
          <w:lang w:val="sq-AL"/>
        </w:rPr>
        <w:t>i. të gjitha informacionet që lidhen me diskutimet teknike dhe vendimmarrjen u arkivuan dhe u identifikuan;</w:t>
      </w:r>
    </w:p>
    <w:p w:rsidR="00DC5B96" w:rsidRDefault="00DC5B96" w:rsidP="00DC5B96">
      <w:pPr>
        <w:pStyle w:val="Paragrafi"/>
        <w:rPr>
          <w:spacing w:val="-4"/>
          <w:lang w:val="sq-AL"/>
        </w:rPr>
      </w:pPr>
      <w:r>
        <w:rPr>
          <w:spacing w:val="-4"/>
          <w:lang w:val="sq-AL"/>
        </w:rPr>
        <w:t>ii. informacionet për veprimtaritë e reja të standardizimit u shpallën publikisht dhe gjerësisht nëpërmjet mjeteve të qëndrueshme dhe të aksesueshme;</w:t>
      </w:r>
    </w:p>
    <w:p w:rsidR="00DC5B96" w:rsidRDefault="00DC5B96" w:rsidP="00DC5B96">
      <w:pPr>
        <w:pStyle w:val="Paragrafi"/>
        <w:rPr>
          <w:spacing w:val="-4"/>
          <w:lang w:val="sq-AL"/>
        </w:rPr>
      </w:pPr>
      <w:r>
        <w:rPr>
          <w:spacing w:val="-4"/>
          <w:lang w:val="sq-AL"/>
        </w:rPr>
        <w:t>iii. pjesëmarrja e të gjitha kategorive përkatëse të palëve të interesuara u kërkua për të arritur ekuilibrin;</w:t>
      </w:r>
    </w:p>
    <w:p w:rsidR="00DC5B96" w:rsidRDefault="00DC5B96" w:rsidP="00DC5B96">
      <w:pPr>
        <w:pStyle w:val="Paragrafi"/>
        <w:rPr>
          <w:spacing w:val="-4"/>
          <w:lang w:val="sq-AL"/>
        </w:rPr>
      </w:pPr>
      <w:r>
        <w:rPr>
          <w:spacing w:val="-4"/>
          <w:lang w:val="sq-AL"/>
        </w:rPr>
        <w:t>iv. komentet nga palët e interesuara u morën në konsideratë dhe morën përgjigje.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4.</w:t>
      </w:r>
      <w:r>
        <w:rPr>
          <w:rFonts w:ascii="Garamond" w:eastAsia="Times New Roman" w:hAnsi="Garamond"/>
          <w:bCs/>
          <w:spacing w:val="-4"/>
          <w:sz w:val="24"/>
          <w:szCs w:val="24"/>
          <w:lang w:val="sq-AL"/>
        </w:rPr>
        <w:tab/>
        <w:t xml:space="preserve"> Specifikimet teknike plotësojnë kërkesat e mëposhtme: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Mirëmbajtjen: mbështetja e vazhdueshme dhe mirëmbajtja e specifikimeve të botuara garantohen përgjatë një periudhe të gjatë;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b) </w:t>
      </w:r>
      <w:r>
        <w:rPr>
          <w:rFonts w:ascii="Garamond" w:eastAsia="Times New Roman" w:hAnsi="Garamond"/>
          <w:bCs/>
          <w:spacing w:val="-4"/>
          <w:sz w:val="24"/>
          <w:szCs w:val="24"/>
          <w:lang w:val="sq-AL"/>
        </w:rPr>
        <w:tab/>
        <w:t>Disponueshmërinë: specifikimet janë publikisht të disponueshme për zbatim dhe përdorim sipas kushteve të arsyeshme (duke përfshirë një tarifë të arsyeshme ose pa pagesë);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Të drejtat e pronësisë intelektuale, që janë thelbësore për zbatimin e specifikimeve, licencohen për aplikuesit mbi baza të arsyeshme (të drejta) dhe jodiskriminuese ((F)RAND), që përfshijnë, sipas gjykimit të mbajtësit të së drejtës së pronësisë intelektuale, licencimin e pronësisë intelektuale thelbësore pa kompensim;</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ç) </w:t>
      </w:r>
      <w:r>
        <w:rPr>
          <w:rFonts w:ascii="Garamond" w:eastAsia="Times New Roman" w:hAnsi="Garamond"/>
          <w:bCs/>
          <w:spacing w:val="-4"/>
          <w:sz w:val="24"/>
          <w:szCs w:val="24"/>
          <w:lang w:val="sq-AL"/>
        </w:rPr>
        <w:tab/>
        <w:t>Rëndësia:</w:t>
      </w:r>
    </w:p>
    <w:p w:rsidR="00DC5B96" w:rsidRDefault="00DC5B96" w:rsidP="00DC5B96">
      <w:pPr>
        <w:pStyle w:val="Paragrafi"/>
        <w:rPr>
          <w:spacing w:val="-4"/>
          <w:lang w:val="sq-AL"/>
        </w:rPr>
      </w:pPr>
      <w:r>
        <w:rPr>
          <w:spacing w:val="-4"/>
          <w:lang w:val="sq-AL"/>
        </w:rPr>
        <w:t>i. specifikimet janë efikase dhe të rëndësishme;</w:t>
      </w:r>
    </w:p>
    <w:p w:rsidR="00DC5B96" w:rsidRDefault="00DC5B96" w:rsidP="00DC5B96">
      <w:pPr>
        <w:pStyle w:val="Paragrafi"/>
        <w:rPr>
          <w:spacing w:val="-4"/>
          <w:lang w:val="sq-AL"/>
        </w:rPr>
      </w:pPr>
      <w:r>
        <w:rPr>
          <w:spacing w:val="-4"/>
          <w:lang w:val="sq-AL"/>
        </w:rPr>
        <w:t>ii. specifikimet duhet t’u përgjigjen nevojave të tregut dhe kërkesave të legjislacionit;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d)</w:t>
      </w:r>
      <w:r>
        <w:rPr>
          <w:rFonts w:ascii="Garamond" w:eastAsia="Times New Roman" w:hAnsi="Garamond"/>
          <w:bCs/>
          <w:spacing w:val="-4"/>
          <w:sz w:val="24"/>
          <w:szCs w:val="24"/>
          <w:lang w:val="sq-AL"/>
        </w:rPr>
        <w:tab/>
        <w:t xml:space="preserve"> Neutraliteti dhe stabiliteti:</w:t>
      </w:r>
    </w:p>
    <w:p w:rsidR="00DC5B96" w:rsidRDefault="00DC5B96" w:rsidP="00DC5B96">
      <w:pPr>
        <w:pStyle w:val="Paragrafi"/>
        <w:rPr>
          <w:spacing w:val="-4"/>
          <w:lang w:val="sq-AL"/>
        </w:rPr>
      </w:pPr>
      <w:r>
        <w:rPr>
          <w:spacing w:val="-4"/>
          <w:lang w:val="sq-AL"/>
        </w:rPr>
        <w:t>i. specifikimet, sa herë është e mundur, orientohen drejt performancës dhe nuk bazohen në model ose në karakteristikat përshkruese;</w:t>
      </w:r>
    </w:p>
    <w:p w:rsidR="00DC5B96" w:rsidRDefault="00DC5B96" w:rsidP="00DC5B96">
      <w:pPr>
        <w:pStyle w:val="Paragrafi"/>
        <w:rPr>
          <w:spacing w:val="-4"/>
          <w:lang w:val="sq-AL"/>
        </w:rPr>
      </w:pPr>
      <w:r>
        <w:rPr>
          <w:spacing w:val="-4"/>
          <w:lang w:val="sq-AL"/>
        </w:rPr>
        <w:t>ii. specifikimet nuk shtrembërojnë tregun apo kufizojnë mundësitë që zbatuesit të zhvillojnë konkurrencën dhe inovacionin që bazohet tek ato;</w:t>
      </w:r>
    </w:p>
    <w:p w:rsidR="00DC5B96" w:rsidRDefault="00DC5B96" w:rsidP="00DC5B96">
      <w:pPr>
        <w:pStyle w:val="Paragrafi"/>
        <w:rPr>
          <w:spacing w:val="-4"/>
          <w:lang w:val="sq-AL"/>
        </w:rPr>
      </w:pPr>
      <w:r>
        <w:rPr>
          <w:spacing w:val="-4"/>
          <w:lang w:val="sq-AL"/>
        </w:rPr>
        <w:t>iii. specifikimet bazohen në zhvillime shkencore dhe teknologjike të avancuara;</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dh)</w:t>
      </w:r>
      <w:r>
        <w:rPr>
          <w:rFonts w:ascii="Garamond" w:eastAsia="Times New Roman" w:hAnsi="Garamond"/>
          <w:bCs/>
          <w:spacing w:val="-4"/>
          <w:sz w:val="24"/>
          <w:szCs w:val="24"/>
          <w:lang w:val="sq-AL"/>
        </w:rPr>
        <w:tab/>
        <w:t xml:space="preserve"> Cilësinë:</w:t>
      </w:r>
    </w:p>
    <w:p w:rsidR="00DC5B96" w:rsidRDefault="00DC5B96" w:rsidP="00DC5B96">
      <w:pPr>
        <w:pStyle w:val="Paragrafi"/>
        <w:rPr>
          <w:spacing w:val="-4"/>
          <w:lang w:val="sq-AL"/>
        </w:rPr>
      </w:pPr>
      <w:r>
        <w:rPr>
          <w:spacing w:val="-4"/>
          <w:lang w:val="sq-AL"/>
        </w:rPr>
        <w:t>i. cilësia dhe niveli i detajeve mjaftojnë për të lejuar zhvillimin e disa zbatimeve konkurruese të produkteve dhe shërbimeve ndërvepruese;</w:t>
      </w:r>
    </w:p>
    <w:p w:rsidR="00DC5B96" w:rsidRDefault="00DC5B96" w:rsidP="00DC5B96">
      <w:pPr>
        <w:pStyle w:val="Paragrafi"/>
        <w:rPr>
          <w:spacing w:val="-4"/>
          <w:lang w:val="sq-AL"/>
        </w:rPr>
      </w:pPr>
      <w:r>
        <w:rPr>
          <w:spacing w:val="-4"/>
          <w:lang w:val="sq-AL"/>
        </w:rPr>
        <w:t>ii. ndërfaqet e standardizuara nuk fshihen apo kontrollohen nga askush tjetër përveç organizatave që kanë miratuar specifikimet teknike.</w:t>
      </w:r>
    </w:p>
    <w:p w:rsidR="00DC5B96" w:rsidRDefault="00DC5B96" w:rsidP="00DC5B96">
      <w:pPr>
        <w:pStyle w:val="NeniNr"/>
        <w:rPr>
          <w:spacing w:val="-4"/>
          <w:lang w:val="sq-AL"/>
        </w:rPr>
      </w:pPr>
      <w:r>
        <w:rPr>
          <w:spacing w:val="-4"/>
          <w:lang w:val="sq-AL"/>
        </w:rPr>
        <w:t>SHTOJCA II</w:t>
      </w:r>
    </w:p>
    <w:p w:rsidR="00DC5B96" w:rsidRDefault="00DC5B96" w:rsidP="00DC5B96">
      <w:pPr>
        <w:pStyle w:val="NeniNr"/>
        <w:rPr>
          <w:spacing w:val="-4"/>
          <w:lang w:val="sq-AL"/>
        </w:rPr>
      </w:pPr>
      <w:r>
        <w:rPr>
          <w:spacing w:val="-4"/>
          <w:lang w:val="sq-AL"/>
        </w:rPr>
        <w:t>ORGANIZATAT EVROPIANE TË GRUPEVE TË INTERESIT QË KUALIFIKOHEN PËR FINANCIM NGA BASHKIMI EVROPIAN</w:t>
      </w:r>
    </w:p>
    <w:p w:rsidR="00DC5B96" w:rsidRDefault="00DC5B96" w:rsidP="00DC5B96">
      <w:pPr>
        <w:widowControl w:val="0"/>
        <w:spacing w:after="0" w:line="240" w:lineRule="auto"/>
        <w:textAlignment w:val="baseline"/>
        <w:rPr>
          <w:rFonts w:ascii="Garamond" w:eastAsia="Times New Roman" w:hAnsi="Garamond"/>
          <w:bCs/>
          <w:spacing w:val="-4"/>
          <w:sz w:val="8"/>
          <w:szCs w:val="24"/>
          <w:lang w:val="sq-AL"/>
        </w:rPr>
      </w:pP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1. </w:t>
      </w:r>
      <w:r>
        <w:rPr>
          <w:rFonts w:ascii="Garamond" w:eastAsia="Times New Roman" w:hAnsi="Garamond"/>
          <w:bCs/>
          <w:spacing w:val="-4"/>
          <w:sz w:val="24"/>
          <w:szCs w:val="24"/>
          <w:lang w:val="sq-AL"/>
        </w:rPr>
        <w:tab/>
        <w:t>Një organizatë evropiane, e cila përfaqëson NVM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Është joqeveritare dhe jofitimprurëse;</w:t>
      </w:r>
    </w:p>
    <w:p w:rsidR="00DC5B96" w:rsidRDefault="00DC5B96" w:rsidP="00DC5B96">
      <w:pPr>
        <w:widowControl w:val="0"/>
        <w:spacing w:after="0" w:line="240" w:lineRule="auto"/>
        <w:textAlignment w:val="baseline"/>
        <w:rPr>
          <w:rFonts w:ascii="Garamond" w:eastAsia="Times New Roman" w:hAnsi="Garamond"/>
          <w:bCs/>
          <w:spacing w:val="-6"/>
          <w:sz w:val="24"/>
          <w:szCs w:val="24"/>
          <w:lang w:val="sq-AL"/>
        </w:rPr>
      </w:pPr>
      <w:r>
        <w:rPr>
          <w:rFonts w:ascii="Garamond" w:eastAsia="Times New Roman" w:hAnsi="Garamond"/>
          <w:bCs/>
          <w:spacing w:val="-6"/>
          <w:sz w:val="24"/>
          <w:szCs w:val="24"/>
          <w:lang w:val="sq-AL"/>
        </w:rPr>
        <w:t>b)</w:t>
      </w:r>
      <w:r>
        <w:rPr>
          <w:rFonts w:ascii="Garamond" w:eastAsia="Times New Roman" w:hAnsi="Garamond"/>
          <w:bCs/>
          <w:spacing w:val="-6"/>
          <w:sz w:val="24"/>
          <w:szCs w:val="24"/>
          <w:lang w:val="sq-AL"/>
        </w:rPr>
        <w:tab/>
        <w:t xml:space="preserve"> Ka objektivat dhe veprimtaritë e saj statutore për të përfaqësuar interesat e NVM në procesin e standardizimit në nivel evropian, për t’i ndërgje-gjësuar për standardizimin dhe për t’i motivuar ata që të përfshihen në procesin e standardizimit;</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jofitimprurëse që përfaqësojnë NVM në të paktën dy të </w:t>
      </w:r>
      <w:r>
        <w:rPr>
          <w:rFonts w:ascii="Garamond" w:eastAsia="Times New Roman" w:hAnsi="Garamond"/>
          <w:bCs/>
          <w:spacing w:val="-4"/>
          <w:sz w:val="24"/>
          <w:szCs w:val="24"/>
          <w:lang w:val="sq-AL"/>
        </w:rPr>
        <w:lastRenderedPageBreak/>
        <w:t>tretat e shteteve anëtare, që të përfaqësojnë interesat e NVM-së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2. </w:t>
      </w:r>
      <w:r>
        <w:rPr>
          <w:rFonts w:ascii="Garamond" w:eastAsia="Times New Roman" w:hAnsi="Garamond"/>
          <w:bCs/>
          <w:spacing w:val="-4"/>
          <w:sz w:val="24"/>
          <w:szCs w:val="24"/>
          <w:lang w:val="sq-AL"/>
        </w:rPr>
        <w:tab/>
        <w:t>Një organizatë evropiane, e cila përfaqëson konsumatorët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a) </w:t>
      </w:r>
      <w:r>
        <w:rPr>
          <w:rFonts w:ascii="Garamond" w:eastAsia="Times New Roman" w:hAnsi="Garamond"/>
          <w:bCs/>
          <w:spacing w:val="-4"/>
          <w:sz w:val="24"/>
          <w:szCs w:val="24"/>
          <w:lang w:val="sq-AL"/>
        </w:rPr>
        <w:tab/>
        <w:t>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e konsumatorëve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c) </w:t>
      </w:r>
      <w:r>
        <w:rPr>
          <w:rFonts w:ascii="Garamond" w:eastAsia="Times New Roman" w:hAnsi="Garamond"/>
          <w:bCs/>
          <w:spacing w:val="-4"/>
          <w:sz w:val="24"/>
          <w:szCs w:val="24"/>
          <w:lang w:val="sq-AL"/>
        </w:rPr>
        <w:tab/>
        <w:t xml:space="preserve">I është dhënë autoriteti nga organizatat kombëtare jofitimprurëse që përfaqësojnë </w:t>
      </w:r>
      <w:r>
        <w:rPr>
          <w:rFonts w:ascii="Garamond" w:eastAsia="Times New Roman" w:hAnsi="Garamond"/>
          <w:bCs/>
          <w:spacing w:val="-6"/>
          <w:sz w:val="24"/>
          <w:szCs w:val="24"/>
          <w:lang w:val="sq-AL"/>
        </w:rPr>
        <w:t>konsu-matorët në të paktën dy të tretat e shteteve anëtare, që të përfaqësojnë interesat e konsumatorëve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3.</w:t>
      </w:r>
      <w:r>
        <w:rPr>
          <w:rFonts w:ascii="Garamond" w:eastAsia="Times New Roman" w:hAnsi="Garamond"/>
          <w:bCs/>
          <w:spacing w:val="-4"/>
          <w:sz w:val="24"/>
          <w:szCs w:val="24"/>
          <w:lang w:val="sq-AL"/>
        </w:rPr>
        <w:tab/>
        <w:t xml:space="preserve"> Një organizatë evropiane, e cila përfaqëson interesat mjedisorë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a) </w:t>
      </w:r>
      <w:r>
        <w:rPr>
          <w:rFonts w:ascii="Garamond" w:eastAsia="Times New Roman" w:hAnsi="Garamond"/>
          <w:bCs/>
          <w:spacing w:val="-4"/>
          <w:sz w:val="24"/>
          <w:szCs w:val="24"/>
          <w:lang w:val="sq-AL"/>
        </w:rPr>
        <w:tab/>
        <w:t>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mjedisore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kombëtare mjedisore jofitimprurëse në të paktën dy të tretat e shteteve anëtare, që të përfaqësojnë interesat mjedisore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4.</w:t>
      </w:r>
      <w:r>
        <w:rPr>
          <w:rFonts w:ascii="Garamond" w:eastAsia="Times New Roman" w:hAnsi="Garamond"/>
          <w:bCs/>
          <w:spacing w:val="-4"/>
          <w:sz w:val="24"/>
          <w:szCs w:val="24"/>
          <w:lang w:val="sq-AL"/>
        </w:rPr>
        <w:tab/>
        <w:t xml:space="preserve"> Një organizatë evropiane, e cila përfaqëson interesat shoqërore në veprimtaritë evropiane të standardizimit, që:</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a)</w:t>
      </w:r>
      <w:r>
        <w:rPr>
          <w:rFonts w:ascii="Garamond" w:eastAsia="Times New Roman" w:hAnsi="Garamond"/>
          <w:bCs/>
          <w:spacing w:val="-4"/>
          <w:sz w:val="24"/>
          <w:szCs w:val="24"/>
          <w:lang w:val="sq-AL"/>
        </w:rPr>
        <w:tab/>
        <w:t xml:space="preserve"> Është joqeveritare, jofitimprurëse dhe e pavarur nga interesat industriale, tregtare dhe të biznesit dhe interesa të tjera konfliktuese;</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b)</w:t>
      </w:r>
      <w:r>
        <w:rPr>
          <w:rFonts w:ascii="Garamond" w:eastAsia="Times New Roman" w:hAnsi="Garamond"/>
          <w:bCs/>
          <w:spacing w:val="-4"/>
          <w:sz w:val="24"/>
          <w:szCs w:val="24"/>
          <w:lang w:val="sq-AL"/>
        </w:rPr>
        <w:tab/>
        <w:t xml:space="preserve"> Ka objektivat dhe veprimtaritë e saj statutore për të përfaqësuar interesat shoqërore në procesin e standardizimit në nivel evropian;</w:t>
      </w:r>
    </w:p>
    <w:p w:rsidR="00DC5B96" w:rsidRDefault="00DC5B96" w:rsidP="00DC5B96">
      <w:pPr>
        <w:widowControl w:val="0"/>
        <w:spacing w:after="0" w:line="240" w:lineRule="auto"/>
        <w:textAlignment w:val="baseline"/>
        <w:rPr>
          <w:rFonts w:ascii="Garamond" w:eastAsia="Times New Roman" w:hAnsi="Garamond"/>
          <w:bCs/>
          <w:spacing w:val="-4"/>
          <w:sz w:val="24"/>
          <w:szCs w:val="24"/>
          <w:lang w:val="sq-AL"/>
        </w:rPr>
      </w:pPr>
      <w:r>
        <w:rPr>
          <w:rFonts w:ascii="Garamond" w:eastAsia="Times New Roman" w:hAnsi="Garamond"/>
          <w:bCs/>
          <w:spacing w:val="-4"/>
          <w:sz w:val="24"/>
          <w:szCs w:val="24"/>
          <w:lang w:val="sq-AL"/>
        </w:rPr>
        <w:t>c)</w:t>
      </w:r>
      <w:r>
        <w:rPr>
          <w:rFonts w:ascii="Garamond" w:eastAsia="Times New Roman" w:hAnsi="Garamond"/>
          <w:bCs/>
          <w:spacing w:val="-4"/>
          <w:sz w:val="24"/>
          <w:szCs w:val="24"/>
          <w:lang w:val="sq-AL"/>
        </w:rPr>
        <w:tab/>
        <w:t xml:space="preserve"> I është dhënë autoriteti nga organizatat kombëtare shoqërore jofitimprurëse në të paktën dy të tretat e shteteve anëtare, që të përfaqësojnë interesat shoqërore në procesin e standardizimit në nivel evropian.</w:t>
      </w:r>
    </w:p>
    <w:p w:rsidR="00B354E2" w:rsidRDefault="00B354E2"/>
    <w:sectPr w:rsidR="00B354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4EE" w:rsidRDefault="006D44EE" w:rsidP="00DC5B96">
      <w:pPr>
        <w:spacing w:after="0" w:line="240" w:lineRule="auto"/>
      </w:pPr>
      <w:r>
        <w:separator/>
      </w:r>
    </w:p>
  </w:endnote>
  <w:endnote w:type="continuationSeparator" w:id="0">
    <w:p w:rsidR="006D44EE" w:rsidRDefault="006D44EE" w:rsidP="00DC5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4EE" w:rsidRDefault="006D44EE" w:rsidP="00DC5B96">
      <w:pPr>
        <w:spacing w:after="0" w:line="240" w:lineRule="auto"/>
      </w:pPr>
      <w:r>
        <w:separator/>
      </w:r>
    </w:p>
  </w:footnote>
  <w:footnote w:type="continuationSeparator" w:id="0">
    <w:p w:rsidR="006D44EE" w:rsidRDefault="006D44EE" w:rsidP="00DC5B96">
      <w:pPr>
        <w:spacing w:after="0" w:line="240" w:lineRule="auto"/>
      </w:pPr>
      <w:r>
        <w:continuationSeparator/>
      </w:r>
    </w:p>
  </w:footnote>
  <w:footnote w:id="1">
    <w:p w:rsidR="00DC5B96" w:rsidRDefault="00DC5B96" w:rsidP="00DC5B96">
      <w:pPr>
        <w:spacing w:after="0" w:line="240" w:lineRule="auto"/>
        <w:ind w:firstLine="0"/>
        <w:rPr>
          <w:rFonts w:ascii="Garamond" w:hAnsi="Garamond"/>
          <w:spacing w:val="-4"/>
          <w:sz w:val="20"/>
          <w:szCs w:val="20"/>
        </w:rPr>
      </w:pPr>
      <w:r>
        <w:rPr>
          <w:rStyle w:val="FootnoteReference"/>
          <w:rFonts w:ascii="Garamond" w:hAnsi="Garamond"/>
          <w:spacing w:val="-4"/>
          <w:sz w:val="20"/>
          <w:szCs w:val="20"/>
          <w:lang w:val="sq-AL"/>
        </w:rPr>
        <w:footnoteRef/>
      </w:r>
      <w:r>
        <w:rPr>
          <w:rFonts w:ascii="Garamond" w:hAnsi="Garamond"/>
          <w:spacing w:val="-4"/>
          <w:sz w:val="20"/>
          <w:szCs w:val="20"/>
          <w:lang w:val="sq-AL"/>
        </w:rPr>
        <w:t xml:space="preserve"> </w:t>
      </w:r>
      <w:r>
        <w:rPr>
          <w:rFonts w:ascii="Garamond" w:hAnsi="Garamond"/>
          <w:spacing w:val="-4"/>
          <w:sz w:val="20"/>
          <w:szCs w:val="20"/>
          <w:lang w:val="sq-AL"/>
        </w:rPr>
        <w:tab/>
        <w:t>Kjo rregullore është përafruar plotësisht me rregulloren e Bashkimit Evropian nr. 1025/2012, të Parlamentit Evropian, dhe të Këshillit, të datës 25 tetor 2012, “Mbi standardizimin evropian, që amendon direktivat e Këshillit 89/686/EEC dhe 93/15/EEC dhe direktivat 94/9/EC, 94/25/EC, 95/16/EC, 97/23/EC, 98/34/EC, 2004/22/EC, 2007/23/EC, 2009/23/EC dhe 2009/105/EC të Parlamentit Evropian dhe të Këshillit dhe që shfuqizojnë vendimin e Këshillit 87/95/EEC dhe vendimin nr. 1673/2006/EC të Parlamentit Evropian dhe të Këshillit”.</w:t>
      </w:r>
    </w:p>
  </w:footnote>
  <w:footnote w:id="2">
    <w:p w:rsidR="00DC5B96" w:rsidRDefault="00DC5B96" w:rsidP="00DC5B96">
      <w:pPr>
        <w:pStyle w:val="NoSpacing"/>
        <w:jc w:val="both"/>
        <w:rPr>
          <w:rFonts w:ascii="Garamond" w:hAnsi="Garamond"/>
        </w:rPr>
      </w:pPr>
      <w:r>
        <w:rPr>
          <w:rStyle w:val="FootnoteReference"/>
          <w:rFonts w:ascii="Garamond" w:hAnsi="Garamond"/>
          <w:sz w:val="20"/>
          <w:szCs w:val="20"/>
        </w:rPr>
        <w:footnoteRef/>
      </w:r>
      <w:r>
        <w:rPr>
          <w:rFonts w:ascii="Garamond" w:hAnsi="Garamond"/>
          <w:sz w:val="20"/>
          <w:szCs w:val="20"/>
        </w:rPr>
        <w:t xml:space="preserve"> </w:t>
      </w:r>
      <w:r>
        <w:rPr>
          <w:rFonts w:ascii="Garamond" w:hAnsi="Garamond"/>
          <w:sz w:val="20"/>
          <w:szCs w:val="20"/>
        </w:rPr>
        <w:t>CEN – Komiteti Evropian për Standardizimin; CENELEC – Komiteti Evropian për Standardizimin në fushën e elektroteknikës; ETSI – Instituti Evropian i Standardeve të Telekomunikacionit.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8121C"/>
    <w:multiLevelType w:val="multilevel"/>
    <w:tmpl w:val="A1EA39B8"/>
    <w:lvl w:ilvl="0">
      <w:start w:val="1"/>
      <w:numFmt w:val="decimal"/>
      <w:lvlText w:val="%1."/>
      <w:lvlJc w:val="left"/>
      <w:pPr>
        <w:ind w:left="720" w:hanging="360"/>
      </w:pPr>
    </w:lvl>
    <w:lvl w:ilvl="1">
      <w:start w:val="1"/>
      <w:numFmt w:val="decimal"/>
      <w:isLgl/>
      <w:lvlText w:val="%1.%2"/>
      <w:lvlJc w:val="left"/>
      <w:pPr>
        <w:ind w:left="915" w:hanging="55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2AD85308"/>
    <w:multiLevelType w:val="multilevel"/>
    <w:tmpl w:val="71762D64"/>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432B7FA0"/>
    <w:multiLevelType w:val="hybridMultilevel"/>
    <w:tmpl w:val="02E448D2"/>
    <w:lvl w:ilvl="0" w:tplc="110EAC50">
      <w:start w:val="1"/>
      <w:numFmt w:val="lowerLetter"/>
      <w:lvlText w:val="%1)"/>
      <w:lvlJc w:val="left"/>
      <w:pPr>
        <w:ind w:left="720" w:hanging="360"/>
      </w:pPr>
      <w:rPr>
        <w:rFonts w:eastAsia="Calibr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nsid w:val="4C8E34E9"/>
    <w:multiLevelType w:val="hybridMultilevel"/>
    <w:tmpl w:val="DA8E032E"/>
    <w:lvl w:ilvl="0" w:tplc="3650EBA6">
      <w:start w:val="1"/>
      <w:numFmt w:val="lowerLetter"/>
      <w:lvlText w:val="%1)"/>
      <w:lvlJc w:val="left"/>
      <w:pPr>
        <w:ind w:left="900" w:hanging="63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4">
    <w:nsid w:val="7949327E"/>
    <w:multiLevelType w:val="hybridMultilevel"/>
    <w:tmpl w:val="00BA2876"/>
    <w:lvl w:ilvl="0" w:tplc="ABE297B8">
      <w:start w:val="1"/>
      <w:numFmt w:val="low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B96"/>
    <w:rsid w:val="002C0468"/>
    <w:rsid w:val="006A5CC0"/>
    <w:rsid w:val="006D44EE"/>
    <w:rsid w:val="00B354E2"/>
    <w:rsid w:val="00B850F8"/>
    <w:rsid w:val="00DC5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9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B96"/>
    <w:rPr>
      <w:color w:val="0563C1" w:themeColor="hyperlink"/>
      <w:u w:val="single"/>
    </w:rPr>
  </w:style>
  <w:style w:type="character" w:customStyle="1" w:styleId="NoSpacingChar">
    <w:name w:val="No Spacing Char"/>
    <w:basedOn w:val="DefaultParagraphFont"/>
    <w:link w:val="NoSpacing"/>
    <w:uiPriority w:val="1"/>
    <w:locked/>
    <w:rsid w:val="00DC5B96"/>
    <w:rPr>
      <w:rFonts w:ascii="Times New Roman" w:eastAsia="Times New Roman" w:hAnsi="Times New Roman" w:cs="Times New Roman"/>
      <w:sz w:val="24"/>
      <w:szCs w:val="24"/>
      <w:lang w:val="sq-AL"/>
    </w:rPr>
  </w:style>
  <w:style w:type="paragraph" w:styleId="NoSpacing">
    <w:name w:val="No Spacing"/>
    <w:link w:val="NoSpacingChar"/>
    <w:uiPriority w:val="1"/>
    <w:qFormat/>
    <w:rsid w:val="00DC5B96"/>
    <w:pPr>
      <w:spacing w:after="0" w:line="240" w:lineRule="auto"/>
    </w:pPr>
    <w:rPr>
      <w:rFonts w:ascii="Times New Roman" w:eastAsia="Times New Roman" w:hAnsi="Times New Roman" w:cs="Times New Roman"/>
      <w:sz w:val="24"/>
      <w:szCs w:val="24"/>
      <w:lang w:val="sq-AL"/>
    </w:rPr>
  </w:style>
  <w:style w:type="character" w:customStyle="1" w:styleId="ParagrafiChar">
    <w:name w:val="Paragrafi Char"/>
    <w:basedOn w:val="DefaultParagraphFont"/>
    <w:link w:val="Paragrafi"/>
    <w:locked/>
    <w:rsid w:val="00DC5B96"/>
    <w:rPr>
      <w:rFonts w:ascii="Garamond" w:eastAsia="MS Mincho" w:hAnsi="Garamond" w:cs="CG Times"/>
      <w:sz w:val="24"/>
    </w:rPr>
  </w:style>
  <w:style w:type="paragraph" w:customStyle="1" w:styleId="Paragrafi">
    <w:name w:val="Paragrafi"/>
    <w:link w:val="ParagrafiChar"/>
    <w:qFormat/>
    <w:rsid w:val="00DC5B9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5B96"/>
    <w:rPr>
      <w:rFonts w:ascii="Garamond" w:eastAsia="MS Mincho" w:hAnsi="Garamond" w:cs="CG Times"/>
      <w:sz w:val="24"/>
      <w:lang w:val="en-GB"/>
    </w:rPr>
  </w:style>
  <w:style w:type="paragraph" w:customStyle="1" w:styleId="NeniNr">
    <w:name w:val="Neni_Nr"/>
    <w:next w:val="Normal"/>
    <w:link w:val="NeniNrChar"/>
    <w:rsid w:val="00DC5B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5B96"/>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DC5B96"/>
    <w:rPr>
      <w:vertAlign w:val="superscript"/>
    </w:rPr>
  </w:style>
  <w:style w:type="paragraph" w:customStyle="1" w:styleId="Char2">
    <w:name w:val="Char2"/>
    <w:basedOn w:val="Normal"/>
    <w:link w:val="FootnoteReference"/>
    <w:rsid w:val="00DC5B96"/>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9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5B96"/>
    <w:rPr>
      <w:color w:val="0563C1" w:themeColor="hyperlink"/>
      <w:u w:val="single"/>
    </w:rPr>
  </w:style>
  <w:style w:type="character" w:customStyle="1" w:styleId="NoSpacingChar">
    <w:name w:val="No Spacing Char"/>
    <w:basedOn w:val="DefaultParagraphFont"/>
    <w:link w:val="NoSpacing"/>
    <w:uiPriority w:val="1"/>
    <w:locked/>
    <w:rsid w:val="00DC5B96"/>
    <w:rPr>
      <w:rFonts w:ascii="Times New Roman" w:eastAsia="Times New Roman" w:hAnsi="Times New Roman" w:cs="Times New Roman"/>
      <w:sz w:val="24"/>
      <w:szCs w:val="24"/>
      <w:lang w:val="sq-AL"/>
    </w:rPr>
  </w:style>
  <w:style w:type="paragraph" w:styleId="NoSpacing">
    <w:name w:val="No Spacing"/>
    <w:link w:val="NoSpacingChar"/>
    <w:uiPriority w:val="1"/>
    <w:qFormat/>
    <w:rsid w:val="00DC5B96"/>
    <w:pPr>
      <w:spacing w:after="0" w:line="240" w:lineRule="auto"/>
    </w:pPr>
    <w:rPr>
      <w:rFonts w:ascii="Times New Roman" w:eastAsia="Times New Roman" w:hAnsi="Times New Roman" w:cs="Times New Roman"/>
      <w:sz w:val="24"/>
      <w:szCs w:val="24"/>
      <w:lang w:val="sq-AL"/>
    </w:rPr>
  </w:style>
  <w:style w:type="character" w:customStyle="1" w:styleId="ParagrafiChar">
    <w:name w:val="Paragrafi Char"/>
    <w:basedOn w:val="DefaultParagraphFont"/>
    <w:link w:val="Paragrafi"/>
    <w:locked/>
    <w:rsid w:val="00DC5B96"/>
    <w:rPr>
      <w:rFonts w:ascii="Garamond" w:eastAsia="MS Mincho" w:hAnsi="Garamond" w:cs="CG Times"/>
      <w:sz w:val="24"/>
    </w:rPr>
  </w:style>
  <w:style w:type="paragraph" w:customStyle="1" w:styleId="Paragrafi">
    <w:name w:val="Paragrafi"/>
    <w:link w:val="ParagrafiChar"/>
    <w:qFormat/>
    <w:rsid w:val="00DC5B9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5B96"/>
    <w:rPr>
      <w:rFonts w:ascii="Garamond" w:eastAsia="MS Mincho" w:hAnsi="Garamond" w:cs="CG Times"/>
      <w:sz w:val="24"/>
      <w:lang w:val="en-GB"/>
    </w:rPr>
  </w:style>
  <w:style w:type="paragraph" w:customStyle="1" w:styleId="NeniNr">
    <w:name w:val="Neni_Nr"/>
    <w:next w:val="Normal"/>
    <w:link w:val="NeniNrChar"/>
    <w:rsid w:val="00DC5B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5B96"/>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DC5B96"/>
    <w:rPr>
      <w:vertAlign w:val="superscript"/>
    </w:rPr>
  </w:style>
  <w:style w:type="paragraph" w:customStyle="1" w:styleId="Char2">
    <w:name w:val="Char2"/>
    <w:basedOn w:val="Normal"/>
    <w:link w:val="FootnoteReference"/>
    <w:rsid w:val="00DC5B96"/>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34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EN/TXT/?qid=1422441713531&amp;uri=CELEX:32012R1025"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3796</Words>
  <Characters>21638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2021-11-15T09:50:00Z</dcterms:created>
  <dcterms:modified xsi:type="dcterms:W3CDTF">2021-11-15T09:50:00Z</dcterms:modified>
</cp:coreProperties>
</file>