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2022" w:rsidRDefault="00622022" w:rsidP="00622022">
      <w:pPr>
        <w:pStyle w:val="Paragrafi"/>
        <w:ind w:firstLine="0"/>
        <w:jc w:val="center"/>
        <w:rPr>
          <w:b/>
          <w:lang w:val="sq-AL"/>
        </w:rPr>
      </w:pPr>
      <w:r>
        <w:rPr>
          <w:b/>
          <w:lang w:val="sq-AL"/>
        </w:rPr>
        <w:t>VENDIM</w:t>
      </w:r>
    </w:p>
    <w:p w:rsidR="00622022" w:rsidRDefault="00622022" w:rsidP="00622022">
      <w:pPr>
        <w:pStyle w:val="Paragrafi"/>
        <w:ind w:firstLine="0"/>
        <w:jc w:val="center"/>
        <w:rPr>
          <w:b/>
          <w:bCs/>
          <w:lang w:val="sq-AL"/>
        </w:rPr>
      </w:pPr>
      <w:r>
        <w:rPr>
          <w:b/>
          <w:lang w:val="sq-AL"/>
        </w:rPr>
        <w:t>Nr. 440, datë 18.7.2018</w:t>
      </w:r>
    </w:p>
    <w:p w:rsidR="00622022" w:rsidRDefault="00622022" w:rsidP="00622022">
      <w:pPr>
        <w:pStyle w:val="Hapesira7"/>
        <w:rPr>
          <w:lang w:val="sq-AL"/>
        </w:rPr>
      </w:pPr>
    </w:p>
    <w:p w:rsidR="00622022" w:rsidRDefault="00622022" w:rsidP="00622022">
      <w:pPr>
        <w:pStyle w:val="Paragrafi"/>
        <w:ind w:firstLine="0"/>
        <w:jc w:val="center"/>
        <w:rPr>
          <w:rFonts w:eastAsia="Calibri"/>
          <w:b/>
          <w:lang w:val="sq-AL" w:eastAsia="en-GB"/>
        </w:rPr>
      </w:pPr>
      <w:r>
        <w:rPr>
          <w:b/>
          <w:lang w:val="sq-AL"/>
        </w:rPr>
        <w:t>PËR</w:t>
      </w:r>
      <w:r>
        <w:rPr>
          <w:b/>
          <w:bCs/>
          <w:lang w:val="sq-AL"/>
        </w:rPr>
        <w:t xml:space="preserve"> </w:t>
      </w:r>
      <w:r>
        <w:rPr>
          <w:b/>
          <w:lang w:val="sq-AL"/>
        </w:rPr>
        <w:t xml:space="preserve">SHPRONËSIMIN, PËR INTERES PUBLIK, TË PRONARËVE TË PASURIVE TË PALUAJTSHME, PRONË PRIVATE, QË PREKEN NGA REALIZIMI I PROJEKTIT </w:t>
      </w:r>
      <w:r>
        <w:rPr>
          <w:rFonts w:eastAsia="Calibri"/>
          <w:b/>
          <w:lang w:val="sq-AL" w:eastAsia="en-GB"/>
        </w:rPr>
        <w:t xml:space="preserve">“NDËRTIMI I SHKOLLËS 9-VJEÇARE MARQINET DHE AMBIENTEVE SPORTIVE NË FUNKSION TË SAJ”, </w:t>
      </w:r>
    </w:p>
    <w:p w:rsidR="00622022" w:rsidRDefault="00622022" w:rsidP="00622022">
      <w:pPr>
        <w:pStyle w:val="Paragrafi"/>
        <w:ind w:firstLine="0"/>
        <w:jc w:val="center"/>
        <w:rPr>
          <w:rFonts w:eastAsia="Calibri"/>
          <w:b/>
          <w:lang w:val="sq-AL" w:eastAsia="en-GB"/>
        </w:rPr>
      </w:pPr>
      <w:r>
        <w:rPr>
          <w:rFonts w:eastAsia="Calibri"/>
          <w:b/>
          <w:lang w:val="sq-AL" w:eastAsia="en-GB"/>
        </w:rPr>
        <w:t>NË BASHKINË VORË</w:t>
      </w:r>
    </w:p>
    <w:p w:rsidR="00622022" w:rsidRDefault="00622022" w:rsidP="00622022">
      <w:pPr>
        <w:pStyle w:val="Hapesira7"/>
        <w:rPr>
          <w:lang w:val="sq-AL"/>
        </w:rPr>
      </w:pPr>
    </w:p>
    <w:p w:rsidR="00622022" w:rsidRDefault="00622022" w:rsidP="00622022">
      <w:pPr>
        <w:pStyle w:val="Paragrafi"/>
        <w:rPr>
          <w:lang w:val="sq-AL"/>
        </w:rPr>
      </w:pPr>
      <w:r>
        <w:rPr>
          <w:lang w:val="sq-AL"/>
        </w:rPr>
        <w:t>Në mbështetje të nenit 100 të Kushtetutës, të neneve 5, pika 1, 20 e 21, të ligjit nr. 8561, datë 22.12.1999, “Për shpronësimet dhe marrjen në përdorim të përkohshëm të pasurisë, pronë private, për interes publik”, të ndryshuar, të ligjit nr. 9936, datë 26.6.2008, “Për menaxhimin e sistemit buxhetor në Republikën e Shqipërisë”, të ndryshuar, dhe të ligjit nr. 109/2017, “Për buxhetin e vitit 2018”, me propozimin e ministrit të Arsimit, Sportit dhe Rinisë, Këshilli i Ministrave</w:t>
      </w:r>
    </w:p>
    <w:p w:rsidR="00622022" w:rsidRDefault="00622022" w:rsidP="00622022">
      <w:pPr>
        <w:pStyle w:val="Hapesira7"/>
        <w:rPr>
          <w:lang w:val="sq-AL"/>
        </w:rPr>
      </w:pPr>
    </w:p>
    <w:p w:rsidR="00622022" w:rsidRDefault="00622022" w:rsidP="00622022">
      <w:pPr>
        <w:pStyle w:val="Hapesira7"/>
        <w:rPr>
          <w:lang w:val="sq-AL"/>
        </w:rPr>
      </w:pPr>
    </w:p>
    <w:p w:rsidR="00622022" w:rsidRDefault="00622022" w:rsidP="00622022">
      <w:pPr>
        <w:pStyle w:val="Paragrafi"/>
        <w:ind w:firstLine="0"/>
        <w:jc w:val="center"/>
        <w:rPr>
          <w:bCs/>
          <w:lang w:val="sq-AL"/>
        </w:rPr>
      </w:pPr>
      <w:r>
        <w:rPr>
          <w:bCs/>
          <w:lang w:val="sq-AL"/>
        </w:rPr>
        <w:t>VENDOSI:</w:t>
      </w:r>
    </w:p>
    <w:p w:rsidR="00622022" w:rsidRDefault="00622022" w:rsidP="00622022">
      <w:pPr>
        <w:pStyle w:val="Hapesira7"/>
        <w:rPr>
          <w:lang w:val="sq-AL"/>
        </w:rPr>
      </w:pPr>
    </w:p>
    <w:p w:rsidR="00622022" w:rsidRDefault="00622022" w:rsidP="00622022">
      <w:pPr>
        <w:pStyle w:val="Paragrafi"/>
        <w:rPr>
          <w:lang w:val="sq-AL"/>
        </w:rPr>
      </w:pPr>
      <w:r>
        <w:rPr>
          <w:lang w:val="sq-AL"/>
        </w:rPr>
        <w:t xml:space="preserve">1. Shpronësimin, për interes publik, të pronarëve të pasurive të paluajtshme, pronë private, që preken nga realizimi i projektit </w:t>
      </w:r>
      <w:r>
        <w:rPr>
          <w:rFonts w:eastAsia="Calibri"/>
          <w:lang w:val="sq-AL" w:eastAsia="en-GB"/>
        </w:rPr>
        <w:t>“Ndërtimi i shkollës 9-vjeçare Marqinet dhe ambienteve sportive në funksion të saj”, në Bashkinë Vorë</w:t>
      </w:r>
      <w:r>
        <w:rPr>
          <w:lang w:val="sq-AL"/>
        </w:rPr>
        <w:t xml:space="preserve">. </w:t>
      </w:r>
    </w:p>
    <w:p w:rsidR="00622022" w:rsidRDefault="00622022" w:rsidP="00622022">
      <w:pPr>
        <w:pStyle w:val="Paragrafi"/>
        <w:rPr>
          <w:lang w:val="sq-AL"/>
        </w:rPr>
      </w:pPr>
      <w:r>
        <w:rPr>
          <w:lang w:val="sq-AL"/>
        </w:rPr>
        <w:t xml:space="preserve">2. Shpronësimi bëhet në favor të Bashkisë Vorë. </w:t>
      </w:r>
    </w:p>
    <w:p w:rsidR="00622022" w:rsidRDefault="00622022" w:rsidP="00622022">
      <w:pPr>
        <w:pStyle w:val="Paragrafi"/>
        <w:rPr>
          <w:lang w:val="sq-AL"/>
        </w:rPr>
      </w:pPr>
      <w:r>
        <w:rPr>
          <w:lang w:val="sq-AL"/>
        </w:rPr>
        <w:t xml:space="preserve">3. Pronarët e pasurive të paluajtshme, që shpronësohen, të kompensohen në vlerë të plotë, sipas masës përkatëse të kompensimit që paraqitet në tabelën nr. 1, bashkëlidhur këtij vendimi, me një vlerë të përgjithshme prej 4 273 749 (katër milionë e dyqind e shtatëdhjetë e tre mijë e shtatëqind e dyzet e nëntë) lekësh. </w:t>
      </w:r>
    </w:p>
    <w:p w:rsidR="00622022" w:rsidRDefault="00622022" w:rsidP="00622022">
      <w:pPr>
        <w:pStyle w:val="Paragrafi"/>
        <w:rPr>
          <w:lang w:val="sq-AL"/>
        </w:rPr>
      </w:pPr>
      <w:r>
        <w:rPr>
          <w:lang w:val="sq-AL"/>
        </w:rPr>
        <w:t xml:space="preserve">4. Vlera e përgjithshme e shpronësimit, prej 4 273 749 (katër milionë e dyqind e shtatëdhjetë e tre mijë e shtatëqind e dyzet e nëntë) lekësh, të përballohet nga buxheti i Bashkisë Vorë. </w:t>
      </w:r>
    </w:p>
    <w:p w:rsidR="00622022" w:rsidRDefault="00622022" w:rsidP="00622022">
      <w:pPr>
        <w:pStyle w:val="Paragrafi"/>
        <w:rPr>
          <w:lang w:val="sq-AL"/>
        </w:rPr>
      </w:pPr>
      <w:r>
        <w:rPr>
          <w:lang w:val="sq-AL"/>
        </w:rPr>
        <w:t xml:space="preserve">5. Shpenzimet procedurale, në vlerën 50000 (pesëdhjetë mijë) lekë, të përballohen nga buxheti i vitit 2018, miratuar për Ministrinë e Arsimit, Sportit dhe Rinisë. </w:t>
      </w:r>
    </w:p>
    <w:p w:rsidR="00622022" w:rsidRDefault="00622022" w:rsidP="00622022">
      <w:pPr>
        <w:pStyle w:val="Paragrafi"/>
        <w:rPr>
          <w:lang w:val="sq-AL"/>
        </w:rPr>
      </w:pPr>
      <w:r>
        <w:rPr>
          <w:lang w:val="sq-AL"/>
        </w:rPr>
        <w:t xml:space="preserve">6. Shpronësimi të fillojë menjëherë pas botimit të këtij vendimi në Fletoren Zyrtare. </w:t>
      </w:r>
    </w:p>
    <w:p w:rsidR="00622022" w:rsidRDefault="00622022" w:rsidP="00622022">
      <w:pPr>
        <w:pStyle w:val="Paragrafi"/>
        <w:rPr>
          <w:lang w:val="sq-AL"/>
        </w:rPr>
      </w:pPr>
      <w:r>
        <w:rPr>
          <w:lang w:val="sq-AL"/>
        </w:rPr>
        <w:t xml:space="preserve">7. Pronarët e përmendur në listën që i bashkëlidhet këtij vendimi të kompensohen, për efekt shpronësimi, pasi të kenë paraqitur dokumentacionin e plotë të pronësisë pranë Bashkisë Vorë. </w:t>
      </w:r>
    </w:p>
    <w:p w:rsidR="00622022" w:rsidRDefault="00622022" w:rsidP="00622022">
      <w:pPr>
        <w:pStyle w:val="Paragrafi"/>
        <w:rPr>
          <w:lang w:val="sq-AL"/>
        </w:rPr>
      </w:pPr>
      <w:r>
        <w:rPr>
          <w:lang w:val="sq-AL"/>
        </w:rPr>
        <w:t xml:space="preserve">8. Zyra Vendore e Regjistrimit të Pasurive të Paluajtshme Tiranë, brenda 30 ditëve nga data e miratimit të këtij vendimi, në bashkëpunim me Bashkinë Vorë, të fillojë procedurat për hedhjen e gjurmës së projektit në hartën kadastrale, sipas planimetrisë së shpronësimit të miratuar, dhe të bëjë kalimin e pronësisë për pasuritë e shpronësuara në favor të shtetit. </w:t>
      </w:r>
    </w:p>
    <w:p w:rsidR="00622022" w:rsidRDefault="00622022" w:rsidP="00622022">
      <w:pPr>
        <w:pStyle w:val="Paragrafi"/>
        <w:rPr>
          <w:lang w:val="sq-AL"/>
        </w:rPr>
      </w:pPr>
      <w:r>
        <w:rPr>
          <w:lang w:val="sq-AL"/>
        </w:rPr>
        <w:t xml:space="preserve">9. Zyra Vendore e Regjistrimit të Pasurive të Paluajtshme Tiranë të pezullojë të gjitha transaksionet me pasuritë e shpronësuara deri në momentin kur do të realizohen procesi i hedhjes së gjurmës së projektit në hartën kadastrale dhe kalimi i pronësisë për pasuritë e shpronësuara. </w:t>
      </w:r>
    </w:p>
    <w:p w:rsidR="00622022" w:rsidRDefault="00622022" w:rsidP="00622022">
      <w:pPr>
        <w:pStyle w:val="Paragrafi"/>
        <w:rPr>
          <w:lang w:val="sq-AL"/>
        </w:rPr>
      </w:pPr>
      <w:r>
        <w:rPr>
          <w:lang w:val="sq-AL"/>
        </w:rPr>
        <w:t xml:space="preserve">10. Ngarkohen Ministria e Arsimit, Sportit dhe Rinisë, Zyra Vendore e Regjistrimit të Pasurive të Paluajtshme Tiranë dhe Bashkia Vorë për zbatimin e këtij vendimi. </w:t>
      </w:r>
    </w:p>
    <w:p w:rsidR="00622022" w:rsidRDefault="00622022" w:rsidP="00622022">
      <w:pPr>
        <w:pStyle w:val="Paragrafi"/>
        <w:rPr>
          <w:lang w:val="sq-AL"/>
        </w:rPr>
      </w:pPr>
      <w:r>
        <w:rPr>
          <w:lang w:val="sq-AL"/>
        </w:rPr>
        <w:t>Ky vendim hyn në fuqi menjëherë dhe botohet në Fletoren Zyrtare.</w:t>
      </w:r>
    </w:p>
    <w:p w:rsidR="00622022" w:rsidRDefault="00622022" w:rsidP="00622022">
      <w:pPr>
        <w:pStyle w:val="Hapesira7"/>
        <w:rPr>
          <w:lang w:val="sq-AL"/>
        </w:rPr>
      </w:pPr>
    </w:p>
    <w:p w:rsidR="00622022" w:rsidRDefault="00622022" w:rsidP="00622022">
      <w:pPr>
        <w:pStyle w:val="Paragrafi"/>
        <w:jc w:val="right"/>
        <w:rPr>
          <w:lang w:val="sq-AL"/>
        </w:rPr>
      </w:pPr>
      <w:r>
        <w:rPr>
          <w:lang w:val="sq-AL"/>
        </w:rPr>
        <w:t>KRYEMINISTRI</w:t>
      </w:r>
    </w:p>
    <w:p w:rsidR="00622022" w:rsidRDefault="00622022" w:rsidP="00622022">
      <w:pPr>
        <w:pStyle w:val="Paragrafi"/>
        <w:jc w:val="right"/>
        <w:rPr>
          <w:b/>
          <w:lang w:val="sq-AL"/>
        </w:rPr>
      </w:pPr>
      <w:r>
        <w:rPr>
          <w:b/>
          <w:lang w:val="sq-AL"/>
        </w:rPr>
        <w:t>Edi Rama</w:t>
      </w:r>
    </w:p>
    <w:p w:rsidR="00622022" w:rsidRDefault="00622022" w:rsidP="00622022">
      <w:pPr>
        <w:spacing w:after="0" w:line="240" w:lineRule="auto"/>
        <w:ind w:firstLine="0"/>
        <w:jc w:val="left"/>
        <w:rPr>
          <w:rFonts w:ascii="Garamond" w:eastAsia="MS Mincho" w:hAnsi="Garamond" w:cs="CG Times"/>
          <w:sz w:val="24"/>
          <w:lang w:val="sq-AL"/>
        </w:rPr>
        <w:sectPr w:rsidR="00622022" w:rsidSect="00622022">
          <w:pgSz w:w="11907" w:h="16840"/>
          <w:pgMar w:top="720" w:right="1134" w:bottom="720" w:left="1134" w:header="851" w:footer="851" w:gutter="0"/>
          <w:cols w:space="454"/>
        </w:sect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pStyle w:val="Paragrafi"/>
        <w:rPr>
          <w:sz w:val="18"/>
          <w:lang w:val="sq-AL"/>
        </w:rPr>
      </w:pPr>
    </w:p>
    <w:p w:rsidR="00622022" w:rsidRDefault="00622022" w:rsidP="00622022">
      <w:pPr>
        <w:tabs>
          <w:tab w:val="left" w:pos="540"/>
          <w:tab w:val="left" w:pos="7560"/>
        </w:tabs>
        <w:autoSpaceDE w:val="0"/>
        <w:autoSpaceDN w:val="0"/>
        <w:adjustRightInd w:val="0"/>
        <w:spacing w:after="0" w:line="240" w:lineRule="auto"/>
        <w:jc w:val="right"/>
        <w:rPr>
          <w:rFonts w:ascii="Garamond" w:hAnsi="Garamond"/>
          <w:sz w:val="20"/>
          <w:szCs w:val="18"/>
          <w:lang w:val="sq-AL"/>
        </w:rPr>
      </w:pPr>
      <w:r>
        <w:rPr>
          <w:rFonts w:ascii="Garamond" w:hAnsi="Garamond"/>
          <w:sz w:val="20"/>
          <w:szCs w:val="18"/>
          <w:lang w:val="sq-AL"/>
        </w:rPr>
        <w:lastRenderedPageBreak/>
        <w:t>Tabela nr. 1</w:t>
      </w:r>
    </w:p>
    <w:p w:rsidR="00622022" w:rsidRDefault="00622022" w:rsidP="00622022">
      <w:pPr>
        <w:spacing w:after="0" w:line="240" w:lineRule="auto"/>
        <w:rPr>
          <w:rFonts w:ascii="Garamond" w:hAnsi="Garamond"/>
          <w:sz w:val="4"/>
          <w:szCs w:val="18"/>
          <w:lang w:val="sq-AL"/>
        </w:rPr>
      </w:pPr>
    </w:p>
    <w:p w:rsidR="00622022" w:rsidRDefault="00622022" w:rsidP="00622022">
      <w:pPr>
        <w:spacing w:after="0" w:line="240" w:lineRule="auto"/>
        <w:jc w:val="center"/>
        <w:rPr>
          <w:rFonts w:ascii="Garamond" w:hAnsi="Garamond"/>
          <w:bCs/>
          <w:color w:val="000000"/>
          <w:sz w:val="20"/>
          <w:szCs w:val="18"/>
          <w:lang w:val="sq-AL"/>
        </w:rPr>
      </w:pPr>
      <w:r>
        <w:rPr>
          <w:rFonts w:ascii="Garamond" w:hAnsi="Garamond"/>
          <w:bCs/>
          <w:color w:val="000000"/>
          <w:sz w:val="20"/>
          <w:szCs w:val="18"/>
          <w:lang w:val="sq-AL"/>
        </w:rPr>
        <w:t xml:space="preserve">LISTA E PASURIVE PRIVATE </w:t>
      </w:r>
    </w:p>
    <w:p w:rsidR="00622022" w:rsidRDefault="00622022" w:rsidP="00622022">
      <w:pPr>
        <w:spacing w:after="0" w:line="240" w:lineRule="auto"/>
        <w:jc w:val="center"/>
        <w:rPr>
          <w:rFonts w:ascii="Garamond" w:hAnsi="Garamond"/>
          <w:bCs/>
          <w:color w:val="000000"/>
          <w:sz w:val="20"/>
          <w:szCs w:val="18"/>
          <w:lang w:val="sq-AL"/>
        </w:rPr>
      </w:pPr>
      <w:r>
        <w:rPr>
          <w:rFonts w:ascii="Garamond" w:hAnsi="Garamond"/>
          <w:bCs/>
          <w:color w:val="000000"/>
          <w:sz w:val="20"/>
          <w:szCs w:val="18"/>
          <w:lang w:val="sq-AL"/>
        </w:rPr>
        <w:t xml:space="preserve">ZËRI KADASTRAL: AKTIVITET PRIVAT, SHTËPI BANIMI ETJ., </w:t>
      </w:r>
    </w:p>
    <w:p w:rsidR="00622022" w:rsidRDefault="00622022" w:rsidP="00622022">
      <w:pPr>
        <w:spacing w:after="0" w:line="240" w:lineRule="auto"/>
        <w:jc w:val="center"/>
        <w:rPr>
          <w:rFonts w:ascii="Garamond" w:hAnsi="Garamond"/>
          <w:bCs/>
          <w:color w:val="000000"/>
          <w:sz w:val="20"/>
          <w:szCs w:val="18"/>
          <w:lang w:val="sq-AL"/>
        </w:rPr>
      </w:pPr>
      <w:r>
        <w:rPr>
          <w:rFonts w:ascii="Garamond" w:hAnsi="Garamond"/>
          <w:bCs/>
          <w:color w:val="000000"/>
          <w:sz w:val="20"/>
          <w:szCs w:val="18"/>
          <w:lang w:val="sq-AL"/>
        </w:rPr>
        <w:t xml:space="preserve">QË PREKEN NGA REALIZIMI I PROJEKTIT </w:t>
      </w:r>
      <w:r>
        <w:rPr>
          <w:rFonts w:ascii="Garamond" w:hAnsi="Garamond"/>
          <w:sz w:val="20"/>
          <w:szCs w:val="18"/>
          <w:lang w:val="sq-AL" w:eastAsia="en-GB"/>
        </w:rPr>
        <w:t>“NDËRTIMI I SHKOLLËS 9-VJEÇARE MARQINET DHE AMBIENTEVE SPORTIVE NË FUNKSION TË SAJ”, NË BASHKINË VORË</w:t>
      </w:r>
    </w:p>
    <w:p w:rsidR="00622022" w:rsidRDefault="00622022" w:rsidP="00622022">
      <w:pPr>
        <w:spacing w:after="0" w:line="240" w:lineRule="auto"/>
        <w:rPr>
          <w:rFonts w:ascii="Garamond" w:hAnsi="Garamond"/>
          <w:sz w:val="24"/>
          <w:szCs w:val="24"/>
          <w:lang w:val="sq-AL"/>
        </w:rPr>
      </w:pPr>
    </w:p>
    <w:tbl>
      <w:tblPr>
        <w:tblW w:w="5600" w:type="pct"/>
        <w:jc w:val="center"/>
        <w:tblLook w:val="04A0" w:firstRow="1" w:lastRow="0" w:firstColumn="1" w:lastColumn="0" w:noHBand="0" w:noVBand="1"/>
      </w:tblPr>
      <w:tblGrid>
        <w:gridCol w:w="451"/>
        <w:gridCol w:w="479"/>
        <w:gridCol w:w="2331"/>
        <w:gridCol w:w="470"/>
        <w:gridCol w:w="1235"/>
        <w:gridCol w:w="628"/>
        <w:gridCol w:w="628"/>
        <w:gridCol w:w="714"/>
        <w:gridCol w:w="717"/>
        <w:gridCol w:w="641"/>
        <w:gridCol w:w="806"/>
        <w:gridCol w:w="776"/>
        <w:gridCol w:w="897"/>
      </w:tblGrid>
      <w:tr w:rsidR="00622022" w:rsidTr="00622022">
        <w:trPr>
          <w:trHeight w:val="690"/>
          <w:jc w:val="center"/>
        </w:trPr>
        <w:tc>
          <w:tcPr>
            <w:tcW w:w="242" w:type="pct"/>
            <w:tcBorders>
              <w:top w:val="single" w:sz="8" w:space="0" w:color="auto"/>
              <w:left w:val="single" w:sz="8" w:space="0" w:color="auto"/>
              <w:bottom w:val="double" w:sz="6" w:space="0" w:color="auto"/>
              <w:right w:val="single" w:sz="4" w:space="0" w:color="auto"/>
            </w:tcBorders>
            <w:noWrap/>
            <w:vAlign w:val="center"/>
            <w:hideMark/>
          </w:tcPr>
          <w:p w:rsidR="00622022" w:rsidRDefault="00622022">
            <w:pPr>
              <w:spacing w:after="0" w:line="240" w:lineRule="auto"/>
              <w:ind w:firstLine="0"/>
              <w:jc w:val="center"/>
              <w:rPr>
                <w:rFonts w:ascii="Garamond" w:hAnsi="Garamond"/>
                <w:b/>
                <w:bCs/>
                <w:color w:val="000000"/>
                <w:sz w:val="14"/>
                <w:szCs w:val="14"/>
                <w:lang w:val="sq-AL"/>
              </w:rPr>
            </w:pPr>
            <w:r>
              <w:rPr>
                <w:rFonts w:ascii="Garamond" w:hAnsi="Garamond"/>
                <w:b/>
                <w:bCs/>
                <w:color w:val="000000"/>
                <w:sz w:val="14"/>
                <w:szCs w:val="14"/>
                <w:lang w:val="sq-AL"/>
              </w:rPr>
              <w:t>Nr.</w:t>
            </w:r>
          </w:p>
        </w:tc>
        <w:tc>
          <w:tcPr>
            <w:tcW w:w="250" w:type="pct"/>
            <w:tcBorders>
              <w:top w:val="single" w:sz="8" w:space="0" w:color="auto"/>
              <w:left w:val="nil"/>
              <w:bottom w:val="double" w:sz="6" w:space="0" w:color="auto"/>
              <w:right w:val="single" w:sz="4" w:space="0" w:color="auto"/>
            </w:tcBorders>
            <w:noWrap/>
            <w:vAlign w:val="center"/>
            <w:hideMark/>
          </w:tcPr>
          <w:p w:rsidR="00622022" w:rsidRDefault="00622022">
            <w:pPr>
              <w:spacing w:after="0" w:line="240" w:lineRule="auto"/>
              <w:ind w:firstLine="0"/>
              <w:jc w:val="center"/>
              <w:rPr>
                <w:rFonts w:ascii="Garamond" w:hAnsi="Garamond"/>
                <w:b/>
                <w:bCs/>
                <w:color w:val="000000"/>
                <w:sz w:val="14"/>
                <w:szCs w:val="14"/>
                <w:lang w:val="sq-AL"/>
              </w:rPr>
            </w:pPr>
            <w:r>
              <w:rPr>
                <w:rFonts w:ascii="Garamond" w:hAnsi="Garamond"/>
                <w:b/>
                <w:bCs/>
                <w:color w:val="000000"/>
                <w:sz w:val="14"/>
                <w:szCs w:val="14"/>
                <w:lang w:val="sq-AL"/>
              </w:rPr>
              <w:t>ZK</w:t>
            </w:r>
          </w:p>
        </w:tc>
        <w:tc>
          <w:tcPr>
            <w:tcW w:w="731" w:type="pct"/>
            <w:tcBorders>
              <w:top w:val="single" w:sz="8" w:space="0" w:color="auto"/>
              <w:left w:val="nil"/>
              <w:bottom w:val="double" w:sz="6" w:space="0" w:color="auto"/>
              <w:right w:val="single" w:sz="4" w:space="0" w:color="auto"/>
            </w:tcBorders>
            <w:vAlign w:val="center"/>
            <w:hideMark/>
          </w:tcPr>
          <w:p w:rsidR="00622022" w:rsidRDefault="00622022">
            <w:pPr>
              <w:spacing w:after="0" w:line="240" w:lineRule="auto"/>
              <w:ind w:firstLine="0"/>
              <w:jc w:val="center"/>
              <w:rPr>
                <w:rFonts w:ascii="Garamond" w:hAnsi="Garamond"/>
                <w:b/>
                <w:bCs/>
                <w:sz w:val="14"/>
                <w:szCs w:val="14"/>
                <w:lang w:val="sq-AL"/>
              </w:rPr>
            </w:pPr>
            <w:r>
              <w:rPr>
                <w:rFonts w:ascii="Garamond" w:hAnsi="Garamond"/>
                <w:b/>
                <w:bCs/>
                <w:sz w:val="14"/>
                <w:szCs w:val="14"/>
                <w:lang w:val="sq-AL"/>
              </w:rPr>
              <w:t>Nr. i pasurisë</w:t>
            </w:r>
          </w:p>
        </w:tc>
        <w:tc>
          <w:tcPr>
            <w:tcW w:w="242" w:type="pct"/>
            <w:tcBorders>
              <w:top w:val="single" w:sz="8" w:space="0" w:color="auto"/>
              <w:left w:val="nil"/>
              <w:bottom w:val="double" w:sz="6" w:space="0" w:color="auto"/>
              <w:right w:val="single" w:sz="4" w:space="0" w:color="auto"/>
            </w:tcBorders>
            <w:vAlign w:val="center"/>
            <w:hideMark/>
          </w:tcPr>
          <w:p w:rsidR="00622022" w:rsidRDefault="00622022">
            <w:pPr>
              <w:spacing w:after="0" w:line="240" w:lineRule="auto"/>
              <w:ind w:firstLine="0"/>
              <w:jc w:val="center"/>
              <w:rPr>
                <w:rFonts w:ascii="Garamond" w:hAnsi="Garamond"/>
                <w:b/>
                <w:bCs/>
                <w:color w:val="000000"/>
                <w:sz w:val="14"/>
                <w:szCs w:val="14"/>
                <w:lang w:val="sq-AL"/>
              </w:rPr>
            </w:pPr>
            <w:r>
              <w:rPr>
                <w:rFonts w:ascii="Garamond" w:hAnsi="Garamond"/>
                <w:b/>
                <w:bCs/>
                <w:color w:val="000000"/>
                <w:sz w:val="14"/>
                <w:szCs w:val="14"/>
                <w:lang w:val="sq-AL"/>
              </w:rPr>
              <w:t>Adr.</w:t>
            </w:r>
          </w:p>
        </w:tc>
        <w:tc>
          <w:tcPr>
            <w:tcW w:w="619" w:type="pct"/>
            <w:tcBorders>
              <w:top w:val="single" w:sz="8" w:space="0" w:color="auto"/>
              <w:left w:val="nil"/>
              <w:bottom w:val="double" w:sz="6" w:space="0" w:color="auto"/>
              <w:right w:val="single" w:sz="4" w:space="0" w:color="auto"/>
            </w:tcBorders>
            <w:vAlign w:val="center"/>
            <w:hideMark/>
          </w:tcPr>
          <w:p w:rsidR="00622022" w:rsidRDefault="00622022">
            <w:pPr>
              <w:spacing w:after="0" w:line="240" w:lineRule="auto"/>
              <w:ind w:firstLine="0"/>
              <w:jc w:val="center"/>
              <w:rPr>
                <w:rFonts w:ascii="Garamond" w:hAnsi="Garamond"/>
                <w:b/>
                <w:bCs/>
                <w:color w:val="000000"/>
                <w:sz w:val="14"/>
                <w:szCs w:val="14"/>
                <w:lang w:val="sq-AL"/>
              </w:rPr>
            </w:pPr>
            <w:r>
              <w:rPr>
                <w:rFonts w:ascii="Garamond" w:hAnsi="Garamond"/>
                <w:b/>
                <w:bCs/>
                <w:color w:val="000000"/>
                <w:sz w:val="14"/>
                <w:szCs w:val="14"/>
                <w:lang w:val="sq-AL"/>
              </w:rPr>
              <w:t>Pronari</w:t>
            </w:r>
          </w:p>
        </w:tc>
        <w:tc>
          <w:tcPr>
            <w:tcW w:w="324" w:type="pct"/>
            <w:tcBorders>
              <w:top w:val="single" w:sz="8" w:space="0" w:color="auto"/>
              <w:left w:val="nil"/>
              <w:bottom w:val="double" w:sz="6" w:space="0" w:color="auto"/>
              <w:right w:val="single" w:sz="4" w:space="0" w:color="auto"/>
            </w:tcBorders>
            <w:vAlign w:val="center"/>
            <w:hideMark/>
          </w:tcPr>
          <w:p w:rsidR="00622022" w:rsidRDefault="00622022">
            <w:pPr>
              <w:spacing w:after="0" w:line="240" w:lineRule="auto"/>
              <w:ind w:firstLine="0"/>
              <w:jc w:val="center"/>
              <w:rPr>
                <w:rFonts w:ascii="Garamond" w:hAnsi="Garamond"/>
                <w:b/>
                <w:bCs/>
                <w:sz w:val="14"/>
                <w:szCs w:val="14"/>
                <w:lang w:val="sq-AL"/>
              </w:rPr>
            </w:pPr>
            <w:r>
              <w:rPr>
                <w:rFonts w:ascii="Garamond" w:hAnsi="Garamond"/>
                <w:b/>
                <w:bCs/>
                <w:sz w:val="14"/>
                <w:szCs w:val="14"/>
                <w:lang w:val="sq-AL"/>
              </w:rPr>
              <w:t>Sipërf. truall</w:t>
            </w:r>
          </w:p>
        </w:tc>
        <w:tc>
          <w:tcPr>
            <w:tcW w:w="324" w:type="pct"/>
            <w:tcBorders>
              <w:top w:val="single" w:sz="8" w:space="0" w:color="auto"/>
              <w:left w:val="nil"/>
              <w:bottom w:val="double" w:sz="6" w:space="0" w:color="auto"/>
              <w:right w:val="single" w:sz="4" w:space="0" w:color="auto"/>
            </w:tcBorders>
            <w:vAlign w:val="center"/>
            <w:hideMark/>
          </w:tcPr>
          <w:p w:rsidR="00622022" w:rsidRDefault="00622022">
            <w:pPr>
              <w:spacing w:after="0" w:line="240" w:lineRule="auto"/>
              <w:ind w:firstLine="0"/>
              <w:jc w:val="center"/>
              <w:rPr>
                <w:rFonts w:ascii="Garamond" w:hAnsi="Garamond"/>
                <w:b/>
                <w:bCs/>
                <w:color w:val="000000"/>
                <w:sz w:val="14"/>
                <w:szCs w:val="14"/>
                <w:lang w:val="sq-AL"/>
              </w:rPr>
            </w:pPr>
            <w:r>
              <w:rPr>
                <w:rFonts w:ascii="Garamond" w:hAnsi="Garamond"/>
                <w:b/>
                <w:bCs/>
                <w:color w:val="000000"/>
                <w:sz w:val="14"/>
                <w:szCs w:val="14"/>
                <w:lang w:val="sq-AL"/>
              </w:rPr>
              <w:t>Sipërf. ndërt.</w:t>
            </w:r>
          </w:p>
        </w:tc>
        <w:tc>
          <w:tcPr>
            <w:tcW w:w="364" w:type="pct"/>
            <w:tcBorders>
              <w:top w:val="single" w:sz="8" w:space="0" w:color="auto"/>
              <w:left w:val="nil"/>
              <w:bottom w:val="double" w:sz="6" w:space="0" w:color="auto"/>
              <w:right w:val="single" w:sz="4" w:space="0" w:color="auto"/>
            </w:tcBorders>
            <w:vAlign w:val="center"/>
            <w:hideMark/>
          </w:tcPr>
          <w:p w:rsidR="00622022" w:rsidRDefault="00622022">
            <w:pPr>
              <w:spacing w:after="0" w:line="240" w:lineRule="auto"/>
              <w:ind w:firstLine="0"/>
              <w:jc w:val="center"/>
              <w:rPr>
                <w:rFonts w:ascii="Garamond" w:hAnsi="Garamond"/>
                <w:b/>
                <w:bCs/>
                <w:color w:val="000000"/>
                <w:sz w:val="14"/>
                <w:szCs w:val="14"/>
                <w:lang w:val="sq-AL"/>
              </w:rPr>
            </w:pPr>
            <w:r>
              <w:rPr>
                <w:rFonts w:ascii="Garamond" w:hAnsi="Garamond"/>
                <w:b/>
                <w:bCs/>
                <w:color w:val="000000"/>
                <w:sz w:val="14"/>
                <w:szCs w:val="14"/>
                <w:lang w:val="sq-AL"/>
              </w:rPr>
              <w:t xml:space="preserve">Çmimi i </w:t>
            </w:r>
            <w:r>
              <w:rPr>
                <w:rFonts w:ascii="Garamond" w:hAnsi="Garamond"/>
                <w:b/>
                <w:bCs/>
                <w:sz w:val="14"/>
                <w:szCs w:val="14"/>
                <w:lang w:val="sq-AL"/>
              </w:rPr>
              <w:t>truall</w:t>
            </w:r>
            <w:r>
              <w:rPr>
                <w:rFonts w:ascii="Garamond" w:hAnsi="Garamond"/>
                <w:b/>
                <w:bCs/>
                <w:color w:val="000000"/>
                <w:sz w:val="14"/>
                <w:szCs w:val="14"/>
                <w:lang w:val="sq-AL"/>
              </w:rPr>
              <w:t xml:space="preserve"> lekë/m²</w:t>
            </w:r>
          </w:p>
        </w:tc>
        <w:tc>
          <w:tcPr>
            <w:tcW w:w="365" w:type="pct"/>
            <w:tcBorders>
              <w:top w:val="single" w:sz="8" w:space="0" w:color="auto"/>
              <w:left w:val="nil"/>
              <w:bottom w:val="nil"/>
              <w:right w:val="single" w:sz="4" w:space="0" w:color="auto"/>
            </w:tcBorders>
            <w:vAlign w:val="center"/>
            <w:hideMark/>
          </w:tcPr>
          <w:p w:rsidR="00622022" w:rsidRDefault="00622022">
            <w:pPr>
              <w:spacing w:after="0" w:line="240" w:lineRule="auto"/>
              <w:ind w:firstLine="0"/>
              <w:jc w:val="center"/>
              <w:rPr>
                <w:rFonts w:ascii="Garamond" w:hAnsi="Garamond"/>
                <w:b/>
                <w:bCs/>
                <w:color w:val="000000"/>
                <w:sz w:val="14"/>
                <w:szCs w:val="14"/>
                <w:lang w:val="sq-AL"/>
              </w:rPr>
            </w:pPr>
            <w:r>
              <w:rPr>
                <w:rFonts w:ascii="Garamond" w:hAnsi="Garamond"/>
                <w:b/>
                <w:bCs/>
                <w:color w:val="000000"/>
                <w:sz w:val="14"/>
                <w:szCs w:val="14"/>
                <w:lang w:val="sq-AL"/>
              </w:rPr>
              <w:t>Çmimi i ndërt. lekë/m²</w:t>
            </w:r>
          </w:p>
        </w:tc>
        <w:tc>
          <w:tcPr>
            <w:tcW w:w="324" w:type="pct"/>
            <w:tcBorders>
              <w:top w:val="single" w:sz="8" w:space="0" w:color="auto"/>
              <w:left w:val="nil"/>
              <w:bottom w:val="double" w:sz="6" w:space="0" w:color="auto"/>
              <w:right w:val="single" w:sz="4" w:space="0" w:color="auto"/>
            </w:tcBorders>
            <w:vAlign w:val="center"/>
            <w:hideMark/>
          </w:tcPr>
          <w:p w:rsidR="00622022" w:rsidRDefault="00622022">
            <w:pPr>
              <w:spacing w:after="0" w:line="240" w:lineRule="auto"/>
              <w:ind w:firstLine="0"/>
              <w:jc w:val="center"/>
              <w:rPr>
                <w:rFonts w:ascii="Garamond" w:hAnsi="Garamond"/>
                <w:b/>
                <w:bCs/>
                <w:color w:val="000000"/>
                <w:sz w:val="14"/>
                <w:szCs w:val="14"/>
                <w:lang w:val="sq-AL"/>
              </w:rPr>
            </w:pPr>
            <w:r>
              <w:rPr>
                <w:rFonts w:ascii="Garamond" w:hAnsi="Garamond"/>
                <w:b/>
                <w:bCs/>
                <w:color w:val="000000"/>
                <w:sz w:val="14"/>
                <w:szCs w:val="14"/>
                <w:lang w:val="sq-AL"/>
              </w:rPr>
              <w:t xml:space="preserve">Vlera e </w:t>
            </w:r>
            <w:r>
              <w:rPr>
                <w:rFonts w:ascii="Garamond" w:hAnsi="Garamond"/>
                <w:b/>
                <w:bCs/>
                <w:sz w:val="14"/>
                <w:szCs w:val="14"/>
                <w:lang w:val="sq-AL"/>
              </w:rPr>
              <w:t>truall.</w:t>
            </w:r>
          </w:p>
          <w:p w:rsidR="00622022" w:rsidRDefault="00622022">
            <w:pPr>
              <w:spacing w:after="0" w:line="240" w:lineRule="auto"/>
              <w:ind w:firstLine="0"/>
              <w:jc w:val="center"/>
              <w:rPr>
                <w:rFonts w:ascii="Garamond" w:hAnsi="Garamond"/>
                <w:b/>
                <w:bCs/>
                <w:color w:val="000000"/>
                <w:sz w:val="14"/>
                <w:szCs w:val="14"/>
                <w:lang w:val="sq-AL"/>
              </w:rPr>
            </w:pPr>
            <w:r>
              <w:rPr>
                <w:rFonts w:ascii="Garamond" w:hAnsi="Garamond"/>
                <w:b/>
                <w:bCs/>
                <w:color w:val="000000"/>
                <w:sz w:val="14"/>
                <w:szCs w:val="14"/>
                <w:lang w:val="sq-AL"/>
              </w:rPr>
              <w:t>lekë</w:t>
            </w:r>
          </w:p>
        </w:tc>
        <w:tc>
          <w:tcPr>
            <w:tcW w:w="406" w:type="pct"/>
            <w:tcBorders>
              <w:top w:val="single" w:sz="8" w:space="0" w:color="auto"/>
              <w:left w:val="nil"/>
              <w:bottom w:val="double" w:sz="6" w:space="0" w:color="auto"/>
              <w:right w:val="single" w:sz="4" w:space="0" w:color="auto"/>
            </w:tcBorders>
            <w:vAlign w:val="center"/>
            <w:hideMark/>
          </w:tcPr>
          <w:p w:rsidR="00622022" w:rsidRDefault="00622022">
            <w:pPr>
              <w:spacing w:after="0" w:line="240" w:lineRule="auto"/>
              <w:ind w:firstLine="0"/>
              <w:jc w:val="center"/>
              <w:rPr>
                <w:rFonts w:ascii="Garamond" w:hAnsi="Garamond"/>
                <w:b/>
                <w:bCs/>
                <w:color w:val="000000"/>
                <w:sz w:val="14"/>
                <w:szCs w:val="14"/>
                <w:lang w:val="sq-AL"/>
              </w:rPr>
            </w:pPr>
            <w:r>
              <w:rPr>
                <w:rFonts w:ascii="Garamond" w:hAnsi="Garamond"/>
                <w:b/>
                <w:bCs/>
                <w:color w:val="000000"/>
                <w:sz w:val="14"/>
                <w:szCs w:val="14"/>
                <w:lang w:val="sq-AL"/>
              </w:rPr>
              <w:t>Vlera e ndërtimit, lekë</w:t>
            </w:r>
          </w:p>
        </w:tc>
        <w:tc>
          <w:tcPr>
            <w:tcW w:w="355" w:type="pct"/>
            <w:tcBorders>
              <w:top w:val="single" w:sz="8" w:space="0" w:color="auto"/>
              <w:left w:val="nil"/>
              <w:bottom w:val="double" w:sz="6" w:space="0" w:color="auto"/>
              <w:right w:val="single" w:sz="4" w:space="0" w:color="auto"/>
            </w:tcBorders>
            <w:vAlign w:val="center"/>
            <w:hideMark/>
          </w:tcPr>
          <w:p w:rsidR="00622022" w:rsidRDefault="00622022">
            <w:pPr>
              <w:spacing w:after="0" w:line="240" w:lineRule="auto"/>
              <w:ind w:firstLine="0"/>
              <w:jc w:val="center"/>
              <w:rPr>
                <w:rFonts w:ascii="Garamond" w:hAnsi="Garamond"/>
                <w:b/>
                <w:bCs/>
                <w:color w:val="000000"/>
                <w:sz w:val="14"/>
                <w:szCs w:val="14"/>
                <w:lang w:val="sq-AL"/>
              </w:rPr>
            </w:pPr>
            <w:r>
              <w:rPr>
                <w:rFonts w:ascii="Garamond" w:hAnsi="Garamond"/>
                <w:b/>
                <w:bCs/>
                <w:color w:val="000000"/>
                <w:sz w:val="14"/>
                <w:szCs w:val="14"/>
                <w:lang w:val="sq-AL"/>
              </w:rPr>
              <w:t xml:space="preserve">Vlera e </w:t>
            </w:r>
            <w:r>
              <w:rPr>
                <w:rFonts w:ascii="Garamond" w:hAnsi="Garamond"/>
                <w:b/>
                <w:bCs/>
                <w:sz w:val="14"/>
                <w:szCs w:val="14"/>
                <w:lang w:val="sq-AL"/>
              </w:rPr>
              <w:t>truallit</w:t>
            </w:r>
            <w:r>
              <w:rPr>
                <w:rFonts w:ascii="Garamond" w:hAnsi="Garamond"/>
                <w:b/>
                <w:bCs/>
                <w:color w:val="000000"/>
                <w:sz w:val="14"/>
                <w:szCs w:val="14"/>
                <w:lang w:val="sq-AL"/>
              </w:rPr>
              <w:t xml:space="preserve"> dhe e </w:t>
            </w:r>
            <w:r>
              <w:rPr>
                <w:rFonts w:ascii="Garamond" w:hAnsi="Garamond"/>
                <w:b/>
                <w:bCs/>
                <w:sz w:val="14"/>
                <w:szCs w:val="14"/>
                <w:lang w:val="sq-AL"/>
              </w:rPr>
              <w:t>ndërtesës</w:t>
            </w:r>
          </w:p>
        </w:tc>
        <w:tc>
          <w:tcPr>
            <w:tcW w:w="455" w:type="pct"/>
            <w:tcBorders>
              <w:top w:val="single" w:sz="8" w:space="0" w:color="auto"/>
              <w:left w:val="nil"/>
              <w:bottom w:val="double" w:sz="6" w:space="0" w:color="auto"/>
              <w:right w:val="single" w:sz="8" w:space="0" w:color="auto"/>
            </w:tcBorders>
            <w:vAlign w:val="center"/>
            <w:hideMark/>
          </w:tcPr>
          <w:p w:rsidR="00622022" w:rsidRDefault="00622022">
            <w:pPr>
              <w:spacing w:after="0" w:line="240" w:lineRule="auto"/>
              <w:ind w:firstLine="0"/>
              <w:jc w:val="center"/>
              <w:rPr>
                <w:rFonts w:ascii="Garamond" w:hAnsi="Garamond"/>
                <w:b/>
                <w:bCs/>
                <w:color w:val="000000"/>
                <w:sz w:val="14"/>
                <w:szCs w:val="14"/>
                <w:lang w:val="sq-AL"/>
              </w:rPr>
            </w:pPr>
            <w:r>
              <w:rPr>
                <w:rFonts w:ascii="Garamond" w:hAnsi="Garamond"/>
                <w:b/>
                <w:bCs/>
                <w:color w:val="000000"/>
                <w:sz w:val="14"/>
                <w:szCs w:val="14"/>
                <w:lang w:val="sq-AL"/>
              </w:rPr>
              <w:t>Shënime</w:t>
            </w:r>
          </w:p>
        </w:tc>
      </w:tr>
      <w:tr w:rsidR="00622022" w:rsidTr="00622022">
        <w:trPr>
          <w:trHeight w:val="690"/>
          <w:jc w:val="center"/>
        </w:trPr>
        <w:tc>
          <w:tcPr>
            <w:tcW w:w="242" w:type="pct"/>
            <w:tcBorders>
              <w:top w:val="nil"/>
              <w:left w:val="single" w:sz="8" w:space="0" w:color="auto"/>
              <w:bottom w:val="single" w:sz="4" w:space="0" w:color="auto"/>
              <w:right w:val="single" w:sz="4" w:space="0" w:color="auto"/>
            </w:tcBorders>
            <w:noWrap/>
            <w:vAlign w:val="center"/>
            <w:hideMark/>
          </w:tcPr>
          <w:p w:rsidR="00622022" w:rsidRDefault="00622022">
            <w:pPr>
              <w:spacing w:after="0" w:line="240" w:lineRule="auto"/>
              <w:ind w:firstLine="0"/>
              <w:jc w:val="center"/>
              <w:rPr>
                <w:rFonts w:ascii="Garamond" w:hAnsi="Garamond"/>
                <w:bCs/>
                <w:color w:val="000000"/>
                <w:sz w:val="14"/>
                <w:szCs w:val="14"/>
                <w:lang w:val="sq-AL"/>
              </w:rPr>
            </w:pPr>
            <w:r>
              <w:rPr>
                <w:rFonts w:ascii="Garamond" w:hAnsi="Garamond"/>
                <w:bCs/>
                <w:color w:val="000000"/>
                <w:sz w:val="14"/>
                <w:szCs w:val="14"/>
                <w:lang w:val="sq-AL"/>
              </w:rPr>
              <w:t>1</w:t>
            </w:r>
          </w:p>
        </w:tc>
        <w:tc>
          <w:tcPr>
            <w:tcW w:w="250" w:type="pct"/>
            <w:tcBorders>
              <w:top w:val="nil"/>
              <w:left w:val="nil"/>
              <w:bottom w:val="single" w:sz="4" w:space="0" w:color="auto"/>
              <w:right w:val="single" w:sz="4" w:space="0" w:color="auto"/>
            </w:tcBorders>
            <w:noWrap/>
            <w:vAlign w:val="center"/>
            <w:hideMark/>
          </w:tcPr>
          <w:p w:rsidR="00622022" w:rsidRDefault="00622022">
            <w:pPr>
              <w:spacing w:after="0" w:line="240" w:lineRule="auto"/>
              <w:ind w:firstLine="0"/>
              <w:jc w:val="center"/>
              <w:rPr>
                <w:rFonts w:ascii="Garamond" w:hAnsi="Garamond"/>
                <w:bCs/>
                <w:iCs/>
                <w:color w:val="000000"/>
                <w:sz w:val="14"/>
                <w:szCs w:val="14"/>
                <w:lang w:val="sq-AL"/>
              </w:rPr>
            </w:pPr>
            <w:r>
              <w:rPr>
                <w:rFonts w:ascii="Garamond" w:hAnsi="Garamond"/>
                <w:i/>
                <w:sz w:val="14"/>
                <w:szCs w:val="14"/>
                <w:lang w:val="sq-AL"/>
              </w:rPr>
              <w:t>2605</w:t>
            </w:r>
          </w:p>
        </w:tc>
        <w:tc>
          <w:tcPr>
            <w:tcW w:w="731" w:type="pct"/>
            <w:tcBorders>
              <w:top w:val="nil"/>
              <w:left w:val="nil"/>
              <w:bottom w:val="single" w:sz="4" w:space="0" w:color="auto"/>
              <w:right w:val="single" w:sz="4" w:space="0" w:color="auto"/>
            </w:tcBorders>
            <w:shd w:val="clear" w:color="auto" w:fill="FFFFFF"/>
            <w:noWrap/>
            <w:vAlign w:val="center"/>
            <w:hideMark/>
          </w:tcPr>
          <w:p w:rsidR="00622022" w:rsidRDefault="00622022">
            <w:pPr>
              <w:spacing w:after="0" w:line="240" w:lineRule="auto"/>
              <w:ind w:firstLine="0"/>
              <w:jc w:val="left"/>
              <w:rPr>
                <w:rFonts w:ascii="Garamond" w:hAnsi="Garamond"/>
                <w:bCs/>
                <w:i/>
                <w:iCs/>
                <w:sz w:val="14"/>
                <w:szCs w:val="14"/>
                <w:lang w:val="sq-AL"/>
              </w:rPr>
            </w:pPr>
            <w:r>
              <w:rPr>
                <w:rFonts w:ascii="Garamond" w:hAnsi="Garamond"/>
                <w:i/>
                <w:sz w:val="14"/>
                <w:szCs w:val="14"/>
                <w:lang w:val="sq-AL"/>
              </w:rPr>
              <w:t xml:space="preserve">Vërtetim hipotekor nr. </w:t>
            </w:r>
            <w:r>
              <w:rPr>
                <w:rFonts w:ascii="Garamond" w:hAnsi="Garamond"/>
                <w:b/>
                <w:i/>
                <w:sz w:val="14"/>
                <w:szCs w:val="14"/>
                <w:lang w:val="sq-AL"/>
              </w:rPr>
              <w:t>206,</w:t>
            </w:r>
            <w:r>
              <w:rPr>
                <w:rFonts w:ascii="Garamond" w:hAnsi="Garamond"/>
                <w:i/>
                <w:sz w:val="14"/>
                <w:szCs w:val="14"/>
                <w:lang w:val="sq-AL"/>
              </w:rPr>
              <w:t xml:space="preserve"> datë 6.11.2003</w:t>
            </w:r>
          </w:p>
        </w:tc>
        <w:tc>
          <w:tcPr>
            <w:tcW w:w="242" w:type="pct"/>
            <w:tcBorders>
              <w:top w:val="nil"/>
              <w:left w:val="nil"/>
              <w:bottom w:val="single" w:sz="4" w:space="0" w:color="auto"/>
              <w:right w:val="single" w:sz="4" w:space="0" w:color="auto"/>
            </w:tcBorders>
            <w:shd w:val="clear" w:color="auto" w:fill="FFFFFF"/>
            <w:vAlign w:val="center"/>
            <w:hideMark/>
          </w:tcPr>
          <w:p w:rsidR="00622022" w:rsidRDefault="00622022">
            <w:pPr>
              <w:rPr>
                <w:rFonts w:ascii="Garamond" w:hAnsi="Garamond"/>
                <w:bCs/>
                <w:i/>
                <w:iCs/>
                <w:sz w:val="14"/>
                <w:szCs w:val="14"/>
                <w:lang w:val="sq-AL"/>
              </w:rPr>
            </w:pPr>
          </w:p>
        </w:tc>
        <w:tc>
          <w:tcPr>
            <w:tcW w:w="619" w:type="pct"/>
            <w:tcBorders>
              <w:top w:val="nil"/>
              <w:left w:val="nil"/>
              <w:bottom w:val="single" w:sz="4" w:space="0" w:color="auto"/>
              <w:right w:val="single" w:sz="4" w:space="0" w:color="auto"/>
            </w:tcBorders>
            <w:shd w:val="clear" w:color="auto" w:fill="FFFFFF"/>
            <w:vAlign w:val="center"/>
            <w:hideMark/>
          </w:tcPr>
          <w:p w:rsidR="00622022" w:rsidRDefault="00622022">
            <w:pPr>
              <w:spacing w:after="0" w:line="240" w:lineRule="auto"/>
              <w:ind w:firstLine="0"/>
              <w:jc w:val="left"/>
              <w:rPr>
                <w:rFonts w:ascii="Garamond" w:hAnsi="Garamond"/>
                <w:sz w:val="14"/>
                <w:szCs w:val="14"/>
                <w:lang w:val="sq-AL"/>
              </w:rPr>
            </w:pPr>
            <w:r>
              <w:rPr>
                <w:rFonts w:ascii="Garamond" w:hAnsi="Garamond"/>
                <w:sz w:val="14"/>
                <w:szCs w:val="14"/>
                <w:lang w:val="sq-AL"/>
              </w:rPr>
              <w:t xml:space="preserve">Bashkëpronarët: </w:t>
            </w:r>
          </w:p>
          <w:p w:rsidR="00622022" w:rsidRDefault="00622022">
            <w:pPr>
              <w:spacing w:after="0" w:line="240" w:lineRule="auto"/>
              <w:ind w:firstLine="0"/>
              <w:jc w:val="left"/>
              <w:rPr>
                <w:rFonts w:ascii="Garamond" w:hAnsi="Garamond"/>
                <w:sz w:val="14"/>
                <w:szCs w:val="14"/>
                <w:lang w:val="sq-AL"/>
              </w:rPr>
            </w:pPr>
            <w:r>
              <w:rPr>
                <w:rFonts w:ascii="Garamond" w:hAnsi="Garamond"/>
                <w:sz w:val="14"/>
                <w:szCs w:val="14"/>
                <w:lang w:val="sq-AL"/>
              </w:rPr>
              <w:t xml:space="preserve">Besnik Jonuz Beu, </w:t>
            </w:r>
          </w:p>
          <w:p w:rsidR="00622022" w:rsidRDefault="00622022">
            <w:pPr>
              <w:spacing w:after="0" w:line="240" w:lineRule="auto"/>
              <w:ind w:firstLine="0"/>
              <w:jc w:val="left"/>
              <w:rPr>
                <w:rFonts w:ascii="Garamond" w:hAnsi="Garamond"/>
                <w:color w:val="000000"/>
                <w:sz w:val="14"/>
                <w:szCs w:val="14"/>
                <w:lang w:val="sq-AL"/>
              </w:rPr>
            </w:pPr>
            <w:r>
              <w:rPr>
                <w:rFonts w:ascii="Garamond" w:hAnsi="Garamond"/>
                <w:sz w:val="14"/>
                <w:szCs w:val="14"/>
                <w:lang w:val="sq-AL"/>
              </w:rPr>
              <w:t>Dallandyshe Qemal Beu</w:t>
            </w:r>
          </w:p>
        </w:tc>
        <w:tc>
          <w:tcPr>
            <w:tcW w:w="324" w:type="pct"/>
            <w:tcBorders>
              <w:top w:val="nil"/>
              <w:left w:val="nil"/>
              <w:bottom w:val="single" w:sz="4" w:space="0" w:color="auto"/>
              <w:right w:val="single" w:sz="4" w:space="0" w:color="auto"/>
            </w:tcBorders>
            <w:shd w:val="clear" w:color="auto" w:fill="FFFFFF"/>
            <w:noWrap/>
            <w:vAlign w:val="center"/>
            <w:hideMark/>
          </w:tcPr>
          <w:p w:rsidR="00622022" w:rsidRDefault="00622022">
            <w:pPr>
              <w:spacing w:after="0" w:line="240" w:lineRule="auto"/>
              <w:ind w:firstLine="0"/>
              <w:jc w:val="center"/>
              <w:rPr>
                <w:rFonts w:ascii="Garamond" w:hAnsi="Garamond"/>
                <w:color w:val="000000"/>
                <w:sz w:val="14"/>
                <w:szCs w:val="14"/>
                <w:lang w:val="sq-AL"/>
              </w:rPr>
            </w:pPr>
            <w:r>
              <w:rPr>
                <w:rFonts w:ascii="Garamond" w:hAnsi="Garamond"/>
                <w:color w:val="000000"/>
                <w:sz w:val="14"/>
                <w:szCs w:val="14"/>
                <w:lang w:val="sq-AL"/>
              </w:rPr>
              <w:t>175</w:t>
            </w:r>
          </w:p>
        </w:tc>
        <w:tc>
          <w:tcPr>
            <w:tcW w:w="324" w:type="pct"/>
            <w:tcBorders>
              <w:top w:val="nil"/>
              <w:left w:val="nil"/>
              <w:bottom w:val="single" w:sz="4" w:space="0" w:color="auto"/>
              <w:right w:val="single" w:sz="4" w:space="0" w:color="auto"/>
            </w:tcBorders>
            <w:shd w:val="clear" w:color="auto" w:fill="FFFFFF"/>
            <w:noWrap/>
            <w:vAlign w:val="center"/>
            <w:hideMark/>
          </w:tcPr>
          <w:p w:rsidR="00622022" w:rsidRDefault="00622022">
            <w:pPr>
              <w:spacing w:after="0" w:line="240" w:lineRule="auto"/>
              <w:ind w:firstLine="0"/>
              <w:jc w:val="center"/>
              <w:rPr>
                <w:rFonts w:ascii="Garamond" w:hAnsi="Garamond"/>
                <w:color w:val="000000"/>
                <w:sz w:val="14"/>
                <w:szCs w:val="14"/>
                <w:lang w:val="sq-AL"/>
              </w:rPr>
            </w:pPr>
            <w:r>
              <w:rPr>
                <w:rFonts w:ascii="Garamond" w:hAnsi="Garamond"/>
                <w:color w:val="000000"/>
                <w:sz w:val="14"/>
                <w:szCs w:val="14"/>
                <w:lang w:val="sq-AL"/>
              </w:rPr>
              <w:t>78</w:t>
            </w:r>
          </w:p>
        </w:tc>
        <w:tc>
          <w:tcPr>
            <w:tcW w:w="364" w:type="pct"/>
            <w:tcBorders>
              <w:top w:val="nil"/>
              <w:left w:val="nil"/>
              <w:bottom w:val="single" w:sz="4" w:space="0" w:color="auto"/>
              <w:right w:val="nil"/>
            </w:tcBorders>
            <w:noWrap/>
            <w:vAlign w:val="center"/>
            <w:hideMark/>
          </w:tcPr>
          <w:p w:rsidR="00622022" w:rsidRDefault="00622022">
            <w:pPr>
              <w:spacing w:after="0" w:line="240" w:lineRule="auto"/>
              <w:ind w:firstLine="0"/>
              <w:jc w:val="center"/>
              <w:rPr>
                <w:rFonts w:ascii="Garamond" w:hAnsi="Garamond"/>
                <w:color w:val="000000"/>
                <w:sz w:val="14"/>
                <w:szCs w:val="14"/>
                <w:lang w:val="sq-AL"/>
              </w:rPr>
            </w:pPr>
            <w:r>
              <w:rPr>
                <w:rFonts w:ascii="Garamond" w:hAnsi="Garamond"/>
                <w:color w:val="000000"/>
                <w:sz w:val="14"/>
                <w:szCs w:val="14"/>
                <w:lang w:val="sq-AL"/>
              </w:rPr>
              <w:t>2,560</w:t>
            </w:r>
          </w:p>
        </w:tc>
        <w:tc>
          <w:tcPr>
            <w:tcW w:w="365" w:type="pct"/>
            <w:tcBorders>
              <w:top w:val="single" w:sz="4" w:space="0" w:color="auto"/>
              <w:left w:val="single" w:sz="4" w:space="0" w:color="auto"/>
              <w:bottom w:val="single" w:sz="4" w:space="0" w:color="auto"/>
              <w:right w:val="single" w:sz="4" w:space="0" w:color="auto"/>
            </w:tcBorders>
            <w:noWrap/>
            <w:vAlign w:val="center"/>
            <w:hideMark/>
          </w:tcPr>
          <w:p w:rsidR="00622022" w:rsidRDefault="00622022">
            <w:pPr>
              <w:spacing w:after="0" w:line="240" w:lineRule="auto"/>
              <w:ind w:firstLine="0"/>
              <w:jc w:val="center"/>
              <w:rPr>
                <w:rFonts w:ascii="Garamond" w:hAnsi="Garamond"/>
                <w:color w:val="000000"/>
                <w:sz w:val="14"/>
                <w:szCs w:val="14"/>
                <w:lang w:val="sq-AL"/>
              </w:rPr>
            </w:pPr>
            <w:r>
              <w:rPr>
                <w:rFonts w:ascii="Garamond" w:hAnsi="Garamond"/>
                <w:color w:val="000000"/>
                <w:sz w:val="14"/>
                <w:szCs w:val="14"/>
                <w:lang w:val="sq-AL"/>
              </w:rPr>
              <w:t>--</w:t>
            </w:r>
          </w:p>
        </w:tc>
        <w:tc>
          <w:tcPr>
            <w:tcW w:w="324" w:type="pct"/>
            <w:tcBorders>
              <w:top w:val="single" w:sz="4" w:space="0" w:color="auto"/>
              <w:left w:val="nil"/>
              <w:bottom w:val="single" w:sz="4" w:space="0" w:color="auto"/>
              <w:right w:val="single" w:sz="4" w:space="0" w:color="auto"/>
            </w:tcBorders>
            <w:vAlign w:val="center"/>
            <w:hideMark/>
          </w:tcPr>
          <w:p w:rsidR="00622022" w:rsidRDefault="00622022">
            <w:pPr>
              <w:spacing w:after="0" w:line="240" w:lineRule="auto"/>
              <w:ind w:firstLine="0"/>
              <w:jc w:val="right"/>
              <w:rPr>
                <w:rFonts w:ascii="Garamond" w:hAnsi="Garamond"/>
                <w:i/>
                <w:color w:val="000000"/>
                <w:sz w:val="14"/>
                <w:szCs w:val="14"/>
                <w:lang w:val="sq-AL"/>
              </w:rPr>
            </w:pPr>
            <w:r>
              <w:rPr>
                <w:rFonts w:ascii="Garamond" w:hAnsi="Garamond"/>
                <w:i/>
                <w:color w:val="000000"/>
                <w:sz w:val="14"/>
                <w:szCs w:val="14"/>
                <w:lang w:val="sq-AL"/>
              </w:rPr>
              <w:t>448,000</w:t>
            </w:r>
          </w:p>
        </w:tc>
        <w:tc>
          <w:tcPr>
            <w:tcW w:w="406" w:type="pct"/>
            <w:tcBorders>
              <w:top w:val="nil"/>
              <w:left w:val="nil"/>
              <w:bottom w:val="single" w:sz="4" w:space="0" w:color="auto"/>
              <w:right w:val="single" w:sz="4" w:space="0" w:color="auto"/>
            </w:tcBorders>
            <w:shd w:val="clear" w:color="auto" w:fill="FFFFFF"/>
            <w:vAlign w:val="center"/>
            <w:hideMark/>
          </w:tcPr>
          <w:p w:rsidR="00622022" w:rsidRDefault="00622022">
            <w:pPr>
              <w:spacing w:after="0" w:line="240" w:lineRule="auto"/>
              <w:ind w:firstLine="0"/>
              <w:jc w:val="center"/>
              <w:rPr>
                <w:rFonts w:ascii="Garamond" w:hAnsi="Garamond"/>
                <w:i/>
                <w:color w:val="000000"/>
                <w:sz w:val="14"/>
                <w:szCs w:val="14"/>
                <w:lang w:val="sq-AL"/>
              </w:rPr>
            </w:pPr>
            <w:r>
              <w:rPr>
                <w:rFonts w:ascii="Garamond" w:hAnsi="Garamond"/>
                <w:i/>
                <w:color w:val="000000"/>
                <w:sz w:val="14"/>
                <w:szCs w:val="14"/>
                <w:lang w:val="sq-AL"/>
              </w:rPr>
              <w:t>1,585,262</w:t>
            </w:r>
          </w:p>
        </w:tc>
        <w:tc>
          <w:tcPr>
            <w:tcW w:w="355" w:type="pct"/>
            <w:tcBorders>
              <w:top w:val="nil"/>
              <w:left w:val="nil"/>
              <w:bottom w:val="single" w:sz="4" w:space="0" w:color="auto"/>
              <w:right w:val="single" w:sz="4" w:space="0" w:color="auto"/>
            </w:tcBorders>
            <w:shd w:val="clear" w:color="auto" w:fill="FFFFFF"/>
            <w:vAlign w:val="center"/>
            <w:hideMark/>
          </w:tcPr>
          <w:p w:rsidR="00622022" w:rsidRDefault="00622022">
            <w:pPr>
              <w:spacing w:after="0" w:line="240" w:lineRule="auto"/>
              <w:ind w:firstLine="0"/>
              <w:jc w:val="right"/>
              <w:rPr>
                <w:rFonts w:ascii="Garamond" w:hAnsi="Garamond"/>
                <w:b/>
                <w:bCs/>
                <w:i/>
                <w:iCs/>
                <w:color w:val="000000"/>
                <w:sz w:val="14"/>
                <w:szCs w:val="14"/>
                <w:lang w:val="sq-AL"/>
              </w:rPr>
            </w:pPr>
            <w:r>
              <w:rPr>
                <w:rFonts w:ascii="Garamond" w:hAnsi="Garamond"/>
                <w:b/>
                <w:bCs/>
                <w:i/>
                <w:iCs/>
                <w:color w:val="000000"/>
                <w:sz w:val="14"/>
                <w:szCs w:val="14"/>
                <w:lang w:val="sq-AL"/>
              </w:rPr>
              <w:t>2,033,262</w:t>
            </w:r>
          </w:p>
        </w:tc>
        <w:tc>
          <w:tcPr>
            <w:tcW w:w="455" w:type="pct"/>
            <w:tcBorders>
              <w:top w:val="double" w:sz="6" w:space="0" w:color="auto"/>
              <w:left w:val="nil"/>
              <w:bottom w:val="single" w:sz="4" w:space="0" w:color="auto"/>
              <w:right w:val="single" w:sz="8" w:space="0" w:color="auto"/>
            </w:tcBorders>
            <w:shd w:val="clear" w:color="auto" w:fill="FFFFFF"/>
            <w:vAlign w:val="center"/>
            <w:hideMark/>
          </w:tcPr>
          <w:p w:rsidR="00622022" w:rsidRDefault="00622022">
            <w:pPr>
              <w:spacing w:after="0" w:line="240" w:lineRule="auto"/>
              <w:ind w:firstLine="0"/>
              <w:jc w:val="left"/>
              <w:rPr>
                <w:rFonts w:ascii="Garamond" w:hAnsi="Garamond"/>
                <w:color w:val="000000"/>
                <w:sz w:val="14"/>
                <w:szCs w:val="14"/>
                <w:lang w:val="sq-AL"/>
              </w:rPr>
            </w:pPr>
            <w:r>
              <w:rPr>
                <w:rFonts w:ascii="Garamond" w:hAnsi="Garamond"/>
                <w:color w:val="000000"/>
                <w:sz w:val="14"/>
                <w:szCs w:val="14"/>
                <w:lang w:val="sq-AL"/>
              </w:rPr>
              <w:t>Vlera e objektit është përllogaritur me preventiv punimesh</w:t>
            </w:r>
          </w:p>
        </w:tc>
      </w:tr>
      <w:tr w:rsidR="00622022" w:rsidTr="00622022">
        <w:trPr>
          <w:trHeight w:val="690"/>
          <w:jc w:val="center"/>
        </w:trPr>
        <w:tc>
          <w:tcPr>
            <w:tcW w:w="242" w:type="pct"/>
            <w:tcBorders>
              <w:top w:val="nil"/>
              <w:left w:val="single" w:sz="8" w:space="0" w:color="auto"/>
              <w:bottom w:val="single" w:sz="4" w:space="0" w:color="auto"/>
              <w:right w:val="single" w:sz="4" w:space="0" w:color="auto"/>
            </w:tcBorders>
            <w:noWrap/>
            <w:vAlign w:val="center"/>
            <w:hideMark/>
          </w:tcPr>
          <w:p w:rsidR="00622022" w:rsidRDefault="00622022">
            <w:pPr>
              <w:spacing w:after="0" w:line="240" w:lineRule="auto"/>
              <w:ind w:firstLine="0"/>
              <w:jc w:val="center"/>
              <w:rPr>
                <w:rFonts w:ascii="Garamond" w:hAnsi="Garamond"/>
                <w:bCs/>
                <w:color w:val="000000"/>
                <w:sz w:val="14"/>
                <w:szCs w:val="14"/>
                <w:lang w:val="sq-AL"/>
              </w:rPr>
            </w:pPr>
            <w:r>
              <w:rPr>
                <w:rFonts w:ascii="Garamond" w:hAnsi="Garamond"/>
                <w:bCs/>
                <w:color w:val="000000"/>
                <w:sz w:val="14"/>
                <w:szCs w:val="14"/>
                <w:lang w:val="sq-AL"/>
              </w:rPr>
              <w:t>2</w:t>
            </w:r>
          </w:p>
        </w:tc>
        <w:tc>
          <w:tcPr>
            <w:tcW w:w="250" w:type="pct"/>
            <w:tcBorders>
              <w:top w:val="nil"/>
              <w:left w:val="nil"/>
              <w:bottom w:val="single" w:sz="4" w:space="0" w:color="auto"/>
              <w:right w:val="single" w:sz="4" w:space="0" w:color="auto"/>
            </w:tcBorders>
            <w:noWrap/>
            <w:vAlign w:val="center"/>
            <w:hideMark/>
          </w:tcPr>
          <w:p w:rsidR="00622022" w:rsidRDefault="00622022">
            <w:pPr>
              <w:spacing w:after="0" w:line="240" w:lineRule="auto"/>
              <w:ind w:firstLine="0"/>
              <w:jc w:val="center"/>
              <w:rPr>
                <w:rFonts w:ascii="Garamond" w:hAnsi="Garamond"/>
                <w:bCs/>
                <w:iCs/>
                <w:color w:val="000000"/>
                <w:sz w:val="14"/>
                <w:szCs w:val="14"/>
                <w:lang w:val="sq-AL"/>
              </w:rPr>
            </w:pPr>
            <w:r>
              <w:rPr>
                <w:rFonts w:ascii="Garamond" w:hAnsi="Garamond"/>
                <w:i/>
                <w:sz w:val="14"/>
                <w:szCs w:val="14"/>
                <w:lang w:val="sq-AL"/>
              </w:rPr>
              <w:t>2605</w:t>
            </w:r>
          </w:p>
        </w:tc>
        <w:tc>
          <w:tcPr>
            <w:tcW w:w="731" w:type="pct"/>
            <w:tcBorders>
              <w:top w:val="nil"/>
              <w:left w:val="nil"/>
              <w:bottom w:val="single" w:sz="4" w:space="0" w:color="auto"/>
              <w:right w:val="single" w:sz="4" w:space="0" w:color="auto"/>
            </w:tcBorders>
            <w:shd w:val="clear" w:color="auto" w:fill="FFFFFF"/>
            <w:noWrap/>
            <w:vAlign w:val="center"/>
            <w:hideMark/>
          </w:tcPr>
          <w:p w:rsidR="00622022" w:rsidRDefault="00622022">
            <w:pPr>
              <w:spacing w:after="0" w:line="240" w:lineRule="auto"/>
              <w:ind w:firstLine="0"/>
              <w:jc w:val="left"/>
              <w:rPr>
                <w:rFonts w:ascii="Garamond" w:hAnsi="Garamond"/>
                <w:bCs/>
                <w:i/>
                <w:iCs/>
                <w:sz w:val="14"/>
                <w:szCs w:val="14"/>
                <w:lang w:val="sq-AL"/>
              </w:rPr>
            </w:pPr>
            <w:r>
              <w:rPr>
                <w:rFonts w:ascii="Garamond" w:hAnsi="Garamond"/>
                <w:i/>
                <w:sz w:val="14"/>
                <w:szCs w:val="14"/>
                <w:lang w:val="sq-AL"/>
              </w:rPr>
              <w:t xml:space="preserve">Vërtetim hipotekor nr. </w:t>
            </w:r>
            <w:r>
              <w:rPr>
                <w:rFonts w:ascii="Garamond" w:hAnsi="Garamond"/>
                <w:b/>
                <w:i/>
                <w:sz w:val="14"/>
                <w:szCs w:val="14"/>
                <w:lang w:val="sq-AL"/>
              </w:rPr>
              <w:t>253</w:t>
            </w:r>
            <w:r>
              <w:rPr>
                <w:rFonts w:ascii="Garamond" w:hAnsi="Garamond"/>
                <w:i/>
                <w:sz w:val="14"/>
                <w:szCs w:val="14"/>
                <w:lang w:val="sq-AL"/>
              </w:rPr>
              <w:t>, datë 5.11.2002</w:t>
            </w:r>
          </w:p>
        </w:tc>
        <w:tc>
          <w:tcPr>
            <w:tcW w:w="242" w:type="pct"/>
            <w:tcBorders>
              <w:top w:val="nil"/>
              <w:left w:val="nil"/>
              <w:bottom w:val="single" w:sz="4" w:space="0" w:color="auto"/>
              <w:right w:val="single" w:sz="4" w:space="0" w:color="auto"/>
            </w:tcBorders>
            <w:shd w:val="clear" w:color="auto" w:fill="FFFFFF"/>
            <w:vAlign w:val="center"/>
            <w:hideMark/>
          </w:tcPr>
          <w:p w:rsidR="00622022" w:rsidRDefault="00622022">
            <w:pPr>
              <w:rPr>
                <w:rFonts w:ascii="Garamond" w:hAnsi="Garamond"/>
                <w:bCs/>
                <w:i/>
                <w:iCs/>
                <w:sz w:val="14"/>
                <w:szCs w:val="14"/>
                <w:lang w:val="sq-AL"/>
              </w:rPr>
            </w:pPr>
          </w:p>
        </w:tc>
        <w:tc>
          <w:tcPr>
            <w:tcW w:w="619" w:type="pct"/>
            <w:tcBorders>
              <w:top w:val="nil"/>
              <w:left w:val="nil"/>
              <w:bottom w:val="single" w:sz="4" w:space="0" w:color="auto"/>
              <w:right w:val="single" w:sz="4" w:space="0" w:color="auto"/>
            </w:tcBorders>
            <w:shd w:val="clear" w:color="auto" w:fill="FFFFFF"/>
            <w:vAlign w:val="center"/>
            <w:hideMark/>
          </w:tcPr>
          <w:p w:rsidR="00622022" w:rsidRDefault="00622022">
            <w:pPr>
              <w:spacing w:after="0" w:line="240" w:lineRule="auto"/>
              <w:ind w:firstLine="0"/>
              <w:jc w:val="left"/>
              <w:rPr>
                <w:rFonts w:ascii="Garamond" w:hAnsi="Garamond"/>
                <w:sz w:val="14"/>
                <w:szCs w:val="14"/>
                <w:lang w:val="sq-AL"/>
              </w:rPr>
            </w:pPr>
            <w:r>
              <w:rPr>
                <w:rFonts w:ascii="Garamond" w:hAnsi="Garamond"/>
                <w:sz w:val="14"/>
                <w:szCs w:val="14"/>
                <w:lang w:val="sq-AL"/>
              </w:rPr>
              <w:t xml:space="preserve">Bashkëpronarët: </w:t>
            </w:r>
          </w:p>
          <w:p w:rsidR="00622022" w:rsidRDefault="00622022">
            <w:pPr>
              <w:spacing w:after="0" w:line="240" w:lineRule="auto"/>
              <w:ind w:firstLine="0"/>
              <w:jc w:val="left"/>
              <w:rPr>
                <w:rFonts w:ascii="Garamond" w:hAnsi="Garamond"/>
                <w:sz w:val="14"/>
                <w:szCs w:val="14"/>
                <w:lang w:val="sq-AL"/>
              </w:rPr>
            </w:pPr>
            <w:r>
              <w:rPr>
                <w:rFonts w:ascii="Garamond" w:hAnsi="Garamond"/>
                <w:sz w:val="14"/>
                <w:szCs w:val="14"/>
                <w:lang w:val="sq-AL"/>
              </w:rPr>
              <w:t xml:space="preserve">Pelivan Cjapi, </w:t>
            </w:r>
          </w:p>
          <w:p w:rsidR="00622022" w:rsidRDefault="00622022">
            <w:pPr>
              <w:spacing w:after="0" w:line="240" w:lineRule="auto"/>
              <w:ind w:firstLine="0"/>
              <w:jc w:val="left"/>
              <w:rPr>
                <w:rFonts w:ascii="Garamond" w:hAnsi="Garamond"/>
                <w:color w:val="000000"/>
                <w:sz w:val="14"/>
                <w:szCs w:val="14"/>
                <w:lang w:val="sq-AL"/>
              </w:rPr>
            </w:pPr>
            <w:r>
              <w:rPr>
                <w:rFonts w:ascii="Garamond" w:hAnsi="Garamond"/>
                <w:sz w:val="14"/>
                <w:szCs w:val="14"/>
                <w:lang w:val="sq-AL"/>
              </w:rPr>
              <w:t>Kozeta Cjapi (Kokaj)</w:t>
            </w:r>
          </w:p>
        </w:tc>
        <w:tc>
          <w:tcPr>
            <w:tcW w:w="324" w:type="pct"/>
            <w:tcBorders>
              <w:top w:val="nil"/>
              <w:left w:val="nil"/>
              <w:bottom w:val="single" w:sz="4" w:space="0" w:color="auto"/>
              <w:right w:val="single" w:sz="4" w:space="0" w:color="auto"/>
            </w:tcBorders>
            <w:shd w:val="clear" w:color="auto" w:fill="FFFFFF"/>
            <w:noWrap/>
            <w:vAlign w:val="center"/>
            <w:hideMark/>
          </w:tcPr>
          <w:p w:rsidR="00622022" w:rsidRDefault="00622022">
            <w:pPr>
              <w:spacing w:after="0" w:line="240" w:lineRule="auto"/>
              <w:ind w:firstLine="0"/>
              <w:jc w:val="center"/>
              <w:rPr>
                <w:rFonts w:ascii="Garamond" w:hAnsi="Garamond"/>
                <w:color w:val="000000"/>
                <w:sz w:val="14"/>
                <w:szCs w:val="14"/>
                <w:lang w:val="sq-AL"/>
              </w:rPr>
            </w:pPr>
            <w:r>
              <w:rPr>
                <w:rFonts w:ascii="Garamond" w:hAnsi="Garamond"/>
                <w:color w:val="000000"/>
                <w:sz w:val="14"/>
                <w:szCs w:val="14"/>
                <w:lang w:val="sq-AL"/>
              </w:rPr>
              <w:t>139</w:t>
            </w:r>
          </w:p>
        </w:tc>
        <w:tc>
          <w:tcPr>
            <w:tcW w:w="324" w:type="pct"/>
            <w:tcBorders>
              <w:top w:val="nil"/>
              <w:left w:val="nil"/>
              <w:bottom w:val="single" w:sz="4" w:space="0" w:color="auto"/>
              <w:right w:val="single" w:sz="4" w:space="0" w:color="auto"/>
            </w:tcBorders>
            <w:shd w:val="clear" w:color="auto" w:fill="FFFFFF"/>
            <w:noWrap/>
            <w:vAlign w:val="center"/>
            <w:hideMark/>
          </w:tcPr>
          <w:p w:rsidR="00622022" w:rsidRDefault="00622022">
            <w:pPr>
              <w:spacing w:after="0" w:line="240" w:lineRule="auto"/>
              <w:ind w:firstLine="0"/>
              <w:jc w:val="center"/>
              <w:rPr>
                <w:rFonts w:ascii="Garamond" w:hAnsi="Garamond"/>
                <w:color w:val="000000"/>
                <w:sz w:val="14"/>
                <w:szCs w:val="14"/>
                <w:lang w:val="sq-AL"/>
              </w:rPr>
            </w:pPr>
            <w:r>
              <w:rPr>
                <w:rFonts w:ascii="Garamond" w:hAnsi="Garamond"/>
                <w:color w:val="000000"/>
                <w:sz w:val="14"/>
                <w:szCs w:val="14"/>
                <w:lang w:val="sq-AL"/>
              </w:rPr>
              <w:t>102</w:t>
            </w:r>
          </w:p>
        </w:tc>
        <w:tc>
          <w:tcPr>
            <w:tcW w:w="364" w:type="pct"/>
            <w:tcBorders>
              <w:top w:val="nil"/>
              <w:left w:val="nil"/>
              <w:bottom w:val="single" w:sz="4" w:space="0" w:color="auto"/>
              <w:right w:val="nil"/>
            </w:tcBorders>
            <w:noWrap/>
            <w:vAlign w:val="center"/>
            <w:hideMark/>
          </w:tcPr>
          <w:p w:rsidR="00622022" w:rsidRDefault="00622022">
            <w:pPr>
              <w:spacing w:after="0" w:line="240" w:lineRule="auto"/>
              <w:ind w:firstLine="0"/>
              <w:jc w:val="center"/>
              <w:rPr>
                <w:rFonts w:ascii="Garamond" w:hAnsi="Garamond"/>
                <w:color w:val="000000"/>
                <w:sz w:val="14"/>
                <w:szCs w:val="14"/>
                <w:lang w:val="sq-AL"/>
              </w:rPr>
            </w:pPr>
            <w:r>
              <w:rPr>
                <w:rFonts w:ascii="Garamond" w:hAnsi="Garamond"/>
                <w:color w:val="000000"/>
                <w:sz w:val="14"/>
                <w:szCs w:val="14"/>
                <w:lang w:val="sq-AL"/>
              </w:rPr>
              <w:t>2,560</w:t>
            </w:r>
          </w:p>
        </w:tc>
        <w:tc>
          <w:tcPr>
            <w:tcW w:w="365" w:type="pct"/>
            <w:tcBorders>
              <w:top w:val="single" w:sz="4" w:space="0" w:color="auto"/>
              <w:left w:val="single" w:sz="4" w:space="0" w:color="auto"/>
              <w:bottom w:val="single" w:sz="4" w:space="0" w:color="auto"/>
              <w:right w:val="single" w:sz="4" w:space="0" w:color="auto"/>
            </w:tcBorders>
            <w:noWrap/>
            <w:vAlign w:val="center"/>
            <w:hideMark/>
          </w:tcPr>
          <w:p w:rsidR="00622022" w:rsidRDefault="00622022">
            <w:pPr>
              <w:spacing w:after="0" w:line="240" w:lineRule="auto"/>
              <w:ind w:firstLine="0"/>
              <w:jc w:val="center"/>
              <w:rPr>
                <w:rFonts w:ascii="Garamond" w:hAnsi="Garamond"/>
                <w:color w:val="000000"/>
                <w:sz w:val="14"/>
                <w:szCs w:val="14"/>
                <w:lang w:val="sq-AL"/>
              </w:rPr>
            </w:pPr>
            <w:r>
              <w:rPr>
                <w:rFonts w:ascii="Garamond" w:hAnsi="Garamond"/>
                <w:color w:val="000000"/>
                <w:sz w:val="14"/>
                <w:szCs w:val="14"/>
                <w:lang w:val="sq-AL"/>
              </w:rPr>
              <w:t>--</w:t>
            </w:r>
          </w:p>
        </w:tc>
        <w:tc>
          <w:tcPr>
            <w:tcW w:w="324" w:type="pct"/>
            <w:tcBorders>
              <w:top w:val="single" w:sz="4" w:space="0" w:color="auto"/>
              <w:left w:val="nil"/>
              <w:bottom w:val="single" w:sz="4" w:space="0" w:color="auto"/>
              <w:right w:val="single" w:sz="4" w:space="0" w:color="auto"/>
            </w:tcBorders>
            <w:vAlign w:val="center"/>
            <w:hideMark/>
          </w:tcPr>
          <w:p w:rsidR="00622022" w:rsidRDefault="00622022">
            <w:pPr>
              <w:spacing w:after="0" w:line="240" w:lineRule="auto"/>
              <w:ind w:firstLine="0"/>
              <w:jc w:val="right"/>
              <w:rPr>
                <w:rFonts w:ascii="Garamond" w:hAnsi="Garamond"/>
                <w:i/>
                <w:color w:val="000000"/>
                <w:sz w:val="14"/>
                <w:szCs w:val="14"/>
                <w:lang w:val="sq-AL"/>
              </w:rPr>
            </w:pPr>
            <w:r>
              <w:rPr>
                <w:rFonts w:ascii="Garamond" w:hAnsi="Garamond"/>
                <w:i/>
                <w:color w:val="000000"/>
                <w:sz w:val="14"/>
                <w:szCs w:val="14"/>
                <w:lang w:val="sq-AL"/>
              </w:rPr>
              <w:t>355,840</w:t>
            </w:r>
          </w:p>
        </w:tc>
        <w:tc>
          <w:tcPr>
            <w:tcW w:w="406" w:type="pct"/>
            <w:tcBorders>
              <w:top w:val="nil"/>
              <w:left w:val="nil"/>
              <w:bottom w:val="single" w:sz="4" w:space="0" w:color="auto"/>
              <w:right w:val="single" w:sz="4" w:space="0" w:color="auto"/>
            </w:tcBorders>
            <w:shd w:val="clear" w:color="auto" w:fill="FFFFFF"/>
            <w:vAlign w:val="center"/>
            <w:hideMark/>
          </w:tcPr>
          <w:p w:rsidR="00622022" w:rsidRDefault="00622022">
            <w:pPr>
              <w:spacing w:after="0" w:line="240" w:lineRule="auto"/>
              <w:ind w:firstLine="0"/>
              <w:jc w:val="center"/>
              <w:rPr>
                <w:rFonts w:ascii="Garamond" w:hAnsi="Garamond"/>
                <w:i/>
                <w:color w:val="000000"/>
                <w:sz w:val="14"/>
                <w:szCs w:val="14"/>
                <w:lang w:val="sq-AL"/>
              </w:rPr>
            </w:pPr>
            <w:r>
              <w:rPr>
                <w:rFonts w:ascii="Garamond" w:hAnsi="Garamond"/>
                <w:i/>
                <w:color w:val="000000"/>
                <w:sz w:val="14"/>
                <w:szCs w:val="14"/>
                <w:lang w:val="sq-AL"/>
              </w:rPr>
              <w:t>1,884,647</w:t>
            </w:r>
          </w:p>
        </w:tc>
        <w:tc>
          <w:tcPr>
            <w:tcW w:w="355" w:type="pct"/>
            <w:tcBorders>
              <w:top w:val="nil"/>
              <w:left w:val="nil"/>
              <w:bottom w:val="single" w:sz="4" w:space="0" w:color="auto"/>
              <w:right w:val="single" w:sz="4" w:space="0" w:color="auto"/>
            </w:tcBorders>
            <w:shd w:val="clear" w:color="auto" w:fill="FFFFFF"/>
            <w:vAlign w:val="center"/>
            <w:hideMark/>
          </w:tcPr>
          <w:p w:rsidR="00622022" w:rsidRDefault="00622022">
            <w:pPr>
              <w:spacing w:after="0" w:line="240" w:lineRule="auto"/>
              <w:ind w:firstLine="0"/>
              <w:jc w:val="right"/>
              <w:rPr>
                <w:rFonts w:ascii="Garamond" w:hAnsi="Garamond"/>
                <w:b/>
                <w:bCs/>
                <w:i/>
                <w:iCs/>
                <w:color w:val="000000"/>
                <w:sz w:val="14"/>
                <w:szCs w:val="14"/>
                <w:lang w:val="sq-AL"/>
              </w:rPr>
            </w:pPr>
            <w:r>
              <w:rPr>
                <w:rFonts w:ascii="Garamond" w:hAnsi="Garamond"/>
                <w:b/>
                <w:bCs/>
                <w:i/>
                <w:iCs/>
                <w:color w:val="000000"/>
                <w:sz w:val="14"/>
                <w:szCs w:val="14"/>
                <w:lang w:val="sq-AL"/>
              </w:rPr>
              <w:t>2,240,487</w:t>
            </w:r>
          </w:p>
        </w:tc>
        <w:tc>
          <w:tcPr>
            <w:tcW w:w="455" w:type="pct"/>
            <w:tcBorders>
              <w:top w:val="double" w:sz="6" w:space="0" w:color="auto"/>
              <w:left w:val="nil"/>
              <w:bottom w:val="single" w:sz="4" w:space="0" w:color="auto"/>
              <w:right w:val="single" w:sz="8" w:space="0" w:color="auto"/>
            </w:tcBorders>
            <w:shd w:val="clear" w:color="auto" w:fill="FFFFFF"/>
            <w:vAlign w:val="center"/>
            <w:hideMark/>
          </w:tcPr>
          <w:p w:rsidR="00622022" w:rsidRDefault="00622022">
            <w:pPr>
              <w:spacing w:after="0" w:line="240" w:lineRule="auto"/>
              <w:ind w:firstLine="0"/>
              <w:jc w:val="left"/>
              <w:rPr>
                <w:rFonts w:ascii="Garamond" w:hAnsi="Garamond"/>
                <w:color w:val="000000"/>
                <w:sz w:val="14"/>
                <w:szCs w:val="14"/>
                <w:lang w:val="sq-AL"/>
              </w:rPr>
            </w:pPr>
            <w:r>
              <w:rPr>
                <w:rFonts w:ascii="Garamond" w:hAnsi="Garamond"/>
                <w:color w:val="000000"/>
                <w:sz w:val="14"/>
                <w:szCs w:val="14"/>
                <w:lang w:val="sq-AL"/>
              </w:rPr>
              <w:t>Vlera e objektit është përllogaritur me preventiv punimesh</w:t>
            </w:r>
          </w:p>
        </w:tc>
      </w:tr>
    </w:tbl>
    <w:p w:rsidR="00622022" w:rsidRDefault="00622022" w:rsidP="00622022">
      <w:pPr>
        <w:spacing w:after="0" w:line="240" w:lineRule="auto"/>
        <w:rPr>
          <w:rFonts w:ascii="Garamond" w:hAnsi="Garamond"/>
          <w:sz w:val="24"/>
          <w:szCs w:val="24"/>
          <w:lang w:val="sq-AL"/>
        </w:rPr>
      </w:pPr>
    </w:p>
    <w:p w:rsidR="00622022" w:rsidRDefault="00622022" w:rsidP="00622022">
      <w:pPr>
        <w:spacing w:after="0" w:line="240" w:lineRule="auto"/>
        <w:ind w:firstLine="0"/>
        <w:jc w:val="left"/>
        <w:rPr>
          <w:rFonts w:ascii="Garamond" w:eastAsia="MS Mincho" w:hAnsi="Garamond" w:cs="CG Times"/>
          <w:b/>
          <w:sz w:val="24"/>
          <w:lang w:val="sq-AL"/>
        </w:rPr>
        <w:sectPr w:rsidR="00622022" w:rsidSect="00622022">
          <w:type w:val="continuous"/>
          <w:pgSz w:w="11907" w:h="16840"/>
          <w:pgMar w:top="720" w:right="1134" w:bottom="720" w:left="1134" w:header="851" w:footer="851" w:gutter="0"/>
          <w:cols w:space="720"/>
        </w:sectPr>
      </w:pPr>
    </w:p>
    <w:p w:rsidR="00DC2D32" w:rsidRDefault="00DC2D32" w:rsidP="00622022">
      <w:bookmarkStart w:id="0" w:name="_GoBack"/>
      <w:bookmarkEnd w:id="0"/>
    </w:p>
    <w:sectPr w:rsidR="00DC2D32" w:rsidSect="006220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525"/>
    <w:rsid w:val="00622022"/>
    <w:rsid w:val="00DC2D32"/>
    <w:rsid w:val="00FF3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A77D9B-FD5F-419B-9AA6-E61EE39F1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202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622022"/>
    <w:rPr>
      <w:rFonts w:ascii="Garamond" w:eastAsia="MS Mincho" w:hAnsi="Garamond" w:cs="CG Times"/>
      <w:sz w:val="24"/>
    </w:rPr>
  </w:style>
  <w:style w:type="paragraph" w:customStyle="1" w:styleId="Paragrafi">
    <w:name w:val="Paragrafi"/>
    <w:link w:val="ParagrafiChar"/>
    <w:qFormat/>
    <w:rsid w:val="00622022"/>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62202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44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561</Words>
  <Characters>3202</Characters>
  <Application>Microsoft Office Word</Application>
  <DocSecurity>0</DocSecurity>
  <Lines>26</Lines>
  <Paragraphs>7</Paragraphs>
  <ScaleCrop>false</ScaleCrop>
  <Company/>
  <LinksUpToDate>false</LinksUpToDate>
  <CharactersWithSpaces>3756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2018-07-24T13:22:00Z</dcterms:created>
  <dcterms:modified xsi:type="dcterms:W3CDTF">2018-07-24T13:23:00Z</dcterms:modified>
</cp:coreProperties>
</file>