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AEC" w:rsidRDefault="00A65AEC" w:rsidP="00A65AEC">
      <w:pPr>
        <w:pStyle w:val="NeniTitull"/>
        <w:rPr>
          <w:lang w:val="sq-AL"/>
        </w:rPr>
      </w:pPr>
      <w:r>
        <w:rPr>
          <w:lang w:val="sq-AL"/>
        </w:rPr>
        <w:t>VENDIM</w:t>
      </w:r>
    </w:p>
    <w:p w:rsidR="00A65AEC" w:rsidRDefault="00A65AEC" w:rsidP="00A65AEC">
      <w:pPr>
        <w:pStyle w:val="NeniTitull"/>
        <w:rPr>
          <w:lang w:val="sq-AL"/>
        </w:rPr>
      </w:pPr>
      <w:r>
        <w:rPr>
          <w:lang w:val="sq-AL"/>
        </w:rPr>
        <w:t>Nr. 447, datë 26.7.2018</w:t>
      </w:r>
    </w:p>
    <w:p w:rsidR="00A65AEC" w:rsidRDefault="00A65AEC" w:rsidP="00A65AEC">
      <w:pPr>
        <w:pStyle w:val="NeniTitull"/>
        <w:rPr>
          <w:sz w:val="14"/>
          <w:lang w:val="sq-AL"/>
        </w:rPr>
      </w:pPr>
    </w:p>
    <w:p w:rsidR="00A65AEC" w:rsidRDefault="00A65AEC" w:rsidP="00A65AEC">
      <w:pPr>
        <w:pStyle w:val="NeniTitull"/>
        <w:rPr>
          <w:lang w:val="sq-AL"/>
        </w:rPr>
      </w:pPr>
      <w:r>
        <w:rPr>
          <w:lang w:val="sq-AL"/>
        </w:rPr>
        <w:t>PËR DISA NDRYSHIME DHE SHTESA NË VENDIMIN NR. 319, DATË 15.4.2015, TË KËSHILLIT TË MINISTRAVE, “PËR MIRATIMIN E STRATEGJISË NDËRSEKTORIALE PËR REFORMËN NË ADMINISTRATËN PUBLIKE</w:t>
      </w:r>
    </w:p>
    <w:p w:rsidR="00A65AEC" w:rsidRDefault="00A65AEC" w:rsidP="00A65AEC">
      <w:pPr>
        <w:pStyle w:val="NeniTitull"/>
        <w:rPr>
          <w:lang w:val="sq-AL"/>
        </w:rPr>
      </w:pPr>
      <w:r>
        <w:rPr>
          <w:lang w:val="sq-AL"/>
        </w:rPr>
        <w:t xml:space="preserve"> 2015–2020”</w:t>
      </w:r>
    </w:p>
    <w:p w:rsidR="00A65AEC" w:rsidRDefault="00A65AEC" w:rsidP="00A65AEC">
      <w:pPr>
        <w:pStyle w:val="Paragrafi"/>
        <w:ind w:firstLine="0"/>
        <w:rPr>
          <w:sz w:val="14"/>
          <w:lang w:val="sq-AL"/>
        </w:rPr>
      </w:pPr>
    </w:p>
    <w:p w:rsidR="00A65AEC" w:rsidRDefault="00A65AEC" w:rsidP="00A65AEC">
      <w:pPr>
        <w:pStyle w:val="Paragrafi"/>
        <w:rPr>
          <w:lang w:val="sq-AL"/>
        </w:rPr>
      </w:pPr>
      <w:r>
        <w:rPr>
          <w:lang w:val="sq-AL"/>
        </w:rPr>
        <w:t xml:space="preserve">Në mbështetje të pikës 1, të nenit 100, të Kushtetutës, me propozimin e Kryeministrit, Këshilli i Ministrave </w:t>
      </w:r>
    </w:p>
    <w:p w:rsidR="00A65AEC" w:rsidRDefault="00A65AEC" w:rsidP="00A65AEC">
      <w:pPr>
        <w:pStyle w:val="Paragrafi"/>
        <w:rPr>
          <w:sz w:val="14"/>
          <w:lang w:val="sq-AL"/>
        </w:rPr>
      </w:pPr>
    </w:p>
    <w:p w:rsidR="00A65AEC" w:rsidRDefault="00A65AEC" w:rsidP="00A65AEC">
      <w:pPr>
        <w:pStyle w:val="NeniNr"/>
        <w:rPr>
          <w:lang w:val="sq-AL"/>
        </w:rPr>
      </w:pPr>
      <w:r>
        <w:rPr>
          <w:lang w:val="sq-AL"/>
        </w:rPr>
        <w:t>VENDOSI:</w:t>
      </w:r>
    </w:p>
    <w:p w:rsidR="00A65AEC" w:rsidRDefault="00A65AEC" w:rsidP="00A65AEC">
      <w:pPr>
        <w:pStyle w:val="Paragrafi"/>
        <w:rPr>
          <w:sz w:val="14"/>
          <w:lang w:val="sq-AL"/>
        </w:rPr>
      </w:pPr>
    </w:p>
    <w:p w:rsidR="00A65AEC" w:rsidRDefault="00A65AEC" w:rsidP="00A65AEC">
      <w:pPr>
        <w:pStyle w:val="Paragrafi"/>
        <w:rPr>
          <w:lang w:val="sq-AL"/>
        </w:rPr>
      </w:pPr>
      <w:r>
        <w:rPr>
          <w:lang w:val="sq-AL"/>
        </w:rPr>
        <w:t>Në vendimin nr. 319, datë 15.4.2015, të Këshillit të Ministrave, bëhen këto ndryshime dhe shtesa:</w:t>
      </w:r>
    </w:p>
    <w:p w:rsidR="00A65AEC" w:rsidRDefault="00A65AEC" w:rsidP="00A65AEC">
      <w:pPr>
        <w:pStyle w:val="Paragrafi"/>
        <w:rPr>
          <w:lang w:val="sq-AL"/>
        </w:rPr>
      </w:pPr>
      <w:r>
        <w:rPr>
          <w:lang w:val="sq-AL"/>
        </w:rPr>
        <w:t xml:space="preserve">1. Në pikën 2, emërtimi “ministri i Shtetit për Inovacionin dhe Administratën Publike” zëvendësohet me “Zëvendëskryeministri”. </w:t>
      </w:r>
    </w:p>
    <w:p w:rsidR="00A65AEC" w:rsidRDefault="00A65AEC" w:rsidP="00A65AEC">
      <w:pPr>
        <w:pStyle w:val="Paragrafi"/>
        <w:rPr>
          <w:lang w:val="sq-AL"/>
        </w:rPr>
      </w:pPr>
      <w:r>
        <w:rPr>
          <w:lang w:val="sq-AL"/>
        </w:rPr>
        <w:t xml:space="preserve">2. Në dokumentin bashkëlidhur vendimit bëhen ndryshimet si më poshtë vijon: </w:t>
      </w:r>
    </w:p>
    <w:p w:rsidR="00A65AEC" w:rsidRDefault="00A65AEC" w:rsidP="00A65AEC">
      <w:pPr>
        <w:pStyle w:val="Paragrafi"/>
        <w:rPr>
          <w:lang w:val="sq-AL"/>
        </w:rPr>
      </w:pPr>
      <w:r>
        <w:rPr>
          <w:lang w:val="sq-AL"/>
        </w:rPr>
        <w:t xml:space="preserve">a) Pas ndarjes “Financimi i strategjisë” shtohet ndarja “Vlerësimi i ri i kostos për planin e ri të aktiviteteve të strategjisë për periudhën 2018–2020”, me përmbajtje sipas tekstit që i bashkëlidhet këtij vendimi. </w:t>
      </w:r>
    </w:p>
    <w:p w:rsidR="00A65AEC" w:rsidRDefault="00A65AEC" w:rsidP="00A65AEC">
      <w:pPr>
        <w:pStyle w:val="Paragrafi"/>
        <w:rPr>
          <w:lang w:val="sq-AL"/>
        </w:rPr>
      </w:pPr>
      <w:r>
        <w:rPr>
          <w:lang w:val="sq-AL"/>
        </w:rPr>
        <w:t xml:space="preserve">b) Pas lidhjes nr. 1 shtohet lidhja nr. 1/1, “Plani i aktiviteteve dhe treguesit për periudhën 2018–2020”, që i bashkëlidhet këtij vendimi dhe është pjesë përbërëse e tij. </w:t>
      </w:r>
    </w:p>
    <w:p w:rsidR="00A65AEC" w:rsidRDefault="00A65AEC" w:rsidP="00A65AEC">
      <w:pPr>
        <w:pStyle w:val="Paragrafi"/>
        <w:rPr>
          <w:lang w:val="sq-AL"/>
        </w:rPr>
      </w:pPr>
      <w:r>
        <w:rPr>
          <w:lang w:val="sq-AL"/>
        </w:rPr>
        <w:t xml:space="preserve">c) Pas lidhjes nr. 2 shtohet lidhja nr. 2/1, “Vlerësimi i detajuar i kostos për zbatimin e Strategjisë Ndërsektoriale për Reformën në Administratën Publike për planin e veprimit për periudhën 2018–2020”, që i bashkëlidhet këtij vendimi dhe është pjesë përbërëse e tij. </w:t>
      </w:r>
    </w:p>
    <w:p w:rsidR="00A65AEC" w:rsidRDefault="00A65AEC" w:rsidP="00A65AEC">
      <w:pPr>
        <w:pStyle w:val="Paragrafi"/>
        <w:rPr>
          <w:lang w:val="sq-AL"/>
        </w:rPr>
      </w:pPr>
      <w:r>
        <w:rPr>
          <w:lang w:val="sq-AL"/>
        </w:rPr>
        <w:t>ç) Kudo në dokument:</w:t>
      </w:r>
    </w:p>
    <w:p w:rsidR="00A65AEC" w:rsidRDefault="00A65AEC" w:rsidP="00A65AEC">
      <w:pPr>
        <w:pStyle w:val="Paragrafi"/>
        <w:rPr>
          <w:lang w:val="sq-AL"/>
        </w:rPr>
      </w:pPr>
      <w:r>
        <w:rPr>
          <w:lang w:val="sq-AL"/>
        </w:rPr>
        <w:t>- emërtimi “Agjencia Shqiptare për Ofrimin e Integruar të Shërbimeve” zëvendësohet me “Agjencia e Ofrimit të Shërbimeve Publike të Integruara”;</w:t>
      </w:r>
    </w:p>
    <w:p w:rsidR="00A65AEC" w:rsidRDefault="00A65AEC" w:rsidP="00A65AEC">
      <w:pPr>
        <w:pStyle w:val="Paragrafi"/>
        <w:rPr>
          <w:lang w:val="sq-AL"/>
        </w:rPr>
      </w:pPr>
      <w:r>
        <w:rPr>
          <w:lang w:val="sq-AL"/>
        </w:rPr>
        <w:t>- shkurtesa “DPZHNH” zëvendësohet me “DZHM” dhe emërtimi “Departamenti i Programimit, Zhvillimit dhe Ndihmës së Huaj” zëvendësohet me “Departamenti i Zhvillimit dhe Mirëqeverisjes”;</w:t>
      </w:r>
    </w:p>
    <w:p w:rsidR="00A65AEC" w:rsidRDefault="00A65AEC" w:rsidP="00A65AEC">
      <w:pPr>
        <w:pStyle w:val="Paragrafi"/>
        <w:rPr>
          <w:lang w:val="sq-AL"/>
        </w:rPr>
      </w:pPr>
      <w:r>
        <w:rPr>
          <w:lang w:val="sq-AL"/>
        </w:rPr>
        <w:t>- shkurtesa “MF” zëvendësohet me “MFE” dhe emërtimi “Ministria e Financave” zëvendësohet me “Ministria e Financave dhe Ekonomisë”;</w:t>
      </w:r>
    </w:p>
    <w:p w:rsidR="00A65AEC" w:rsidRDefault="00A65AEC" w:rsidP="00A65AEC">
      <w:pPr>
        <w:pStyle w:val="Paragrafi"/>
        <w:rPr>
          <w:lang w:val="sq-AL"/>
        </w:rPr>
      </w:pPr>
      <w:r>
        <w:rPr>
          <w:lang w:val="sq-AL"/>
        </w:rPr>
        <w:t>- shkurtesa “MIAP”, emërtimi “Ministër/ri i Shtetit për Inovacionin dhe Administratën Publike” dhe fjalët “ministri përgjegjës për administratën publike dhe inovacionin” zëvendësohen me emërtimin “Zëvendës-kryeministri”;</w:t>
      </w:r>
    </w:p>
    <w:p w:rsidR="00A65AEC" w:rsidRDefault="00A65AEC" w:rsidP="00A65AEC">
      <w:pPr>
        <w:pStyle w:val="Paragrafi"/>
        <w:rPr>
          <w:lang w:val="sq-AL"/>
        </w:rPr>
      </w:pPr>
      <w:r>
        <w:rPr>
          <w:lang w:val="sq-AL"/>
        </w:rPr>
        <w:t>- shkurtesa “MSHÇV” zëvendësohet me fjalët “ministri përgjegjës për çështjet vendore”;</w:t>
      </w:r>
    </w:p>
    <w:p w:rsidR="00A65AEC" w:rsidRDefault="00A65AEC" w:rsidP="00A65AEC">
      <w:pPr>
        <w:pStyle w:val="Paragrafi"/>
        <w:rPr>
          <w:lang w:val="sq-AL"/>
        </w:rPr>
      </w:pPr>
      <w:r>
        <w:rPr>
          <w:lang w:val="sq-AL"/>
        </w:rPr>
        <w:t>- shkurtesat “QKL” dhe “QKR” zëvendësohen me shkurtesën “QKB” dhe emërtimet “Qendra Kombëtare e Licencimit” dhe “Qendra Kombëtare e Regjistrimit” zëvendësohen me emërtimin “Qendra Kombëtare e Biznesit”.</w:t>
      </w:r>
    </w:p>
    <w:p w:rsidR="00A65AEC" w:rsidRDefault="00A65AEC" w:rsidP="00A65AEC">
      <w:pPr>
        <w:pStyle w:val="Paragrafi"/>
        <w:rPr>
          <w:lang w:val="sq-AL"/>
        </w:rPr>
      </w:pPr>
      <w:r>
        <w:rPr>
          <w:lang w:val="sq-AL"/>
        </w:rPr>
        <w:t xml:space="preserve">Ky vendim hyn në fuqi pas botimit në Fletoren Zyrtare. </w:t>
      </w:r>
    </w:p>
    <w:p w:rsidR="00A65AEC" w:rsidRDefault="00A65AEC" w:rsidP="00A65AEC">
      <w:pPr>
        <w:pStyle w:val="Paragrafi"/>
        <w:rPr>
          <w:sz w:val="14"/>
          <w:lang w:val="sq-AL"/>
        </w:rPr>
      </w:pPr>
    </w:p>
    <w:p w:rsidR="00A65AEC" w:rsidRDefault="00A65AEC" w:rsidP="00A65AEC">
      <w:pPr>
        <w:pStyle w:val="Paragrafi"/>
        <w:jc w:val="right"/>
        <w:rPr>
          <w:lang w:val="sq-AL"/>
        </w:rPr>
      </w:pPr>
      <w:r>
        <w:rPr>
          <w:lang w:val="sq-AL"/>
        </w:rPr>
        <w:t>KRYEMINISTRI</w:t>
      </w:r>
    </w:p>
    <w:p w:rsidR="00A65AEC" w:rsidRDefault="00A65AEC" w:rsidP="00A65AEC">
      <w:pPr>
        <w:pStyle w:val="Paragrafi"/>
        <w:jc w:val="right"/>
        <w:rPr>
          <w:b/>
          <w:lang w:val="sq-AL"/>
        </w:rPr>
      </w:pPr>
      <w:r>
        <w:rPr>
          <w:b/>
          <w:lang w:val="sq-AL"/>
        </w:rPr>
        <w:t>Edi Rama</w:t>
      </w:r>
    </w:p>
    <w:p w:rsidR="00A65AEC" w:rsidRDefault="00A65AEC" w:rsidP="00A65AEC">
      <w:pPr>
        <w:pStyle w:val="Paragrafi"/>
        <w:rPr>
          <w:sz w:val="14"/>
          <w:lang w:val="sq-AL"/>
        </w:rPr>
      </w:pPr>
    </w:p>
    <w:p w:rsidR="00A65AEC" w:rsidRDefault="00A65AEC" w:rsidP="00A65AEC">
      <w:pPr>
        <w:pStyle w:val="Paragrafi"/>
        <w:ind w:firstLine="0"/>
        <w:jc w:val="center"/>
        <w:rPr>
          <w:lang w:val="sq-AL"/>
        </w:rPr>
      </w:pPr>
    </w:p>
    <w:p w:rsidR="00A65AEC" w:rsidRDefault="00A65AEC" w:rsidP="00A65AEC">
      <w:pPr>
        <w:pStyle w:val="Paragrafi"/>
        <w:ind w:firstLine="0"/>
        <w:jc w:val="center"/>
        <w:rPr>
          <w:lang w:val="sq-AL"/>
        </w:rPr>
      </w:pPr>
    </w:p>
    <w:p w:rsidR="00A65AEC" w:rsidRDefault="00A65AEC" w:rsidP="00A65AEC">
      <w:pPr>
        <w:pStyle w:val="Paragrafi"/>
        <w:ind w:firstLine="0"/>
        <w:jc w:val="center"/>
        <w:rPr>
          <w:lang w:val="sq-AL"/>
        </w:rPr>
      </w:pPr>
    </w:p>
    <w:p w:rsidR="00A65AEC" w:rsidRDefault="00A65AEC" w:rsidP="00A65AEC">
      <w:pPr>
        <w:pStyle w:val="Paragrafi"/>
        <w:ind w:firstLine="0"/>
        <w:jc w:val="center"/>
        <w:rPr>
          <w:lang w:val="sq-AL"/>
        </w:rPr>
      </w:pPr>
    </w:p>
    <w:p w:rsidR="00A65AEC" w:rsidRDefault="00A65AEC" w:rsidP="00A65AEC">
      <w:pPr>
        <w:pStyle w:val="Paragrafi"/>
        <w:ind w:firstLine="0"/>
        <w:jc w:val="center"/>
        <w:rPr>
          <w:lang w:val="sq-AL"/>
        </w:rPr>
      </w:pPr>
    </w:p>
    <w:p w:rsidR="00A65AEC" w:rsidRDefault="00A65AEC" w:rsidP="00A65AEC">
      <w:pPr>
        <w:pStyle w:val="Paragrafi"/>
        <w:ind w:firstLine="0"/>
        <w:jc w:val="center"/>
        <w:rPr>
          <w:lang w:val="sq-AL"/>
        </w:rPr>
      </w:pPr>
    </w:p>
    <w:p w:rsidR="00A65AEC" w:rsidRDefault="00A65AEC" w:rsidP="00A65AEC">
      <w:pPr>
        <w:pStyle w:val="Paragrafi"/>
        <w:ind w:firstLine="0"/>
        <w:jc w:val="center"/>
        <w:rPr>
          <w:lang w:val="sq-AL"/>
        </w:rPr>
      </w:pPr>
    </w:p>
    <w:p w:rsidR="00A65AEC" w:rsidRDefault="00A65AEC" w:rsidP="00A65AEC">
      <w:pPr>
        <w:pStyle w:val="Paragrafi"/>
        <w:ind w:firstLine="0"/>
        <w:jc w:val="center"/>
        <w:rPr>
          <w:lang w:val="sq-AL"/>
        </w:rPr>
      </w:pPr>
    </w:p>
    <w:p w:rsidR="00A65AEC" w:rsidRDefault="00A65AEC" w:rsidP="00A65AEC">
      <w:pPr>
        <w:pStyle w:val="Paragrafi"/>
        <w:ind w:firstLine="0"/>
        <w:jc w:val="center"/>
        <w:rPr>
          <w:lang w:val="sq-AL"/>
        </w:rPr>
      </w:pPr>
    </w:p>
    <w:p w:rsidR="00A65AEC" w:rsidRDefault="00A65AEC" w:rsidP="00A65AEC">
      <w:pPr>
        <w:pStyle w:val="Paragrafi"/>
        <w:ind w:firstLine="0"/>
        <w:jc w:val="center"/>
        <w:rPr>
          <w:lang w:val="sq-AL"/>
        </w:rPr>
      </w:pPr>
    </w:p>
    <w:p w:rsidR="00A65AEC" w:rsidRDefault="00A65AEC" w:rsidP="00A65AEC">
      <w:pPr>
        <w:pStyle w:val="Paragrafi"/>
        <w:ind w:firstLine="0"/>
        <w:jc w:val="center"/>
        <w:rPr>
          <w:lang w:val="sq-AL"/>
        </w:rPr>
      </w:pPr>
    </w:p>
    <w:p w:rsidR="00A65AEC" w:rsidRDefault="00A65AEC" w:rsidP="00A65AEC">
      <w:pPr>
        <w:pStyle w:val="Paragrafi"/>
        <w:ind w:firstLine="0"/>
        <w:jc w:val="center"/>
        <w:rPr>
          <w:lang w:val="sq-AL"/>
        </w:rPr>
      </w:pPr>
    </w:p>
    <w:p w:rsidR="00A65AEC" w:rsidRDefault="00A65AEC" w:rsidP="00A65AEC">
      <w:pPr>
        <w:pStyle w:val="Paragrafi"/>
        <w:ind w:firstLine="0"/>
        <w:jc w:val="center"/>
        <w:rPr>
          <w:lang w:val="sq-AL"/>
        </w:rPr>
      </w:pPr>
    </w:p>
    <w:p w:rsidR="00A65AEC" w:rsidRDefault="00A65AEC" w:rsidP="00A65AEC">
      <w:pPr>
        <w:pStyle w:val="Paragrafi"/>
        <w:ind w:firstLine="0"/>
        <w:jc w:val="center"/>
        <w:rPr>
          <w:lang w:val="sq-AL"/>
        </w:rPr>
      </w:pPr>
    </w:p>
    <w:p w:rsidR="00A65AEC" w:rsidRDefault="00A65AEC" w:rsidP="00A65AEC">
      <w:pPr>
        <w:pStyle w:val="Paragrafi"/>
        <w:ind w:firstLine="0"/>
        <w:jc w:val="center"/>
        <w:rPr>
          <w:lang w:val="sq-AL"/>
        </w:rPr>
      </w:pPr>
    </w:p>
    <w:p w:rsidR="00A65AEC" w:rsidRDefault="00A65AEC" w:rsidP="00A65AEC">
      <w:pPr>
        <w:pStyle w:val="Paragrafi"/>
        <w:ind w:firstLine="0"/>
        <w:jc w:val="center"/>
        <w:rPr>
          <w:lang w:val="sq-AL"/>
        </w:rPr>
      </w:pPr>
      <w:r>
        <w:rPr>
          <w:lang w:val="sq-AL"/>
        </w:rPr>
        <w:lastRenderedPageBreak/>
        <w:t xml:space="preserve">VLERËSIMI I RI </w:t>
      </w:r>
    </w:p>
    <w:p w:rsidR="00A65AEC" w:rsidRDefault="00A65AEC" w:rsidP="00A65AEC">
      <w:pPr>
        <w:pStyle w:val="Paragrafi"/>
        <w:ind w:firstLine="0"/>
        <w:jc w:val="center"/>
        <w:rPr>
          <w:lang w:val="sq-AL"/>
        </w:rPr>
      </w:pPr>
      <w:r>
        <w:rPr>
          <w:lang w:val="sq-AL"/>
        </w:rPr>
        <w:t>I KOSTOS PËR PLANIN E RI TË AKTIVITETEVE TË STRATEGJISË,</w:t>
      </w:r>
    </w:p>
    <w:p w:rsidR="00A65AEC" w:rsidRDefault="00A65AEC" w:rsidP="00A65AEC">
      <w:pPr>
        <w:pStyle w:val="Paragrafi"/>
        <w:ind w:firstLine="0"/>
        <w:jc w:val="center"/>
        <w:rPr>
          <w:lang w:val="sq-AL"/>
        </w:rPr>
      </w:pPr>
      <w:r>
        <w:rPr>
          <w:lang w:val="sq-AL"/>
        </w:rPr>
        <w:t>PËR PERIUDHËN 2018–2020</w:t>
      </w:r>
    </w:p>
    <w:p w:rsidR="00A65AEC" w:rsidRDefault="00A65AEC" w:rsidP="00A65AEC">
      <w:pPr>
        <w:pStyle w:val="Paragrafi"/>
        <w:ind w:firstLine="0"/>
        <w:jc w:val="center"/>
        <w:rPr>
          <w:sz w:val="14"/>
          <w:szCs w:val="14"/>
          <w:lang w:val="sq-AL"/>
        </w:rPr>
      </w:pPr>
    </w:p>
    <w:p w:rsidR="00A65AEC" w:rsidRDefault="00A65AEC" w:rsidP="00A65AEC">
      <w:pPr>
        <w:pStyle w:val="Paragrafi"/>
        <w:rPr>
          <w:lang w:val="sq-AL"/>
        </w:rPr>
      </w:pPr>
      <w:r>
        <w:rPr>
          <w:lang w:val="sq-AL"/>
        </w:rPr>
        <w:t xml:space="preserve">Përcaktimi i kostos së realizimit për planin e ri të aktiviteteve për periudhën 2018–2020 u realizua nëpërmjet procesit të vlerësimit të kostos potenciale të nevojshme nga secili institucion, i cili ka përgjegjësinë kryesore në realizimin e aktiviteteve të parashikuara, si dhe bazuar në vlerësimet aktuale të realizuara në kuadër të projekteve të ndryshme që po financojnë një sërë reformash në administratën publike. Duhet të theksohet këtu se kostimi i bërë në momentin e miratimit të SNRAP 2015–2020, për aktivitetet e periudhës 2018–2020, është përfshirë në kostimin e ri. </w:t>
      </w:r>
    </w:p>
    <w:p w:rsidR="00A65AEC" w:rsidRDefault="00A65AEC" w:rsidP="00A65AEC">
      <w:pPr>
        <w:pStyle w:val="Paragrafi"/>
        <w:rPr>
          <w:lang w:val="sq-AL"/>
        </w:rPr>
      </w:pPr>
      <w:r>
        <w:rPr>
          <w:lang w:val="sq-AL"/>
        </w:rPr>
        <w:t xml:space="preserve">Fondet e vlerësuara të nevojshme për zbatimin e veprimeve të planit të ri të aktiviteteve të SNRAP-it për periudhën kohore 2018–2020, parashikohet të jenë në nivelin rreth 1.72 miliardë lekë ose rreth 13.23 milionë euro (për qëllime llogaritjeje është përdorur kursi i këmbimit EUR/ALL 1=130), të detajuara sipas lidhjes 2/1 “Vlerësimi i detajuar i kostos për zbatimin e Strategjisë Ndërsektoriale për Reformën e Administratës Publike për Planin e Veprimit për periudhën 2018–2020”. Duhet të përmendim këtu që në kostimin e strategjisë nuk është përfshirë kostoja administrative (pagesa e nëpunësve, të cilët i kryejnë aktivitetet e tyre për shkak të detyrave të tyre funksionale), si dhe nuk janë kostuar 7 aktivitetet, të cilat lidhen me procedurat e thjeshtuara për ofrimin e shërbimeve dhe zhvillimin e infrastrukturës TIK, për arsye se kjo varet nga proceset që paraprijnë këto aktivitete. </w:t>
      </w:r>
    </w:p>
    <w:p w:rsidR="00A65AEC" w:rsidRDefault="00A65AEC" w:rsidP="00A65AEC">
      <w:pPr>
        <w:spacing w:after="0" w:line="240" w:lineRule="auto"/>
        <w:ind w:firstLine="0"/>
        <w:jc w:val="left"/>
        <w:rPr>
          <w:rFonts w:ascii="Garamond" w:eastAsia="MS Mincho" w:hAnsi="Garamond" w:cs="CG Times"/>
          <w:sz w:val="24"/>
          <w:lang w:val="sq-AL"/>
        </w:rPr>
        <w:sectPr w:rsidR="00A65AEC" w:rsidSect="00A65AEC">
          <w:pgSz w:w="11907" w:h="16840"/>
          <w:pgMar w:top="720" w:right="1134" w:bottom="720" w:left="1134" w:header="851" w:footer="851" w:gutter="0"/>
          <w:cols w:space="454"/>
        </w:sectPr>
      </w:pPr>
    </w:p>
    <w:p w:rsidR="00A65AEC" w:rsidRDefault="00A65AEC" w:rsidP="00A65AEC">
      <w:pPr>
        <w:pStyle w:val="Paragrafi"/>
        <w:rPr>
          <w:lang w:val="sq-AL"/>
        </w:rPr>
      </w:pPr>
    </w:p>
    <w:tbl>
      <w:tblPr>
        <w:tblW w:w="9906" w:type="dxa"/>
        <w:jc w:val="center"/>
        <w:tblBorders>
          <w:top w:val="single" w:sz="4" w:space="0" w:color="7F7F7F"/>
          <w:bottom w:val="single" w:sz="4" w:space="0" w:color="7F7F7F"/>
        </w:tblBorders>
        <w:tblLook w:val="04A0" w:firstRow="1" w:lastRow="0" w:firstColumn="1" w:lastColumn="0" w:noHBand="0" w:noVBand="1"/>
      </w:tblPr>
      <w:tblGrid>
        <w:gridCol w:w="2294"/>
        <w:gridCol w:w="101"/>
        <w:gridCol w:w="1436"/>
        <w:gridCol w:w="6075"/>
      </w:tblGrid>
      <w:tr w:rsidR="00A65AEC" w:rsidTr="00A65AEC">
        <w:trPr>
          <w:trHeight w:val="352"/>
          <w:jc w:val="center"/>
        </w:trPr>
        <w:tc>
          <w:tcPr>
            <w:tcW w:w="3831" w:type="dxa"/>
            <w:gridSpan w:val="3"/>
            <w:tcBorders>
              <w:top w:val="single" w:sz="4" w:space="0" w:color="7F7F7F"/>
              <w:left w:val="nil"/>
              <w:bottom w:val="single" w:sz="4" w:space="0" w:color="7F7F7F"/>
              <w:right w:val="nil"/>
            </w:tcBorders>
            <w:vAlign w:val="center"/>
            <w:hideMark/>
          </w:tcPr>
          <w:p w:rsidR="00A65AEC" w:rsidRDefault="00A65AEC">
            <w:pPr>
              <w:pStyle w:val="Paragrafi"/>
              <w:ind w:firstLine="0"/>
              <w:rPr>
                <w:sz w:val="20"/>
                <w:szCs w:val="20"/>
                <w:lang w:val="sq-AL"/>
              </w:rPr>
            </w:pPr>
            <w:r>
              <w:rPr>
                <w:sz w:val="20"/>
                <w:szCs w:val="20"/>
                <w:lang w:val="sq-AL"/>
              </w:rPr>
              <w:t>Tabela 4. Kostoja e financimit sipas fushave për periudhën 2018–2020</w:t>
            </w:r>
          </w:p>
        </w:tc>
        <w:tc>
          <w:tcPr>
            <w:tcW w:w="6075" w:type="dxa"/>
            <w:tcBorders>
              <w:top w:val="single" w:sz="4" w:space="0" w:color="7F7F7F"/>
              <w:left w:val="nil"/>
              <w:bottom w:val="single" w:sz="4" w:space="0" w:color="7F7F7F"/>
              <w:right w:val="nil"/>
            </w:tcBorders>
            <w:vAlign w:val="center"/>
            <w:hideMark/>
          </w:tcPr>
          <w:p w:rsidR="00A65AEC" w:rsidRDefault="00A65AEC">
            <w:pPr>
              <w:pStyle w:val="Paragrafi"/>
              <w:ind w:firstLine="0"/>
              <w:jc w:val="center"/>
              <w:rPr>
                <w:sz w:val="20"/>
                <w:szCs w:val="20"/>
                <w:lang w:val="sq-AL"/>
              </w:rPr>
            </w:pPr>
            <w:r>
              <w:rPr>
                <w:sz w:val="20"/>
                <w:szCs w:val="20"/>
                <w:lang w:val="sq-AL"/>
              </w:rPr>
              <w:t>Grafiku nr. 4. Pesha specifike e kostos sipas fushave të SNRAP-it</w:t>
            </w:r>
          </w:p>
        </w:tc>
      </w:tr>
      <w:tr w:rsidR="00A65AEC" w:rsidTr="00A65AEC">
        <w:trPr>
          <w:trHeight w:val="352"/>
          <w:jc w:val="center"/>
        </w:trPr>
        <w:tc>
          <w:tcPr>
            <w:tcW w:w="2294" w:type="dxa"/>
            <w:tcBorders>
              <w:top w:val="single" w:sz="4" w:space="0" w:color="7F7F7F"/>
              <w:left w:val="nil"/>
              <w:bottom w:val="single" w:sz="4" w:space="0" w:color="7F7F7F"/>
              <w:right w:val="nil"/>
            </w:tcBorders>
            <w:vAlign w:val="center"/>
            <w:hideMark/>
          </w:tcPr>
          <w:p w:rsidR="00A65AEC" w:rsidRDefault="00A65AEC">
            <w:pPr>
              <w:pStyle w:val="Paragrafi"/>
              <w:ind w:firstLine="0"/>
              <w:jc w:val="left"/>
              <w:rPr>
                <w:b/>
                <w:sz w:val="20"/>
                <w:szCs w:val="20"/>
                <w:lang w:val="sq-AL"/>
              </w:rPr>
            </w:pPr>
            <w:r>
              <w:rPr>
                <w:b/>
                <w:sz w:val="20"/>
                <w:szCs w:val="20"/>
                <w:lang w:val="sq-AL"/>
              </w:rPr>
              <w:t>Fushat</w:t>
            </w:r>
          </w:p>
        </w:tc>
        <w:tc>
          <w:tcPr>
            <w:tcW w:w="1537" w:type="dxa"/>
            <w:gridSpan w:val="2"/>
            <w:tcBorders>
              <w:top w:val="single" w:sz="4" w:space="0" w:color="7F7F7F"/>
              <w:left w:val="nil"/>
              <w:bottom w:val="single" w:sz="4" w:space="0" w:color="7F7F7F"/>
              <w:right w:val="nil"/>
            </w:tcBorders>
            <w:vAlign w:val="center"/>
            <w:hideMark/>
          </w:tcPr>
          <w:p w:rsidR="00A65AEC" w:rsidRDefault="00A65AEC">
            <w:pPr>
              <w:pStyle w:val="Paragrafi"/>
              <w:ind w:firstLine="0"/>
              <w:jc w:val="left"/>
              <w:rPr>
                <w:b/>
                <w:sz w:val="20"/>
                <w:szCs w:val="20"/>
                <w:lang w:val="sq-AL"/>
              </w:rPr>
            </w:pPr>
            <w:r>
              <w:rPr>
                <w:b/>
                <w:sz w:val="20"/>
                <w:szCs w:val="20"/>
                <w:lang w:val="sq-AL"/>
              </w:rPr>
              <w:t>Vlera (000 lekë)</w:t>
            </w:r>
          </w:p>
        </w:tc>
        <w:tc>
          <w:tcPr>
            <w:tcW w:w="6075" w:type="dxa"/>
            <w:vMerge w:val="restart"/>
            <w:tcBorders>
              <w:top w:val="single" w:sz="4" w:space="0" w:color="7F7F7F"/>
              <w:left w:val="nil"/>
              <w:bottom w:val="single" w:sz="4" w:space="0" w:color="7F7F7F"/>
              <w:right w:val="nil"/>
            </w:tcBorders>
            <w:vAlign w:val="center"/>
            <w:hideMark/>
          </w:tcPr>
          <w:p w:rsidR="00A65AEC" w:rsidRDefault="00A65AEC">
            <w:pPr>
              <w:pStyle w:val="Paragrafi"/>
              <w:ind w:firstLine="0"/>
              <w:rPr>
                <w:sz w:val="20"/>
                <w:szCs w:val="20"/>
                <w:lang w:val="sq-AL"/>
              </w:rPr>
            </w:pPr>
            <w:r>
              <w:rPr>
                <w:noProof/>
                <w:sz w:val="20"/>
                <w:szCs w:val="20"/>
              </w:rPr>
              <w:drawing>
                <wp:inline distT="0" distB="0" distL="0" distR="0">
                  <wp:extent cx="3713480" cy="1884680"/>
                  <wp:effectExtent l="0" t="0" r="127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13480" cy="1884680"/>
                          </a:xfrm>
                          <a:prstGeom prst="rect">
                            <a:avLst/>
                          </a:prstGeom>
                          <a:noFill/>
                          <a:ln>
                            <a:noFill/>
                          </a:ln>
                        </pic:spPr>
                      </pic:pic>
                    </a:graphicData>
                  </a:graphic>
                </wp:inline>
              </w:drawing>
            </w:r>
          </w:p>
        </w:tc>
      </w:tr>
      <w:tr w:rsidR="00A65AEC" w:rsidTr="00A65AEC">
        <w:trPr>
          <w:trHeight w:val="386"/>
          <w:jc w:val="center"/>
        </w:trPr>
        <w:tc>
          <w:tcPr>
            <w:tcW w:w="2395" w:type="dxa"/>
            <w:gridSpan w:val="2"/>
            <w:tcBorders>
              <w:top w:val="nil"/>
              <w:left w:val="nil"/>
              <w:bottom w:val="nil"/>
              <w:right w:val="nil"/>
            </w:tcBorders>
            <w:vAlign w:val="center"/>
            <w:hideMark/>
          </w:tcPr>
          <w:p w:rsidR="00A65AEC" w:rsidRDefault="00A65AEC">
            <w:pPr>
              <w:pStyle w:val="Paragrafi"/>
              <w:ind w:firstLine="0"/>
              <w:jc w:val="left"/>
              <w:rPr>
                <w:b/>
                <w:sz w:val="20"/>
                <w:szCs w:val="20"/>
                <w:lang w:val="sq-AL"/>
              </w:rPr>
            </w:pPr>
            <w:r>
              <w:rPr>
                <w:b/>
                <w:sz w:val="20"/>
                <w:szCs w:val="20"/>
                <w:lang w:val="sq-AL"/>
              </w:rPr>
              <w:t>Politikëbërja dhe cilësia e legjislacionit</w:t>
            </w:r>
          </w:p>
        </w:tc>
        <w:tc>
          <w:tcPr>
            <w:tcW w:w="1436" w:type="dxa"/>
            <w:tcBorders>
              <w:top w:val="nil"/>
              <w:left w:val="nil"/>
              <w:bottom w:val="nil"/>
              <w:right w:val="nil"/>
            </w:tcBorders>
            <w:vAlign w:val="center"/>
            <w:hideMark/>
          </w:tcPr>
          <w:p w:rsidR="00A65AEC" w:rsidRDefault="00A65AEC">
            <w:pPr>
              <w:pStyle w:val="Paragrafi"/>
              <w:ind w:firstLine="0"/>
              <w:jc w:val="right"/>
              <w:rPr>
                <w:sz w:val="20"/>
                <w:szCs w:val="20"/>
                <w:lang w:val="sq-AL"/>
              </w:rPr>
            </w:pPr>
            <w:r>
              <w:rPr>
                <w:sz w:val="20"/>
                <w:szCs w:val="20"/>
                <w:lang w:val="sq-AL"/>
              </w:rPr>
              <w:t xml:space="preserve"> 143,463 </w:t>
            </w:r>
          </w:p>
        </w:tc>
        <w:tc>
          <w:tcPr>
            <w:tcW w:w="0" w:type="auto"/>
            <w:vMerge/>
            <w:tcBorders>
              <w:top w:val="single" w:sz="4" w:space="0" w:color="7F7F7F"/>
              <w:left w:val="nil"/>
              <w:bottom w:val="single" w:sz="4" w:space="0" w:color="7F7F7F"/>
              <w:right w:val="nil"/>
            </w:tcBorders>
            <w:vAlign w:val="center"/>
            <w:hideMark/>
          </w:tcPr>
          <w:p w:rsidR="00A65AEC" w:rsidRDefault="00A65AEC">
            <w:pPr>
              <w:spacing w:after="0" w:line="240" w:lineRule="auto"/>
              <w:ind w:firstLine="0"/>
              <w:jc w:val="left"/>
              <w:rPr>
                <w:rFonts w:ascii="Garamond" w:eastAsia="MS Mincho" w:hAnsi="Garamond" w:cs="CG Times"/>
                <w:sz w:val="20"/>
                <w:szCs w:val="20"/>
                <w:lang w:val="sq-AL"/>
              </w:rPr>
            </w:pPr>
          </w:p>
        </w:tc>
      </w:tr>
      <w:tr w:rsidR="00A65AEC" w:rsidTr="00A65AEC">
        <w:trPr>
          <w:trHeight w:val="260"/>
          <w:jc w:val="center"/>
        </w:trPr>
        <w:tc>
          <w:tcPr>
            <w:tcW w:w="2395" w:type="dxa"/>
            <w:gridSpan w:val="2"/>
            <w:tcBorders>
              <w:top w:val="single" w:sz="4" w:space="0" w:color="7F7F7F"/>
              <w:left w:val="nil"/>
              <w:bottom w:val="single" w:sz="4" w:space="0" w:color="7F7F7F"/>
              <w:right w:val="nil"/>
            </w:tcBorders>
            <w:vAlign w:val="center"/>
            <w:hideMark/>
          </w:tcPr>
          <w:p w:rsidR="00A65AEC" w:rsidRDefault="00A65AEC">
            <w:pPr>
              <w:pStyle w:val="Paragrafi"/>
              <w:ind w:firstLine="0"/>
              <w:jc w:val="left"/>
              <w:rPr>
                <w:b/>
                <w:sz w:val="20"/>
                <w:szCs w:val="20"/>
                <w:lang w:val="sq-AL"/>
              </w:rPr>
            </w:pPr>
            <w:r>
              <w:rPr>
                <w:b/>
                <w:sz w:val="20"/>
                <w:szCs w:val="20"/>
                <w:lang w:val="sq-AL"/>
              </w:rPr>
              <w:t>Organizimi dhe funksionimi i administratës publike</w:t>
            </w:r>
          </w:p>
        </w:tc>
        <w:tc>
          <w:tcPr>
            <w:tcW w:w="1436" w:type="dxa"/>
            <w:tcBorders>
              <w:top w:val="single" w:sz="4" w:space="0" w:color="7F7F7F"/>
              <w:left w:val="nil"/>
              <w:bottom w:val="single" w:sz="4" w:space="0" w:color="7F7F7F"/>
              <w:right w:val="nil"/>
            </w:tcBorders>
            <w:vAlign w:val="center"/>
            <w:hideMark/>
          </w:tcPr>
          <w:p w:rsidR="00A65AEC" w:rsidRDefault="00A65AEC">
            <w:pPr>
              <w:pStyle w:val="Paragrafi"/>
              <w:ind w:firstLine="0"/>
              <w:jc w:val="right"/>
              <w:rPr>
                <w:sz w:val="20"/>
                <w:szCs w:val="20"/>
                <w:lang w:val="sq-AL"/>
              </w:rPr>
            </w:pPr>
            <w:r>
              <w:rPr>
                <w:sz w:val="20"/>
                <w:szCs w:val="20"/>
                <w:lang w:val="sq-AL"/>
              </w:rPr>
              <w:t xml:space="preserve"> 1,293,799</w:t>
            </w:r>
          </w:p>
        </w:tc>
        <w:tc>
          <w:tcPr>
            <w:tcW w:w="0" w:type="auto"/>
            <w:vMerge/>
            <w:tcBorders>
              <w:top w:val="single" w:sz="4" w:space="0" w:color="7F7F7F"/>
              <w:left w:val="nil"/>
              <w:bottom w:val="single" w:sz="4" w:space="0" w:color="7F7F7F"/>
              <w:right w:val="nil"/>
            </w:tcBorders>
            <w:vAlign w:val="center"/>
            <w:hideMark/>
          </w:tcPr>
          <w:p w:rsidR="00A65AEC" w:rsidRDefault="00A65AEC">
            <w:pPr>
              <w:spacing w:after="0" w:line="240" w:lineRule="auto"/>
              <w:ind w:firstLine="0"/>
              <w:jc w:val="left"/>
              <w:rPr>
                <w:rFonts w:ascii="Garamond" w:eastAsia="MS Mincho" w:hAnsi="Garamond" w:cs="CG Times"/>
                <w:sz w:val="20"/>
                <w:szCs w:val="20"/>
                <w:lang w:val="sq-AL"/>
              </w:rPr>
            </w:pPr>
          </w:p>
        </w:tc>
      </w:tr>
      <w:tr w:rsidR="00A65AEC" w:rsidTr="00A65AEC">
        <w:trPr>
          <w:trHeight w:val="566"/>
          <w:jc w:val="center"/>
        </w:trPr>
        <w:tc>
          <w:tcPr>
            <w:tcW w:w="2395" w:type="dxa"/>
            <w:gridSpan w:val="2"/>
            <w:tcBorders>
              <w:top w:val="nil"/>
              <w:left w:val="nil"/>
              <w:bottom w:val="nil"/>
              <w:right w:val="nil"/>
            </w:tcBorders>
            <w:vAlign w:val="center"/>
            <w:hideMark/>
          </w:tcPr>
          <w:p w:rsidR="00A65AEC" w:rsidRDefault="00A65AEC">
            <w:pPr>
              <w:pStyle w:val="Paragrafi"/>
              <w:ind w:firstLine="0"/>
              <w:jc w:val="left"/>
              <w:rPr>
                <w:b/>
                <w:sz w:val="20"/>
                <w:szCs w:val="20"/>
                <w:lang w:val="sq-AL"/>
              </w:rPr>
            </w:pPr>
            <w:r>
              <w:rPr>
                <w:b/>
                <w:sz w:val="20"/>
                <w:szCs w:val="20"/>
                <w:lang w:val="sq-AL"/>
              </w:rPr>
              <w:t>Shërbimi civil: menaxhimi i burimeve njerëzore</w:t>
            </w:r>
          </w:p>
        </w:tc>
        <w:tc>
          <w:tcPr>
            <w:tcW w:w="1436" w:type="dxa"/>
            <w:tcBorders>
              <w:top w:val="nil"/>
              <w:left w:val="nil"/>
              <w:bottom w:val="nil"/>
              <w:right w:val="nil"/>
            </w:tcBorders>
            <w:vAlign w:val="center"/>
            <w:hideMark/>
          </w:tcPr>
          <w:p w:rsidR="00A65AEC" w:rsidRDefault="00A65AEC">
            <w:pPr>
              <w:pStyle w:val="Paragrafi"/>
              <w:ind w:firstLine="0"/>
              <w:jc w:val="right"/>
              <w:rPr>
                <w:sz w:val="20"/>
                <w:szCs w:val="20"/>
                <w:lang w:val="sq-AL"/>
              </w:rPr>
            </w:pPr>
            <w:r>
              <w:rPr>
                <w:sz w:val="20"/>
                <w:szCs w:val="20"/>
                <w:lang w:val="sq-AL"/>
              </w:rPr>
              <w:t xml:space="preserve"> 86,931 </w:t>
            </w:r>
          </w:p>
        </w:tc>
        <w:tc>
          <w:tcPr>
            <w:tcW w:w="0" w:type="auto"/>
            <w:vMerge/>
            <w:tcBorders>
              <w:top w:val="single" w:sz="4" w:space="0" w:color="7F7F7F"/>
              <w:left w:val="nil"/>
              <w:bottom w:val="single" w:sz="4" w:space="0" w:color="7F7F7F"/>
              <w:right w:val="nil"/>
            </w:tcBorders>
            <w:vAlign w:val="center"/>
            <w:hideMark/>
          </w:tcPr>
          <w:p w:rsidR="00A65AEC" w:rsidRDefault="00A65AEC">
            <w:pPr>
              <w:spacing w:after="0" w:line="240" w:lineRule="auto"/>
              <w:ind w:firstLine="0"/>
              <w:jc w:val="left"/>
              <w:rPr>
                <w:rFonts w:ascii="Garamond" w:eastAsia="MS Mincho" w:hAnsi="Garamond" w:cs="CG Times"/>
                <w:sz w:val="20"/>
                <w:szCs w:val="20"/>
                <w:lang w:val="sq-AL"/>
              </w:rPr>
            </w:pPr>
          </w:p>
        </w:tc>
      </w:tr>
      <w:tr w:rsidR="00A65AEC" w:rsidTr="00A65AEC">
        <w:trPr>
          <w:trHeight w:val="300"/>
          <w:jc w:val="center"/>
        </w:trPr>
        <w:tc>
          <w:tcPr>
            <w:tcW w:w="2395" w:type="dxa"/>
            <w:gridSpan w:val="2"/>
            <w:tcBorders>
              <w:top w:val="single" w:sz="4" w:space="0" w:color="7F7F7F"/>
              <w:left w:val="nil"/>
              <w:bottom w:val="single" w:sz="4" w:space="0" w:color="7F7F7F"/>
              <w:right w:val="nil"/>
            </w:tcBorders>
            <w:vAlign w:val="center"/>
            <w:hideMark/>
          </w:tcPr>
          <w:p w:rsidR="00A65AEC" w:rsidRDefault="00A65AEC">
            <w:pPr>
              <w:pStyle w:val="Paragrafi"/>
              <w:ind w:firstLine="0"/>
              <w:jc w:val="left"/>
              <w:rPr>
                <w:b/>
                <w:sz w:val="20"/>
                <w:szCs w:val="20"/>
                <w:lang w:val="sq-AL"/>
              </w:rPr>
            </w:pPr>
            <w:r>
              <w:rPr>
                <w:b/>
                <w:sz w:val="20"/>
                <w:szCs w:val="20"/>
                <w:lang w:val="sq-AL"/>
              </w:rPr>
              <w:t>Procedurat administrative dhe mbikëqyrja</w:t>
            </w:r>
          </w:p>
        </w:tc>
        <w:tc>
          <w:tcPr>
            <w:tcW w:w="1436" w:type="dxa"/>
            <w:tcBorders>
              <w:top w:val="single" w:sz="4" w:space="0" w:color="7F7F7F"/>
              <w:left w:val="nil"/>
              <w:bottom w:val="single" w:sz="4" w:space="0" w:color="7F7F7F"/>
              <w:right w:val="nil"/>
            </w:tcBorders>
            <w:vAlign w:val="center"/>
            <w:hideMark/>
          </w:tcPr>
          <w:p w:rsidR="00A65AEC" w:rsidRDefault="00A65AEC">
            <w:pPr>
              <w:pStyle w:val="Paragrafi"/>
              <w:ind w:firstLine="0"/>
              <w:jc w:val="right"/>
              <w:rPr>
                <w:sz w:val="20"/>
                <w:szCs w:val="20"/>
                <w:lang w:val="sq-AL"/>
              </w:rPr>
            </w:pPr>
            <w:r>
              <w:rPr>
                <w:sz w:val="20"/>
                <w:szCs w:val="20"/>
                <w:lang w:val="sq-AL"/>
              </w:rPr>
              <w:t>195,960</w:t>
            </w:r>
          </w:p>
        </w:tc>
        <w:tc>
          <w:tcPr>
            <w:tcW w:w="0" w:type="auto"/>
            <w:vMerge/>
            <w:tcBorders>
              <w:top w:val="single" w:sz="4" w:space="0" w:color="7F7F7F"/>
              <w:left w:val="nil"/>
              <w:bottom w:val="single" w:sz="4" w:space="0" w:color="7F7F7F"/>
              <w:right w:val="nil"/>
            </w:tcBorders>
            <w:vAlign w:val="center"/>
            <w:hideMark/>
          </w:tcPr>
          <w:p w:rsidR="00A65AEC" w:rsidRDefault="00A65AEC">
            <w:pPr>
              <w:spacing w:after="0" w:line="240" w:lineRule="auto"/>
              <w:ind w:firstLine="0"/>
              <w:jc w:val="left"/>
              <w:rPr>
                <w:rFonts w:ascii="Garamond" w:eastAsia="MS Mincho" w:hAnsi="Garamond" w:cs="CG Times"/>
                <w:sz w:val="20"/>
                <w:szCs w:val="20"/>
                <w:lang w:val="sq-AL"/>
              </w:rPr>
            </w:pPr>
          </w:p>
        </w:tc>
      </w:tr>
      <w:tr w:rsidR="00A65AEC" w:rsidTr="00A65AEC">
        <w:trPr>
          <w:trHeight w:val="300"/>
          <w:jc w:val="center"/>
        </w:trPr>
        <w:tc>
          <w:tcPr>
            <w:tcW w:w="2395" w:type="dxa"/>
            <w:gridSpan w:val="2"/>
            <w:tcBorders>
              <w:top w:val="nil"/>
              <w:left w:val="nil"/>
              <w:bottom w:val="single" w:sz="4" w:space="0" w:color="7F7F7F"/>
              <w:right w:val="nil"/>
            </w:tcBorders>
            <w:vAlign w:val="center"/>
            <w:hideMark/>
          </w:tcPr>
          <w:p w:rsidR="00A65AEC" w:rsidRDefault="00A65AEC">
            <w:pPr>
              <w:pStyle w:val="Paragrafi"/>
              <w:ind w:firstLine="0"/>
              <w:jc w:val="left"/>
              <w:rPr>
                <w:b/>
                <w:sz w:val="20"/>
                <w:szCs w:val="20"/>
                <w:lang w:val="sq-AL"/>
              </w:rPr>
            </w:pPr>
            <w:r>
              <w:rPr>
                <w:b/>
                <w:sz w:val="20"/>
                <w:szCs w:val="20"/>
                <w:lang w:val="sq-AL"/>
              </w:rPr>
              <w:t>TOTALI</w:t>
            </w:r>
          </w:p>
        </w:tc>
        <w:tc>
          <w:tcPr>
            <w:tcW w:w="1436" w:type="dxa"/>
            <w:tcBorders>
              <w:top w:val="nil"/>
              <w:left w:val="nil"/>
              <w:bottom w:val="single" w:sz="4" w:space="0" w:color="7F7F7F"/>
              <w:right w:val="nil"/>
            </w:tcBorders>
            <w:vAlign w:val="center"/>
            <w:hideMark/>
          </w:tcPr>
          <w:p w:rsidR="00A65AEC" w:rsidRDefault="00A65AEC">
            <w:pPr>
              <w:pStyle w:val="Paragrafi"/>
              <w:ind w:firstLine="0"/>
              <w:jc w:val="right"/>
              <w:rPr>
                <w:sz w:val="20"/>
                <w:szCs w:val="20"/>
                <w:lang w:val="sq-AL"/>
              </w:rPr>
            </w:pPr>
            <w:r>
              <w:rPr>
                <w:sz w:val="20"/>
                <w:szCs w:val="20"/>
                <w:lang w:val="sq-AL"/>
              </w:rPr>
              <w:t>1,720,154</w:t>
            </w:r>
          </w:p>
        </w:tc>
        <w:tc>
          <w:tcPr>
            <w:tcW w:w="0" w:type="auto"/>
            <w:vMerge/>
            <w:tcBorders>
              <w:top w:val="single" w:sz="4" w:space="0" w:color="7F7F7F"/>
              <w:left w:val="nil"/>
              <w:bottom w:val="single" w:sz="4" w:space="0" w:color="7F7F7F"/>
              <w:right w:val="nil"/>
            </w:tcBorders>
            <w:vAlign w:val="center"/>
            <w:hideMark/>
          </w:tcPr>
          <w:p w:rsidR="00A65AEC" w:rsidRDefault="00A65AEC">
            <w:pPr>
              <w:spacing w:after="0" w:line="240" w:lineRule="auto"/>
              <w:ind w:firstLine="0"/>
              <w:jc w:val="left"/>
              <w:rPr>
                <w:rFonts w:ascii="Garamond" w:eastAsia="MS Mincho" w:hAnsi="Garamond" w:cs="CG Times"/>
                <w:sz w:val="20"/>
                <w:szCs w:val="20"/>
                <w:lang w:val="sq-AL"/>
              </w:rPr>
            </w:pPr>
          </w:p>
        </w:tc>
      </w:tr>
    </w:tbl>
    <w:p w:rsidR="00A65AEC" w:rsidRDefault="00A65AEC" w:rsidP="00A65AEC">
      <w:pPr>
        <w:pStyle w:val="Paragrafi"/>
        <w:rPr>
          <w:lang w:val="sq-AL"/>
        </w:rPr>
      </w:pPr>
    </w:p>
    <w:p w:rsidR="00A65AEC" w:rsidRDefault="00A65AEC" w:rsidP="00A65AEC">
      <w:pPr>
        <w:spacing w:after="0" w:line="240" w:lineRule="auto"/>
        <w:ind w:firstLine="0"/>
        <w:jc w:val="left"/>
        <w:rPr>
          <w:rFonts w:ascii="Garamond" w:eastAsia="MS Mincho" w:hAnsi="Garamond" w:cs="CG Times"/>
          <w:sz w:val="24"/>
          <w:lang w:val="sq-AL"/>
        </w:rPr>
        <w:sectPr w:rsidR="00A65AEC" w:rsidSect="00A65AEC">
          <w:type w:val="continuous"/>
          <w:pgSz w:w="11907" w:h="16840"/>
          <w:pgMar w:top="720" w:right="1134" w:bottom="720" w:left="1134" w:header="851" w:footer="851" w:gutter="0"/>
          <w:cols w:space="720"/>
        </w:sectPr>
      </w:pPr>
    </w:p>
    <w:p w:rsidR="00A65AEC" w:rsidRDefault="00A65AEC" w:rsidP="00A65AEC">
      <w:pPr>
        <w:pStyle w:val="Paragrafi"/>
        <w:rPr>
          <w:lang w:val="sq-AL"/>
        </w:rPr>
      </w:pPr>
      <w:r>
        <w:rPr>
          <w:lang w:val="sq-AL"/>
        </w:rPr>
        <w:t>Siç vihet re, nga tabela 4 më sipër, peshën specifike më të madhe e zënë shpenzimet për zbatimin e aktiviteteve në fushën e organizimit dhe funksionimit të administratës publike, të cilat janë investime në fushën kryesisht të inovacionit, ku peshën kryesore e zënë investimet për sistemin IPSIS dhe objektivat që lidhen me përmirësime të shërbimeve ndaj publikut me qëllim rritjen e eficiencës, transparencës dhe komunikimit me publikun, të cilat, në një masë të madhe, përfshijnë një reformë të thellë në drejtim të infrastrukturës së teknologjisë së informacionit.</w:t>
      </w:r>
    </w:p>
    <w:p w:rsidR="00A65AEC" w:rsidRDefault="00A65AEC" w:rsidP="00A65AEC">
      <w:pPr>
        <w:pStyle w:val="Paragrafi"/>
        <w:rPr>
          <w:lang w:val="sq-AL"/>
        </w:rPr>
      </w:pPr>
      <w:r>
        <w:rPr>
          <w:lang w:val="sq-AL"/>
        </w:rPr>
        <w:t>Shpenzimet për investimet në ICT zënë gati 72% të totalit të investimeve të nevojshme për zbatimin e reformës në administratën publike në vitet e ardhshme. Krahasuar me planin e kaluar 2015–2017, shpenzimet e trajnimit kanë pësuar një rritje në peshë specifike, nga rreth 4% në rreth 11% në planin e ri. Kjo rritje e peshës specifike vjen si rezultat i zbatimit të programit të shkëmbimit të eksperiencës së punonjësve të rinj të administratës publike, i cili financohet në masën 1 milion EUR.</w:t>
      </w:r>
    </w:p>
    <w:p w:rsidR="00A65AEC" w:rsidRDefault="00A65AEC" w:rsidP="00A65AEC">
      <w:pPr>
        <w:spacing w:after="0" w:line="240" w:lineRule="auto"/>
        <w:ind w:firstLine="0"/>
        <w:jc w:val="left"/>
        <w:rPr>
          <w:rFonts w:ascii="Garamond" w:eastAsia="MS Mincho" w:hAnsi="Garamond" w:cs="CG Times"/>
          <w:sz w:val="24"/>
          <w:lang w:val="sq-AL"/>
        </w:rPr>
        <w:sectPr w:rsidR="00A65AEC" w:rsidSect="00A65AEC">
          <w:type w:val="continuous"/>
          <w:pgSz w:w="11907" w:h="16840"/>
          <w:pgMar w:top="720" w:right="1134" w:bottom="720" w:left="1134" w:header="851" w:footer="851" w:gutter="0"/>
          <w:cols w:space="454"/>
        </w:sectPr>
      </w:pPr>
    </w:p>
    <w:p w:rsidR="00A65AEC" w:rsidRDefault="00A65AEC" w:rsidP="00A65AEC">
      <w:pPr>
        <w:pStyle w:val="Paragrafi"/>
        <w:rPr>
          <w:lang w:val="sq-AL"/>
        </w:rPr>
      </w:pPr>
    </w:p>
    <w:p w:rsidR="00A65AEC" w:rsidRDefault="00A65AEC" w:rsidP="00A65AEC">
      <w:pPr>
        <w:pStyle w:val="Paragrafi"/>
        <w:rPr>
          <w:lang w:val="sq-AL"/>
        </w:rPr>
      </w:pPr>
    </w:p>
    <w:p w:rsidR="00A65AEC" w:rsidRDefault="00A65AEC" w:rsidP="00A65AEC">
      <w:pPr>
        <w:pStyle w:val="Paragrafi"/>
        <w:rPr>
          <w:lang w:val="sq-AL"/>
        </w:rPr>
      </w:pPr>
    </w:p>
    <w:p w:rsidR="00A65AEC" w:rsidRDefault="00A65AEC" w:rsidP="00A65AEC">
      <w:pPr>
        <w:pStyle w:val="Paragrafi"/>
        <w:rPr>
          <w:lang w:val="sq-AL"/>
        </w:rPr>
      </w:pPr>
    </w:p>
    <w:p w:rsidR="00A65AEC" w:rsidRDefault="00A65AEC" w:rsidP="00A65AEC">
      <w:pPr>
        <w:pStyle w:val="Paragrafi"/>
        <w:rPr>
          <w:lang w:val="sq-AL"/>
        </w:rPr>
      </w:pPr>
    </w:p>
    <w:p w:rsidR="00A65AEC" w:rsidRDefault="00A65AEC" w:rsidP="00A65AEC">
      <w:pPr>
        <w:pStyle w:val="Paragrafi"/>
        <w:rPr>
          <w:lang w:val="sq-AL"/>
        </w:rPr>
      </w:pPr>
    </w:p>
    <w:p w:rsidR="00A65AEC" w:rsidRDefault="00A65AEC" w:rsidP="00A65AEC">
      <w:pPr>
        <w:pStyle w:val="Paragrafi"/>
        <w:rPr>
          <w:lang w:val="sq-AL"/>
        </w:rPr>
      </w:pPr>
    </w:p>
    <w:p w:rsidR="00A65AEC" w:rsidRDefault="00A65AEC" w:rsidP="00A65AEC">
      <w:pPr>
        <w:pStyle w:val="Paragrafi"/>
        <w:rPr>
          <w:lang w:val="sq-AL"/>
        </w:rPr>
      </w:pPr>
    </w:p>
    <w:p w:rsidR="00A65AEC" w:rsidRDefault="00A65AEC" w:rsidP="00A65AEC">
      <w:pPr>
        <w:pStyle w:val="Paragrafi"/>
        <w:rPr>
          <w:lang w:val="sq-AL"/>
        </w:rPr>
      </w:pPr>
    </w:p>
    <w:p w:rsidR="00A65AEC" w:rsidRDefault="00A65AEC" w:rsidP="00A65AEC">
      <w:pPr>
        <w:pStyle w:val="Paragrafi"/>
        <w:rPr>
          <w:lang w:val="sq-AL"/>
        </w:rPr>
      </w:pPr>
    </w:p>
    <w:p w:rsidR="00A65AEC" w:rsidRDefault="00A65AEC" w:rsidP="00A65AEC">
      <w:pPr>
        <w:pStyle w:val="Paragrafi"/>
        <w:rPr>
          <w:lang w:val="sq-AL"/>
        </w:rPr>
      </w:pPr>
    </w:p>
    <w:p w:rsidR="00A65AEC" w:rsidRDefault="00A65AEC" w:rsidP="00A65AEC">
      <w:pPr>
        <w:pStyle w:val="Paragrafi"/>
        <w:rPr>
          <w:lang w:val="sq-AL"/>
        </w:rPr>
      </w:pPr>
    </w:p>
    <w:tbl>
      <w:tblPr>
        <w:tblW w:w="9808" w:type="dxa"/>
        <w:jc w:val="center"/>
        <w:tblBorders>
          <w:top w:val="single" w:sz="4" w:space="0" w:color="7F7F7F"/>
          <w:bottom w:val="single" w:sz="4" w:space="0" w:color="7F7F7F"/>
        </w:tblBorders>
        <w:tblLook w:val="04A0" w:firstRow="1" w:lastRow="0" w:firstColumn="1" w:lastColumn="0" w:noHBand="0" w:noVBand="1"/>
      </w:tblPr>
      <w:tblGrid>
        <w:gridCol w:w="2245"/>
        <w:gridCol w:w="165"/>
        <w:gridCol w:w="1482"/>
        <w:gridCol w:w="5916"/>
      </w:tblGrid>
      <w:tr w:rsidR="00A65AEC" w:rsidTr="00A65AEC">
        <w:trPr>
          <w:trHeight w:val="17"/>
          <w:jc w:val="center"/>
        </w:trPr>
        <w:tc>
          <w:tcPr>
            <w:tcW w:w="3892" w:type="dxa"/>
            <w:gridSpan w:val="3"/>
            <w:tcBorders>
              <w:top w:val="single" w:sz="4" w:space="0" w:color="7F7F7F"/>
              <w:left w:val="nil"/>
              <w:bottom w:val="single" w:sz="4" w:space="0" w:color="7F7F7F"/>
              <w:right w:val="nil"/>
            </w:tcBorders>
            <w:vAlign w:val="center"/>
            <w:hideMark/>
          </w:tcPr>
          <w:p w:rsidR="00A65AEC" w:rsidRDefault="00A65AEC">
            <w:pPr>
              <w:pStyle w:val="Paragrafi"/>
              <w:ind w:firstLine="0"/>
              <w:rPr>
                <w:sz w:val="20"/>
                <w:szCs w:val="20"/>
                <w:lang w:val="sq-AL"/>
              </w:rPr>
            </w:pPr>
            <w:r>
              <w:rPr>
                <w:sz w:val="20"/>
                <w:szCs w:val="20"/>
                <w:lang w:val="sq-AL"/>
              </w:rPr>
              <w:t>Tabela 5. Zërat e</w:t>
            </w:r>
            <w:r>
              <w:rPr>
                <w:b/>
                <w:sz w:val="20"/>
                <w:szCs w:val="20"/>
                <w:lang w:val="sq-AL"/>
              </w:rPr>
              <w:t xml:space="preserve"> </w:t>
            </w:r>
            <w:r>
              <w:rPr>
                <w:sz w:val="20"/>
                <w:szCs w:val="20"/>
                <w:lang w:val="sq-AL"/>
              </w:rPr>
              <w:t>shpenzimeve për periudhën 2018–2020</w:t>
            </w:r>
          </w:p>
        </w:tc>
        <w:tc>
          <w:tcPr>
            <w:tcW w:w="5916" w:type="dxa"/>
            <w:tcBorders>
              <w:top w:val="single" w:sz="4" w:space="0" w:color="7F7F7F"/>
              <w:left w:val="nil"/>
              <w:bottom w:val="single" w:sz="4" w:space="0" w:color="7F7F7F"/>
              <w:right w:val="nil"/>
            </w:tcBorders>
            <w:vAlign w:val="center"/>
            <w:hideMark/>
          </w:tcPr>
          <w:p w:rsidR="00A65AEC" w:rsidRDefault="00A65AEC">
            <w:pPr>
              <w:pStyle w:val="Paragrafi"/>
              <w:ind w:firstLine="0"/>
              <w:jc w:val="center"/>
              <w:rPr>
                <w:sz w:val="20"/>
                <w:szCs w:val="20"/>
                <w:lang w:val="sq-AL"/>
              </w:rPr>
            </w:pPr>
            <w:r>
              <w:rPr>
                <w:sz w:val="20"/>
                <w:szCs w:val="20"/>
                <w:lang w:val="sq-AL"/>
              </w:rPr>
              <w:t>Grafiku nr. 5. Pesha specifike e kostos sipas zërave të SNRAP-it</w:t>
            </w:r>
          </w:p>
        </w:tc>
      </w:tr>
      <w:tr w:rsidR="00A65AEC" w:rsidTr="00A65AEC">
        <w:trPr>
          <w:trHeight w:val="17"/>
          <w:jc w:val="center"/>
        </w:trPr>
        <w:tc>
          <w:tcPr>
            <w:tcW w:w="2245" w:type="dxa"/>
            <w:tcBorders>
              <w:top w:val="single" w:sz="4" w:space="0" w:color="7F7F7F"/>
              <w:left w:val="nil"/>
              <w:bottom w:val="single" w:sz="4" w:space="0" w:color="7F7F7F"/>
              <w:right w:val="nil"/>
            </w:tcBorders>
            <w:vAlign w:val="center"/>
            <w:hideMark/>
          </w:tcPr>
          <w:p w:rsidR="00A65AEC" w:rsidRDefault="00A65AEC">
            <w:pPr>
              <w:pStyle w:val="Paragrafi"/>
              <w:ind w:firstLine="0"/>
              <w:jc w:val="left"/>
              <w:rPr>
                <w:b/>
                <w:sz w:val="20"/>
                <w:szCs w:val="20"/>
                <w:lang w:val="sq-AL"/>
              </w:rPr>
            </w:pPr>
            <w:r>
              <w:rPr>
                <w:b/>
                <w:sz w:val="20"/>
                <w:szCs w:val="20"/>
                <w:lang w:val="sq-AL"/>
              </w:rPr>
              <w:t>Zërat</w:t>
            </w:r>
          </w:p>
        </w:tc>
        <w:tc>
          <w:tcPr>
            <w:tcW w:w="1647" w:type="dxa"/>
            <w:gridSpan w:val="2"/>
            <w:tcBorders>
              <w:top w:val="single" w:sz="4" w:space="0" w:color="7F7F7F"/>
              <w:left w:val="nil"/>
              <w:bottom w:val="single" w:sz="4" w:space="0" w:color="7F7F7F"/>
              <w:right w:val="nil"/>
            </w:tcBorders>
            <w:vAlign w:val="center"/>
            <w:hideMark/>
          </w:tcPr>
          <w:p w:rsidR="00A65AEC" w:rsidRDefault="00A65AEC">
            <w:pPr>
              <w:pStyle w:val="Paragrafi"/>
              <w:ind w:firstLine="0"/>
              <w:rPr>
                <w:b/>
                <w:sz w:val="20"/>
                <w:szCs w:val="20"/>
                <w:lang w:val="sq-AL"/>
              </w:rPr>
            </w:pPr>
            <w:r>
              <w:rPr>
                <w:b/>
                <w:sz w:val="20"/>
                <w:szCs w:val="20"/>
                <w:lang w:val="sq-AL"/>
              </w:rPr>
              <w:t>Vlera (000 lekë)</w:t>
            </w:r>
          </w:p>
        </w:tc>
        <w:tc>
          <w:tcPr>
            <w:tcW w:w="5916" w:type="dxa"/>
            <w:vMerge w:val="restart"/>
            <w:tcBorders>
              <w:top w:val="single" w:sz="4" w:space="0" w:color="7F7F7F"/>
              <w:left w:val="nil"/>
              <w:bottom w:val="nil"/>
              <w:right w:val="nil"/>
            </w:tcBorders>
            <w:vAlign w:val="center"/>
            <w:hideMark/>
          </w:tcPr>
          <w:p w:rsidR="00A65AEC" w:rsidRDefault="00A65AEC">
            <w:pPr>
              <w:pStyle w:val="Paragrafi"/>
              <w:ind w:firstLine="0"/>
              <w:rPr>
                <w:sz w:val="20"/>
                <w:szCs w:val="20"/>
                <w:lang w:val="sq-AL"/>
              </w:rPr>
            </w:pPr>
            <w:r>
              <w:rPr>
                <w:noProof/>
                <w:sz w:val="20"/>
                <w:szCs w:val="20"/>
              </w:rPr>
              <w:drawing>
                <wp:inline distT="0" distB="0" distL="0" distR="0">
                  <wp:extent cx="3601720" cy="163766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01720" cy="1637665"/>
                          </a:xfrm>
                          <a:prstGeom prst="rect">
                            <a:avLst/>
                          </a:prstGeom>
                          <a:noFill/>
                          <a:ln>
                            <a:noFill/>
                          </a:ln>
                        </pic:spPr>
                      </pic:pic>
                    </a:graphicData>
                  </a:graphic>
                </wp:inline>
              </w:drawing>
            </w:r>
          </w:p>
        </w:tc>
      </w:tr>
      <w:tr w:rsidR="00A65AEC" w:rsidTr="00A65AEC">
        <w:trPr>
          <w:trHeight w:val="224"/>
          <w:jc w:val="center"/>
        </w:trPr>
        <w:tc>
          <w:tcPr>
            <w:tcW w:w="2410" w:type="dxa"/>
            <w:gridSpan w:val="2"/>
            <w:tcBorders>
              <w:top w:val="nil"/>
              <w:left w:val="nil"/>
              <w:bottom w:val="nil"/>
              <w:right w:val="nil"/>
            </w:tcBorders>
            <w:hideMark/>
          </w:tcPr>
          <w:p w:rsidR="00A65AEC" w:rsidRDefault="00A65AEC">
            <w:pPr>
              <w:pStyle w:val="Paragrafi"/>
              <w:ind w:firstLine="0"/>
              <w:jc w:val="left"/>
              <w:rPr>
                <w:b/>
                <w:sz w:val="20"/>
                <w:szCs w:val="20"/>
                <w:lang w:val="sq-AL"/>
              </w:rPr>
            </w:pPr>
            <w:r>
              <w:rPr>
                <w:b/>
                <w:sz w:val="20"/>
                <w:szCs w:val="20"/>
                <w:lang w:val="sq-AL"/>
              </w:rPr>
              <w:t xml:space="preserve">Fond page </w:t>
            </w:r>
          </w:p>
        </w:tc>
        <w:tc>
          <w:tcPr>
            <w:tcW w:w="1482" w:type="dxa"/>
            <w:tcBorders>
              <w:top w:val="nil"/>
              <w:left w:val="nil"/>
              <w:bottom w:val="nil"/>
              <w:right w:val="nil"/>
            </w:tcBorders>
            <w:hideMark/>
          </w:tcPr>
          <w:p w:rsidR="00A65AEC" w:rsidRDefault="00A65AEC">
            <w:pPr>
              <w:pStyle w:val="Paragrafi"/>
              <w:ind w:firstLine="0"/>
              <w:jc w:val="right"/>
              <w:rPr>
                <w:sz w:val="20"/>
                <w:szCs w:val="20"/>
                <w:lang w:val="sq-AL"/>
              </w:rPr>
            </w:pPr>
            <w:r>
              <w:rPr>
                <w:sz w:val="20"/>
                <w:szCs w:val="20"/>
                <w:lang w:val="sq-AL"/>
              </w:rPr>
              <w:t xml:space="preserve"> 9,838 </w:t>
            </w:r>
          </w:p>
        </w:tc>
        <w:tc>
          <w:tcPr>
            <w:tcW w:w="0" w:type="auto"/>
            <w:vMerge/>
            <w:tcBorders>
              <w:top w:val="single" w:sz="4" w:space="0" w:color="7F7F7F"/>
              <w:left w:val="nil"/>
              <w:bottom w:val="nil"/>
              <w:right w:val="nil"/>
            </w:tcBorders>
            <w:vAlign w:val="center"/>
            <w:hideMark/>
          </w:tcPr>
          <w:p w:rsidR="00A65AEC" w:rsidRDefault="00A65AEC">
            <w:pPr>
              <w:spacing w:after="0" w:line="240" w:lineRule="auto"/>
              <w:ind w:firstLine="0"/>
              <w:jc w:val="left"/>
              <w:rPr>
                <w:rFonts w:ascii="Garamond" w:eastAsia="MS Mincho" w:hAnsi="Garamond" w:cs="CG Times"/>
                <w:sz w:val="20"/>
                <w:szCs w:val="20"/>
                <w:lang w:val="sq-AL"/>
              </w:rPr>
            </w:pPr>
          </w:p>
        </w:tc>
      </w:tr>
      <w:tr w:rsidR="00A65AEC" w:rsidTr="00A65AEC">
        <w:trPr>
          <w:trHeight w:val="314"/>
          <w:jc w:val="center"/>
        </w:trPr>
        <w:tc>
          <w:tcPr>
            <w:tcW w:w="2410" w:type="dxa"/>
            <w:gridSpan w:val="2"/>
            <w:tcBorders>
              <w:top w:val="single" w:sz="4" w:space="0" w:color="7F7F7F"/>
              <w:left w:val="nil"/>
              <w:bottom w:val="single" w:sz="4" w:space="0" w:color="7F7F7F"/>
              <w:right w:val="nil"/>
            </w:tcBorders>
            <w:hideMark/>
          </w:tcPr>
          <w:p w:rsidR="00A65AEC" w:rsidRDefault="00A65AEC">
            <w:pPr>
              <w:pStyle w:val="Paragrafi"/>
              <w:ind w:firstLine="0"/>
              <w:jc w:val="left"/>
              <w:rPr>
                <w:b/>
                <w:sz w:val="20"/>
                <w:szCs w:val="20"/>
                <w:lang w:val="sq-AL"/>
              </w:rPr>
            </w:pPr>
            <w:r>
              <w:rPr>
                <w:b/>
                <w:sz w:val="20"/>
                <w:szCs w:val="20"/>
                <w:lang w:val="sq-AL"/>
              </w:rPr>
              <w:t xml:space="preserve">Shpenzime trajnimi </w:t>
            </w:r>
          </w:p>
        </w:tc>
        <w:tc>
          <w:tcPr>
            <w:tcW w:w="1482" w:type="dxa"/>
            <w:tcBorders>
              <w:top w:val="single" w:sz="4" w:space="0" w:color="7F7F7F"/>
              <w:left w:val="nil"/>
              <w:bottom w:val="single" w:sz="4" w:space="0" w:color="7F7F7F"/>
              <w:right w:val="nil"/>
            </w:tcBorders>
            <w:hideMark/>
          </w:tcPr>
          <w:p w:rsidR="00A65AEC" w:rsidRDefault="00A65AEC">
            <w:pPr>
              <w:pStyle w:val="Paragrafi"/>
              <w:ind w:firstLine="0"/>
              <w:jc w:val="right"/>
              <w:rPr>
                <w:sz w:val="20"/>
                <w:szCs w:val="20"/>
                <w:lang w:val="sq-AL"/>
              </w:rPr>
            </w:pPr>
            <w:r>
              <w:rPr>
                <w:sz w:val="20"/>
                <w:szCs w:val="20"/>
                <w:lang w:val="sq-AL"/>
              </w:rPr>
              <w:t>193,910</w:t>
            </w:r>
          </w:p>
        </w:tc>
        <w:tc>
          <w:tcPr>
            <w:tcW w:w="0" w:type="auto"/>
            <w:vMerge/>
            <w:tcBorders>
              <w:top w:val="single" w:sz="4" w:space="0" w:color="7F7F7F"/>
              <w:left w:val="nil"/>
              <w:bottom w:val="nil"/>
              <w:right w:val="nil"/>
            </w:tcBorders>
            <w:vAlign w:val="center"/>
            <w:hideMark/>
          </w:tcPr>
          <w:p w:rsidR="00A65AEC" w:rsidRDefault="00A65AEC">
            <w:pPr>
              <w:spacing w:after="0" w:line="240" w:lineRule="auto"/>
              <w:ind w:firstLine="0"/>
              <w:jc w:val="left"/>
              <w:rPr>
                <w:rFonts w:ascii="Garamond" w:eastAsia="MS Mincho" w:hAnsi="Garamond" w:cs="CG Times"/>
                <w:sz w:val="20"/>
                <w:szCs w:val="20"/>
                <w:lang w:val="sq-AL"/>
              </w:rPr>
            </w:pPr>
          </w:p>
        </w:tc>
      </w:tr>
      <w:tr w:rsidR="00A65AEC" w:rsidTr="00A65AEC">
        <w:trPr>
          <w:trHeight w:val="17"/>
          <w:jc w:val="center"/>
        </w:trPr>
        <w:tc>
          <w:tcPr>
            <w:tcW w:w="2410" w:type="dxa"/>
            <w:gridSpan w:val="2"/>
            <w:tcBorders>
              <w:top w:val="nil"/>
              <w:left w:val="nil"/>
              <w:bottom w:val="nil"/>
              <w:right w:val="nil"/>
            </w:tcBorders>
            <w:hideMark/>
          </w:tcPr>
          <w:p w:rsidR="00A65AEC" w:rsidRDefault="00A65AEC">
            <w:pPr>
              <w:pStyle w:val="Paragrafi"/>
              <w:ind w:firstLine="0"/>
              <w:jc w:val="left"/>
              <w:rPr>
                <w:b/>
                <w:sz w:val="20"/>
                <w:szCs w:val="20"/>
                <w:lang w:val="sq-AL"/>
              </w:rPr>
            </w:pPr>
            <w:r>
              <w:rPr>
                <w:b/>
                <w:sz w:val="20"/>
                <w:szCs w:val="20"/>
                <w:lang w:val="sq-AL"/>
              </w:rPr>
              <w:t>Ekspertizë</w:t>
            </w:r>
          </w:p>
        </w:tc>
        <w:tc>
          <w:tcPr>
            <w:tcW w:w="1482" w:type="dxa"/>
            <w:tcBorders>
              <w:top w:val="nil"/>
              <w:left w:val="nil"/>
              <w:bottom w:val="nil"/>
              <w:right w:val="nil"/>
            </w:tcBorders>
            <w:hideMark/>
          </w:tcPr>
          <w:p w:rsidR="00A65AEC" w:rsidRDefault="00A65AEC">
            <w:pPr>
              <w:pStyle w:val="Paragrafi"/>
              <w:ind w:firstLine="0"/>
              <w:jc w:val="right"/>
              <w:rPr>
                <w:sz w:val="20"/>
                <w:szCs w:val="20"/>
                <w:lang w:val="sq-AL"/>
              </w:rPr>
            </w:pPr>
            <w:r>
              <w:rPr>
                <w:sz w:val="20"/>
                <w:szCs w:val="20"/>
                <w:lang w:val="sq-AL"/>
              </w:rPr>
              <w:t xml:space="preserve"> 263,037 </w:t>
            </w:r>
          </w:p>
        </w:tc>
        <w:tc>
          <w:tcPr>
            <w:tcW w:w="0" w:type="auto"/>
            <w:vMerge/>
            <w:tcBorders>
              <w:top w:val="single" w:sz="4" w:space="0" w:color="7F7F7F"/>
              <w:left w:val="nil"/>
              <w:bottom w:val="nil"/>
              <w:right w:val="nil"/>
            </w:tcBorders>
            <w:vAlign w:val="center"/>
            <w:hideMark/>
          </w:tcPr>
          <w:p w:rsidR="00A65AEC" w:rsidRDefault="00A65AEC">
            <w:pPr>
              <w:spacing w:after="0" w:line="240" w:lineRule="auto"/>
              <w:ind w:firstLine="0"/>
              <w:jc w:val="left"/>
              <w:rPr>
                <w:rFonts w:ascii="Garamond" w:eastAsia="MS Mincho" w:hAnsi="Garamond" w:cs="CG Times"/>
                <w:sz w:val="20"/>
                <w:szCs w:val="20"/>
                <w:lang w:val="sq-AL"/>
              </w:rPr>
            </w:pPr>
          </w:p>
        </w:tc>
      </w:tr>
      <w:tr w:rsidR="00A65AEC" w:rsidTr="00A65AEC">
        <w:trPr>
          <w:trHeight w:val="17"/>
          <w:jc w:val="center"/>
        </w:trPr>
        <w:tc>
          <w:tcPr>
            <w:tcW w:w="2410" w:type="dxa"/>
            <w:gridSpan w:val="2"/>
            <w:tcBorders>
              <w:top w:val="single" w:sz="4" w:space="0" w:color="7F7F7F"/>
              <w:left w:val="nil"/>
              <w:bottom w:val="single" w:sz="4" w:space="0" w:color="7F7F7F"/>
              <w:right w:val="nil"/>
            </w:tcBorders>
            <w:hideMark/>
          </w:tcPr>
          <w:p w:rsidR="00A65AEC" w:rsidRDefault="00A65AEC">
            <w:pPr>
              <w:pStyle w:val="Paragrafi"/>
              <w:ind w:firstLine="0"/>
              <w:jc w:val="left"/>
              <w:rPr>
                <w:b/>
                <w:sz w:val="20"/>
                <w:szCs w:val="20"/>
                <w:lang w:val="sq-AL"/>
              </w:rPr>
            </w:pPr>
            <w:r>
              <w:rPr>
                <w:b/>
                <w:sz w:val="20"/>
                <w:szCs w:val="20"/>
                <w:lang w:val="sq-AL"/>
              </w:rPr>
              <w:t>Investime ICT</w:t>
            </w:r>
          </w:p>
        </w:tc>
        <w:tc>
          <w:tcPr>
            <w:tcW w:w="1482" w:type="dxa"/>
            <w:tcBorders>
              <w:top w:val="single" w:sz="4" w:space="0" w:color="7F7F7F"/>
              <w:left w:val="nil"/>
              <w:bottom w:val="single" w:sz="4" w:space="0" w:color="7F7F7F"/>
              <w:right w:val="nil"/>
            </w:tcBorders>
            <w:hideMark/>
          </w:tcPr>
          <w:p w:rsidR="00A65AEC" w:rsidRDefault="00A65AEC">
            <w:pPr>
              <w:pStyle w:val="Paragrafi"/>
              <w:ind w:firstLine="0"/>
              <w:jc w:val="right"/>
              <w:rPr>
                <w:sz w:val="20"/>
                <w:szCs w:val="20"/>
                <w:lang w:val="sq-AL"/>
              </w:rPr>
            </w:pPr>
            <w:r>
              <w:rPr>
                <w:sz w:val="20"/>
                <w:szCs w:val="20"/>
                <w:lang w:val="sq-AL"/>
              </w:rPr>
              <w:t xml:space="preserve"> 1,234,997</w:t>
            </w:r>
          </w:p>
        </w:tc>
        <w:tc>
          <w:tcPr>
            <w:tcW w:w="0" w:type="auto"/>
            <w:vMerge/>
            <w:tcBorders>
              <w:top w:val="single" w:sz="4" w:space="0" w:color="7F7F7F"/>
              <w:left w:val="nil"/>
              <w:bottom w:val="nil"/>
              <w:right w:val="nil"/>
            </w:tcBorders>
            <w:vAlign w:val="center"/>
            <w:hideMark/>
          </w:tcPr>
          <w:p w:rsidR="00A65AEC" w:rsidRDefault="00A65AEC">
            <w:pPr>
              <w:spacing w:after="0" w:line="240" w:lineRule="auto"/>
              <w:ind w:firstLine="0"/>
              <w:jc w:val="left"/>
              <w:rPr>
                <w:rFonts w:ascii="Garamond" w:eastAsia="MS Mincho" w:hAnsi="Garamond" w:cs="CG Times"/>
                <w:sz w:val="20"/>
                <w:szCs w:val="20"/>
                <w:lang w:val="sq-AL"/>
              </w:rPr>
            </w:pPr>
          </w:p>
        </w:tc>
      </w:tr>
      <w:tr w:rsidR="00A65AEC" w:rsidTr="00A65AEC">
        <w:trPr>
          <w:trHeight w:val="395"/>
          <w:jc w:val="center"/>
        </w:trPr>
        <w:tc>
          <w:tcPr>
            <w:tcW w:w="2410" w:type="dxa"/>
            <w:gridSpan w:val="2"/>
            <w:tcBorders>
              <w:top w:val="nil"/>
              <w:left w:val="nil"/>
              <w:bottom w:val="nil"/>
              <w:right w:val="nil"/>
            </w:tcBorders>
            <w:hideMark/>
          </w:tcPr>
          <w:p w:rsidR="00A65AEC" w:rsidRDefault="00A65AEC">
            <w:pPr>
              <w:pStyle w:val="Paragrafi"/>
              <w:ind w:firstLine="0"/>
              <w:jc w:val="left"/>
              <w:rPr>
                <w:b/>
                <w:sz w:val="20"/>
                <w:szCs w:val="20"/>
                <w:lang w:val="sq-AL"/>
              </w:rPr>
            </w:pPr>
            <w:r>
              <w:rPr>
                <w:b/>
                <w:sz w:val="20"/>
                <w:szCs w:val="20"/>
                <w:lang w:val="sq-AL"/>
              </w:rPr>
              <w:t xml:space="preserve">Shpenzime të tjera dhe mirëmbajtjeje </w:t>
            </w:r>
          </w:p>
        </w:tc>
        <w:tc>
          <w:tcPr>
            <w:tcW w:w="1482" w:type="dxa"/>
            <w:tcBorders>
              <w:top w:val="nil"/>
              <w:left w:val="nil"/>
              <w:bottom w:val="nil"/>
              <w:right w:val="nil"/>
            </w:tcBorders>
            <w:hideMark/>
          </w:tcPr>
          <w:p w:rsidR="00A65AEC" w:rsidRDefault="00A65AEC">
            <w:pPr>
              <w:pStyle w:val="Paragrafi"/>
              <w:ind w:firstLine="0"/>
              <w:jc w:val="right"/>
              <w:rPr>
                <w:sz w:val="20"/>
                <w:szCs w:val="20"/>
                <w:lang w:val="sq-AL"/>
              </w:rPr>
            </w:pPr>
            <w:r>
              <w:rPr>
                <w:sz w:val="20"/>
                <w:szCs w:val="20"/>
                <w:lang w:val="sq-AL"/>
              </w:rPr>
              <w:t xml:space="preserve"> </w:t>
            </w:r>
          </w:p>
          <w:p w:rsidR="00A65AEC" w:rsidRDefault="00A65AEC">
            <w:pPr>
              <w:pStyle w:val="Paragrafi"/>
              <w:ind w:firstLine="0"/>
              <w:jc w:val="right"/>
              <w:rPr>
                <w:sz w:val="20"/>
                <w:szCs w:val="20"/>
                <w:lang w:val="sq-AL"/>
              </w:rPr>
            </w:pPr>
            <w:r>
              <w:rPr>
                <w:sz w:val="20"/>
                <w:szCs w:val="20"/>
                <w:lang w:val="sq-AL"/>
              </w:rPr>
              <w:t xml:space="preserve">18,370 </w:t>
            </w:r>
          </w:p>
        </w:tc>
        <w:tc>
          <w:tcPr>
            <w:tcW w:w="0" w:type="auto"/>
            <w:vMerge/>
            <w:tcBorders>
              <w:top w:val="single" w:sz="4" w:space="0" w:color="7F7F7F"/>
              <w:left w:val="nil"/>
              <w:bottom w:val="nil"/>
              <w:right w:val="nil"/>
            </w:tcBorders>
            <w:vAlign w:val="center"/>
            <w:hideMark/>
          </w:tcPr>
          <w:p w:rsidR="00A65AEC" w:rsidRDefault="00A65AEC">
            <w:pPr>
              <w:spacing w:after="0" w:line="240" w:lineRule="auto"/>
              <w:ind w:firstLine="0"/>
              <w:jc w:val="left"/>
              <w:rPr>
                <w:rFonts w:ascii="Garamond" w:eastAsia="MS Mincho" w:hAnsi="Garamond" w:cs="CG Times"/>
                <w:sz w:val="20"/>
                <w:szCs w:val="20"/>
                <w:lang w:val="sq-AL"/>
              </w:rPr>
            </w:pPr>
          </w:p>
        </w:tc>
      </w:tr>
      <w:tr w:rsidR="00A65AEC" w:rsidTr="00A65AEC">
        <w:trPr>
          <w:trHeight w:val="206"/>
          <w:jc w:val="center"/>
        </w:trPr>
        <w:tc>
          <w:tcPr>
            <w:tcW w:w="2410" w:type="dxa"/>
            <w:gridSpan w:val="2"/>
            <w:tcBorders>
              <w:top w:val="single" w:sz="4" w:space="0" w:color="7F7F7F"/>
              <w:left w:val="nil"/>
              <w:bottom w:val="single" w:sz="4" w:space="0" w:color="7F7F7F"/>
              <w:right w:val="nil"/>
            </w:tcBorders>
            <w:hideMark/>
          </w:tcPr>
          <w:p w:rsidR="00A65AEC" w:rsidRDefault="00A65AEC">
            <w:pPr>
              <w:pStyle w:val="Paragrafi"/>
              <w:ind w:firstLine="0"/>
              <w:jc w:val="left"/>
              <w:rPr>
                <w:b/>
                <w:sz w:val="20"/>
                <w:szCs w:val="20"/>
                <w:lang w:val="sq-AL"/>
              </w:rPr>
            </w:pPr>
            <w:r>
              <w:rPr>
                <w:b/>
                <w:sz w:val="20"/>
                <w:szCs w:val="20"/>
                <w:lang w:val="sq-AL"/>
              </w:rPr>
              <w:t>TOTALI</w:t>
            </w:r>
          </w:p>
        </w:tc>
        <w:tc>
          <w:tcPr>
            <w:tcW w:w="1482" w:type="dxa"/>
            <w:tcBorders>
              <w:top w:val="single" w:sz="4" w:space="0" w:color="7F7F7F"/>
              <w:left w:val="nil"/>
              <w:bottom w:val="single" w:sz="4" w:space="0" w:color="7F7F7F"/>
              <w:right w:val="nil"/>
            </w:tcBorders>
            <w:hideMark/>
          </w:tcPr>
          <w:p w:rsidR="00A65AEC" w:rsidRDefault="00A65AEC">
            <w:pPr>
              <w:pStyle w:val="Paragrafi"/>
              <w:ind w:firstLine="0"/>
              <w:jc w:val="right"/>
              <w:rPr>
                <w:b/>
                <w:sz w:val="20"/>
                <w:szCs w:val="20"/>
                <w:lang w:val="sq-AL"/>
              </w:rPr>
            </w:pPr>
            <w:r>
              <w:rPr>
                <w:b/>
                <w:sz w:val="20"/>
                <w:szCs w:val="20"/>
                <w:lang w:val="sq-AL"/>
              </w:rPr>
              <w:t>1,720,154</w:t>
            </w:r>
          </w:p>
        </w:tc>
        <w:tc>
          <w:tcPr>
            <w:tcW w:w="5916" w:type="dxa"/>
            <w:tcBorders>
              <w:top w:val="single" w:sz="4" w:space="0" w:color="7F7F7F"/>
              <w:left w:val="nil"/>
              <w:bottom w:val="single" w:sz="4" w:space="0" w:color="7F7F7F"/>
              <w:right w:val="nil"/>
            </w:tcBorders>
            <w:vAlign w:val="center"/>
          </w:tcPr>
          <w:p w:rsidR="00A65AEC" w:rsidRDefault="00A65AEC">
            <w:pPr>
              <w:pStyle w:val="Paragrafi"/>
              <w:ind w:firstLine="0"/>
              <w:rPr>
                <w:sz w:val="20"/>
                <w:szCs w:val="20"/>
                <w:lang w:val="sq-AL"/>
              </w:rPr>
            </w:pPr>
          </w:p>
        </w:tc>
      </w:tr>
    </w:tbl>
    <w:p w:rsidR="00A65AEC" w:rsidRDefault="00A65AEC" w:rsidP="00A65AEC">
      <w:pPr>
        <w:pStyle w:val="Paragrafi"/>
        <w:rPr>
          <w:sz w:val="14"/>
          <w:lang w:val="sq-AL"/>
        </w:rPr>
      </w:pPr>
    </w:p>
    <w:p w:rsidR="00A65AEC" w:rsidRDefault="00A65AEC" w:rsidP="00A65AEC">
      <w:pPr>
        <w:pStyle w:val="Paragrafi"/>
        <w:rPr>
          <w:lang w:val="sq-AL"/>
        </w:rPr>
      </w:pPr>
      <w:r>
        <w:rPr>
          <w:lang w:val="sq-AL"/>
        </w:rPr>
        <w:t xml:space="preserve">Duhet përmendur që niveli i boshllëkut financiar është shumë i ulët. Ai përllogaritet të jetë vetëm 4% (grafiku 6 më poshtë). Ky nivel mund të ulet më tej nëse një pjesë e aktiviteteve të planifikuara do të mbështeten nga OECD/SIGMA në fusha ku asistenca e kësaj të fundit ka qenë e rëndësishme për qeverinë, si: RIA, konsultimi publik etj. </w:t>
      </w:r>
    </w:p>
    <w:p w:rsidR="00A65AEC" w:rsidRDefault="00A65AEC" w:rsidP="00A65AEC">
      <w:pPr>
        <w:pStyle w:val="Paragrafi"/>
        <w:rPr>
          <w:lang w:val="sq-AL"/>
        </w:rPr>
      </w:pPr>
    </w:p>
    <w:tbl>
      <w:tblPr>
        <w:tblW w:w="9857" w:type="dxa"/>
        <w:jc w:val="center"/>
        <w:tblLook w:val="04A0" w:firstRow="1" w:lastRow="0" w:firstColumn="1" w:lastColumn="0" w:noHBand="0" w:noVBand="1"/>
      </w:tblPr>
      <w:tblGrid>
        <w:gridCol w:w="1188"/>
        <w:gridCol w:w="307"/>
        <w:gridCol w:w="1272"/>
        <w:gridCol w:w="7116"/>
      </w:tblGrid>
      <w:tr w:rsidR="00A65AEC" w:rsidTr="00A65AEC">
        <w:trPr>
          <w:trHeight w:val="405"/>
          <w:jc w:val="center"/>
        </w:trPr>
        <w:tc>
          <w:tcPr>
            <w:tcW w:w="2767" w:type="dxa"/>
            <w:gridSpan w:val="3"/>
            <w:noWrap/>
            <w:hideMark/>
          </w:tcPr>
          <w:p w:rsidR="00A65AEC" w:rsidRDefault="00A65AEC">
            <w:pPr>
              <w:pStyle w:val="Paragrafi"/>
              <w:ind w:firstLine="0"/>
              <w:rPr>
                <w:sz w:val="20"/>
                <w:szCs w:val="20"/>
                <w:lang w:val="sq-AL"/>
              </w:rPr>
            </w:pPr>
            <w:r>
              <w:rPr>
                <w:sz w:val="20"/>
                <w:szCs w:val="20"/>
                <w:lang w:val="sq-AL"/>
              </w:rPr>
              <w:t>Tabela 6. Burimet e financimit</w:t>
            </w:r>
          </w:p>
        </w:tc>
        <w:tc>
          <w:tcPr>
            <w:tcW w:w="7090" w:type="dxa"/>
            <w:hideMark/>
          </w:tcPr>
          <w:p w:rsidR="00A65AEC" w:rsidRDefault="00A65AEC">
            <w:pPr>
              <w:pStyle w:val="Paragrafi"/>
              <w:ind w:firstLine="0"/>
              <w:jc w:val="center"/>
              <w:rPr>
                <w:sz w:val="20"/>
                <w:szCs w:val="20"/>
                <w:lang w:val="sq-AL"/>
              </w:rPr>
            </w:pPr>
            <w:r>
              <w:rPr>
                <w:sz w:val="20"/>
                <w:szCs w:val="20"/>
                <w:lang w:val="sq-AL"/>
              </w:rPr>
              <w:t>Grafiku 6. Pesha e specifike sipas burimeve të financimit</w:t>
            </w:r>
          </w:p>
        </w:tc>
      </w:tr>
      <w:tr w:rsidR="00A65AEC" w:rsidTr="00A65AEC">
        <w:trPr>
          <w:trHeight w:val="378"/>
          <w:jc w:val="center"/>
        </w:trPr>
        <w:tc>
          <w:tcPr>
            <w:tcW w:w="1188" w:type="dxa"/>
            <w:shd w:val="clear" w:color="auto" w:fill="F2F2F2"/>
            <w:noWrap/>
            <w:hideMark/>
          </w:tcPr>
          <w:p w:rsidR="00A65AEC" w:rsidRDefault="00A65AEC">
            <w:pPr>
              <w:rPr>
                <w:sz w:val="20"/>
                <w:szCs w:val="20"/>
                <w:lang w:val="sq-AL"/>
              </w:rPr>
            </w:pPr>
          </w:p>
        </w:tc>
        <w:tc>
          <w:tcPr>
            <w:tcW w:w="1579" w:type="dxa"/>
            <w:gridSpan w:val="2"/>
            <w:shd w:val="clear" w:color="auto" w:fill="F2F2F2"/>
            <w:noWrap/>
            <w:hideMark/>
          </w:tcPr>
          <w:p w:rsidR="00A65AEC" w:rsidRDefault="00A65AEC">
            <w:pPr>
              <w:pStyle w:val="Paragrafi"/>
              <w:ind w:firstLine="0"/>
              <w:jc w:val="left"/>
              <w:rPr>
                <w:b/>
                <w:sz w:val="20"/>
                <w:szCs w:val="20"/>
                <w:lang w:val="sq-AL"/>
              </w:rPr>
            </w:pPr>
            <w:r>
              <w:rPr>
                <w:b/>
                <w:sz w:val="20"/>
                <w:szCs w:val="20"/>
                <w:lang w:val="sq-AL"/>
              </w:rPr>
              <w:t>Vlera (000 lekë)</w:t>
            </w:r>
          </w:p>
        </w:tc>
        <w:tc>
          <w:tcPr>
            <w:tcW w:w="7090" w:type="dxa"/>
            <w:vMerge w:val="restart"/>
            <w:shd w:val="clear" w:color="auto" w:fill="F2F2F2"/>
            <w:hideMark/>
          </w:tcPr>
          <w:p w:rsidR="00A65AEC" w:rsidRDefault="00A65AEC">
            <w:pPr>
              <w:pStyle w:val="Paragrafi"/>
              <w:ind w:firstLine="0"/>
              <w:rPr>
                <w:sz w:val="20"/>
                <w:szCs w:val="20"/>
                <w:lang w:val="sq-AL"/>
              </w:rPr>
            </w:pPr>
            <w:r>
              <w:rPr>
                <w:noProof/>
                <w:sz w:val="20"/>
                <w:szCs w:val="20"/>
              </w:rPr>
              <w:drawing>
                <wp:inline distT="0" distB="0" distL="0" distR="0">
                  <wp:extent cx="4373245" cy="2075180"/>
                  <wp:effectExtent l="0" t="0" r="8255"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73245" cy="2075180"/>
                          </a:xfrm>
                          <a:prstGeom prst="rect">
                            <a:avLst/>
                          </a:prstGeom>
                          <a:noFill/>
                          <a:ln>
                            <a:noFill/>
                          </a:ln>
                        </pic:spPr>
                      </pic:pic>
                    </a:graphicData>
                  </a:graphic>
                </wp:inline>
              </w:drawing>
            </w:r>
          </w:p>
        </w:tc>
      </w:tr>
      <w:tr w:rsidR="00A65AEC" w:rsidTr="00A65AEC">
        <w:trPr>
          <w:trHeight w:val="20"/>
          <w:jc w:val="center"/>
        </w:trPr>
        <w:tc>
          <w:tcPr>
            <w:tcW w:w="1495" w:type="dxa"/>
            <w:gridSpan w:val="2"/>
            <w:noWrap/>
            <w:hideMark/>
          </w:tcPr>
          <w:p w:rsidR="00A65AEC" w:rsidRDefault="00A65AEC">
            <w:pPr>
              <w:pStyle w:val="Paragrafi"/>
              <w:ind w:firstLine="0"/>
              <w:jc w:val="left"/>
              <w:rPr>
                <w:b/>
                <w:sz w:val="20"/>
                <w:szCs w:val="20"/>
                <w:lang w:val="sq-AL"/>
              </w:rPr>
            </w:pPr>
            <w:r>
              <w:rPr>
                <w:b/>
                <w:sz w:val="20"/>
                <w:szCs w:val="20"/>
                <w:lang w:val="sq-AL"/>
              </w:rPr>
              <w:t>Buxheti i shtetit</w:t>
            </w:r>
          </w:p>
        </w:tc>
        <w:tc>
          <w:tcPr>
            <w:tcW w:w="1272" w:type="dxa"/>
            <w:noWrap/>
            <w:hideMark/>
          </w:tcPr>
          <w:p w:rsidR="00A65AEC" w:rsidRDefault="00A65AEC">
            <w:pPr>
              <w:pStyle w:val="Paragrafi"/>
              <w:ind w:firstLine="0"/>
              <w:jc w:val="right"/>
              <w:rPr>
                <w:sz w:val="20"/>
                <w:szCs w:val="20"/>
                <w:lang w:val="sq-AL"/>
              </w:rPr>
            </w:pPr>
            <w:r>
              <w:rPr>
                <w:sz w:val="20"/>
                <w:szCs w:val="20"/>
                <w:lang w:val="sq-AL"/>
              </w:rPr>
              <w:t>905,932</w:t>
            </w:r>
          </w:p>
        </w:tc>
        <w:tc>
          <w:tcPr>
            <w:tcW w:w="0" w:type="auto"/>
            <w:vMerge/>
            <w:vAlign w:val="center"/>
            <w:hideMark/>
          </w:tcPr>
          <w:p w:rsidR="00A65AEC" w:rsidRDefault="00A65AEC">
            <w:pPr>
              <w:spacing w:after="0" w:line="240" w:lineRule="auto"/>
              <w:ind w:firstLine="0"/>
              <w:jc w:val="left"/>
              <w:rPr>
                <w:rFonts w:ascii="Garamond" w:eastAsia="MS Mincho" w:hAnsi="Garamond" w:cs="CG Times"/>
                <w:sz w:val="20"/>
                <w:szCs w:val="20"/>
                <w:lang w:val="sq-AL"/>
              </w:rPr>
            </w:pPr>
          </w:p>
        </w:tc>
      </w:tr>
      <w:tr w:rsidR="00A65AEC" w:rsidTr="00A65AEC">
        <w:trPr>
          <w:trHeight w:val="20"/>
          <w:jc w:val="center"/>
        </w:trPr>
        <w:tc>
          <w:tcPr>
            <w:tcW w:w="1495" w:type="dxa"/>
            <w:gridSpan w:val="2"/>
            <w:shd w:val="clear" w:color="auto" w:fill="F2F2F2"/>
            <w:noWrap/>
            <w:hideMark/>
          </w:tcPr>
          <w:p w:rsidR="00A65AEC" w:rsidRDefault="00A65AEC">
            <w:pPr>
              <w:pStyle w:val="Paragrafi"/>
              <w:ind w:firstLine="0"/>
              <w:jc w:val="left"/>
              <w:rPr>
                <w:b/>
                <w:sz w:val="20"/>
                <w:szCs w:val="20"/>
                <w:lang w:val="sq-AL"/>
              </w:rPr>
            </w:pPr>
            <w:r>
              <w:rPr>
                <w:b/>
                <w:sz w:val="20"/>
                <w:szCs w:val="20"/>
                <w:lang w:val="sq-AL"/>
              </w:rPr>
              <w:t>EU (IPA)</w:t>
            </w:r>
          </w:p>
        </w:tc>
        <w:tc>
          <w:tcPr>
            <w:tcW w:w="1272" w:type="dxa"/>
            <w:shd w:val="clear" w:color="auto" w:fill="F2F2F2"/>
            <w:noWrap/>
            <w:hideMark/>
          </w:tcPr>
          <w:p w:rsidR="00A65AEC" w:rsidRDefault="00A65AEC">
            <w:pPr>
              <w:pStyle w:val="Paragrafi"/>
              <w:ind w:firstLine="0"/>
              <w:jc w:val="right"/>
              <w:rPr>
                <w:sz w:val="20"/>
                <w:szCs w:val="20"/>
                <w:lang w:val="sq-AL"/>
              </w:rPr>
            </w:pPr>
            <w:r>
              <w:rPr>
                <w:sz w:val="20"/>
                <w:szCs w:val="20"/>
                <w:lang w:val="sq-AL"/>
              </w:rPr>
              <w:t>290,021</w:t>
            </w:r>
          </w:p>
        </w:tc>
        <w:tc>
          <w:tcPr>
            <w:tcW w:w="0" w:type="auto"/>
            <w:vMerge/>
            <w:vAlign w:val="center"/>
            <w:hideMark/>
          </w:tcPr>
          <w:p w:rsidR="00A65AEC" w:rsidRDefault="00A65AEC">
            <w:pPr>
              <w:spacing w:after="0" w:line="240" w:lineRule="auto"/>
              <w:ind w:firstLine="0"/>
              <w:jc w:val="left"/>
              <w:rPr>
                <w:rFonts w:ascii="Garamond" w:eastAsia="MS Mincho" w:hAnsi="Garamond" w:cs="CG Times"/>
                <w:sz w:val="20"/>
                <w:szCs w:val="20"/>
                <w:lang w:val="sq-AL"/>
              </w:rPr>
            </w:pPr>
          </w:p>
        </w:tc>
      </w:tr>
      <w:tr w:rsidR="00A65AEC" w:rsidTr="00A65AEC">
        <w:trPr>
          <w:trHeight w:val="20"/>
          <w:jc w:val="center"/>
        </w:trPr>
        <w:tc>
          <w:tcPr>
            <w:tcW w:w="1495" w:type="dxa"/>
            <w:gridSpan w:val="2"/>
            <w:noWrap/>
            <w:hideMark/>
          </w:tcPr>
          <w:p w:rsidR="00A65AEC" w:rsidRDefault="00A65AEC">
            <w:pPr>
              <w:pStyle w:val="Paragrafi"/>
              <w:ind w:firstLine="0"/>
              <w:jc w:val="left"/>
              <w:rPr>
                <w:b/>
                <w:sz w:val="20"/>
                <w:szCs w:val="20"/>
                <w:lang w:val="sq-AL"/>
              </w:rPr>
            </w:pPr>
            <w:r>
              <w:rPr>
                <w:b/>
                <w:sz w:val="20"/>
                <w:szCs w:val="20"/>
                <w:lang w:val="sq-AL"/>
              </w:rPr>
              <w:t>Donatorë të tjerë</w:t>
            </w:r>
          </w:p>
        </w:tc>
        <w:tc>
          <w:tcPr>
            <w:tcW w:w="1272" w:type="dxa"/>
            <w:noWrap/>
            <w:hideMark/>
          </w:tcPr>
          <w:p w:rsidR="00A65AEC" w:rsidRDefault="00A65AEC">
            <w:pPr>
              <w:pStyle w:val="Paragrafi"/>
              <w:ind w:firstLine="0"/>
              <w:jc w:val="right"/>
              <w:rPr>
                <w:sz w:val="20"/>
                <w:szCs w:val="20"/>
                <w:lang w:val="sq-AL"/>
              </w:rPr>
            </w:pPr>
            <w:r>
              <w:rPr>
                <w:sz w:val="20"/>
                <w:szCs w:val="20"/>
                <w:lang w:val="sq-AL"/>
              </w:rPr>
              <w:t>37,028</w:t>
            </w:r>
          </w:p>
        </w:tc>
        <w:tc>
          <w:tcPr>
            <w:tcW w:w="0" w:type="auto"/>
            <w:vMerge/>
            <w:vAlign w:val="center"/>
            <w:hideMark/>
          </w:tcPr>
          <w:p w:rsidR="00A65AEC" w:rsidRDefault="00A65AEC">
            <w:pPr>
              <w:spacing w:after="0" w:line="240" w:lineRule="auto"/>
              <w:ind w:firstLine="0"/>
              <w:jc w:val="left"/>
              <w:rPr>
                <w:rFonts w:ascii="Garamond" w:eastAsia="MS Mincho" w:hAnsi="Garamond" w:cs="CG Times"/>
                <w:sz w:val="20"/>
                <w:szCs w:val="20"/>
                <w:lang w:val="sq-AL"/>
              </w:rPr>
            </w:pPr>
          </w:p>
        </w:tc>
      </w:tr>
      <w:tr w:rsidR="00A65AEC" w:rsidTr="00A65AEC">
        <w:trPr>
          <w:trHeight w:val="20"/>
          <w:jc w:val="center"/>
        </w:trPr>
        <w:tc>
          <w:tcPr>
            <w:tcW w:w="1495" w:type="dxa"/>
            <w:gridSpan w:val="2"/>
            <w:shd w:val="clear" w:color="auto" w:fill="F2F2F2"/>
            <w:noWrap/>
            <w:hideMark/>
          </w:tcPr>
          <w:p w:rsidR="00A65AEC" w:rsidRDefault="00A65AEC">
            <w:pPr>
              <w:pStyle w:val="Paragrafi"/>
              <w:ind w:firstLine="0"/>
              <w:jc w:val="left"/>
              <w:rPr>
                <w:b/>
                <w:sz w:val="20"/>
                <w:szCs w:val="20"/>
                <w:lang w:val="sq-AL"/>
              </w:rPr>
            </w:pPr>
            <w:r>
              <w:rPr>
                <w:b/>
                <w:sz w:val="20"/>
                <w:szCs w:val="20"/>
                <w:lang w:val="sq-AL"/>
              </w:rPr>
              <w:t xml:space="preserve">Banka Botërore </w:t>
            </w:r>
          </w:p>
        </w:tc>
        <w:tc>
          <w:tcPr>
            <w:tcW w:w="1272" w:type="dxa"/>
            <w:shd w:val="clear" w:color="auto" w:fill="F2F2F2"/>
            <w:noWrap/>
            <w:hideMark/>
          </w:tcPr>
          <w:p w:rsidR="00A65AEC" w:rsidRDefault="00A65AEC">
            <w:pPr>
              <w:pStyle w:val="Paragrafi"/>
              <w:ind w:firstLine="0"/>
              <w:jc w:val="right"/>
              <w:rPr>
                <w:sz w:val="20"/>
                <w:szCs w:val="20"/>
                <w:lang w:val="sq-AL"/>
              </w:rPr>
            </w:pPr>
            <w:r>
              <w:rPr>
                <w:sz w:val="20"/>
                <w:szCs w:val="20"/>
                <w:lang w:val="sq-AL"/>
              </w:rPr>
              <w:t>87,364</w:t>
            </w:r>
          </w:p>
        </w:tc>
        <w:tc>
          <w:tcPr>
            <w:tcW w:w="0" w:type="auto"/>
            <w:vMerge/>
            <w:vAlign w:val="center"/>
            <w:hideMark/>
          </w:tcPr>
          <w:p w:rsidR="00A65AEC" w:rsidRDefault="00A65AEC">
            <w:pPr>
              <w:spacing w:after="0" w:line="240" w:lineRule="auto"/>
              <w:ind w:firstLine="0"/>
              <w:jc w:val="left"/>
              <w:rPr>
                <w:rFonts w:ascii="Garamond" w:eastAsia="MS Mincho" w:hAnsi="Garamond" w:cs="CG Times"/>
                <w:sz w:val="20"/>
                <w:szCs w:val="20"/>
                <w:lang w:val="sq-AL"/>
              </w:rPr>
            </w:pPr>
          </w:p>
        </w:tc>
      </w:tr>
      <w:tr w:rsidR="00A65AEC" w:rsidTr="00A65AEC">
        <w:trPr>
          <w:trHeight w:val="20"/>
          <w:jc w:val="center"/>
        </w:trPr>
        <w:tc>
          <w:tcPr>
            <w:tcW w:w="1495" w:type="dxa"/>
            <w:gridSpan w:val="2"/>
            <w:noWrap/>
            <w:hideMark/>
          </w:tcPr>
          <w:p w:rsidR="00A65AEC" w:rsidRDefault="00A65AEC">
            <w:pPr>
              <w:pStyle w:val="Paragrafi"/>
              <w:ind w:firstLine="0"/>
              <w:jc w:val="left"/>
              <w:rPr>
                <w:b/>
                <w:sz w:val="20"/>
                <w:szCs w:val="20"/>
                <w:lang w:val="sq-AL"/>
              </w:rPr>
            </w:pPr>
            <w:r>
              <w:rPr>
                <w:b/>
                <w:sz w:val="20"/>
                <w:szCs w:val="20"/>
                <w:lang w:val="sq-AL"/>
              </w:rPr>
              <w:t>UNDP</w:t>
            </w:r>
          </w:p>
        </w:tc>
        <w:tc>
          <w:tcPr>
            <w:tcW w:w="1272" w:type="dxa"/>
            <w:noWrap/>
            <w:hideMark/>
          </w:tcPr>
          <w:p w:rsidR="00A65AEC" w:rsidRDefault="00A65AEC">
            <w:pPr>
              <w:pStyle w:val="Paragrafi"/>
              <w:ind w:firstLine="0"/>
              <w:jc w:val="right"/>
              <w:rPr>
                <w:sz w:val="20"/>
                <w:szCs w:val="20"/>
                <w:lang w:val="sq-AL"/>
              </w:rPr>
            </w:pPr>
            <w:r>
              <w:rPr>
                <w:sz w:val="20"/>
                <w:szCs w:val="20"/>
                <w:lang w:val="sq-AL"/>
              </w:rPr>
              <w:t>332,594</w:t>
            </w:r>
          </w:p>
        </w:tc>
        <w:tc>
          <w:tcPr>
            <w:tcW w:w="0" w:type="auto"/>
            <w:vMerge/>
            <w:vAlign w:val="center"/>
            <w:hideMark/>
          </w:tcPr>
          <w:p w:rsidR="00A65AEC" w:rsidRDefault="00A65AEC">
            <w:pPr>
              <w:spacing w:after="0" w:line="240" w:lineRule="auto"/>
              <w:ind w:firstLine="0"/>
              <w:jc w:val="left"/>
              <w:rPr>
                <w:rFonts w:ascii="Garamond" w:eastAsia="MS Mincho" w:hAnsi="Garamond" w:cs="CG Times"/>
                <w:sz w:val="20"/>
                <w:szCs w:val="20"/>
                <w:lang w:val="sq-AL"/>
              </w:rPr>
            </w:pPr>
          </w:p>
        </w:tc>
      </w:tr>
      <w:tr w:rsidR="00A65AEC" w:rsidTr="00A65AEC">
        <w:trPr>
          <w:trHeight w:val="20"/>
          <w:jc w:val="center"/>
        </w:trPr>
        <w:tc>
          <w:tcPr>
            <w:tcW w:w="1495" w:type="dxa"/>
            <w:gridSpan w:val="2"/>
            <w:shd w:val="clear" w:color="auto" w:fill="F2F2F2"/>
            <w:noWrap/>
            <w:hideMark/>
          </w:tcPr>
          <w:p w:rsidR="00A65AEC" w:rsidRDefault="00A65AEC">
            <w:pPr>
              <w:pStyle w:val="Paragrafi"/>
              <w:ind w:firstLine="0"/>
              <w:jc w:val="left"/>
              <w:rPr>
                <w:b/>
                <w:sz w:val="20"/>
                <w:szCs w:val="20"/>
                <w:lang w:val="sq-AL"/>
              </w:rPr>
            </w:pPr>
            <w:r>
              <w:rPr>
                <w:b/>
                <w:sz w:val="20"/>
                <w:szCs w:val="20"/>
                <w:lang w:val="sq-AL"/>
              </w:rPr>
              <w:t>Boshllëku Financiar</w:t>
            </w:r>
          </w:p>
        </w:tc>
        <w:tc>
          <w:tcPr>
            <w:tcW w:w="1272" w:type="dxa"/>
            <w:shd w:val="clear" w:color="auto" w:fill="F2F2F2"/>
            <w:noWrap/>
            <w:hideMark/>
          </w:tcPr>
          <w:p w:rsidR="00A65AEC" w:rsidRDefault="00A65AEC">
            <w:pPr>
              <w:pStyle w:val="Paragrafi"/>
              <w:ind w:firstLine="0"/>
              <w:jc w:val="right"/>
              <w:rPr>
                <w:sz w:val="20"/>
                <w:szCs w:val="20"/>
                <w:lang w:val="sq-AL"/>
              </w:rPr>
            </w:pPr>
            <w:r>
              <w:rPr>
                <w:sz w:val="20"/>
                <w:szCs w:val="20"/>
                <w:lang w:val="sq-AL"/>
              </w:rPr>
              <w:t>67,213</w:t>
            </w:r>
          </w:p>
        </w:tc>
        <w:tc>
          <w:tcPr>
            <w:tcW w:w="0" w:type="auto"/>
            <w:vMerge/>
            <w:vAlign w:val="center"/>
            <w:hideMark/>
          </w:tcPr>
          <w:p w:rsidR="00A65AEC" w:rsidRDefault="00A65AEC">
            <w:pPr>
              <w:spacing w:after="0" w:line="240" w:lineRule="auto"/>
              <w:ind w:firstLine="0"/>
              <w:jc w:val="left"/>
              <w:rPr>
                <w:rFonts w:ascii="Garamond" w:eastAsia="MS Mincho" w:hAnsi="Garamond" w:cs="CG Times"/>
                <w:sz w:val="20"/>
                <w:szCs w:val="20"/>
                <w:lang w:val="sq-AL"/>
              </w:rPr>
            </w:pPr>
          </w:p>
        </w:tc>
      </w:tr>
    </w:tbl>
    <w:p w:rsidR="00A65AEC" w:rsidRDefault="00A65AEC" w:rsidP="00A65AEC">
      <w:pPr>
        <w:pStyle w:val="Paragrafi"/>
        <w:rPr>
          <w:lang w:val="sq-AL"/>
        </w:rPr>
      </w:pPr>
    </w:p>
    <w:p w:rsidR="00A65AEC" w:rsidRDefault="00A65AEC" w:rsidP="00A65AEC">
      <w:pPr>
        <w:pStyle w:val="Paragrafi"/>
        <w:rPr>
          <w:lang w:val="sq-AL"/>
        </w:rPr>
      </w:pPr>
      <w:r>
        <w:rPr>
          <w:lang w:val="sq-AL"/>
        </w:rPr>
        <w:t xml:space="preserve">Në terma të fluksit të fondeve, siç jepet në tabelën 7, pjesa më e madhe e fondeve do të shpenzohen gjatë vitit 2018, dhe kjo lidhet me ecurinë e përfundimit të sistemit IPSIS dhe sistemeve të shërbimeve </w:t>
      </w:r>
      <w:r>
        <w:rPr>
          <w:i/>
          <w:lang w:val="sq-AL"/>
        </w:rPr>
        <w:t>online</w:t>
      </w:r>
      <w:r>
        <w:rPr>
          <w:lang w:val="sq-AL"/>
        </w:rPr>
        <w:t xml:space="preserve"> të financuara nga projekti STAR 2 dhe Trust Fund i Bankës Botërore për sistemin IPSIS. Disa aktivitete të parashikuara për t’u zbatuar në vitin 2018 rezultojnë me boshllëk financiar.</w:t>
      </w:r>
    </w:p>
    <w:p w:rsidR="00A65AEC" w:rsidRDefault="00A65AEC" w:rsidP="00A65AEC">
      <w:pPr>
        <w:pStyle w:val="Paragrafi"/>
        <w:rPr>
          <w:sz w:val="14"/>
          <w:lang w:val="sq-AL"/>
        </w:rPr>
      </w:pPr>
    </w:p>
    <w:p w:rsidR="00A65AEC" w:rsidRDefault="00A65AEC" w:rsidP="00A65AEC">
      <w:pPr>
        <w:pStyle w:val="Paragrafi"/>
        <w:jc w:val="center"/>
        <w:rPr>
          <w:sz w:val="20"/>
          <w:szCs w:val="20"/>
          <w:lang w:val="sq-AL"/>
        </w:rPr>
      </w:pPr>
      <w:r>
        <w:rPr>
          <w:sz w:val="20"/>
          <w:szCs w:val="20"/>
          <w:lang w:val="sq-AL"/>
        </w:rPr>
        <w:t>Tabela 7. Fluksi i financimit/</w:t>
      </w:r>
      <w:r>
        <w:rPr>
          <w:i/>
          <w:sz w:val="20"/>
          <w:szCs w:val="20"/>
          <w:lang w:val="sq-AL"/>
        </w:rPr>
        <w:t>cash flow</w:t>
      </w:r>
      <w:r>
        <w:rPr>
          <w:sz w:val="20"/>
          <w:szCs w:val="20"/>
          <w:lang w:val="sq-AL"/>
        </w:rPr>
        <w:t xml:space="preserve"> (000 lekë)</w:t>
      </w:r>
    </w:p>
    <w:p w:rsidR="00A65AEC" w:rsidRDefault="00A65AEC" w:rsidP="00A65AEC">
      <w:pPr>
        <w:pStyle w:val="Paragrafi"/>
        <w:rPr>
          <w:sz w:val="14"/>
          <w:szCs w:val="14"/>
          <w:lang w:val="sq-AL"/>
        </w:rPr>
      </w:pPr>
    </w:p>
    <w:tbl>
      <w:tblPr>
        <w:tblW w:w="4680" w:type="dxa"/>
        <w:jc w:val="center"/>
        <w:tblLook w:val="04A0" w:firstRow="1" w:lastRow="0" w:firstColumn="1" w:lastColumn="0" w:noHBand="0" w:noVBand="1"/>
      </w:tblPr>
      <w:tblGrid>
        <w:gridCol w:w="1560"/>
        <w:gridCol w:w="1560"/>
        <w:gridCol w:w="1560"/>
      </w:tblGrid>
      <w:tr w:rsidR="00A65AEC" w:rsidTr="00A65AEC">
        <w:trPr>
          <w:trHeight w:val="134"/>
          <w:jc w:val="center"/>
        </w:trPr>
        <w:tc>
          <w:tcPr>
            <w:tcW w:w="1560" w:type="dxa"/>
            <w:tcBorders>
              <w:top w:val="single" w:sz="4" w:space="0" w:color="808080"/>
              <w:left w:val="single" w:sz="4" w:space="0" w:color="808080"/>
              <w:bottom w:val="single" w:sz="4" w:space="0" w:color="808080"/>
              <w:right w:val="single" w:sz="4" w:space="0" w:color="808080"/>
            </w:tcBorders>
            <w:shd w:val="clear" w:color="auto" w:fill="D6DCE4"/>
            <w:noWrap/>
            <w:vAlign w:val="center"/>
            <w:hideMark/>
          </w:tcPr>
          <w:p w:rsidR="00A65AEC" w:rsidRDefault="00A65AEC">
            <w:pPr>
              <w:pStyle w:val="Paragrafi"/>
              <w:jc w:val="center"/>
              <w:rPr>
                <w:b/>
                <w:sz w:val="20"/>
                <w:szCs w:val="20"/>
                <w:lang w:val="sq-AL"/>
              </w:rPr>
            </w:pPr>
            <w:r>
              <w:rPr>
                <w:b/>
                <w:sz w:val="20"/>
                <w:szCs w:val="20"/>
                <w:lang w:val="sq-AL"/>
              </w:rPr>
              <w:t>2018</w:t>
            </w:r>
          </w:p>
        </w:tc>
        <w:tc>
          <w:tcPr>
            <w:tcW w:w="1560" w:type="dxa"/>
            <w:tcBorders>
              <w:top w:val="single" w:sz="4" w:space="0" w:color="808080"/>
              <w:left w:val="nil"/>
              <w:bottom w:val="single" w:sz="4" w:space="0" w:color="808080"/>
              <w:right w:val="single" w:sz="4" w:space="0" w:color="808080"/>
            </w:tcBorders>
            <w:shd w:val="clear" w:color="auto" w:fill="D6DCE4"/>
            <w:noWrap/>
            <w:vAlign w:val="center"/>
            <w:hideMark/>
          </w:tcPr>
          <w:p w:rsidR="00A65AEC" w:rsidRDefault="00A65AEC">
            <w:pPr>
              <w:pStyle w:val="Paragrafi"/>
              <w:jc w:val="center"/>
              <w:rPr>
                <w:b/>
                <w:sz w:val="20"/>
                <w:szCs w:val="20"/>
                <w:lang w:val="sq-AL"/>
              </w:rPr>
            </w:pPr>
            <w:r>
              <w:rPr>
                <w:b/>
                <w:sz w:val="20"/>
                <w:szCs w:val="20"/>
                <w:lang w:val="sq-AL"/>
              </w:rPr>
              <w:t>2019</w:t>
            </w:r>
          </w:p>
        </w:tc>
        <w:tc>
          <w:tcPr>
            <w:tcW w:w="1560" w:type="dxa"/>
            <w:tcBorders>
              <w:top w:val="single" w:sz="4" w:space="0" w:color="808080"/>
              <w:left w:val="nil"/>
              <w:bottom w:val="single" w:sz="4" w:space="0" w:color="808080"/>
              <w:right w:val="single" w:sz="4" w:space="0" w:color="808080"/>
            </w:tcBorders>
            <w:shd w:val="clear" w:color="auto" w:fill="D6DCE4"/>
            <w:noWrap/>
            <w:vAlign w:val="center"/>
            <w:hideMark/>
          </w:tcPr>
          <w:p w:rsidR="00A65AEC" w:rsidRDefault="00A65AEC">
            <w:pPr>
              <w:pStyle w:val="Paragrafi"/>
              <w:jc w:val="center"/>
              <w:rPr>
                <w:b/>
                <w:sz w:val="20"/>
                <w:szCs w:val="20"/>
                <w:lang w:val="sq-AL"/>
              </w:rPr>
            </w:pPr>
            <w:r>
              <w:rPr>
                <w:b/>
                <w:sz w:val="20"/>
                <w:szCs w:val="20"/>
                <w:lang w:val="sq-AL"/>
              </w:rPr>
              <w:t>2020</w:t>
            </w:r>
          </w:p>
        </w:tc>
      </w:tr>
      <w:tr w:rsidR="00A65AEC" w:rsidTr="00A65AEC">
        <w:trPr>
          <w:trHeight w:val="71"/>
          <w:jc w:val="center"/>
        </w:trPr>
        <w:tc>
          <w:tcPr>
            <w:tcW w:w="1560" w:type="dxa"/>
            <w:tcBorders>
              <w:top w:val="single" w:sz="4" w:space="0" w:color="808080"/>
              <w:left w:val="single" w:sz="4" w:space="0" w:color="808080"/>
              <w:bottom w:val="single" w:sz="4" w:space="0" w:color="808080"/>
              <w:right w:val="single" w:sz="4" w:space="0" w:color="808080"/>
            </w:tcBorders>
            <w:shd w:val="clear" w:color="auto" w:fill="D6DCE4"/>
            <w:noWrap/>
            <w:vAlign w:val="center"/>
            <w:hideMark/>
          </w:tcPr>
          <w:p w:rsidR="00A65AEC" w:rsidRDefault="00A65AEC">
            <w:pPr>
              <w:pStyle w:val="Paragrafi"/>
              <w:ind w:firstLine="0"/>
              <w:jc w:val="center"/>
              <w:rPr>
                <w:b/>
                <w:sz w:val="20"/>
                <w:szCs w:val="20"/>
                <w:lang w:val="sq-AL"/>
              </w:rPr>
            </w:pPr>
            <w:r>
              <w:rPr>
                <w:b/>
                <w:sz w:val="20"/>
                <w:szCs w:val="20"/>
                <w:lang w:val="sq-AL"/>
              </w:rPr>
              <w:t>906,087</w:t>
            </w:r>
          </w:p>
        </w:tc>
        <w:tc>
          <w:tcPr>
            <w:tcW w:w="1560" w:type="dxa"/>
            <w:tcBorders>
              <w:top w:val="single" w:sz="4" w:space="0" w:color="808080"/>
              <w:left w:val="nil"/>
              <w:bottom w:val="single" w:sz="4" w:space="0" w:color="808080"/>
              <w:right w:val="single" w:sz="4" w:space="0" w:color="808080"/>
            </w:tcBorders>
            <w:shd w:val="clear" w:color="auto" w:fill="D6DCE4"/>
            <w:noWrap/>
            <w:vAlign w:val="center"/>
            <w:hideMark/>
          </w:tcPr>
          <w:p w:rsidR="00A65AEC" w:rsidRDefault="00A65AEC">
            <w:pPr>
              <w:pStyle w:val="Paragrafi"/>
              <w:ind w:firstLine="0"/>
              <w:jc w:val="center"/>
              <w:rPr>
                <w:b/>
                <w:sz w:val="20"/>
                <w:szCs w:val="20"/>
                <w:lang w:val="sq-AL"/>
              </w:rPr>
            </w:pPr>
            <w:r>
              <w:rPr>
                <w:b/>
                <w:sz w:val="20"/>
                <w:szCs w:val="20"/>
                <w:lang w:val="sq-AL"/>
              </w:rPr>
              <w:t>573,791</w:t>
            </w:r>
          </w:p>
        </w:tc>
        <w:tc>
          <w:tcPr>
            <w:tcW w:w="1560" w:type="dxa"/>
            <w:tcBorders>
              <w:top w:val="single" w:sz="4" w:space="0" w:color="808080"/>
              <w:left w:val="nil"/>
              <w:bottom w:val="single" w:sz="4" w:space="0" w:color="808080"/>
              <w:right w:val="single" w:sz="4" w:space="0" w:color="808080"/>
            </w:tcBorders>
            <w:shd w:val="clear" w:color="auto" w:fill="D6DCE4"/>
            <w:noWrap/>
            <w:vAlign w:val="center"/>
            <w:hideMark/>
          </w:tcPr>
          <w:p w:rsidR="00A65AEC" w:rsidRDefault="00A65AEC">
            <w:pPr>
              <w:pStyle w:val="Paragrafi"/>
              <w:jc w:val="center"/>
              <w:rPr>
                <w:b/>
                <w:sz w:val="20"/>
                <w:szCs w:val="20"/>
                <w:lang w:val="sq-AL"/>
              </w:rPr>
            </w:pPr>
            <w:r>
              <w:rPr>
                <w:b/>
                <w:sz w:val="20"/>
                <w:szCs w:val="20"/>
                <w:lang w:val="sq-AL"/>
              </w:rPr>
              <w:t>240,276</w:t>
            </w:r>
          </w:p>
        </w:tc>
      </w:tr>
    </w:tbl>
    <w:p w:rsidR="00A65AEC" w:rsidRDefault="00A65AEC" w:rsidP="00A65AEC">
      <w:pPr>
        <w:pStyle w:val="Paragrafi"/>
        <w:rPr>
          <w:sz w:val="14"/>
          <w:lang w:val="sq-AL"/>
        </w:rPr>
      </w:pPr>
    </w:p>
    <w:p w:rsidR="00A65AEC" w:rsidRDefault="00A65AEC" w:rsidP="00A65AEC">
      <w:pPr>
        <w:pStyle w:val="Paragrafi"/>
        <w:rPr>
          <w:lang w:val="sq-AL"/>
        </w:rPr>
      </w:pPr>
      <w:r>
        <w:rPr>
          <w:lang w:val="sq-AL"/>
        </w:rPr>
        <w:t xml:space="preserve">Duke pasur një mungesë financimi dhe për kohën e mbetur të limituar për gjetjen e fondeve, këto fonde janë parashikuar në pjesën më të madhe të tyre në vitin 2019.” </w:t>
      </w:r>
    </w:p>
    <w:p w:rsidR="00A65AEC" w:rsidRDefault="00A65AEC" w:rsidP="00A65AEC">
      <w:pPr>
        <w:pStyle w:val="Paragrafi"/>
        <w:rPr>
          <w:lang w:val="sq-AL"/>
        </w:rPr>
      </w:pPr>
    </w:p>
    <w:p w:rsidR="00A65AEC" w:rsidRDefault="00A65AEC" w:rsidP="00A65AEC">
      <w:pPr>
        <w:spacing w:after="0" w:line="240" w:lineRule="auto"/>
        <w:ind w:firstLine="0"/>
        <w:jc w:val="left"/>
        <w:rPr>
          <w:rFonts w:ascii="Garamond" w:eastAsia="MS Mincho" w:hAnsi="Garamond" w:cs="CG Times"/>
          <w:sz w:val="24"/>
          <w:lang w:val="sq-AL"/>
        </w:rPr>
        <w:sectPr w:rsidR="00A65AEC" w:rsidSect="00A65AEC">
          <w:type w:val="continuous"/>
          <w:pgSz w:w="11907" w:h="16840"/>
          <w:pgMar w:top="720" w:right="1134" w:bottom="720" w:left="1134" w:header="851" w:footer="851" w:gutter="0"/>
          <w:cols w:space="720"/>
        </w:sectPr>
      </w:pPr>
    </w:p>
    <w:p w:rsidR="00A65AEC" w:rsidRDefault="00A65AEC" w:rsidP="00A65AEC">
      <w:pPr>
        <w:pStyle w:val="Paragrafi"/>
        <w:ind w:firstLine="0"/>
        <w:jc w:val="center"/>
        <w:rPr>
          <w:lang w:val="sq-AL"/>
        </w:rPr>
      </w:pPr>
      <w:r>
        <w:rPr>
          <w:noProof/>
        </w:rPr>
        <w:lastRenderedPageBreak/>
        <w:drawing>
          <wp:inline distT="0" distB="0" distL="0" distR="0">
            <wp:extent cx="9819640" cy="5407025"/>
            <wp:effectExtent l="0" t="0" r="0" b="3175"/>
            <wp:docPr id="11" name="Picture 11" descr="lidhja 11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dhja 11_Page_1"/>
                    <pic:cNvPicPr>
                      <a:picLocks noChangeAspect="1" noChangeArrowheads="1"/>
                    </pic:cNvPicPr>
                  </pic:nvPicPr>
                  <pic:blipFill>
                    <a:blip r:embed="rId7">
                      <a:extLst>
                        <a:ext uri="{28A0092B-C50C-407E-A947-70E740481C1C}">
                          <a14:useLocalDpi xmlns:a14="http://schemas.microsoft.com/office/drawing/2010/main" val="0"/>
                        </a:ext>
                      </a:extLst>
                    </a:blip>
                    <a:srcRect l="6631" t="8849" r="4417" b="10664"/>
                    <a:stretch>
                      <a:fillRect/>
                    </a:stretch>
                  </pic:blipFill>
                  <pic:spPr bwMode="auto">
                    <a:xfrm>
                      <a:off x="0" y="0"/>
                      <a:ext cx="9819640" cy="5407025"/>
                    </a:xfrm>
                    <a:prstGeom prst="rect">
                      <a:avLst/>
                    </a:prstGeom>
                    <a:noFill/>
                    <a:ln>
                      <a:noFill/>
                    </a:ln>
                  </pic:spPr>
                </pic:pic>
              </a:graphicData>
            </a:graphic>
          </wp:inline>
        </w:drawing>
      </w:r>
      <w:r>
        <w:rPr>
          <w:noProof/>
        </w:rPr>
        <w:lastRenderedPageBreak/>
        <w:drawing>
          <wp:inline distT="0" distB="0" distL="0" distR="0">
            <wp:extent cx="9780270" cy="5430520"/>
            <wp:effectExtent l="0" t="0" r="0" b="0"/>
            <wp:docPr id="10" name="Picture 10" descr="lidhja 11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idhja 11_Page_2"/>
                    <pic:cNvPicPr>
                      <a:picLocks noChangeAspect="1" noChangeArrowheads="1"/>
                    </pic:cNvPicPr>
                  </pic:nvPicPr>
                  <pic:blipFill>
                    <a:blip r:embed="rId8">
                      <a:extLst>
                        <a:ext uri="{28A0092B-C50C-407E-A947-70E740481C1C}">
                          <a14:useLocalDpi xmlns:a14="http://schemas.microsoft.com/office/drawing/2010/main" val="0"/>
                        </a:ext>
                      </a:extLst>
                    </a:blip>
                    <a:srcRect l="6728" t="8849" r="4523" b="8318"/>
                    <a:stretch>
                      <a:fillRect/>
                    </a:stretch>
                  </pic:blipFill>
                  <pic:spPr bwMode="auto">
                    <a:xfrm>
                      <a:off x="0" y="0"/>
                      <a:ext cx="9780270" cy="5430520"/>
                    </a:xfrm>
                    <a:prstGeom prst="rect">
                      <a:avLst/>
                    </a:prstGeom>
                    <a:noFill/>
                    <a:ln>
                      <a:noFill/>
                    </a:ln>
                  </pic:spPr>
                </pic:pic>
              </a:graphicData>
            </a:graphic>
          </wp:inline>
        </w:drawing>
      </w:r>
      <w:r>
        <w:rPr>
          <w:noProof/>
        </w:rPr>
        <w:lastRenderedPageBreak/>
        <w:drawing>
          <wp:inline distT="0" distB="0" distL="0" distR="0">
            <wp:extent cx="9883775" cy="5287645"/>
            <wp:effectExtent l="0" t="0" r="3175" b="8255"/>
            <wp:docPr id="9" name="Picture 9" descr="lidhja 11_P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idhja 11_Page_3"/>
                    <pic:cNvPicPr>
                      <a:picLocks noChangeAspect="1" noChangeArrowheads="1"/>
                    </pic:cNvPicPr>
                  </pic:nvPicPr>
                  <pic:blipFill>
                    <a:blip r:embed="rId9">
                      <a:extLst>
                        <a:ext uri="{28A0092B-C50C-407E-A947-70E740481C1C}">
                          <a14:useLocalDpi xmlns:a14="http://schemas.microsoft.com/office/drawing/2010/main" val="0"/>
                        </a:ext>
                      </a:extLst>
                    </a:blip>
                    <a:srcRect l="5725" t="7945" r="4514" b="19501"/>
                    <a:stretch>
                      <a:fillRect/>
                    </a:stretch>
                  </pic:blipFill>
                  <pic:spPr bwMode="auto">
                    <a:xfrm>
                      <a:off x="0" y="0"/>
                      <a:ext cx="9883775" cy="5287645"/>
                    </a:xfrm>
                    <a:prstGeom prst="rect">
                      <a:avLst/>
                    </a:prstGeom>
                    <a:noFill/>
                    <a:ln>
                      <a:noFill/>
                    </a:ln>
                  </pic:spPr>
                </pic:pic>
              </a:graphicData>
            </a:graphic>
          </wp:inline>
        </w:drawing>
      </w:r>
    </w:p>
    <w:p w:rsidR="00A65AEC" w:rsidRDefault="00A65AEC" w:rsidP="00A65AEC">
      <w:pPr>
        <w:pStyle w:val="Paragrafi"/>
        <w:tabs>
          <w:tab w:val="left" w:pos="2066"/>
        </w:tabs>
        <w:rPr>
          <w:lang w:val="sq-AL"/>
        </w:rPr>
      </w:pPr>
      <w:r>
        <w:rPr>
          <w:lang w:val="sq-AL"/>
        </w:rPr>
        <w:tab/>
      </w:r>
    </w:p>
    <w:p w:rsidR="00A65AEC" w:rsidRDefault="00A65AEC" w:rsidP="00A65AEC">
      <w:pPr>
        <w:pStyle w:val="Paragrafi"/>
        <w:ind w:firstLine="0"/>
        <w:jc w:val="center"/>
        <w:rPr>
          <w:lang w:val="sq-AL"/>
        </w:rPr>
      </w:pPr>
      <w:r>
        <w:rPr>
          <w:noProof/>
        </w:rPr>
        <w:lastRenderedPageBreak/>
        <w:drawing>
          <wp:inline distT="0" distB="0" distL="0" distR="0">
            <wp:extent cx="9827895" cy="5327650"/>
            <wp:effectExtent l="0" t="0" r="1905" b="6350"/>
            <wp:docPr id="8" name="Picture 8" descr="lidhja 21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dhja 21_Page_1"/>
                    <pic:cNvPicPr>
                      <a:picLocks noChangeAspect="1" noChangeArrowheads="1"/>
                    </pic:cNvPicPr>
                  </pic:nvPicPr>
                  <pic:blipFill>
                    <a:blip r:embed="rId10" cstate="print">
                      <a:extLst>
                        <a:ext uri="{28A0092B-C50C-407E-A947-70E740481C1C}">
                          <a14:useLocalDpi xmlns:a14="http://schemas.microsoft.com/office/drawing/2010/main" val="0"/>
                        </a:ext>
                      </a:extLst>
                    </a:blip>
                    <a:srcRect l="3723" t="5742" r="5946" b="9334"/>
                    <a:stretch>
                      <a:fillRect/>
                    </a:stretch>
                  </pic:blipFill>
                  <pic:spPr bwMode="auto">
                    <a:xfrm>
                      <a:off x="0" y="0"/>
                      <a:ext cx="9827895" cy="5327650"/>
                    </a:xfrm>
                    <a:prstGeom prst="rect">
                      <a:avLst/>
                    </a:prstGeom>
                    <a:noFill/>
                    <a:ln>
                      <a:noFill/>
                    </a:ln>
                  </pic:spPr>
                </pic:pic>
              </a:graphicData>
            </a:graphic>
          </wp:inline>
        </w:drawing>
      </w:r>
      <w:r>
        <w:rPr>
          <w:noProof/>
        </w:rPr>
        <w:lastRenderedPageBreak/>
        <w:drawing>
          <wp:inline distT="0" distB="0" distL="0" distR="0">
            <wp:extent cx="9867265" cy="5327650"/>
            <wp:effectExtent l="0" t="0" r="635" b="6350"/>
            <wp:docPr id="7" name="Picture 7" descr="lidhja 21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idhja 21_Page_2"/>
                    <pic:cNvPicPr>
                      <a:picLocks noChangeAspect="1" noChangeArrowheads="1"/>
                    </pic:cNvPicPr>
                  </pic:nvPicPr>
                  <pic:blipFill>
                    <a:blip r:embed="rId11" cstate="print">
                      <a:extLst>
                        <a:ext uri="{28A0092B-C50C-407E-A947-70E740481C1C}">
                          <a14:useLocalDpi xmlns:a14="http://schemas.microsoft.com/office/drawing/2010/main" val="0"/>
                        </a:ext>
                      </a:extLst>
                    </a:blip>
                    <a:srcRect l="3635" t="5502" r="6024" b="15555"/>
                    <a:stretch>
                      <a:fillRect/>
                    </a:stretch>
                  </pic:blipFill>
                  <pic:spPr bwMode="auto">
                    <a:xfrm>
                      <a:off x="0" y="0"/>
                      <a:ext cx="9867265" cy="5327650"/>
                    </a:xfrm>
                    <a:prstGeom prst="rect">
                      <a:avLst/>
                    </a:prstGeom>
                    <a:noFill/>
                    <a:ln>
                      <a:noFill/>
                    </a:ln>
                  </pic:spPr>
                </pic:pic>
              </a:graphicData>
            </a:graphic>
          </wp:inline>
        </w:drawing>
      </w:r>
      <w:r>
        <w:rPr>
          <w:noProof/>
        </w:rPr>
        <w:lastRenderedPageBreak/>
        <w:drawing>
          <wp:inline distT="0" distB="0" distL="0" distR="0">
            <wp:extent cx="9812020" cy="5359400"/>
            <wp:effectExtent l="0" t="0" r="0" b="0"/>
            <wp:docPr id="6" name="Picture 6" descr="lidhja 21_P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idhja 21_Page_3"/>
                    <pic:cNvPicPr>
                      <a:picLocks noChangeAspect="1" noChangeArrowheads="1"/>
                    </pic:cNvPicPr>
                  </pic:nvPicPr>
                  <pic:blipFill>
                    <a:blip r:embed="rId12" cstate="print">
                      <a:extLst>
                        <a:ext uri="{28A0092B-C50C-407E-A947-70E740481C1C}">
                          <a14:useLocalDpi xmlns:a14="http://schemas.microsoft.com/office/drawing/2010/main" val="0"/>
                        </a:ext>
                      </a:extLst>
                    </a:blip>
                    <a:srcRect l="3551" t="5502" r="5861" b="6708"/>
                    <a:stretch>
                      <a:fillRect/>
                    </a:stretch>
                  </pic:blipFill>
                  <pic:spPr bwMode="auto">
                    <a:xfrm>
                      <a:off x="0" y="0"/>
                      <a:ext cx="9812020" cy="5359400"/>
                    </a:xfrm>
                    <a:prstGeom prst="rect">
                      <a:avLst/>
                    </a:prstGeom>
                    <a:noFill/>
                    <a:ln>
                      <a:noFill/>
                    </a:ln>
                  </pic:spPr>
                </pic:pic>
              </a:graphicData>
            </a:graphic>
          </wp:inline>
        </w:drawing>
      </w:r>
      <w:r>
        <w:rPr>
          <w:noProof/>
        </w:rPr>
        <w:lastRenderedPageBreak/>
        <w:drawing>
          <wp:inline distT="0" distB="0" distL="0" distR="0">
            <wp:extent cx="9787890" cy="5430520"/>
            <wp:effectExtent l="0" t="0" r="3810" b="0"/>
            <wp:docPr id="5" name="Picture 5" descr="lidhja 21_Page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idhja 21_Page_4"/>
                    <pic:cNvPicPr>
                      <a:picLocks noChangeAspect="1" noChangeArrowheads="1"/>
                    </pic:cNvPicPr>
                  </pic:nvPicPr>
                  <pic:blipFill>
                    <a:blip r:embed="rId13" cstate="print">
                      <a:extLst>
                        <a:ext uri="{28A0092B-C50C-407E-A947-70E740481C1C}">
                          <a14:useLocalDpi xmlns:a14="http://schemas.microsoft.com/office/drawing/2010/main" val="0"/>
                        </a:ext>
                      </a:extLst>
                    </a:blip>
                    <a:srcRect l="3802" t="5742" r="6029" b="5627"/>
                    <a:stretch>
                      <a:fillRect/>
                    </a:stretch>
                  </pic:blipFill>
                  <pic:spPr bwMode="auto">
                    <a:xfrm>
                      <a:off x="0" y="0"/>
                      <a:ext cx="9787890" cy="5430520"/>
                    </a:xfrm>
                    <a:prstGeom prst="rect">
                      <a:avLst/>
                    </a:prstGeom>
                    <a:noFill/>
                    <a:ln>
                      <a:noFill/>
                    </a:ln>
                  </pic:spPr>
                </pic:pic>
              </a:graphicData>
            </a:graphic>
          </wp:inline>
        </w:drawing>
      </w:r>
      <w:r>
        <w:rPr>
          <w:noProof/>
        </w:rPr>
        <w:lastRenderedPageBreak/>
        <w:drawing>
          <wp:inline distT="0" distB="0" distL="0" distR="0">
            <wp:extent cx="9708515" cy="5470525"/>
            <wp:effectExtent l="0" t="0" r="6985" b="0"/>
            <wp:docPr id="4" name="Picture 4" descr="lidhja 21_Page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idhja 21_Page_5"/>
                    <pic:cNvPicPr>
                      <a:picLocks noChangeAspect="1" noChangeArrowheads="1"/>
                    </pic:cNvPicPr>
                  </pic:nvPicPr>
                  <pic:blipFill>
                    <a:blip r:embed="rId14" cstate="print">
                      <a:extLst>
                        <a:ext uri="{28A0092B-C50C-407E-A947-70E740481C1C}">
                          <a14:useLocalDpi xmlns:a14="http://schemas.microsoft.com/office/drawing/2010/main" val="0"/>
                        </a:ext>
                      </a:extLst>
                    </a:blip>
                    <a:srcRect l="3462" t="4901" r="6535" b="5734"/>
                    <a:stretch>
                      <a:fillRect/>
                    </a:stretch>
                  </pic:blipFill>
                  <pic:spPr bwMode="auto">
                    <a:xfrm>
                      <a:off x="0" y="0"/>
                      <a:ext cx="9708515" cy="5470525"/>
                    </a:xfrm>
                    <a:prstGeom prst="rect">
                      <a:avLst/>
                    </a:prstGeom>
                    <a:noFill/>
                    <a:ln>
                      <a:noFill/>
                    </a:ln>
                  </pic:spPr>
                </pic:pic>
              </a:graphicData>
            </a:graphic>
          </wp:inline>
        </w:drawing>
      </w:r>
      <w:r>
        <w:rPr>
          <w:noProof/>
        </w:rPr>
        <w:lastRenderedPageBreak/>
        <w:drawing>
          <wp:inline distT="0" distB="0" distL="0" distR="0">
            <wp:extent cx="9708515" cy="5335270"/>
            <wp:effectExtent l="0" t="0" r="6985" b="0"/>
            <wp:docPr id="3" name="Picture 3" descr="lidhja 21_Page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idhja 21_Page_6"/>
                    <pic:cNvPicPr>
                      <a:picLocks noChangeAspect="1" noChangeArrowheads="1"/>
                    </pic:cNvPicPr>
                  </pic:nvPicPr>
                  <pic:blipFill>
                    <a:blip r:embed="rId15" cstate="print">
                      <a:extLst>
                        <a:ext uri="{28A0092B-C50C-407E-A947-70E740481C1C}">
                          <a14:useLocalDpi xmlns:a14="http://schemas.microsoft.com/office/drawing/2010/main" val="0"/>
                        </a:ext>
                      </a:extLst>
                    </a:blip>
                    <a:srcRect l="3723" t="5742" r="5772" b="7060"/>
                    <a:stretch>
                      <a:fillRect/>
                    </a:stretch>
                  </pic:blipFill>
                  <pic:spPr bwMode="auto">
                    <a:xfrm>
                      <a:off x="0" y="0"/>
                      <a:ext cx="9708515" cy="5335270"/>
                    </a:xfrm>
                    <a:prstGeom prst="rect">
                      <a:avLst/>
                    </a:prstGeom>
                    <a:noFill/>
                    <a:ln>
                      <a:noFill/>
                    </a:ln>
                  </pic:spPr>
                </pic:pic>
              </a:graphicData>
            </a:graphic>
          </wp:inline>
        </w:drawing>
      </w:r>
      <w:r>
        <w:rPr>
          <w:noProof/>
        </w:rPr>
        <w:lastRenderedPageBreak/>
        <w:drawing>
          <wp:inline distT="0" distB="0" distL="0" distR="0">
            <wp:extent cx="9787890" cy="4913630"/>
            <wp:effectExtent l="0" t="0" r="3810" b="1270"/>
            <wp:docPr id="2" name="Picture 2" descr="lidhja 21_Page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idhja 21_Page_7"/>
                    <pic:cNvPicPr>
                      <a:picLocks noChangeAspect="1" noChangeArrowheads="1"/>
                    </pic:cNvPicPr>
                  </pic:nvPicPr>
                  <pic:blipFill>
                    <a:blip r:embed="rId16" cstate="print">
                      <a:extLst>
                        <a:ext uri="{28A0092B-C50C-407E-A947-70E740481C1C}">
                          <a14:useLocalDpi xmlns:a14="http://schemas.microsoft.com/office/drawing/2010/main" val="0"/>
                        </a:ext>
                      </a:extLst>
                    </a:blip>
                    <a:srcRect l="3467" t="5855" r="6285" b="7881"/>
                    <a:stretch>
                      <a:fillRect/>
                    </a:stretch>
                  </pic:blipFill>
                  <pic:spPr bwMode="auto">
                    <a:xfrm>
                      <a:off x="0" y="0"/>
                      <a:ext cx="9787890" cy="4913630"/>
                    </a:xfrm>
                    <a:prstGeom prst="rect">
                      <a:avLst/>
                    </a:prstGeom>
                    <a:noFill/>
                    <a:ln>
                      <a:noFill/>
                    </a:ln>
                  </pic:spPr>
                </pic:pic>
              </a:graphicData>
            </a:graphic>
          </wp:inline>
        </w:drawing>
      </w:r>
      <w:r>
        <w:rPr>
          <w:noProof/>
        </w:rPr>
        <w:drawing>
          <wp:inline distT="0" distB="0" distL="0" distR="0">
            <wp:extent cx="9764395" cy="572770"/>
            <wp:effectExtent l="0" t="0" r="8255" b="0"/>
            <wp:docPr id="1" name="Picture 1" descr="lidhja 21_Page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idhja 21_Page_8"/>
                    <pic:cNvPicPr>
                      <a:picLocks noChangeAspect="1" noChangeArrowheads="1"/>
                    </pic:cNvPicPr>
                  </pic:nvPicPr>
                  <pic:blipFill>
                    <a:blip r:embed="rId17" cstate="print">
                      <a:extLst>
                        <a:ext uri="{28A0092B-C50C-407E-A947-70E740481C1C}">
                          <a14:useLocalDpi xmlns:a14="http://schemas.microsoft.com/office/drawing/2010/main" val="0"/>
                        </a:ext>
                      </a:extLst>
                    </a:blip>
                    <a:srcRect l="3635" t="5969" r="6442" b="83151"/>
                    <a:stretch>
                      <a:fillRect/>
                    </a:stretch>
                  </pic:blipFill>
                  <pic:spPr bwMode="auto">
                    <a:xfrm>
                      <a:off x="0" y="0"/>
                      <a:ext cx="9764395" cy="572770"/>
                    </a:xfrm>
                    <a:prstGeom prst="rect">
                      <a:avLst/>
                    </a:prstGeom>
                    <a:noFill/>
                    <a:ln>
                      <a:noFill/>
                    </a:ln>
                  </pic:spPr>
                </pic:pic>
              </a:graphicData>
            </a:graphic>
          </wp:inline>
        </w:drawing>
      </w:r>
    </w:p>
    <w:p w:rsidR="00A65AEC" w:rsidRDefault="00A65AEC" w:rsidP="00A65AEC">
      <w:pPr>
        <w:spacing w:after="0" w:line="240" w:lineRule="auto"/>
        <w:ind w:firstLine="0"/>
        <w:jc w:val="left"/>
        <w:rPr>
          <w:rFonts w:ascii="Garamond" w:eastAsia="MS Mincho" w:hAnsi="Garamond" w:cs="CG Times"/>
          <w:sz w:val="24"/>
          <w:lang w:val="sq-AL"/>
        </w:rPr>
        <w:sectPr w:rsidR="00A65AEC" w:rsidSect="00A65AEC">
          <w:pgSz w:w="16840" w:h="11907" w:orient="landscape"/>
          <w:pgMar w:top="1134" w:right="720" w:bottom="1134" w:left="720" w:header="851" w:footer="851" w:gutter="0"/>
          <w:cols w:space="720"/>
        </w:sectPr>
      </w:pPr>
    </w:p>
    <w:p w:rsidR="00085837" w:rsidRDefault="00085837" w:rsidP="00A65AEC">
      <w:bookmarkStart w:id="0" w:name="_GoBack"/>
      <w:bookmarkEnd w:id="0"/>
    </w:p>
    <w:sectPr w:rsidR="00085837" w:rsidSect="00A65A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FD7"/>
    <w:rsid w:val="00085837"/>
    <w:rsid w:val="007C3FD7"/>
    <w:rsid w:val="00A65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1C6EE7-B4AB-4C9A-9CD2-499866CBA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5AEC"/>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A65AEC"/>
    <w:rPr>
      <w:rFonts w:ascii="Garamond" w:eastAsia="MS Mincho" w:hAnsi="Garamond" w:cs="CG Times"/>
      <w:sz w:val="24"/>
    </w:rPr>
  </w:style>
  <w:style w:type="paragraph" w:customStyle="1" w:styleId="Paragrafi">
    <w:name w:val="Paragrafi"/>
    <w:link w:val="ParagrafiChar"/>
    <w:qFormat/>
    <w:rsid w:val="00A65AEC"/>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A65AEC"/>
    <w:rPr>
      <w:rFonts w:ascii="Garamond" w:eastAsia="MS Mincho" w:hAnsi="Garamond" w:cs="CG Times"/>
      <w:sz w:val="24"/>
      <w:lang w:val="en-GB"/>
    </w:rPr>
  </w:style>
  <w:style w:type="paragraph" w:customStyle="1" w:styleId="NeniNr">
    <w:name w:val="Neni_Nr"/>
    <w:next w:val="Normal"/>
    <w:link w:val="NeniNrChar"/>
    <w:rsid w:val="00A65AE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65AEC"/>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751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eg"/><Relationship Id="rId5" Type="http://schemas.openxmlformats.org/officeDocument/2006/relationships/image" Target="media/image2.pn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1050</Words>
  <Characters>5989</Characters>
  <Application>Microsoft Office Word</Application>
  <DocSecurity>0</DocSecurity>
  <Lines>49</Lines>
  <Paragraphs>14</Paragraphs>
  <ScaleCrop>false</ScaleCrop>
  <Company/>
  <LinksUpToDate>false</LinksUpToDate>
  <CharactersWithSpaces>7025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2018-08-01T12:36:00Z</dcterms:created>
  <dcterms:modified xsi:type="dcterms:W3CDTF">2018-08-01T12:38:00Z</dcterms:modified>
</cp:coreProperties>
</file>