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B34" w:rsidRDefault="00F24B34" w:rsidP="00F24B3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F24B34" w:rsidRDefault="00F24B34" w:rsidP="00F24B34">
      <w:pPr>
        <w:pStyle w:val="NeniTitull"/>
        <w:rPr>
          <w:lang w:val="sq-AL"/>
        </w:rPr>
      </w:pPr>
      <w:r>
        <w:rPr>
          <w:lang w:val="sq-AL"/>
        </w:rPr>
        <w:t>Nr. 453, datë 26.7.2018</w:t>
      </w:r>
    </w:p>
    <w:p w:rsidR="00F24B34" w:rsidRDefault="00F24B34" w:rsidP="00F24B34">
      <w:pPr>
        <w:pStyle w:val="NeniTitull"/>
        <w:rPr>
          <w:sz w:val="14"/>
          <w:lang w:val="sq-AL"/>
        </w:rPr>
      </w:pPr>
    </w:p>
    <w:p w:rsidR="00F24B34" w:rsidRDefault="00F24B34" w:rsidP="00F24B34">
      <w:pPr>
        <w:pStyle w:val="NeniTitull"/>
        <w:rPr>
          <w:lang w:val="sq-AL"/>
        </w:rPr>
      </w:pPr>
      <w:r>
        <w:rPr>
          <w:lang w:val="sq-AL"/>
        </w:rPr>
        <w:t>PËR SHPRONËSIMIN, PËR INTERES PUBLIK, TË PRONARIT TË PASURISË SË PALUAJTSHME, PRONË PRIVATE, QË PREKET NGA REALIZIMI I PROJEKTIT “ZGJERIM I HAPËSIRËS SË VARREZAVE NË FSHATIN SHËNEPREMTE”, NJËSIA ADMINISTRATIVE TËRBUF, BASHKIA DIVJAKË</w:t>
      </w:r>
    </w:p>
    <w:p w:rsidR="00F24B34" w:rsidRDefault="00F24B34" w:rsidP="00F24B34">
      <w:pPr>
        <w:pStyle w:val="Paragrafi"/>
        <w:rPr>
          <w:sz w:val="14"/>
          <w:lang w:val="sq-AL"/>
        </w:rPr>
      </w:pPr>
    </w:p>
    <w:p w:rsidR="00F24B34" w:rsidRDefault="00F24B34" w:rsidP="00F24B34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të Brendshëm, Këshilli i Ministrave</w:t>
      </w:r>
    </w:p>
    <w:p w:rsidR="00F24B34" w:rsidRDefault="00F24B34" w:rsidP="00F24B34">
      <w:pPr>
        <w:pStyle w:val="Paragrafi"/>
        <w:rPr>
          <w:sz w:val="14"/>
          <w:lang w:val="sq-AL"/>
        </w:rPr>
      </w:pPr>
    </w:p>
    <w:p w:rsidR="00F24B34" w:rsidRDefault="00F24B34" w:rsidP="00F24B3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F24B34" w:rsidRDefault="00F24B34" w:rsidP="00F24B34">
      <w:pPr>
        <w:pStyle w:val="Paragrafi"/>
        <w:rPr>
          <w:sz w:val="14"/>
          <w:lang w:val="sq-AL"/>
        </w:rPr>
      </w:pPr>
    </w:p>
    <w:p w:rsidR="00F24B34" w:rsidRDefault="00F24B34" w:rsidP="00F24B34">
      <w:pPr>
        <w:pStyle w:val="Paragrafi"/>
        <w:rPr>
          <w:lang w:val="sq-AL"/>
        </w:rPr>
      </w:pPr>
      <w:r>
        <w:rPr>
          <w:lang w:val="sq-AL"/>
        </w:rPr>
        <w:t>1. Shpronësimin, për interes publik, të pronarit të pasurisë së paluajtshme, pronë private, që preket nga realizimi i projektit “Zgjerim i hapësirës së varrezave në fshatin Shënepremte”, Njësia Administrative Tërbuf, Bashkia Divjakë.</w:t>
      </w:r>
    </w:p>
    <w:p w:rsidR="00F24B34" w:rsidRDefault="00F24B34" w:rsidP="00F24B34">
      <w:pPr>
        <w:pStyle w:val="Paragrafi"/>
        <w:rPr>
          <w:lang w:val="sq-AL"/>
        </w:rPr>
      </w:pPr>
      <w:r>
        <w:rPr>
          <w:lang w:val="sq-AL"/>
        </w:rPr>
        <w:t>2. Shpronësimi të bëhet në favor të Bashkisë Divjakë.</w:t>
      </w:r>
    </w:p>
    <w:p w:rsidR="00F24B34" w:rsidRDefault="00F24B34" w:rsidP="00F24B34">
      <w:pPr>
        <w:pStyle w:val="Paragrafi"/>
        <w:rPr>
          <w:lang w:val="sq-AL"/>
        </w:rPr>
      </w:pPr>
      <w:r>
        <w:rPr>
          <w:lang w:val="sq-AL"/>
        </w:rPr>
        <w:t xml:space="preserve">3. Pronari i pasurisë së paluajtshme, që shpronësohet, të kompensohet në vlerë të plotë, sipas masës </w:t>
      </w:r>
      <w:bookmarkStart w:id="0" w:name="_GoBack"/>
      <w:bookmarkEnd w:id="0"/>
      <w:r>
        <w:rPr>
          <w:lang w:val="sq-AL"/>
        </w:rPr>
        <w:t>përkatëse që paraqitet në tabelën bashkëlidhur këtij vendimi, për pasurinë “tokë arë”, me sipërfaqe 300 m</w:t>
      </w:r>
      <w:r>
        <w:rPr>
          <w:vertAlign w:val="superscript"/>
          <w:lang w:val="sq-AL"/>
        </w:rPr>
        <w:t>2</w:t>
      </w:r>
      <w:r>
        <w:rPr>
          <w:lang w:val="sq-AL"/>
        </w:rPr>
        <w:t>, me vlerë të përgjithshme 109 200 (njëqind e nëntë mijë e dyqind) lekë.</w:t>
      </w:r>
    </w:p>
    <w:p w:rsidR="00F24B34" w:rsidRDefault="00F24B34" w:rsidP="00F24B34">
      <w:pPr>
        <w:pStyle w:val="Paragrafi"/>
        <w:rPr>
          <w:lang w:val="sq-AL"/>
        </w:rPr>
      </w:pPr>
      <w:r>
        <w:rPr>
          <w:lang w:val="sq-AL"/>
        </w:rPr>
        <w:t xml:space="preserve">4. Vlera e përgjithshme e shpronësimit, prej 109 200 (njëqind e nëntë mijë e dyqind) lekësh, të përballohet nga të ardhurat e Bashkisë Divjakë, planifikuar në buxhetin e saj. </w:t>
      </w:r>
    </w:p>
    <w:p w:rsidR="00F24B34" w:rsidRDefault="00F24B34" w:rsidP="00F24B34">
      <w:pPr>
        <w:pStyle w:val="Paragrafi"/>
        <w:rPr>
          <w:lang w:val="sq-AL"/>
        </w:rPr>
      </w:pPr>
      <w:r>
        <w:rPr>
          <w:lang w:val="sq-AL"/>
        </w:rPr>
        <w:t>5. Vlera e shpenzimeve procedurale të përballohet nga Bashkia Divjakë.</w:t>
      </w:r>
    </w:p>
    <w:p w:rsidR="00F24B34" w:rsidRDefault="00F24B34" w:rsidP="00F24B34">
      <w:pPr>
        <w:pStyle w:val="Paragrafi"/>
        <w:rPr>
          <w:lang w:val="sq-AL"/>
        </w:rPr>
      </w:pPr>
      <w:r>
        <w:rPr>
          <w:lang w:val="sq-AL"/>
        </w:rPr>
        <w:t>6. Afati i përfundimit të shpronësimit të jetë tre muaj pas hyrjes në fuqi të këtij vendimi.</w:t>
      </w:r>
    </w:p>
    <w:p w:rsidR="00F24B34" w:rsidRDefault="00F24B34" w:rsidP="00F24B34">
      <w:pPr>
        <w:pStyle w:val="Paragrafi"/>
        <w:rPr>
          <w:lang w:val="sq-AL"/>
        </w:rPr>
      </w:pPr>
      <w:r>
        <w:rPr>
          <w:lang w:val="sq-AL"/>
        </w:rPr>
        <w:t>7. Afati i përfundimit të punimeve të objektit, në Bashkinë Divjakë, të jetë në përputhje me afatet e parashikuara nga kjo bashki.</w:t>
      </w:r>
    </w:p>
    <w:p w:rsidR="00F24B34" w:rsidRDefault="00F24B34" w:rsidP="00F24B34">
      <w:pPr>
        <w:pStyle w:val="Paragrafi"/>
        <w:rPr>
          <w:lang w:val="sq-AL"/>
        </w:rPr>
      </w:pPr>
      <w:r>
        <w:rPr>
          <w:lang w:val="sq-AL"/>
        </w:rPr>
        <w:t>8. Pronari i pasurisë së paluajtshme, që shpronësohet, sipas tabelës bashkëlidhur këtij vendimi, të kompensohet për efekt shpronësimi pasi të ketë paraqitur dokumentacionin e pronësisë pranë Bashkisë Divjakë.</w:t>
      </w:r>
    </w:p>
    <w:p w:rsidR="00F24B34" w:rsidRDefault="00F24B34" w:rsidP="00F24B34">
      <w:pPr>
        <w:pStyle w:val="Paragrafi"/>
        <w:rPr>
          <w:lang w:val="sq-AL"/>
        </w:rPr>
      </w:pPr>
      <w:r>
        <w:rPr>
          <w:lang w:val="sq-AL"/>
        </w:rPr>
        <w:t>9. Zyra Vendore e Regjistrimit të Pasurive të Paluajtshme Divjakë, brenda 30 ditëve nga data e miratimit të këtij vendimi, në bashkëpunim me Bashkinë Divjakë, të fillojë procedurat për hedhjen e gjurmës së projektit në hartën kadastrale sipas planimetrisë së shpronësimit, të miratuar, dhe të bëjë kalimin e pronësisë për pasuritë e shpronësuara në favor të shtetit.</w:t>
      </w:r>
    </w:p>
    <w:p w:rsidR="00F24B34" w:rsidRDefault="00F24B34" w:rsidP="00F24B34">
      <w:pPr>
        <w:pStyle w:val="Paragrafi"/>
        <w:rPr>
          <w:lang w:val="sq-AL"/>
        </w:rPr>
      </w:pPr>
      <w:r>
        <w:rPr>
          <w:lang w:val="sq-AL"/>
        </w:rPr>
        <w:t xml:space="preserve">10. Zyra Vendore e Regjistrimit të Pasurive të Paluajtshme Divjakë të pezullojë të gjitha transaksionet me pasuritë e shpronësuara deri në momentin kur do të realizohen procesi i hedhjes së gjurmës së projektit në hartën kadastrale dhe kalimi i pronësisë për pasuritë e shpronësuara. </w:t>
      </w:r>
    </w:p>
    <w:p w:rsidR="00F24B34" w:rsidRDefault="00F24B34" w:rsidP="00F24B34">
      <w:pPr>
        <w:pStyle w:val="Paragrafi"/>
        <w:rPr>
          <w:lang w:val="sq-AL"/>
        </w:rPr>
      </w:pPr>
      <w:r>
        <w:rPr>
          <w:lang w:val="sq-AL"/>
        </w:rPr>
        <w:t xml:space="preserve">11. Ngarkohen Ministria e Brendshme, Zyra Vendore e Regjistrimit të Pasurive të Paluajtshme Divjakë dhe Bashkia Divjakë për zbatimin e këtij vendimi. </w:t>
      </w:r>
    </w:p>
    <w:p w:rsidR="00F24B34" w:rsidRDefault="00F24B34" w:rsidP="00F24B34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F24B34" w:rsidRDefault="00F24B34" w:rsidP="00F24B34">
      <w:pPr>
        <w:pStyle w:val="Paragrafi"/>
        <w:rPr>
          <w:sz w:val="14"/>
          <w:lang w:val="sq-AL"/>
        </w:rPr>
      </w:pPr>
    </w:p>
    <w:p w:rsidR="00F24B34" w:rsidRDefault="00F24B34" w:rsidP="00F24B34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F24B34" w:rsidRDefault="00F24B34" w:rsidP="00F24B3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F24B34" w:rsidRDefault="00F24B34" w:rsidP="00F24B34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F24B34" w:rsidSect="00F24B34">
          <w:pgSz w:w="11907" w:h="16840"/>
          <w:pgMar w:top="720" w:right="1134" w:bottom="720" w:left="1134" w:header="851" w:footer="851" w:gutter="0"/>
          <w:cols w:space="454"/>
        </w:sectPr>
      </w:pPr>
    </w:p>
    <w:p w:rsidR="00F24B34" w:rsidRDefault="00F24B34" w:rsidP="00F24B34">
      <w:pPr>
        <w:pStyle w:val="Paragrafi"/>
        <w:rPr>
          <w:lang w:val="sq-AL"/>
        </w:rPr>
      </w:pPr>
    </w:p>
    <w:tbl>
      <w:tblPr>
        <w:tblW w:w="5000" w:type="pct"/>
        <w:jc w:val="center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13"/>
        <w:gridCol w:w="1258"/>
        <w:gridCol w:w="1234"/>
        <w:gridCol w:w="1503"/>
        <w:gridCol w:w="1529"/>
        <w:gridCol w:w="1207"/>
        <w:gridCol w:w="2216"/>
      </w:tblGrid>
      <w:tr w:rsidR="00F24B34" w:rsidTr="00F24B34">
        <w:trPr>
          <w:trHeight w:val="134"/>
          <w:jc w:val="center"/>
        </w:trPr>
        <w:tc>
          <w:tcPr>
            <w:tcW w:w="5000" w:type="pct"/>
            <w:gridSpan w:val="7"/>
            <w:hideMark/>
          </w:tcPr>
          <w:p w:rsidR="00F24B34" w:rsidRDefault="00F24B34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LISTA E PRONAVE DHE E PRONARËVE QË DO TË SHPRONËSOHEN PËR REALIZIMIN E PROJEKTIT “ZGJERIM I HAPËSIRËS SË VARREZAVE NË FSHATIN SHËNEPREMTE”, NJËSIA ADMINISTRATIVE TËRBUF, BASHKIA DIVJAKË</w:t>
            </w:r>
          </w:p>
        </w:tc>
      </w:tr>
      <w:tr w:rsidR="00F24B34" w:rsidTr="00F24B34">
        <w:trPr>
          <w:trHeight w:val="134"/>
          <w:jc w:val="center"/>
        </w:trPr>
        <w:tc>
          <w:tcPr>
            <w:tcW w:w="2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4B34" w:rsidRDefault="00F24B3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6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4B34" w:rsidRDefault="00F24B3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Emër, mbiemër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4B34" w:rsidRDefault="00F24B3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 i pasurisë</w:t>
            </w:r>
          </w:p>
        </w:tc>
        <w:tc>
          <w:tcPr>
            <w:tcW w:w="8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4B34" w:rsidRDefault="00F24B3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8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4B34" w:rsidRDefault="00F24B3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Sipërfaqja tokë arë/m</w:t>
            </w:r>
            <w:r>
              <w:rPr>
                <w:b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4B34" w:rsidRDefault="00F24B3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Vlera totale/lekë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24B34" w:rsidRDefault="00F24B34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Dokumenti i pronësisë</w:t>
            </w:r>
          </w:p>
        </w:tc>
      </w:tr>
      <w:tr w:rsidR="00F24B34" w:rsidTr="00F24B34">
        <w:trPr>
          <w:trHeight w:val="134"/>
          <w:jc w:val="center"/>
        </w:trPr>
        <w:tc>
          <w:tcPr>
            <w:tcW w:w="22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24B34" w:rsidRDefault="00F24B3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67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24B34" w:rsidRDefault="00F24B3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Faslli Kasmi</w:t>
            </w:r>
          </w:p>
        </w:tc>
        <w:tc>
          <w:tcPr>
            <w:tcW w:w="659" w:type="pct"/>
            <w:hideMark/>
          </w:tcPr>
          <w:p w:rsidR="00F24B34" w:rsidRDefault="00F24B3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473/1</w:t>
            </w:r>
          </w:p>
        </w:tc>
        <w:tc>
          <w:tcPr>
            <w:tcW w:w="80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24B34" w:rsidRDefault="00F24B3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3341</w:t>
            </w:r>
          </w:p>
        </w:tc>
        <w:tc>
          <w:tcPr>
            <w:tcW w:w="817" w:type="pct"/>
            <w:hideMark/>
          </w:tcPr>
          <w:p w:rsidR="00F24B34" w:rsidRDefault="00F24B3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300</w:t>
            </w:r>
          </w:p>
        </w:tc>
        <w:tc>
          <w:tcPr>
            <w:tcW w:w="64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24B34" w:rsidRDefault="00F24B3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109,200</w:t>
            </w:r>
          </w:p>
        </w:tc>
        <w:tc>
          <w:tcPr>
            <w:tcW w:w="118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  <w:hideMark/>
          </w:tcPr>
          <w:p w:rsidR="00F24B34" w:rsidRDefault="00F24B3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Konfirmuar nga ZVRPP-ja </w:t>
            </w:r>
          </w:p>
        </w:tc>
      </w:tr>
      <w:tr w:rsidR="00F24B34" w:rsidTr="00F24B34">
        <w:trPr>
          <w:trHeight w:val="93"/>
          <w:jc w:val="center"/>
        </w:trPr>
        <w:tc>
          <w:tcPr>
            <w:tcW w:w="22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B34" w:rsidRDefault="00F24B3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6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4B34" w:rsidRDefault="00F24B34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65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24B34" w:rsidRDefault="00F24B3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  <w:tc>
          <w:tcPr>
            <w:tcW w:w="80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24B34" w:rsidRDefault="00F24B3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  <w:tc>
          <w:tcPr>
            <w:tcW w:w="8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24B34" w:rsidRDefault="00F24B34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4B34" w:rsidRDefault="00F24B34">
            <w:pPr>
              <w:pStyle w:val="Paragrafi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109 200</w:t>
            </w:r>
          </w:p>
        </w:tc>
        <w:tc>
          <w:tcPr>
            <w:tcW w:w="118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24B34" w:rsidRDefault="00F24B34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</w:p>
        </w:tc>
      </w:tr>
    </w:tbl>
    <w:p w:rsidR="00085837" w:rsidRDefault="00085837"/>
    <w:sectPr w:rsidR="00085837" w:rsidSect="00F24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8E3"/>
    <w:rsid w:val="00085837"/>
    <w:rsid w:val="001148E3"/>
    <w:rsid w:val="00F2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FA77CF-C0C2-4B9E-B383-A4D497C80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B3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F24B3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24B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F24B3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24B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24B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2018-08-01T12:44:00Z</dcterms:created>
  <dcterms:modified xsi:type="dcterms:W3CDTF">2018-08-01T12:44:00Z</dcterms:modified>
</cp:coreProperties>
</file>