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B51" w:rsidRDefault="00493B51" w:rsidP="00493B51">
      <w:pPr>
        <w:pStyle w:val="NeniTitull"/>
        <w:keepNext w:val="0"/>
        <w:rPr>
          <w:lang w:val="sq-AL"/>
        </w:rPr>
      </w:pPr>
      <w:r>
        <w:rPr>
          <w:lang w:val="sq-AL"/>
        </w:rPr>
        <w:t>VENDIM</w:t>
      </w:r>
    </w:p>
    <w:p w:rsidR="00493B51" w:rsidRDefault="00493B51" w:rsidP="00493B51">
      <w:pPr>
        <w:pStyle w:val="NeniTitull"/>
        <w:keepNext w:val="0"/>
        <w:rPr>
          <w:lang w:val="sq-AL"/>
        </w:rPr>
      </w:pPr>
      <w:r>
        <w:rPr>
          <w:lang w:val="sq-AL"/>
        </w:rPr>
        <w:t>Nr. 541, datë 19.9.2018</w:t>
      </w:r>
    </w:p>
    <w:p w:rsidR="00493B51" w:rsidRDefault="00493B51" w:rsidP="00493B51">
      <w:pPr>
        <w:pStyle w:val="NeniTitull"/>
        <w:keepNext w:val="0"/>
        <w:rPr>
          <w:sz w:val="14"/>
          <w:lang w:val="sq-AL"/>
        </w:rPr>
      </w:pPr>
    </w:p>
    <w:p w:rsidR="00493B51" w:rsidRDefault="00493B51" w:rsidP="00493B51">
      <w:pPr>
        <w:pStyle w:val="NeniTitull"/>
        <w:keepNext w:val="0"/>
        <w:rPr>
          <w:lang w:val="sq-AL"/>
        </w:rPr>
      </w:pPr>
      <w:r>
        <w:rPr>
          <w:lang w:val="sq-AL"/>
        </w:rPr>
        <w:t>PËR MIRATIMIN E STRATEGJISË SË DREJTËSISË PËR TË MITUR DHE TË PLANIT TË VEPRIMIT 2018–2021</w:t>
      </w:r>
    </w:p>
    <w:p w:rsidR="00493B51" w:rsidRDefault="00493B51" w:rsidP="00493B51">
      <w:pPr>
        <w:pStyle w:val="Paragraf02"/>
        <w:rPr>
          <w:u w:val="single"/>
          <w:lang w:val="sq-AL"/>
        </w:rPr>
      </w:pPr>
      <w:r>
        <w:rPr>
          <w:u w:val="single"/>
          <w:lang w:val="sq-AL"/>
        </w:rPr>
        <w:t xml:space="preserve"> </w:t>
      </w:r>
    </w:p>
    <w:p w:rsidR="00493B51" w:rsidRDefault="00493B51" w:rsidP="00493B51">
      <w:pPr>
        <w:pStyle w:val="Paragraf02"/>
        <w:rPr>
          <w:lang w:val="sq-AL"/>
        </w:rPr>
      </w:pPr>
      <w:r>
        <w:rPr>
          <w:lang w:val="sq-AL"/>
        </w:rPr>
        <w:t>Në mbështetje të nenit 100 të Kushtetutës, me propozimin e ministrit të Drejtësisë, Këshilli i Ministrave</w:t>
      </w:r>
    </w:p>
    <w:p w:rsidR="00493B51" w:rsidRDefault="00493B51" w:rsidP="00493B51">
      <w:pPr>
        <w:pStyle w:val="Paragraf02"/>
        <w:rPr>
          <w:sz w:val="14"/>
          <w:lang w:val="sq-AL"/>
        </w:rPr>
      </w:pPr>
    </w:p>
    <w:p w:rsidR="00493B51" w:rsidRDefault="00493B51" w:rsidP="00493B51">
      <w:pPr>
        <w:pStyle w:val="NeniNr"/>
        <w:keepNext w:val="0"/>
        <w:rPr>
          <w:lang w:val="sq-AL"/>
        </w:rPr>
      </w:pPr>
      <w:r>
        <w:rPr>
          <w:lang w:val="sq-AL"/>
        </w:rPr>
        <w:t>VENDOSI:</w:t>
      </w:r>
    </w:p>
    <w:p w:rsidR="00493B51" w:rsidRDefault="00493B51" w:rsidP="00493B51">
      <w:pPr>
        <w:pStyle w:val="Paragraf02"/>
        <w:rPr>
          <w:sz w:val="14"/>
          <w:lang w:val="sq-AL"/>
        </w:rPr>
      </w:pPr>
    </w:p>
    <w:p w:rsidR="00493B51" w:rsidRDefault="00493B51" w:rsidP="00493B51">
      <w:pPr>
        <w:pStyle w:val="Paragraf02"/>
        <w:rPr>
          <w:lang w:val="sq-AL"/>
        </w:rPr>
      </w:pPr>
      <w:r>
        <w:rPr>
          <w:lang w:val="sq-AL"/>
        </w:rPr>
        <w:t xml:space="preserve">1. Miratimin e Strategjisë së Drejtësisë për të Mitur dhe të Planit të Veprimit </w:t>
      </w:r>
      <w:r>
        <w:rPr>
          <w:bCs/>
          <w:lang w:val="sq-AL"/>
        </w:rPr>
        <w:t xml:space="preserve">2018–2021, </w:t>
      </w:r>
      <w:r>
        <w:rPr>
          <w:lang w:val="sq-AL"/>
        </w:rPr>
        <w:t>sipas tekstit që i bashkëlidhet këtij vendimi dhe është pjesë përbërëse e tij.</w:t>
      </w:r>
    </w:p>
    <w:p w:rsidR="00493B51" w:rsidRDefault="00493B51" w:rsidP="00493B51">
      <w:pPr>
        <w:pStyle w:val="Paragraf02"/>
        <w:rPr>
          <w:lang w:val="sq-AL"/>
        </w:rPr>
      </w:pPr>
      <w:r>
        <w:rPr>
          <w:lang w:val="sq-AL"/>
        </w:rPr>
        <w:t>2. Ngarkohen Ministria e Drejtësisë, ministritë e linjës dhe institucionet e drejtësisë për ndjekjen dhe zbatimin e këtij vendimi.</w:t>
      </w:r>
    </w:p>
    <w:p w:rsidR="00493B51" w:rsidRDefault="00493B51" w:rsidP="00493B51">
      <w:pPr>
        <w:pStyle w:val="Paragraf02"/>
        <w:rPr>
          <w:lang w:val="sq-AL"/>
        </w:rPr>
      </w:pPr>
      <w:r>
        <w:rPr>
          <w:lang w:val="sq-AL"/>
        </w:rPr>
        <w:t>Ky vendim hyn në fuqi pas botimit në Fletoren Zyrtare.</w:t>
      </w:r>
    </w:p>
    <w:p w:rsidR="00493B51" w:rsidRDefault="00493B51" w:rsidP="00493B51">
      <w:pPr>
        <w:pStyle w:val="Paragraf02"/>
        <w:rPr>
          <w:sz w:val="14"/>
          <w:lang w:val="sq-AL"/>
        </w:rPr>
      </w:pPr>
      <w:r>
        <w:rPr>
          <w:sz w:val="14"/>
          <w:lang w:val="sq-AL"/>
        </w:rPr>
        <w:t xml:space="preserve"> </w:t>
      </w:r>
    </w:p>
    <w:p w:rsidR="00493B51" w:rsidRDefault="00493B51" w:rsidP="00493B51">
      <w:pPr>
        <w:pStyle w:val="Paragrafi"/>
        <w:jc w:val="right"/>
        <w:rPr>
          <w:lang w:val="sq-AL"/>
        </w:rPr>
      </w:pPr>
      <w:r>
        <w:rPr>
          <w:lang w:val="sq-AL"/>
        </w:rPr>
        <w:t>KRYEMINISTRI</w:t>
      </w:r>
    </w:p>
    <w:p w:rsidR="00493B51" w:rsidRDefault="00493B51" w:rsidP="00493B51">
      <w:pPr>
        <w:pStyle w:val="Paragrafi"/>
        <w:jc w:val="right"/>
        <w:rPr>
          <w:b/>
          <w:lang w:val="sq-AL"/>
        </w:rPr>
      </w:pPr>
      <w:r>
        <w:rPr>
          <w:b/>
          <w:lang w:val="sq-AL"/>
        </w:rPr>
        <w:t>Edi Rama</w:t>
      </w:r>
    </w:p>
    <w:p w:rsidR="00493B51" w:rsidRDefault="00493B51" w:rsidP="00493B51">
      <w:pPr>
        <w:spacing w:after="0" w:line="240" w:lineRule="auto"/>
        <w:ind w:firstLine="0"/>
        <w:jc w:val="left"/>
        <w:rPr>
          <w:rFonts w:ascii="Garamond" w:eastAsia="MS Mincho" w:hAnsi="Garamond" w:cs="CG Times"/>
          <w:sz w:val="24"/>
          <w:lang w:val="sq-AL"/>
        </w:rPr>
        <w:sectPr w:rsidR="00493B51" w:rsidSect="00493B51">
          <w:pgSz w:w="11907" w:h="16840"/>
          <w:pgMar w:top="720" w:right="1134" w:bottom="720" w:left="1134" w:header="851" w:footer="851" w:gutter="0"/>
          <w:pgNumType w:start="9333"/>
          <w:cols w:space="454"/>
        </w:sectPr>
      </w:pPr>
    </w:p>
    <w:p w:rsidR="00493B51" w:rsidRDefault="00493B51" w:rsidP="00493B51">
      <w:pPr>
        <w:pStyle w:val="Paragrafi"/>
        <w:rPr>
          <w:sz w:val="14"/>
          <w:lang w:val="sq-AL"/>
        </w:rPr>
      </w:pPr>
    </w:p>
    <w:p w:rsidR="00493B51" w:rsidRDefault="00493B51" w:rsidP="00493B51">
      <w:pPr>
        <w:pStyle w:val="Paragraf02"/>
        <w:jc w:val="center"/>
        <w:rPr>
          <w:b/>
          <w:lang w:val="sq-AL"/>
        </w:rPr>
      </w:pPr>
    </w:p>
    <w:p w:rsidR="00493B51" w:rsidRDefault="00493B51" w:rsidP="00493B51">
      <w:pPr>
        <w:pStyle w:val="Paragraf02"/>
        <w:jc w:val="center"/>
        <w:rPr>
          <w:b/>
          <w:lang w:val="sq-AL"/>
        </w:rPr>
      </w:pPr>
    </w:p>
    <w:p w:rsidR="00493B51" w:rsidRDefault="00493B51" w:rsidP="00493B51">
      <w:pPr>
        <w:pStyle w:val="Paragraf02"/>
        <w:jc w:val="center"/>
        <w:rPr>
          <w:b/>
          <w:lang w:val="sq-AL"/>
        </w:rPr>
      </w:pPr>
    </w:p>
    <w:p w:rsidR="00493B51" w:rsidRDefault="00493B51" w:rsidP="00493B51">
      <w:pPr>
        <w:pStyle w:val="Paragraf02"/>
        <w:jc w:val="center"/>
        <w:rPr>
          <w:b/>
          <w:lang w:val="sq-AL"/>
        </w:rPr>
      </w:pPr>
    </w:p>
    <w:p w:rsidR="00493B51" w:rsidRDefault="00493B51" w:rsidP="00493B51">
      <w:pPr>
        <w:pStyle w:val="Paragraf02"/>
        <w:jc w:val="center"/>
        <w:rPr>
          <w:b/>
          <w:lang w:val="sq-AL"/>
        </w:rPr>
      </w:pPr>
      <w:r>
        <w:rPr>
          <w:b/>
          <w:lang w:val="sq-AL"/>
        </w:rPr>
        <w:t>STRATEGJIA E DREJTËSISË</w:t>
      </w:r>
    </w:p>
    <w:p w:rsidR="00493B51" w:rsidRDefault="00493B51" w:rsidP="00493B51">
      <w:pPr>
        <w:pStyle w:val="Paragraf02"/>
        <w:jc w:val="center"/>
        <w:rPr>
          <w:lang w:val="sq-AL"/>
        </w:rPr>
      </w:pPr>
      <w:r>
        <w:rPr>
          <w:lang w:val="sq-AL"/>
        </w:rPr>
        <w:t>PËR TË MITUR DHE PLANI I VEPRIMIT</w:t>
      </w:r>
    </w:p>
    <w:p w:rsidR="00493B51" w:rsidRDefault="00493B51" w:rsidP="00493B51">
      <w:pPr>
        <w:pStyle w:val="Paragraf02"/>
        <w:jc w:val="center"/>
        <w:rPr>
          <w:lang w:val="sq-AL"/>
        </w:rPr>
      </w:pPr>
      <w:r>
        <w:rPr>
          <w:lang w:val="sq-AL"/>
        </w:rPr>
        <w:t>2018–2021</w:t>
      </w:r>
    </w:p>
    <w:p w:rsidR="00493B51" w:rsidRDefault="00493B51" w:rsidP="00493B51">
      <w:pPr>
        <w:pStyle w:val="Paragraf02"/>
        <w:rPr>
          <w:sz w:val="14"/>
          <w:lang w:val="sq-AL"/>
        </w:rPr>
      </w:pPr>
    </w:p>
    <w:p w:rsidR="00493B51" w:rsidRDefault="00493B51" w:rsidP="00493B51">
      <w:pPr>
        <w:pStyle w:val="Paragraf02"/>
        <w:rPr>
          <w:b/>
          <w:lang w:val="sq-AL"/>
        </w:rPr>
      </w:pPr>
      <w:bookmarkStart w:id="0" w:name="_Toc515610107"/>
      <w:r>
        <w:rPr>
          <w:b/>
          <w:lang w:val="sq-AL"/>
        </w:rPr>
        <w:t>Akronime</w:t>
      </w:r>
      <w:bookmarkEnd w:id="0"/>
    </w:p>
    <w:p w:rsidR="00493B51" w:rsidRDefault="00493B51" w:rsidP="00493B51">
      <w:pPr>
        <w:pStyle w:val="Paragraf02"/>
        <w:rPr>
          <w:sz w:val="14"/>
          <w:lang w:val="sq-AL"/>
        </w:rPr>
      </w:pPr>
    </w:p>
    <w:tbl>
      <w:tblPr>
        <w:tblStyle w:val="TableGrid"/>
        <w:tblW w:w="0" w:type="auto"/>
        <w:tblInd w:w="2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9"/>
        <w:gridCol w:w="7336"/>
      </w:tblGrid>
      <w:tr w:rsidR="00493B51" w:rsidTr="00493B51">
        <w:tc>
          <w:tcPr>
            <w:tcW w:w="1339" w:type="dxa"/>
            <w:hideMark/>
          </w:tcPr>
          <w:p w:rsidR="00493B51" w:rsidRDefault="00493B51">
            <w:pPr>
              <w:pStyle w:val="Paragraf02"/>
              <w:ind w:firstLine="0"/>
              <w:rPr>
                <w:lang w:val="sq-AL"/>
              </w:rPr>
            </w:pPr>
            <w:r>
              <w:rPr>
                <w:lang w:val="sq-AL"/>
              </w:rPr>
              <w:t xml:space="preserve">ASHMDF </w:t>
            </w:r>
          </w:p>
        </w:tc>
        <w:tc>
          <w:tcPr>
            <w:tcW w:w="7336" w:type="dxa"/>
            <w:hideMark/>
          </w:tcPr>
          <w:p w:rsidR="00493B51" w:rsidRDefault="00493B51">
            <w:pPr>
              <w:pStyle w:val="Paragraf02"/>
              <w:ind w:firstLine="0"/>
              <w:rPr>
                <w:lang w:val="sq-AL"/>
              </w:rPr>
            </w:pPr>
            <w:r>
              <w:rPr>
                <w:lang w:val="sq-AL"/>
              </w:rPr>
              <w:t>Agjencia Shtetërore për të Drejtat dhe Mbrojtjen e Fëmijës</w:t>
            </w:r>
          </w:p>
        </w:tc>
      </w:tr>
      <w:tr w:rsidR="00493B51" w:rsidTr="00493B51">
        <w:tc>
          <w:tcPr>
            <w:tcW w:w="1339" w:type="dxa"/>
            <w:hideMark/>
          </w:tcPr>
          <w:p w:rsidR="00493B51" w:rsidRDefault="00493B51">
            <w:pPr>
              <w:pStyle w:val="Paragraf02"/>
              <w:ind w:firstLine="0"/>
              <w:rPr>
                <w:lang w:val="sq-AL"/>
              </w:rPr>
            </w:pPr>
            <w:r>
              <w:rPr>
                <w:lang w:val="sq-AL"/>
              </w:rPr>
              <w:t xml:space="preserve">AS </w:t>
            </w:r>
          </w:p>
        </w:tc>
        <w:tc>
          <w:tcPr>
            <w:tcW w:w="7336" w:type="dxa"/>
            <w:hideMark/>
          </w:tcPr>
          <w:p w:rsidR="00493B51" w:rsidRDefault="00493B51">
            <w:pPr>
              <w:pStyle w:val="Paragraf02"/>
              <w:ind w:firstLine="0"/>
              <w:rPr>
                <w:lang w:val="sq-AL"/>
              </w:rPr>
            </w:pPr>
            <w:r>
              <w:rPr>
                <w:lang w:val="sq-AL"/>
              </w:rPr>
              <w:t>Akademia e Sigurisë</w:t>
            </w:r>
          </w:p>
        </w:tc>
      </w:tr>
      <w:tr w:rsidR="00493B51" w:rsidTr="00493B51">
        <w:tc>
          <w:tcPr>
            <w:tcW w:w="1339" w:type="dxa"/>
            <w:hideMark/>
          </w:tcPr>
          <w:p w:rsidR="00493B51" w:rsidRDefault="00493B51">
            <w:pPr>
              <w:pStyle w:val="Paragraf02"/>
              <w:ind w:firstLine="0"/>
              <w:rPr>
                <w:lang w:val="sq-AL"/>
              </w:rPr>
            </w:pPr>
            <w:r>
              <w:rPr>
                <w:lang w:val="sq-AL"/>
              </w:rPr>
              <w:t xml:space="preserve">DPA </w:t>
            </w:r>
          </w:p>
        </w:tc>
        <w:tc>
          <w:tcPr>
            <w:tcW w:w="7336" w:type="dxa"/>
            <w:hideMark/>
          </w:tcPr>
          <w:p w:rsidR="00493B51" w:rsidRDefault="00493B51">
            <w:pPr>
              <w:pStyle w:val="Paragraf02"/>
              <w:ind w:firstLine="0"/>
              <w:rPr>
                <w:lang w:val="sq-AL"/>
              </w:rPr>
            </w:pPr>
            <w:r>
              <w:rPr>
                <w:lang w:val="sq-AL"/>
              </w:rPr>
              <w:t>Departamenti i Administratës Publike</w:t>
            </w:r>
          </w:p>
        </w:tc>
      </w:tr>
      <w:tr w:rsidR="00493B51" w:rsidTr="00493B51">
        <w:tc>
          <w:tcPr>
            <w:tcW w:w="1339" w:type="dxa"/>
            <w:hideMark/>
          </w:tcPr>
          <w:p w:rsidR="00493B51" w:rsidRDefault="00493B51">
            <w:pPr>
              <w:pStyle w:val="Paragraf02"/>
              <w:ind w:firstLine="0"/>
              <w:rPr>
                <w:lang w:val="sq-AL"/>
              </w:rPr>
            </w:pPr>
            <w:r>
              <w:rPr>
                <w:lang w:val="sq-AL"/>
              </w:rPr>
              <w:t xml:space="preserve">DPB </w:t>
            </w:r>
          </w:p>
        </w:tc>
        <w:tc>
          <w:tcPr>
            <w:tcW w:w="7336" w:type="dxa"/>
            <w:hideMark/>
          </w:tcPr>
          <w:p w:rsidR="00493B51" w:rsidRDefault="00493B51">
            <w:pPr>
              <w:pStyle w:val="Paragraf02"/>
              <w:ind w:firstLine="0"/>
              <w:rPr>
                <w:lang w:val="sq-AL"/>
              </w:rPr>
            </w:pPr>
            <w:r>
              <w:rPr>
                <w:lang w:val="sq-AL"/>
              </w:rPr>
              <w:t>Drejtoria e Përgjithshme e Burgjeve</w:t>
            </w:r>
          </w:p>
        </w:tc>
      </w:tr>
      <w:tr w:rsidR="00493B51" w:rsidTr="00493B51">
        <w:tc>
          <w:tcPr>
            <w:tcW w:w="1339" w:type="dxa"/>
            <w:hideMark/>
          </w:tcPr>
          <w:p w:rsidR="00493B51" w:rsidRDefault="00493B51">
            <w:pPr>
              <w:pStyle w:val="Paragraf02"/>
              <w:ind w:firstLine="0"/>
              <w:rPr>
                <w:lang w:val="sq-AL"/>
              </w:rPr>
            </w:pPr>
            <w:r>
              <w:rPr>
                <w:lang w:val="sq-AL"/>
              </w:rPr>
              <w:t xml:space="preserve">DPPSH </w:t>
            </w:r>
          </w:p>
        </w:tc>
        <w:tc>
          <w:tcPr>
            <w:tcW w:w="7336" w:type="dxa"/>
            <w:hideMark/>
          </w:tcPr>
          <w:p w:rsidR="00493B51" w:rsidRDefault="00493B51">
            <w:pPr>
              <w:pStyle w:val="Paragraf02"/>
              <w:ind w:firstLine="0"/>
              <w:rPr>
                <w:lang w:val="sq-AL"/>
              </w:rPr>
            </w:pPr>
            <w:r>
              <w:rPr>
                <w:lang w:val="sq-AL"/>
              </w:rPr>
              <w:t>Drejtoria e Përgjithshme e Policisë së Shtetit</w:t>
            </w:r>
          </w:p>
        </w:tc>
      </w:tr>
      <w:tr w:rsidR="00493B51" w:rsidTr="00493B51">
        <w:tc>
          <w:tcPr>
            <w:tcW w:w="1339" w:type="dxa"/>
            <w:hideMark/>
          </w:tcPr>
          <w:p w:rsidR="00493B51" w:rsidRDefault="00493B51">
            <w:pPr>
              <w:pStyle w:val="Paragraf02"/>
              <w:ind w:firstLine="0"/>
              <w:rPr>
                <w:lang w:val="sq-AL"/>
              </w:rPr>
            </w:pPr>
            <w:r>
              <w:rPr>
                <w:lang w:val="sq-AL"/>
              </w:rPr>
              <w:t xml:space="preserve">DPSHP </w:t>
            </w:r>
          </w:p>
        </w:tc>
        <w:tc>
          <w:tcPr>
            <w:tcW w:w="7336" w:type="dxa"/>
            <w:hideMark/>
          </w:tcPr>
          <w:p w:rsidR="00493B51" w:rsidRDefault="00493B51">
            <w:pPr>
              <w:pStyle w:val="Paragraf02"/>
              <w:ind w:firstLine="0"/>
              <w:rPr>
                <w:lang w:val="sq-AL"/>
              </w:rPr>
            </w:pPr>
            <w:r>
              <w:rPr>
                <w:lang w:val="sq-AL"/>
              </w:rPr>
              <w:t>Drejtoria e Përgjithshme e Shërbimit të Provës</w:t>
            </w:r>
          </w:p>
        </w:tc>
      </w:tr>
      <w:tr w:rsidR="00493B51" w:rsidTr="00493B51">
        <w:tc>
          <w:tcPr>
            <w:tcW w:w="1339" w:type="dxa"/>
            <w:hideMark/>
          </w:tcPr>
          <w:p w:rsidR="00493B51" w:rsidRDefault="00493B51">
            <w:pPr>
              <w:pStyle w:val="Paragraf02"/>
              <w:ind w:firstLine="0"/>
              <w:rPr>
                <w:lang w:val="sq-AL"/>
              </w:rPr>
            </w:pPr>
            <w:r>
              <w:rPr>
                <w:lang w:val="sq-AL"/>
              </w:rPr>
              <w:t xml:space="preserve">KLGJ </w:t>
            </w:r>
          </w:p>
        </w:tc>
        <w:tc>
          <w:tcPr>
            <w:tcW w:w="7336" w:type="dxa"/>
            <w:hideMark/>
          </w:tcPr>
          <w:p w:rsidR="00493B51" w:rsidRDefault="00493B51">
            <w:pPr>
              <w:pStyle w:val="Paragraf02"/>
              <w:ind w:firstLine="0"/>
              <w:rPr>
                <w:lang w:val="sq-AL"/>
              </w:rPr>
            </w:pPr>
            <w:r>
              <w:rPr>
                <w:lang w:val="sq-AL"/>
              </w:rPr>
              <w:t>Këshilli i Lartë Gjyqësor</w:t>
            </w:r>
          </w:p>
        </w:tc>
      </w:tr>
      <w:tr w:rsidR="00493B51" w:rsidTr="00493B51">
        <w:tc>
          <w:tcPr>
            <w:tcW w:w="1339" w:type="dxa"/>
            <w:hideMark/>
          </w:tcPr>
          <w:p w:rsidR="00493B51" w:rsidRDefault="00493B51">
            <w:pPr>
              <w:pStyle w:val="Paragraf02"/>
              <w:ind w:firstLine="0"/>
              <w:rPr>
                <w:lang w:val="sq-AL"/>
              </w:rPr>
            </w:pPr>
            <w:r>
              <w:rPr>
                <w:lang w:val="sq-AL"/>
              </w:rPr>
              <w:t xml:space="preserve">KLP </w:t>
            </w:r>
          </w:p>
        </w:tc>
        <w:tc>
          <w:tcPr>
            <w:tcW w:w="7336" w:type="dxa"/>
            <w:hideMark/>
          </w:tcPr>
          <w:p w:rsidR="00493B51" w:rsidRDefault="00493B51">
            <w:pPr>
              <w:pStyle w:val="Paragraf02"/>
              <w:ind w:firstLine="0"/>
              <w:rPr>
                <w:lang w:val="sq-AL"/>
              </w:rPr>
            </w:pPr>
            <w:r>
              <w:rPr>
                <w:lang w:val="sq-AL"/>
              </w:rPr>
              <w:t>Këshilli i Lartë i Prokurorisë</w:t>
            </w:r>
          </w:p>
        </w:tc>
      </w:tr>
      <w:tr w:rsidR="00493B51" w:rsidTr="00493B51">
        <w:tc>
          <w:tcPr>
            <w:tcW w:w="1339" w:type="dxa"/>
            <w:hideMark/>
          </w:tcPr>
          <w:p w:rsidR="00493B51" w:rsidRDefault="00493B51">
            <w:pPr>
              <w:pStyle w:val="Paragraf02"/>
              <w:ind w:firstLine="0"/>
              <w:rPr>
                <w:lang w:val="sq-AL"/>
              </w:rPr>
            </w:pPr>
            <w:r>
              <w:rPr>
                <w:lang w:val="sq-AL"/>
              </w:rPr>
              <w:t xml:space="preserve">KDIMDHP </w:t>
            </w:r>
          </w:p>
        </w:tc>
        <w:tc>
          <w:tcPr>
            <w:tcW w:w="7336" w:type="dxa"/>
            <w:hideMark/>
          </w:tcPr>
          <w:p w:rsidR="00493B51" w:rsidRDefault="00493B51">
            <w:pPr>
              <w:pStyle w:val="Paragraf02"/>
              <w:ind w:firstLine="0"/>
              <w:rPr>
                <w:lang w:val="sq-AL"/>
              </w:rPr>
            </w:pPr>
            <w:r>
              <w:rPr>
                <w:lang w:val="sq-AL"/>
              </w:rPr>
              <w:t>Komisioneri për të Drejtën e Informimit dhe Mbrojtjen e të Dhënave Personale</w:t>
            </w:r>
          </w:p>
        </w:tc>
      </w:tr>
      <w:tr w:rsidR="00493B51" w:rsidTr="00493B51">
        <w:tc>
          <w:tcPr>
            <w:tcW w:w="1339" w:type="dxa"/>
            <w:hideMark/>
          </w:tcPr>
          <w:p w:rsidR="00493B51" w:rsidRDefault="00493B51">
            <w:pPr>
              <w:pStyle w:val="Paragraf02"/>
              <w:ind w:firstLine="0"/>
              <w:rPr>
                <w:lang w:val="sq-AL"/>
              </w:rPr>
            </w:pPr>
            <w:r>
              <w:rPr>
                <w:lang w:val="sq-AL"/>
              </w:rPr>
              <w:t xml:space="preserve">KKD </w:t>
            </w:r>
          </w:p>
        </w:tc>
        <w:tc>
          <w:tcPr>
            <w:tcW w:w="7336" w:type="dxa"/>
            <w:hideMark/>
          </w:tcPr>
          <w:p w:rsidR="00493B51" w:rsidRDefault="00493B51">
            <w:pPr>
              <w:pStyle w:val="Paragraf02"/>
              <w:ind w:firstLine="0"/>
              <w:rPr>
                <w:lang w:val="sq-AL"/>
              </w:rPr>
            </w:pPr>
            <w:r>
              <w:rPr>
                <w:lang w:val="sq-AL"/>
              </w:rPr>
              <w:t>Komisioneri kundër Diskriminimit</w:t>
            </w:r>
          </w:p>
        </w:tc>
      </w:tr>
      <w:tr w:rsidR="00493B51" w:rsidTr="00493B51">
        <w:tc>
          <w:tcPr>
            <w:tcW w:w="1339" w:type="dxa"/>
            <w:hideMark/>
          </w:tcPr>
          <w:p w:rsidR="00493B51" w:rsidRDefault="00493B51">
            <w:pPr>
              <w:pStyle w:val="Paragraf02"/>
              <w:ind w:firstLine="0"/>
              <w:rPr>
                <w:lang w:val="sq-AL"/>
              </w:rPr>
            </w:pPr>
            <w:r>
              <w:rPr>
                <w:lang w:val="sq-AL"/>
              </w:rPr>
              <w:t xml:space="preserve">KM </w:t>
            </w:r>
          </w:p>
        </w:tc>
        <w:tc>
          <w:tcPr>
            <w:tcW w:w="7336" w:type="dxa"/>
            <w:hideMark/>
          </w:tcPr>
          <w:p w:rsidR="00493B51" w:rsidRDefault="00493B51">
            <w:pPr>
              <w:pStyle w:val="Paragraf02"/>
              <w:ind w:firstLine="0"/>
              <w:rPr>
                <w:lang w:val="sq-AL"/>
              </w:rPr>
            </w:pPr>
            <w:r>
              <w:rPr>
                <w:lang w:val="sq-AL"/>
              </w:rPr>
              <w:t>Këshilli i Ministrave</w:t>
            </w:r>
          </w:p>
        </w:tc>
      </w:tr>
      <w:tr w:rsidR="00493B51" w:rsidTr="00493B51">
        <w:tc>
          <w:tcPr>
            <w:tcW w:w="1339" w:type="dxa"/>
            <w:hideMark/>
          </w:tcPr>
          <w:p w:rsidR="00493B51" w:rsidRDefault="00493B51">
            <w:pPr>
              <w:pStyle w:val="Paragraf02"/>
              <w:ind w:firstLine="0"/>
              <w:rPr>
                <w:lang w:val="sq-AL"/>
              </w:rPr>
            </w:pPr>
            <w:r>
              <w:rPr>
                <w:lang w:val="sq-AL"/>
              </w:rPr>
              <w:t xml:space="preserve">KSHB </w:t>
            </w:r>
          </w:p>
        </w:tc>
        <w:tc>
          <w:tcPr>
            <w:tcW w:w="7336" w:type="dxa"/>
            <w:hideMark/>
          </w:tcPr>
          <w:p w:rsidR="00493B51" w:rsidRDefault="00493B51">
            <w:pPr>
              <w:pStyle w:val="Paragraf02"/>
              <w:ind w:firstLine="0"/>
              <w:rPr>
                <w:lang w:val="sq-AL"/>
              </w:rPr>
            </w:pPr>
            <w:r>
              <w:rPr>
                <w:lang w:val="sq-AL"/>
              </w:rPr>
              <w:t>Komiteti Shqiptar i Birësimeve</w:t>
            </w:r>
          </w:p>
        </w:tc>
      </w:tr>
      <w:tr w:rsidR="00493B51" w:rsidTr="00493B51">
        <w:tc>
          <w:tcPr>
            <w:tcW w:w="1339" w:type="dxa"/>
            <w:hideMark/>
          </w:tcPr>
          <w:p w:rsidR="00493B51" w:rsidRDefault="00493B51">
            <w:pPr>
              <w:pStyle w:val="Paragraf02"/>
              <w:ind w:firstLine="0"/>
              <w:rPr>
                <w:lang w:val="sq-AL"/>
              </w:rPr>
            </w:pPr>
            <w:r>
              <w:rPr>
                <w:lang w:val="sq-AL"/>
              </w:rPr>
              <w:t xml:space="preserve">MD </w:t>
            </w:r>
          </w:p>
        </w:tc>
        <w:tc>
          <w:tcPr>
            <w:tcW w:w="7336" w:type="dxa"/>
            <w:hideMark/>
          </w:tcPr>
          <w:p w:rsidR="00493B51" w:rsidRDefault="00493B51">
            <w:pPr>
              <w:pStyle w:val="Paragraf02"/>
              <w:ind w:firstLine="0"/>
              <w:rPr>
                <w:lang w:val="sq-AL"/>
              </w:rPr>
            </w:pPr>
            <w:r>
              <w:rPr>
                <w:lang w:val="sq-AL"/>
              </w:rPr>
              <w:t>Ministria e Drejtësisë</w:t>
            </w:r>
          </w:p>
        </w:tc>
      </w:tr>
      <w:tr w:rsidR="00493B51" w:rsidTr="00493B51">
        <w:tc>
          <w:tcPr>
            <w:tcW w:w="1339" w:type="dxa"/>
            <w:hideMark/>
          </w:tcPr>
          <w:p w:rsidR="00493B51" w:rsidRDefault="00493B51">
            <w:pPr>
              <w:pStyle w:val="Paragraf02"/>
              <w:ind w:firstLine="0"/>
              <w:rPr>
                <w:bCs/>
                <w:lang w:val="sq-AL"/>
              </w:rPr>
            </w:pPr>
            <w:r>
              <w:rPr>
                <w:bCs/>
                <w:lang w:val="sq-AL"/>
              </w:rPr>
              <w:t xml:space="preserve">MB </w:t>
            </w:r>
          </w:p>
        </w:tc>
        <w:tc>
          <w:tcPr>
            <w:tcW w:w="7336" w:type="dxa"/>
            <w:hideMark/>
          </w:tcPr>
          <w:p w:rsidR="00493B51" w:rsidRDefault="00493B51">
            <w:pPr>
              <w:pStyle w:val="Paragraf02"/>
              <w:ind w:firstLine="0"/>
              <w:rPr>
                <w:bCs/>
                <w:lang w:val="sq-AL"/>
              </w:rPr>
            </w:pPr>
            <w:r>
              <w:rPr>
                <w:bCs/>
                <w:lang w:val="sq-AL"/>
              </w:rPr>
              <w:t>Ministria e Brendshëm</w:t>
            </w:r>
          </w:p>
        </w:tc>
      </w:tr>
      <w:tr w:rsidR="00493B51" w:rsidTr="00493B51">
        <w:tc>
          <w:tcPr>
            <w:tcW w:w="1339" w:type="dxa"/>
            <w:hideMark/>
          </w:tcPr>
          <w:p w:rsidR="00493B51" w:rsidRDefault="00493B51">
            <w:pPr>
              <w:pStyle w:val="Paragraf02"/>
              <w:ind w:firstLine="0"/>
              <w:rPr>
                <w:bCs/>
                <w:lang w:val="sq-AL"/>
              </w:rPr>
            </w:pPr>
            <w:r>
              <w:rPr>
                <w:bCs/>
                <w:lang w:val="sq-AL"/>
              </w:rPr>
              <w:t xml:space="preserve">MSHMS </w:t>
            </w:r>
          </w:p>
        </w:tc>
        <w:tc>
          <w:tcPr>
            <w:tcW w:w="7336" w:type="dxa"/>
            <w:hideMark/>
          </w:tcPr>
          <w:p w:rsidR="00493B51" w:rsidRDefault="00493B51">
            <w:pPr>
              <w:pStyle w:val="Paragraf02"/>
              <w:ind w:firstLine="0"/>
              <w:rPr>
                <w:bCs/>
                <w:lang w:val="sq-AL"/>
              </w:rPr>
            </w:pPr>
            <w:r>
              <w:rPr>
                <w:bCs/>
                <w:lang w:val="sq-AL"/>
              </w:rPr>
              <w:t>Ministria e Shëndetësisë dhe Mbrojtjes Sociale</w:t>
            </w:r>
          </w:p>
        </w:tc>
      </w:tr>
      <w:tr w:rsidR="00493B51" w:rsidTr="00493B51">
        <w:tc>
          <w:tcPr>
            <w:tcW w:w="1339" w:type="dxa"/>
            <w:hideMark/>
          </w:tcPr>
          <w:p w:rsidR="00493B51" w:rsidRDefault="00493B51">
            <w:pPr>
              <w:pStyle w:val="Paragraf02"/>
              <w:ind w:firstLine="0"/>
              <w:rPr>
                <w:bCs/>
                <w:lang w:val="sq-AL"/>
              </w:rPr>
            </w:pPr>
            <w:r>
              <w:rPr>
                <w:bCs/>
                <w:lang w:val="sq-AL"/>
              </w:rPr>
              <w:t xml:space="preserve">MASR </w:t>
            </w:r>
          </w:p>
        </w:tc>
        <w:tc>
          <w:tcPr>
            <w:tcW w:w="7336" w:type="dxa"/>
            <w:hideMark/>
          </w:tcPr>
          <w:p w:rsidR="00493B51" w:rsidRDefault="00493B51">
            <w:pPr>
              <w:pStyle w:val="Paragraf02"/>
              <w:ind w:firstLine="0"/>
              <w:rPr>
                <w:bCs/>
                <w:lang w:val="sq-AL"/>
              </w:rPr>
            </w:pPr>
            <w:r>
              <w:rPr>
                <w:bCs/>
                <w:lang w:val="sq-AL"/>
              </w:rPr>
              <w:t>Ministria e Arsimit, Sportit dhe Rinisë</w:t>
            </w:r>
          </w:p>
        </w:tc>
      </w:tr>
      <w:tr w:rsidR="00493B51" w:rsidTr="00493B51">
        <w:tc>
          <w:tcPr>
            <w:tcW w:w="1339" w:type="dxa"/>
            <w:hideMark/>
          </w:tcPr>
          <w:p w:rsidR="00493B51" w:rsidRDefault="00493B51">
            <w:pPr>
              <w:pStyle w:val="Paragraf02"/>
              <w:ind w:firstLine="0"/>
              <w:rPr>
                <w:bCs/>
                <w:lang w:val="sq-AL"/>
              </w:rPr>
            </w:pPr>
            <w:r>
              <w:rPr>
                <w:bCs/>
                <w:lang w:val="sq-AL"/>
              </w:rPr>
              <w:t xml:space="preserve">MFE </w:t>
            </w:r>
          </w:p>
        </w:tc>
        <w:tc>
          <w:tcPr>
            <w:tcW w:w="7336" w:type="dxa"/>
            <w:hideMark/>
          </w:tcPr>
          <w:p w:rsidR="00493B51" w:rsidRDefault="00493B51">
            <w:pPr>
              <w:pStyle w:val="Paragraf02"/>
              <w:ind w:firstLine="0"/>
              <w:rPr>
                <w:bCs/>
                <w:lang w:val="sq-AL"/>
              </w:rPr>
            </w:pPr>
            <w:r>
              <w:rPr>
                <w:bCs/>
                <w:lang w:val="sq-AL"/>
              </w:rPr>
              <w:t>Ministria e Financave dhe Ekonomisë</w:t>
            </w:r>
          </w:p>
        </w:tc>
      </w:tr>
      <w:tr w:rsidR="00493B51" w:rsidTr="00493B51">
        <w:tc>
          <w:tcPr>
            <w:tcW w:w="1339" w:type="dxa"/>
            <w:hideMark/>
          </w:tcPr>
          <w:p w:rsidR="00493B51" w:rsidRDefault="00493B51">
            <w:pPr>
              <w:pStyle w:val="Paragraf02"/>
              <w:ind w:firstLine="0"/>
              <w:rPr>
                <w:lang w:val="sq-AL"/>
              </w:rPr>
            </w:pPr>
            <w:r>
              <w:rPr>
                <w:lang w:val="sq-AL"/>
              </w:rPr>
              <w:t xml:space="preserve">RSH </w:t>
            </w:r>
          </w:p>
        </w:tc>
        <w:tc>
          <w:tcPr>
            <w:tcW w:w="7336" w:type="dxa"/>
            <w:hideMark/>
          </w:tcPr>
          <w:p w:rsidR="00493B51" w:rsidRDefault="00493B51">
            <w:pPr>
              <w:pStyle w:val="Paragraf02"/>
              <w:ind w:firstLine="0"/>
              <w:rPr>
                <w:lang w:val="sq-AL"/>
              </w:rPr>
            </w:pPr>
            <w:r>
              <w:rPr>
                <w:lang w:val="sq-AL"/>
              </w:rPr>
              <w:t>Republika e Shqipërisë</w:t>
            </w:r>
          </w:p>
        </w:tc>
      </w:tr>
      <w:tr w:rsidR="00493B51" w:rsidTr="00493B51">
        <w:tc>
          <w:tcPr>
            <w:tcW w:w="1339" w:type="dxa"/>
            <w:hideMark/>
          </w:tcPr>
          <w:p w:rsidR="00493B51" w:rsidRDefault="00493B51">
            <w:pPr>
              <w:pStyle w:val="Paragraf02"/>
              <w:ind w:firstLine="0"/>
              <w:rPr>
                <w:lang w:val="sq-AL"/>
              </w:rPr>
            </w:pPr>
            <w:r>
              <w:rPr>
                <w:lang w:val="sq-AL"/>
              </w:rPr>
              <w:t xml:space="preserve">SHM </w:t>
            </w:r>
          </w:p>
        </w:tc>
        <w:tc>
          <w:tcPr>
            <w:tcW w:w="7336" w:type="dxa"/>
            <w:hideMark/>
          </w:tcPr>
          <w:p w:rsidR="00493B51" w:rsidRDefault="00493B51">
            <w:pPr>
              <w:pStyle w:val="Paragraf02"/>
              <w:ind w:firstLine="0"/>
              <w:rPr>
                <w:lang w:val="sq-AL"/>
              </w:rPr>
            </w:pPr>
            <w:r>
              <w:rPr>
                <w:lang w:val="sq-AL"/>
              </w:rPr>
              <w:t>Shkolla e Magjistraturës</w:t>
            </w:r>
          </w:p>
        </w:tc>
      </w:tr>
      <w:tr w:rsidR="00493B51" w:rsidTr="00493B51">
        <w:tc>
          <w:tcPr>
            <w:tcW w:w="1339" w:type="dxa"/>
            <w:hideMark/>
          </w:tcPr>
          <w:p w:rsidR="00493B51" w:rsidRDefault="00493B51">
            <w:pPr>
              <w:pStyle w:val="Paragraf02"/>
              <w:ind w:firstLine="0"/>
              <w:rPr>
                <w:bCs/>
                <w:lang w:val="sq-AL"/>
              </w:rPr>
            </w:pPr>
            <w:r>
              <w:rPr>
                <w:lang w:val="sq-AL"/>
              </w:rPr>
              <w:t xml:space="preserve">PBA </w:t>
            </w:r>
          </w:p>
        </w:tc>
        <w:tc>
          <w:tcPr>
            <w:tcW w:w="7336" w:type="dxa"/>
            <w:hideMark/>
          </w:tcPr>
          <w:p w:rsidR="00493B51" w:rsidRDefault="00493B51">
            <w:pPr>
              <w:pStyle w:val="Paragraf02"/>
              <w:ind w:firstLine="0"/>
              <w:rPr>
                <w:lang w:val="sq-AL"/>
              </w:rPr>
            </w:pPr>
            <w:r>
              <w:rPr>
                <w:lang w:val="sq-AL"/>
              </w:rPr>
              <w:t>Programi Buxhetor Afatmesëm</w:t>
            </w:r>
          </w:p>
        </w:tc>
      </w:tr>
      <w:tr w:rsidR="00493B51" w:rsidTr="00493B51">
        <w:tc>
          <w:tcPr>
            <w:tcW w:w="1339" w:type="dxa"/>
            <w:hideMark/>
          </w:tcPr>
          <w:p w:rsidR="00493B51" w:rsidRDefault="00493B51">
            <w:pPr>
              <w:pStyle w:val="Paragraf02"/>
              <w:ind w:firstLine="0"/>
              <w:rPr>
                <w:lang w:val="sq-AL"/>
              </w:rPr>
            </w:pPr>
            <w:r>
              <w:rPr>
                <w:lang w:val="sq-AL"/>
              </w:rPr>
              <w:t xml:space="preserve">PP </w:t>
            </w:r>
          </w:p>
        </w:tc>
        <w:tc>
          <w:tcPr>
            <w:tcW w:w="7336" w:type="dxa"/>
            <w:hideMark/>
          </w:tcPr>
          <w:p w:rsidR="00493B51" w:rsidRDefault="00493B51">
            <w:pPr>
              <w:pStyle w:val="Paragraf02"/>
              <w:ind w:firstLine="0"/>
              <w:rPr>
                <w:lang w:val="sq-AL"/>
              </w:rPr>
            </w:pPr>
            <w:r>
              <w:rPr>
                <w:lang w:val="sq-AL"/>
              </w:rPr>
              <w:t>Prokuroria e Përgjithshme</w:t>
            </w:r>
          </w:p>
        </w:tc>
      </w:tr>
      <w:tr w:rsidR="00493B51" w:rsidTr="00493B51">
        <w:tc>
          <w:tcPr>
            <w:tcW w:w="1339" w:type="dxa"/>
            <w:hideMark/>
          </w:tcPr>
          <w:p w:rsidR="00493B51" w:rsidRDefault="00493B51">
            <w:pPr>
              <w:pStyle w:val="Paragraf02"/>
              <w:ind w:firstLine="0"/>
              <w:rPr>
                <w:lang w:val="sq-AL"/>
              </w:rPr>
            </w:pPr>
            <w:r>
              <w:rPr>
                <w:lang w:val="sq-AL"/>
              </w:rPr>
              <w:t xml:space="preserve">UP </w:t>
            </w:r>
          </w:p>
        </w:tc>
        <w:tc>
          <w:tcPr>
            <w:tcW w:w="7336" w:type="dxa"/>
            <w:hideMark/>
          </w:tcPr>
          <w:p w:rsidR="00493B51" w:rsidRDefault="00493B51">
            <w:pPr>
              <w:pStyle w:val="Paragraf02"/>
              <w:ind w:firstLine="0"/>
              <w:rPr>
                <w:lang w:val="sq-AL"/>
              </w:rPr>
            </w:pPr>
            <w:r>
              <w:rPr>
                <w:lang w:val="sq-AL"/>
              </w:rPr>
              <w:t>Urdhri i Psikologut</w:t>
            </w:r>
          </w:p>
        </w:tc>
      </w:tr>
    </w:tbl>
    <w:p w:rsidR="00493B51" w:rsidRDefault="00493B51" w:rsidP="00493B51">
      <w:pPr>
        <w:pStyle w:val="Paragraf02"/>
        <w:rPr>
          <w:b/>
          <w:sz w:val="16"/>
          <w:lang w:val="sq-AL"/>
        </w:rPr>
      </w:pPr>
      <w:bookmarkStart w:id="1" w:name="_Toc515610108"/>
    </w:p>
    <w:p w:rsidR="00493B51" w:rsidRDefault="00493B51" w:rsidP="00493B51">
      <w:pPr>
        <w:spacing w:after="0" w:line="240" w:lineRule="auto"/>
        <w:ind w:firstLine="0"/>
        <w:jc w:val="left"/>
        <w:rPr>
          <w:rFonts w:ascii="Garamond" w:eastAsia="MS Mincho" w:hAnsi="Garamond" w:cs="CG Times"/>
          <w:b/>
          <w:spacing w:val="-4"/>
          <w:sz w:val="14"/>
          <w:lang w:val="sq-AL"/>
        </w:rPr>
        <w:sectPr w:rsidR="00493B51" w:rsidSect="00493B51">
          <w:type w:val="continuous"/>
          <w:pgSz w:w="11907" w:h="16840"/>
          <w:pgMar w:top="720" w:right="1134" w:bottom="720" w:left="1134" w:header="851" w:footer="851" w:gutter="0"/>
          <w:cols w:space="720"/>
        </w:sectPr>
      </w:pPr>
    </w:p>
    <w:p w:rsidR="00493B51" w:rsidRDefault="00493B51" w:rsidP="00493B51">
      <w:pPr>
        <w:pStyle w:val="Paragraf02"/>
        <w:jc w:val="center"/>
        <w:rPr>
          <w:lang w:val="sq-AL"/>
        </w:rPr>
      </w:pPr>
      <w:r>
        <w:rPr>
          <w:b/>
          <w:lang w:val="sq-AL"/>
        </w:rPr>
        <w:t>Hyrje</w:t>
      </w:r>
      <w:bookmarkEnd w:id="1"/>
    </w:p>
    <w:p w:rsidR="00493B51" w:rsidRDefault="00493B51" w:rsidP="00493B51">
      <w:pPr>
        <w:pStyle w:val="Paragraf02"/>
        <w:rPr>
          <w:sz w:val="14"/>
          <w:lang w:val="sq-AL"/>
        </w:rPr>
      </w:pPr>
    </w:p>
    <w:p w:rsidR="00493B51" w:rsidRDefault="00493B51" w:rsidP="00493B51">
      <w:pPr>
        <w:pStyle w:val="Paragraf02"/>
        <w:rPr>
          <w:b/>
          <w:lang w:val="sq-AL"/>
        </w:rPr>
      </w:pPr>
      <w:r>
        <w:rPr>
          <w:lang w:val="sq-AL"/>
        </w:rPr>
        <w:t>Mbrojtja dhe garantimi i të drejtave të të miturve është një ndër prioritetet kyçe të Ministrisë së Drejtësisë, e jetësuar në Programin e Qeverisë Shqiptare nën objektivin madhor: “</w:t>
      </w:r>
      <w:r>
        <w:rPr>
          <w:i/>
          <w:lang w:val="sq-AL"/>
        </w:rPr>
        <w:t>Zbatimi i reformimit të sistemit të drejtësisë për të miturit në konflikt me ligjin, duke forcuar sistemin e drejtësisë restauruese dhe mbrojtjen efektive procedurale</w:t>
      </w:r>
      <w:r>
        <w:rPr>
          <w:lang w:val="sq-AL"/>
        </w:rPr>
        <w:t>”.</w:t>
      </w:r>
    </w:p>
    <w:p w:rsidR="00493B51" w:rsidRDefault="00493B51" w:rsidP="00493B51">
      <w:pPr>
        <w:pStyle w:val="Paragraf02"/>
        <w:rPr>
          <w:rFonts w:eastAsia="Arial Unicode MS"/>
          <w:lang w:val="sq-AL"/>
        </w:rPr>
      </w:pPr>
      <w:r>
        <w:rPr>
          <w:rFonts w:eastAsia="Arial Unicode MS"/>
          <w:lang w:val="sq-AL"/>
        </w:rPr>
        <w:t xml:space="preserve">Ministria e Drejtësisë, mbështetur në kuadrin ligjor vendës dhe ndërkombëtar që rregullon fushën e të drejtave të fëmijëve vlerëson se interesi më i lartë i fëmijës është një parim i rëndësishëm, i cili duhet të gjejë zbatim së pari në të drejtën penale, por edhe atë administrative dhe civile. Ky vlerësim gjen konkretizim në </w:t>
      </w:r>
      <w:r>
        <w:rPr>
          <w:rFonts w:eastAsia="Arial Unicode MS"/>
          <w:lang w:val="sq-AL"/>
        </w:rPr>
        <w:lastRenderedPageBreak/>
        <w:t xml:space="preserve">angazhimin për hartimin dhe finalizimin e një dokumenti të nevojshëm politikash për të miturit në konflikt me ligjin, të shoqëruar më një plan veprimi me prioritete, objektiva, masa dhe indikatorë gjithëpërfshirës, të matshëm dhe që kanë impakt të plotë në përmirësimin e të gjithë sistemit të drejtësisë që trajton çështjet e të miturve. </w:t>
      </w:r>
    </w:p>
    <w:p w:rsidR="00493B51" w:rsidRDefault="00493B51" w:rsidP="00493B51">
      <w:pPr>
        <w:pStyle w:val="Paragraf02"/>
        <w:rPr>
          <w:rFonts w:eastAsia="Arial Unicode MS"/>
          <w:lang w:val="sq-AL"/>
        </w:rPr>
      </w:pPr>
      <w:r>
        <w:rPr>
          <w:rFonts w:eastAsia="Arial Unicode MS"/>
          <w:lang w:val="sq-AL"/>
        </w:rPr>
        <w:t xml:space="preserve">Mbrojtja e të drejtave të të miturve nëpërmjet garantimit të ofrimit të shërbimeve në sistemin gjyqësor ka qenë një nga rregullimet bazë të paketës më të fundit ligjore të normimit të sistemit të drejtësisë, në kuadër të reformës në drejtësi. Konkretisht, të miturit në sistemin e drejtësisë penale përbëjnë një kategori vulnerabël dhe garantimi i procedurave ligjore të shpejta, efektive dhe cilësore ka qenë synimi më i rëndësishëm i reformës në sistemin e drejtësisë penale, e konkretizuar kjo me miratimin e Kodit të Drejtësisë Penale për të Mitur dhe Ligjin për të Drejtat dhe Mbrojtjen e Fëmijëve, si edhe një sërë normash të tjera materiale e procedurale. </w:t>
      </w:r>
    </w:p>
    <w:p w:rsidR="00493B51" w:rsidRDefault="00493B51" w:rsidP="00493B51">
      <w:pPr>
        <w:pStyle w:val="Paragraf02"/>
        <w:rPr>
          <w:rFonts w:eastAsia="Arial Unicode MS"/>
          <w:lang w:val="sq-AL"/>
        </w:rPr>
      </w:pPr>
      <w:r>
        <w:rPr>
          <w:rFonts w:eastAsia="Arial Unicode MS"/>
          <w:lang w:val="sq-AL"/>
        </w:rPr>
        <w:t>Kjo paketë ligjore, lidhur me të drejtat e të miturve, ka pasur në fokus përmirësimin e mëtejshëm të përmbajtjes dhe formës në mënyrën e trajtimit të të miturve në sistemin gjyqësor,</w:t>
      </w:r>
      <w:r>
        <w:rPr>
          <w:rFonts w:eastAsia="Arial Unicode MS"/>
          <w:i/>
          <w:lang w:val="sq-AL"/>
        </w:rPr>
        <w:t xml:space="preserve"> si dhe trajtimin e specializuar që u ofrohet të miturve në komunitet</w:t>
      </w:r>
      <w:r>
        <w:rPr>
          <w:rFonts w:eastAsia="Arial Unicode MS"/>
          <w:lang w:val="sq-AL"/>
        </w:rPr>
        <w:t>, duke ofruar mbështetje nga njëra anë subjektit të veprës penale që në këtë rast është i mitur dhe nga ana tjetër edhe viktimës dhe dëshmitarit të mitur. Ndër të tjera, fasha e mbrojtjes ligjore është zgjeruar, duke përfshirë në këto rregulla edhe të rinjtë deri në moshën 21 vjeç.</w:t>
      </w:r>
    </w:p>
    <w:p w:rsidR="00493B51" w:rsidRDefault="00493B51" w:rsidP="00493B51">
      <w:pPr>
        <w:pStyle w:val="Paragraf02"/>
        <w:rPr>
          <w:rFonts w:eastAsia="Arial Unicode MS"/>
          <w:lang w:val="sq-AL"/>
        </w:rPr>
      </w:pPr>
      <w:r>
        <w:rPr>
          <w:rFonts w:eastAsia="Arial Unicode MS"/>
          <w:lang w:val="sq-AL"/>
        </w:rPr>
        <w:t>Për sa më sipër, si dhe në vazhdim të detyrimit institucional për garantimin e të drejtave të të miturve, prezantohet për herë të parë dokumenti politik “</w:t>
      </w:r>
      <w:r>
        <w:rPr>
          <w:lang w:val="sq-AL"/>
        </w:rPr>
        <w:t xml:space="preserve">Strategjia e drejtësisë për të mitur”, i  shoqëruar me planin e veprimit për periudhën afatgjatë 2018–2021. </w:t>
      </w:r>
      <w:r>
        <w:rPr>
          <w:bdr w:val="none" w:sz="0" w:space="0" w:color="auto" w:frame="1"/>
          <w:lang w:val="sq-AL"/>
        </w:rPr>
        <w:t>Strategjia e Drejtësisë për të Mitur</w:t>
      </w:r>
      <w:r>
        <w:rPr>
          <w:rFonts w:eastAsia="Arial Unicode MS"/>
          <w:lang w:val="sq-AL"/>
        </w:rPr>
        <w:t xml:space="preserve"> është hartuar në përputhje me Strategjinë Kombëtare për Zhvillim dhe Integrim 2015</w:t>
      </w:r>
      <w:r>
        <w:rPr>
          <w:lang w:val="sq-AL"/>
        </w:rPr>
        <w:t>–</w:t>
      </w:r>
      <w:r>
        <w:rPr>
          <w:rFonts w:eastAsia="Arial Unicode MS"/>
          <w:lang w:val="sq-AL"/>
        </w:rPr>
        <w:t xml:space="preserve">2020, Strategjinë Ndërsektoriale e Drejtësisë 2017– 2020, si </w:t>
      </w:r>
      <w:r>
        <w:rPr>
          <w:rFonts w:eastAsia="Arial Unicode MS"/>
          <w:i/>
          <w:lang w:val="sq-AL"/>
        </w:rPr>
        <w:t>dhe Agjendën Kombëtare për të Drejtat e Fëmijëve 2017</w:t>
      </w:r>
      <w:r>
        <w:rPr>
          <w:lang w:val="sq-AL"/>
        </w:rPr>
        <w:t>–</w:t>
      </w:r>
      <w:r>
        <w:rPr>
          <w:rFonts w:eastAsia="Arial Unicode MS"/>
          <w:i/>
          <w:lang w:val="sq-AL"/>
        </w:rPr>
        <w:t>2020</w:t>
      </w:r>
      <w:r>
        <w:rPr>
          <w:rFonts w:eastAsia="Arial Unicode MS"/>
          <w:lang w:val="sq-AL"/>
        </w:rPr>
        <w:t>. Miratimi i Dokumentit të Strategjisë dhe i Planit të Veprimit ka qenë një ndër masat e parashikuara në udhërrëfyesin e prioritetit nr. 5, “Të drejtat e njeriut”, masa 4.8.1, “</w:t>
      </w:r>
      <w:r>
        <w:rPr>
          <w:i/>
          <w:lang w:val="sq-AL"/>
        </w:rPr>
        <w:t>Përfshirja e veprime në fushën e drejtësisë për të miturit në strategjitë dhe planet e veprimit që trajtojnë të drejtat e fëmijëve</w:t>
      </w:r>
      <w:r>
        <w:rPr>
          <w:lang w:val="sq-AL"/>
        </w:rPr>
        <w:t>”, të miratuar me vendimin nr. 330, datë 28.5.2014, të Këshillit të Ministrave “Për miratimin e udhërrëfyesit për 5 prioritet e rekomanduara nga Komisioni Evropian, 2013”</w:t>
      </w:r>
      <w:r>
        <w:rPr>
          <w:rFonts w:eastAsia="Arial Unicode MS"/>
          <w:lang w:val="sq-AL"/>
        </w:rPr>
        <w:t xml:space="preserve">, si dhe në dokumentin e Planit të Masave Afatshkurtra të planifikuara për përmbushjen e 5 Prioriteteve të Komisionit Evropian për Shqipërinë, e përfshirë në prioritetin nr. 5, </w:t>
      </w:r>
      <w:r>
        <w:rPr>
          <w:rFonts w:eastAsia="Arial Unicode MS"/>
          <w:i/>
          <w:lang w:val="sq-AL"/>
        </w:rPr>
        <w:t>“Të drejtat e njeriut”</w:t>
      </w:r>
      <w:r>
        <w:rPr>
          <w:rFonts w:eastAsia="Arial Unicode MS"/>
          <w:lang w:val="sq-AL"/>
        </w:rPr>
        <w:t xml:space="preserve">, </w:t>
      </w:r>
      <w:r>
        <w:rPr>
          <w:bCs/>
          <w:lang w:val="sq-AL" w:eastAsia="sq-AL"/>
        </w:rPr>
        <w:t>rekomandimi nr. 3, “</w:t>
      </w:r>
      <w:r>
        <w:rPr>
          <w:bCs/>
          <w:i/>
          <w:lang w:val="sq-AL" w:eastAsia="sq-AL"/>
        </w:rPr>
        <w:t>Legjislacioni mbi drejtësinë për të miturit duhet përshtatur me standardet ndërkombëtare. Shërbimet për viktimat e dhunës në familje duhen përmirësuar në kualitet, masë, mundësi aksesi dhe mbulim gjeografik</w:t>
      </w:r>
      <w:r>
        <w:rPr>
          <w:bCs/>
          <w:lang w:val="sq-AL" w:eastAsia="sq-AL"/>
        </w:rPr>
        <w:t>”.</w:t>
      </w:r>
    </w:p>
    <w:p w:rsidR="00493B51" w:rsidRDefault="00493B51" w:rsidP="00493B51">
      <w:pPr>
        <w:pStyle w:val="Paragraf02"/>
        <w:rPr>
          <w:i/>
          <w:shd w:val="clear" w:color="auto" w:fill="FFFFFF"/>
          <w:lang w:val="sq-AL"/>
        </w:rPr>
      </w:pPr>
      <w:r>
        <w:rPr>
          <w:shd w:val="clear" w:color="auto" w:fill="FFFFFF"/>
          <w:lang w:val="sq-AL"/>
        </w:rPr>
        <w:t xml:space="preserve">Raporti i Komisionit Evropian për Shqipërinë për vitin 2018, të prezantuar më 17 prill 2018, theksohet se shprehimisht, se: </w:t>
      </w:r>
      <w:r>
        <w:rPr>
          <w:i/>
          <w:shd w:val="clear" w:color="auto" w:fill="FFFFFF"/>
          <w:lang w:val="sq-AL"/>
        </w:rPr>
        <w:t>“Strategjia e Drejtësisë për të Miturit” që përfshin edhe drejtësinë për të miturit dhe aksesin e barabartë në drejtësi të fëmijëve është ende në pritje të miratimit”.</w:t>
      </w:r>
    </w:p>
    <w:p w:rsidR="00493B51" w:rsidRDefault="00493B51" w:rsidP="00493B51">
      <w:pPr>
        <w:pStyle w:val="Paragraf02"/>
        <w:rPr>
          <w:rFonts w:eastAsia="Arial Unicode MS"/>
          <w:lang w:val="sq-AL"/>
        </w:rPr>
      </w:pPr>
      <w:r>
        <w:rPr>
          <w:rFonts w:eastAsia="Arial Unicode MS"/>
          <w:lang w:val="sq-AL"/>
        </w:rPr>
        <w:t xml:space="preserve">Për hartimin e këtij dokumenti është ngritur me urdhrin nr. 966, datë 3.2.2016, të ministrit të Drejtësisë, “Për ngritjen e grupit të punës për hartimin e strategjisë së drejtësisë për të miturit”, grupi i punës i përbërë nga ekspertët të Ministrisë së Drejtësisë. Strategjia e drejtësisë për të miturit dhe plani i veprimit të saj janë hartuar nën ekspertizën profesionale të UNICEF-it dhe ka reflektuar gjetjet dhe rekomandimet e dhëna në të gjitha dokumentet kombëtare dhe ndërkombëtare në këtë fushë. </w:t>
      </w:r>
    </w:p>
    <w:p w:rsidR="00493B51" w:rsidRDefault="00493B51" w:rsidP="00493B51">
      <w:pPr>
        <w:pStyle w:val="Paragraf02"/>
        <w:rPr>
          <w:bCs/>
          <w:spacing w:val="0"/>
          <w:lang w:val="sq-AL"/>
        </w:rPr>
      </w:pPr>
      <w:r>
        <w:rPr>
          <w:b/>
          <w:bCs/>
          <w:i/>
          <w:spacing w:val="0"/>
          <w:lang w:val="sq-AL"/>
        </w:rPr>
        <w:t xml:space="preserve">Qëllimi i Strategjisë së Drejtësisë për të Miturit 2018–2021 është promovimi dhe mbrojtja më efektive e të drejtave dhe nevojave në proceset gjyqësore dhe alternativat ndaj këtyre procedurave, për të miturit në konflikt me ligjin, viktima, dëshmitar të veprave penale, të miturit nën moshë për t’u ndjekur penalisht dhe të miturit pjesëmarrës në proceset gjyqësore, kryesisht atyre penale, nëpërmjet implementimit të standardeve kombëtare dhe ndërkombëtare të të drejtave të fëmijëve. </w:t>
      </w:r>
      <w:r>
        <w:rPr>
          <w:bCs/>
          <w:spacing w:val="0"/>
          <w:lang w:val="sq-AL"/>
        </w:rPr>
        <w:t>Strategjia përmban një qasje ndërdisiplinore, që do të integrohet me të gjitha dokumentet e tjera ekzistuese kombëtare, e shoqëruar me aktivitete konkrete.</w:t>
      </w:r>
    </w:p>
    <w:p w:rsidR="00493B51" w:rsidRDefault="00493B51" w:rsidP="00493B51">
      <w:pPr>
        <w:pStyle w:val="Paragraf02"/>
        <w:ind w:firstLine="0"/>
        <w:rPr>
          <w:sz w:val="14"/>
          <w:lang w:val="sq-AL"/>
        </w:rPr>
      </w:pPr>
      <w:bookmarkStart w:id="2" w:name="_Toc515610109"/>
    </w:p>
    <w:p w:rsidR="00493B51" w:rsidRDefault="00493B51" w:rsidP="00493B51">
      <w:pPr>
        <w:pStyle w:val="Paragraf02"/>
        <w:ind w:firstLine="0"/>
        <w:jc w:val="center"/>
        <w:rPr>
          <w:lang w:val="sq-AL"/>
        </w:rPr>
      </w:pPr>
      <w:r>
        <w:rPr>
          <w:lang w:val="sq-AL"/>
        </w:rPr>
        <w:t>KAPITULLI I</w:t>
      </w:r>
    </w:p>
    <w:p w:rsidR="00493B51" w:rsidRDefault="00493B51" w:rsidP="00493B51">
      <w:pPr>
        <w:pStyle w:val="Paragraf02"/>
        <w:ind w:firstLine="0"/>
        <w:jc w:val="center"/>
        <w:rPr>
          <w:lang w:val="sq-AL"/>
        </w:rPr>
      </w:pPr>
      <w:r>
        <w:rPr>
          <w:lang w:val="sq-AL"/>
        </w:rPr>
        <w:t>ASPEKTET LIGJORE DHE KUSHTET AKTUALE</w:t>
      </w:r>
      <w:bookmarkEnd w:id="2"/>
    </w:p>
    <w:p w:rsidR="00493B51" w:rsidRDefault="00493B51" w:rsidP="00493B51">
      <w:pPr>
        <w:pStyle w:val="Paragraf02"/>
        <w:rPr>
          <w:sz w:val="14"/>
          <w:lang w:val="sq-AL"/>
        </w:rPr>
      </w:pPr>
      <w:bookmarkStart w:id="3" w:name="_Toc515610110"/>
    </w:p>
    <w:p w:rsidR="00493B51" w:rsidRDefault="00493B51" w:rsidP="00493B51">
      <w:pPr>
        <w:pStyle w:val="Paragraf02"/>
        <w:rPr>
          <w:lang w:val="sq-AL"/>
        </w:rPr>
      </w:pPr>
      <w:r>
        <w:rPr>
          <w:lang w:val="sq-AL"/>
        </w:rPr>
        <w:t>I.1 ASPEKTET LIGJORE</w:t>
      </w:r>
      <w:bookmarkEnd w:id="3"/>
    </w:p>
    <w:p w:rsidR="00493B51" w:rsidRDefault="00493B51" w:rsidP="00493B51">
      <w:pPr>
        <w:pStyle w:val="Paragraf02"/>
        <w:rPr>
          <w:lang w:val="sq-AL"/>
        </w:rPr>
      </w:pPr>
      <w:r>
        <w:rPr>
          <w:i/>
          <w:lang w:val="sq-AL"/>
        </w:rPr>
        <w:t>Strategjia Kombëtare për Zhvillim dhe Integrim 2016</w:t>
      </w:r>
      <w:r>
        <w:rPr>
          <w:lang w:val="sq-AL"/>
        </w:rPr>
        <w:t>–</w:t>
      </w:r>
      <w:r>
        <w:rPr>
          <w:i/>
          <w:lang w:val="sq-AL"/>
        </w:rPr>
        <w:t>2020,</w:t>
      </w:r>
      <w:r>
        <w:rPr>
          <w:lang w:val="sq-AL"/>
        </w:rPr>
        <w:t xml:space="preserve"> në kuadër të synimit për qeverisje të mirë, garantimin e demokracisë dhe shtetit të së drejtës, parashikon: “</w:t>
      </w:r>
      <w:r>
        <w:rPr>
          <w:i/>
          <w:lang w:val="sq-AL"/>
        </w:rPr>
        <w:t>Reformimin e përgjithshëm të sistemit të drejtësisë dhe cilëson sistemin e drejtësisë për të miturit si një sfidë të rëndësishme”</w:t>
      </w:r>
      <w:r>
        <w:rPr>
          <w:lang w:val="sq-AL"/>
        </w:rPr>
        <w:t xml:space="preserve">. </w:t>
      </w:r>
    </w:p>
    <w:p w:rsidR="00493B51" w:rsidRDefault="00493B51" w:rsidP="00493B51">
      <w:pPr>
        <w:pStyle w:val="Paragraf02"/>
        <w:rPr>
          <w:lang w:val="sq-AL"/>
        </w:rPr>
      </w:pPr>
      <w:r>
        <w:rPr>
          <w:bCs/>
          <w:i/>
          <w:color w:val="000000"/>
          <w:lang w:val="sq-AL"/>
        </w:rPr>
        <w:t>Strategjia Ndërsektoriale e Drejtësisë 2017</w:t>
      </w:r>
      <w:r>
        <w:rPr>
          <w:lang w:val="sq-AL"/>
        </w:rPr>
        <w:t>–</w:t>
      </w:r>
      <w:r>
        <w:rPr>
          <w:bCs/>
          <w:i/>
          <w:color w:val="000000"/>
          <w:lang w:val="sq-AL"/>
        </w:rPr>
        <w:t xml:space="preserve">2020 </w:t>
      </w:r>
      <w:r>
        <w:rPr>
          <w:bCs/>
          <w:color w:val="000000"/>
          <w:lang w:val="sq-AL"/>
        </w:rPr>
        <w:t>parashikon planin konkret me vizion:</w:t>
      </w:r>
      <w:r>
        <w:rPr>
          <w:bCs/>
          <w:i/>
          <w:color w:val="000000"/>
          <w:lang w:val="sq-AL"/>
        </w:rPr>
        <w:t xml:space="preserve"> “</w:t>
      </w:r>
      <w:r>
        <w:rPr>
          <w:i/>
          <w:lang w:val="sq-AL"/>
        </w:rPr>
        <w:t xml:space="preserve">Shteti ligjor garantohet nga Kushtetuta dhe ligjet e Republikës së Shqipërisë, çka promovon konsolidimin e demokracisë dhe zhvillimin e qëndrueshëm politik, ekonomik dhe social në vend”. </w:t>
      </w:r>
      <w:r>
        <w:rPr>
          <w:lang w:val="sq-AL"/>
        </w:rPr>
        <w:t>Misioni i kësaj strategjie është:</w:t>
      </w:r>
      <w:r>
        <w:rPr>
          <w:i/>
          <w:lang w:val="sq-AL"/>
        </w:rPr>
        <w:t xml:space="preserve"> </w:t>
      </w:r>
      <w:r>
        <w:rPr>
          <w:lang w:val="sq-AL"/>
        </w:rPr>
        <w:t>“</w:t>
      </w:r>
      <w:r>
        <w:rPr>
          <w:i/>
          <w:lang w:val="sq-AL"/>
        </w:rPr>
        <w:t>Zbatimi i suksesshëm i reformave në sektorin e drejtësisë për të siguruar një sistem gjyqësor efektiv, efikas, të pavarur dhe transparent, në përputhje me praktikat më të mira evropiane”.</w:t>
      </w:r>
      <w:r>
        <w:rPr>
          <w:lang w:val="sq-AL"/>
        </w:rPr>
        <w:t xml:space="preserve"> Kjo strategji përcakton 8 objektiva:</w:t>
      </w:r>
    </w:p>
    <w:p w:rsidR="00493B51" w:rsidRDefault="00493B51" w:rsidP="00493B51">
      <w:pPr>
        <w:pStyle w:val="Paragraf02"/>
        <w:rPr>
          <w:rFonts w:eastAsia="Calibri"/>
          <w:lang w:val="sq-AL"/>
        </w:rPr>
      </w:pPr>
      <w:r>
        <w:rPr>
          <w:rFonts w:eastAsia="Calibri"/>
          <w:lang w:val="sq-AL"/>
        </w:rPr>
        <w:t>- forcimi i pavarësisë, efikasitetit, efektivitetit dhe llogaridhënies së institucioneve të sistemit të drejtësisë;</w:t>
      </w:r>
    </w:p>
    <w:p w:rsidR="00493B51" w:rsidRDefault="00493B51" w:rsidP="00493B51">
      <w:pPr>
        <w:pStyle w:val="Paragraf02"/>
        <w:rPr>
          <w:rFonts w:eastAsia="Calibri"/>
          <w:lang w:val="sq-AL"/>
        </w:rPr>
      </w:pPr>
      <w:r>
        <w:rPr>
          <w:rFonts w:eastAsia="Calibri"/>
          <w:bCs/>
          <w:iCs/>
          <w:lang w:val="sq-AL"/>
        </w:rPr>
        <w:lastRenderedPageBreak/>
        <w:t>- konsolidimi i arsimit ligjor dhe trajnimit, si dhe specializimi i magjistratëve dhe personelit të gjykatave;</w:t>
      </w:r>
    </w:p>
    <w:p w:rsidR="00493B51" w:rsidRDefault="00493B51" w:rsidP="00493B51">
      <w:pPr>
        <w:pStyle w:val="Paragraf02"/>
        <w:rPr>
          <w:rFonts w:eastAsia="Calibri"/>
          <w:bCs/>
          <w:iCs/>
          <w:lang w:val="sq-AL"/>
        </w:rPr>
      </w:pPr>
      <w:r>
        <w:rPr>
          <w:rFonts w:eastAsia="Calibri"/>
          <w:bCs/>
          <w:iCs/>
          <w:lang w:val="sq-AL"/>
        </w:rPr>
        <w:t>- përmirësimi i operimit të sistemit gjyqësor, duke forcuar efikasitetin, transparencën dhe qasjen e tij, në përputhje me standardet evropiane;</w:t>
      </w:r>
    </w:p>
    <w:p w:rsidR="00493B51" w:rsidRDefault="00493B51" w:rsidP="00493B51">
      <w:pPr>
        <w:pStyle w:val="Paragraf02"/>
        <w:rPr>
          <w:rFonts w:eastAsia="Calibri"/>
          <w:lang w:val="sq-AL"/>
        </w:rPr>
      </w:pPr>
      <w:r>
        <w:rPr>
          <w:rFonts w:eastAsia="Calibri"/>
          <w:lang w:val="sq-AL"/>
        </w:rPr>
        <w:t>- rritja e efikasitetit të sistemit gjyqësor penal dhe masave antikorrupsion përmes konsolidimit të misionit, statusit dhe funksioneve të institucioneve të drejtësisë penale;</w:t>
      </w:r>
    </w:p>
    <w:p w:rsidR="00493B51" w:rsidRDefault="00493B51" w:rsidP="00493B51">
      <w:pPr>
        <w:pStyle w:val="Paragraf02"/>
        <w:rPr>
          <w:rFonts w:eastAsia="Calibri"/>
          <w:lang w:val="sq-AL"/>
        </w:rPr>
      </w:pPr>
      <w:r>
        <w:rPr>
          <w:rFonts w:eastAsia="Calibri"/>
          <w:lang w:val="sq-AL"/>
        </w:rPr>
        <w:t>- përmirësimi i funksionimit të sistemit të drejtësisë, duke siguruar sisteme moderne elektronike dhe lehtësira për zhvillimin e bashkëpunimit të fuqishëm ndërkombëtar;</w:t>
      </w:r>
    </w:p>
    <w:p w:rsidR="00493B51" w:rsidRDefault="00493B51" w:rsidP="00493B51">
      <w:pPr>
        <w:pStyle w:val="Paragraf02"/>
        <w:rPr>
          <w:rFonts w:eastAsia="Calibri"/>
          <w:lang w:val="sq-AL"/>
        </w:rPr>
      </w:pPr>
      <w:r>
        <w:rPr>
          <w:rFonts w:eastAsia="Calibri"/>
          <w:lang w:val="sq-AL"/>
        </w:rPr>
        <w:t>- shtimi i mbrojtjes së të drejtave të njeriut në sistemin ndëshkimor;</w:t>
      </w:r>
    </w:p>
    <w:p w:rsidR="00493B51" w:rsidRDefault="00493B51" w:rsidP="00493B51">
      <w:pPr>
        <w:pStyle w:val="Paragraf02"/>
        <w:rPr>
          <w:rFonts w:eastAsia="Calibri"/>
          <w:lang w:val="sq-AL"/>
        </w:rPr>
      </w:pPr>
      <w:r>
        <w:rPr>
          <w:rFonts w:eastAsia="Calibri"/>
          <w:lang w:val="sq-AL"/>
        </w:rPr>
        <w:t>- përmirësimi i funksionimit të Ministrisë së Drejtësisë dhe institucioneve të saj vartëse;</w:t>
      </w:r>
    </w:p>
    <w:p w:rsidR="00493B51" w:rsidRDefault="00493B51" w:rsidP="00493B51">
      <w:pPr>
        <w:pStyle w:val="Paragraf02"/>
        <w:rPr>
          <w:rFonts w:eastAsia="Calibri"/>
          <w:lang w:val="sq-AL"/>
        </w:rPr>
      </w:pPr>
      <w:r>
        <w:rPr>
          <w:rFonts w:eastAsia="Calibri"/>
          <w:lang w:val="sq-AL"/>
        </w:rPr>
        <w:t>- përmirësimi i cilësisë së shërbimit të profesioneve ligjore dhe vendosja e një kuadri ligjor për arbitrazhin.</w:t>
      </w:r>
    </w:p>
    <w:p w:rsidR="00493B51" w:rsidRDefault="00493B51" w:rsidP="00493B51">
      <w:pPr>
        <w:pStyle w:val="Paragraf02"/>
        <w:rPr>
          <w:bCs/>
          <w:color w:val="000000"/>
          <w:lang w:val="sq-AL"/>
        </w:rPr>
      </w:pPr>
      <w:r>
        <w:rPr>
          <w:lang w:val="sq-AL"/>
        </w:rPr>
        <w:t>Ndërkohë</w:t>
      </w:r>
      <w:r>
        <w:rPr>
          <w:bCs/>
          <w:color w:val="000000"/>
          <w:lang w:val="sq-AL"/>
        </w:rPr>
        <w:t xml:space="preserve"> që </w:t>
      </w:r>
      <w:r>
        <w:rPr>
          <w:bCs/>
          <w:i/>
          <w:color w:val="000000"/>
          <w:lang w:val="sq-AL"/>
        </w:rPr>
        <w:t>Strategjia e Drejtësisë për të Miturit</w:t>
      </w:r>
      <w:r>
        <w:rPr>
          <w:bCs/>
          <w:color w:val="000000"/>
          <w:lang w:val="sq-AL"/>
        </w:rPr>
        <w:t xml:space="preserve"> synon që të përfshijë në kuadër të këtyre objektivave të mëdhenj, objektivat për garantimin e parimeve themelore të drejtësisë për të mitur. </w:t>
      </w:r>
    </w:p>
    <w:p w:rsidR="00493B51" w:rsidRDefault="00493B51" w:rsidP="00493B51">
      <w:pPr>
        <w:pStyle w:val="Paragraf02"/>
        <w:rPr>
          <w:i/>
          <w:lang w:val="sq-AL"/>
        </w:rPr>
      </w:pPr>
      <w:r>
        <w:rPr>
          <w:bCs/>
          <w:color w:val="000000"/>
          <w:lang w:val="sq-AL"/>
        </w:rPr>
        <w:t>Në Agjendën Kombëtare për të Drejtat e fëmijëve 2017–2020, të miratuar me VKM-në nr. 372, datë 26.4.2017, citohet se: “</w:t>
      </w:r>
      <w:r>
        <w:rPr>
          <w:i/>
          <w:lang w:val="sq-AL"/>
        </w:rPr>
        <w:t xml:space="preserve">Sistemi i drejtësisë në Shqipëri ende ka një përqasje ndëshkuese ndaj të miturve në konflikt me ligjin. Në një masë të madhe nuk arrin të marrë parasysh nevojat e tyre për mbrojtje, në respekt të të drejtave të tyre njerëzore dhe dinjitetit megjithëse ka pasur disa përmirësime gjatë viteve të fundit. Që në vitin 2009, me prezantimin e Shërbimit të Provës, jepen dënime alternative deri në 58% të rasteve të të miturve. Numri i fëmijëve që kanë kaluar nga paraburgimi gjatë viteve të mëparshme përgjithësisht ka qenë i paqëndrueshëm. Megjithatë, në vitin 2015 (208 raste) ka pasur një rënie të dukshme (rreth 40%) në krahasim me vitin 2014 (338 raste). Ditët e qëndrimit aty kanë pësuar rënie vetëm në vitin 2015 me një mesatare prej 125 ditësh (krahasuar me 140 në 2014) 40. Gjithashtu, jo rrallë procesi i drejtësisë për të miturit nuk është i përshtatshëm dhe miqësor për fëmijët. Janë bërë përpjekje për të ngritur kapacitetet e gjyqtarëve, prokurorëve dhe oficerëve të policisë, megjithatë kanë qenë sporadike. Gjithashtu, me qëllim promovimin e dhënies së dënimeve alternative për të miturit dhe riintegrimin e tyre në shoqëri, është e nevojshme të hartohen programe integrimi në komunitet, të forcohen më tej zyrat e shërbimit të provës përmes ngritjes/përmirësimit të kapaciteteve të punonjësve të shërbimit të provës. Realizimi i programeve integruese dhe riintegruese të qëndrueshme ka si qëllim uljen e nivelit të recidivizmit për fëmijët e përfshirë në sistemin e paraburgimit. </w:t>
      </w:r>
    </w:p>
    <w:p w:rsidR="00493B51" w:rsidRDefault="00493B51" w:rsidP="00493B51">
      <w:pPr>
        <w:pStyle w:val="Paragraf02"/>
        <w:rPr>
          <w:lang w:val="sq-AL"/>
        </w:rPr>
      </w:pPr>
      <w:r>
        <w:rPr>
          <w:lang w:val="sq-AL"/>
        </w:rPr>
        <w:t>Për të gjitha arsyet e lartpërmendura, lind nevoja e përmirësimit të përmbajtjes dhe procedurave të administrimit të drejtësisë për fëmijë”.</w:t>
      </w:r>
    </w:p>
    <w:p w:rsidR="00493B51" w:rsidRDefault="00493B51" w:rsidP="00493B51">
      <w:pPr>
        <w:pStyle w:val="Paragraf02"/>
        <w:rPr>
          <w:shd w:val="clear" w:color="auto" w:fill="FFFFFF"/>
          <w:lang w:val="sq-AL"/>
        </w:rPr>
      </w:pPr>
      <w:r>
        <w:rPr>
          <w:shd w:val="clear" w:color="auto" w:fill="FFFFFF"/>
          <w:lang w:val="sq-AL"/>
        </w:rPr>
        <w:t xml:space="preserve">Progresraporti vjetor i Komisionit Evropian për Shqipërinë (2014) ka evidentuar, për sa i përket drejtësisë për të mitur, mungesën e dhomave të veçanta për fëmijët nën 14 vjeç në rajonet e policisë dhe pengimin e aksesit të të miturve në sistemin e drejtësisë përmes tarifave gjyqësore. </w:t>
      </w:r>
    </w:p>
    <w:p w:rsidR="00493B51" w:rsidRDefault="00493B51" w:rsidP="00493B51">
      <w:pPr>
        <w:pStyle w:val="Paragraf02"/>
        <w:rPr>
          <w:lang w:val="sq-AL"/>
        </w:rPr>
      </w:pPr>
      <w:r>
        <w:rPr>
          <w:lang w:val="sq-AL"/>
        </w:rPr>
        <w:t>Për sa i takon cilësisë së drejtësisë, Komisioni deklaron se sistemi audioincizues, i cili është element i rëndësishëm për drejtësinë e të miturve është instaluar në të gjitha gjykatat e shkallës së parë dhe të apelit, me përjashtim të Gjykatës Administrative të Gjirokastrës, por duhet punuar për përdorimin i tij efektiv. Problematikë tjetër e evidentuar është pamjaftueshmëria e alokimeve buxhetore për gjykatat mbi teknologjinë e informacionit (TI),</w:t>
      </w:r>
      <w:r>
        <w:rPr>
          <w:rStyle w:val="FootnoteReference"/>
          <w:szCs w:val="24"/>
          <w:lang w:val="sq-AL"/>
        </w:rPr>
        <w:footnoteReference w:id="1"/>
      </w:r>
      <w:r>
        <w:rPr>
          <w:lang w:val="sq-AL"/>
        </w:rPr>
        <w:t xml:space="preserve"> ndërkohë që ngritja dhe funksionimi i sistemeve </w:t>
      </w:r>
      <w:r>
        <w:rPr>
          <w:i/>
          <w:lang w:val="sq-AL"/>
        </w:rPr>
        <w:t>online</w:t>
      </w:r>
      <w:r>
        <w:rPr>
          <w:lang w:val="sq-AL"/>
        </w:rPr>
        <w:t xml:space="preserve"> do të ndihmojë në adresimin e drejtësisë për të mitur. </w:t>
      </w:r>
    </w:p>
    <w:p w:rsidR="00493B51" w:rsidRDefault="00493B51" w:rsidP="00493B51">
      <w:pPr>
        <w:pStyle w:val="Paragraf02"/>
        <w:rPr>
          <w:lang w:val="sq-AL"/>
        </w:rPr>
      </w:pPr>
      <w:r>
        <w:rPr>
          <w:bCs/>
          <w:color w:val="000000"/>
          <w:lang w:val="sq-AL"/>
        </w:rPr>
        <w:t>Raportprogresi i Komisionit Evropian për Shqipërinë 2016 në kapitullin 23, “Gjyqësori dhe të drejtat e njeriut” thekson se: “</w:t>
      </w:r>
      <w:r>
        <w:rPr>
          <w:i/>
          <w:lang w:val="sq-AL"/>
        </w:rPr>
        <w:t xml:space="preserve">Nevojiten përpjekje të mëtejshme për të përafruar legjislacionin ekzistues me standardet ndërkombëtare dhe për t’u tërhequr nga metoda ndëshkuese për të rinjtë që shkelin ligjin. Janë rishikuar një sërë ligjesh në kuadër të reformës në drejtësi, për të përafruar gjykimin e të rinjve në përputhje me standardet e Kombeve të Bashkuara. Po hartohen një kod i veçantë juridik për të rinjtë dhe një strategji për drejtësinë e fëmijëve. Në vitin 2015, 130 fëmijë më pak se sa në vitin 2014 janë dërguar në mjediset e paraburgimit dhe koha mesatare e mbajtjes në paraburgim është reduktuar. Gjithsesi, ende mungojnë planifikimi, buxhetimi dhe riedukimi i përshtatshëm i bazuar në komunitet dhe programet e riintegrimit të fëmijëve që shkelin ligjin. Disa kategori të fëmijëve, siç janë ato nga minoritetet etnike, fëmijët me aftësi të kufizuara, vajzat dhe fëmijët që jetojnë në zonat rurale, përballen me sfida në marrjen e mbrojtjes juridike”. </w:t>
      </w:r>
      <w:r>
        <w:rPr>
          <w:lang w:val="sq-AL"/>
        </w:rPr>
        <w:t xml:space="preserve">Në vijim të raportit, Komisioni Evropian </w:t>
      </w:r>
      <w:r>
        <w:rPr>
          <w:bCs/>
          <w:color w:val="000000"/>
          <w:lang w:val="sq-AL"/>
        </w:rPr>
        <w:t xml:space="preserve">rekomandon </w:t>
      </w:r>
      <w:r>
        <w:rPr>
          <w:lang w:val="sq-AL"/>
        </w:rPr>
        <w:t xml:space="preserve">“... </w:t>
      </w:r>
      <w:r>
        <w:rPr>
          <w:i/>
          <w:lang w:val="sq-AL"/>
        </w:rPr>
        <w:t>Në vitin e ardhshëm, Shqipëria duhet, në veçanti: të përmirësojë mekanizmat institucionalë për mbrojtjen e fëmijëve; ... të përmirësojë përpjekjet për të sjellë legjislacionin ekzistues për drejtësinë e të miturve në përputhje me standardet ndërkombëtare ...</w:t>
      </w:r>
      <w:r>
        <w:rPr>
          <w:lang w:val="sq-AL"/>
        </w:rPr>
        <w:t xml:space="preserve">”. </w:t>
      </w:r>
    </w:p>
    <w:p w:rsidR="00493B51" w:rsidRDefault="00493B51" w:rsidP="00493B51">
      <w:pPr>
        <w:pStyle w:val="Paragraf02"/>
        <w:rPr>
          <w:i/>
          <w:shd w:val="clear" w:color="auto" w:fill="FFFFFF"/>
          <w:lang w:val="sq-AL"/>
        </w:rPr>
      </w:pPr>
      <w:r>
        <w:rPr>
          <w:shd w:val="clear" w:color="auto" w:fill="FFFFFF"/>
          <w:lang w:val="sq-AL"/>
        </w:rPr>
        <w:t xml:space="preserve">Në raportin e Komisionit Evropian për Shqipërinë për vitin 2018, të prezantuar më 17 prill 2018, theksohet se </w:t>
      </w:r>
      <w:r>
        <w:rPr>
          <w:i/>
          <w:shd w:val="clear" w:color="auto" w:fill="FFFFFF"/>
          <w:lang w:val="sq-AL"/>
        </w:rPr>
        <w:t>(....) hapa të rëndësishëm janë bërë në drejtim të drejtësisë për të miturit (...) Kodi i Drejtësisë Penale për të Mitur, i marsit 2017, siguroi përputhshmërinë de jure me standardet ndërkombëtare të drejtësisë për të miturit në Shqipëri. “Strategjia e Drejtësisë për të Miturit” që përfshin edhe drejtësinë për të miturit dhe aksesin e barabartë në drejtësi të fëmijëve është ende në pritje të miratimit. Ligji i ri për ndihmën juridike të miratuar në dhjetor 2017 synon të sigurojë aksesin e fëmijëve në ndihmën ligjore. Në Ministrinë e Drejtësisë është ngritur një sektor për çështjet e drejtësisë penale për të miturit dhe do të zhvillojë një sistem online për gjurmimin e çështjeve me të mitur që kanë kryer vepra penale (...)</w:t>
      </w:r>
    </w:p>
    <w:p w:rsidR="00493B51" w:rsidRDefault="00493B51" w:rsidP="00493B51">
      <w:pPr>
        <w:pStyle w:val="Paragraf02"/>
        <w:rPr>
          <w:lang w:val="sq-AL"/>
        </w:rPr>
      </w:pPr>
      <w:r>
        <w:rPr>
          <w:rFonts w:eastAsia="Calibri"/>
          <w:lang w:val="sq-AL"/>
        </w:rPr>
        <w:t xml:space="preserve">Në kuadër të reformës në drejtësi </w:t>
      </w:r>
      <w:r>
        <w:rPr>
          <w:lang w:val="sq-AL"/>
        </w:rPr>
        <w:t xml:space="preserve">është miratuar ligji nr. 37/2017, datë 30.3.2017, “Kodi i Drejtësisë Penale </w:t>
      </w:r>
      <w:r>
        <w:rPr>
          <w:lang w:val="sq-AL"/>
        </w:rPr>
        <w:lastRenderedPageBreak/>
        <w:t xml:space="preserve">për të Mitur” dhe ligji nr. 18/2017, “Për të drejtat dhe mbrojtjen e fëmijëve” që rregullojnë organizimin dhe funksionimin e institucioneve për trajtimin dhe mbrojtjen e të drejtave të fëmijëve. </w:t>
      </w:r>
    </w:p>
    <w:p w:rsidR="00493B51" w:rsidRDefault="00493B51" w:rsidP="00493B51">
      <w:pPr>
        <w:pStyle w:val="Paragraf02"/>
        <w:rPr>
          <w:lang w:val="sq-AL"/>
        </w:rPr>
      </w:pPr>
      <w:r>
        <w:rPr>
          <w:lang w:val="sq-AL"/>
        </w:rPr>
        <w:t xml:space="preserve">Në datën 1 janar 2018 hyri në fuqi ligji nr. 37/2017, datë 30.3.2017, “Kodi i Drejtësisë Penale për të Mitur”, i cili përmban norma të posaçme ligjore lidhur me përgjegjësinë penale të të miturve, rregulla procedurale lidhur me hetimin, ndjekjen penale, procesin gjyqësor, ekzekutimin e vendimit të dënimit penal, rehabilitimin ose të çdo masë tjetër që përfshin një të mitur në konflikt me ligjin, një të mitur viktimë dhe/ose dëshmitar të veprës penale, si dhe rregulla për të rinjtë nga grup-mosha 18 deri në 21 vjeç. </w:t>
      </w:r>
      <w:r>
        <w:rPr>
          <w:color w:val="000000"/>
          <w:lang w:val="sq-AL"/>
        </w:rPr>
        <w:t xml:space="preserve">Ky ligj përbën një risi dhe zhvillon standardet e legjislacionit shqiptar në mbrojtjen e të drejtave të fëmijëve në tërësi dhe të të miturve në konflikt me ligjin në veçanti. </w:t>
      </w:r>
      <w:r>
        <w:rPr>
          <w:lang w:val="sq-AL"/>
        </w:rPr>
        <w:t>Kodi është një ligj i veçantë për shkak të përmbajtjes së tij, pasi përmbledh të gjitha dispozitat që referojnë të miturin në Kodin Penal, Kodin e Procedurës Penale, ligjin “Për të drejtat dhe trajtimin e të dënuarve me burgim dhe të paraburgosurve”, si dhe ligje të tjera referuese të sistemit të drejtësisë penale për të mitur. Ky Kod siguron përafrimin e legjislacionit shqiptar me direktivën 2011/93/BE datë 13.12.2011, përveç përputhjes me standardet ndërkombëtare dhe rajonale.</w:t>
      </w:r>
      <w:r>
        <w:rPr>
          <w:vertAlign w:val="superscript"/>
          <w:lang w:val="sq-AL"/>
        </w:rPr>
        <w:footnoteReference w:id="2"/>
      </w:r>
      <w:r>
        <w:rPr>
          <w:vertAlign w:val="superscript"/>
          <w:lang w:val="sq-AL"/>
        </w:rPr>
        <w:t xml:space="preserve"> </w:t>
      </w:r>
      <w:r>
        <w:rPr>
          <w:lang w:val="sq-AL"/>
        </w:rPr>
        <w:t>Në zbatim të plotë të këtij Kodi janë parashikuar një seri masash në Planin e Veprimit të saj, të Strategjisë së Drejtësisë për të Mitur.</w:t>
      </w:r>
    </w:p>
    <w:p w:rsidR="00493B51" w:rsidRDefault="00493B51" w:rsidP="00493B51">
      <w:pPr>
        <w:pStyle w:val="Paragraf02"/>
        <w:rPr>
          <w:bCs/>
          <w:color w:val="000000"/>
          <w:lang w:val="sq-AL"/>
        </w:rPr>
      </w:pPr>
      <w:r>
        <w:rPr>
          <w:bCs/>
          <w:color w:val="000000"/>
          <w:lang w:val="sq-AL"/>
        </w:rPr>
        <w:t xml:space="preserve">Kështu, në sektorin e drejtësisë, mbrojtja e të drejtave të fëmijëve trajtohet në 3 drejtime kryesore: </w:t>
      </w:r>
    </w:p>
    <w:p w:rsidR="00493B51" w:rsidRDefault="00493B51" w:rsidP="00493B51">
      <w:pPr>
        <w:pStyle w:val="Paragraf02"/>
        <w:rPr>
          <w:bCs/>
          <w:color w:val="000000"/>
          <w:lang w:val="sq-AL"/>
        </w:rPr>
      </w:pPr>
      <w:r>
        <w:rPr>
          <w:bCs/>
          <w:color w:val="000000"/>
          <w:lang w:val="sq-AL"/>
        </w:rPr>
        <w:t>- përmirësimi i aksesit në drejtësi;</w:t>
      </w:r>
    </w:p>
    <w:p w:rsidR="00493B51" w:rsidRDefault="00493B51" w:rsidP="00493B51">
      <w:pPr>
        <w:pStyle w:val="Paragraf02"/>
        <w:rPr>
          <w:lang w:val="sq-AL"/>
        </w:rPr>
      </w:pPr>
      <w:r>
        <w:rPr>
          <w:lang w:val="sq-AL"/>
        </w:rPr>
        <w:t xml:space="preserve">- informim dhe edukim ligjor; dhe </w:t>
      </w:r>
    </w:p>
    <w:p w:rsidR="00493B51" w:rsidRDefault="00493B51" w:rsidP="00493B51">
      <w:pPr>
        <w:pStyle w:val="Paragraf02"/>
        <w:rPr>
          <w:bCs/>
          <w:color w:val="000000"/>
          <w:lang w:val="sq-AL"/>
        </w:rPr>
      </w:pPr>
      <w:r>
        <w:rPr>
          <w:bCs/>
          <w:color w:val="000000"/>
          <w:lang w:val="sq-AL"/>
        </w:rPr>
        <w:t>- parandalim, riintegrim dhe rehabilitim.</w:t>
      </w:r>
    </w:p>
    <w:p w:rsidR="00493B51" w:rsidRDefault="00493B51" w:rsidP="00493B51">
      <w:pPr>
        <w:pStyle w:val="Paragraf02"/>
        <w:rPr>
          <w:bCs/>
          <w:color w:val="000000" w:themeColor="text1"/>
          <w:lang w:val="sq-AL"/>
        </w:rPr>
      </w:pPr>
      <w:bookmarkStart w:id="4" w:name="_Toc515610111"/>
      <w:r>
        <w:rPr>
          <w:color w:val="000000" w:themeColor="text1"/>
          <w:lang w:val="sq-AL"/>
        </w:rPr>
        <w:t>I.2 KUSHTET AKTUALE</w:t>
      </w:r>
      <w:bookmarkEnd w:id="4"/>
    </w:p>
    <w:p w:rsidR="00493B51" w:rsidRDefault="00493B51" w:rsidP="00493B51">
      <w:pPr>
        <w:pStyle w:val="Paragraf02"/>
        <w:rPr>
          <w:lang w:val="sq-AL"/>
        </w:rPr>
      </w:pPr>
      <w:bookmarkStart w:id="5" w:name="_Toc515610112"/>
      <w:r>
        <w:rPr>
          <w:lang w:val="sq-AL"/>
        </w:rPr>
        <w:t>I.2.1 Të miturit në konflikt me ligjin dhe ata viktima dhe dëshmitarë të veprave penale</w:t>
      </w:r>
      <w:bookmarkEnd w:id="5"/>
    </w:p>
    <w:p w:rsidR="00493B51" w:rsidRDefault="00493B51" w:rsidP="00493B51">
      <w:pPr>
        <w:pStyle w:val="Paragraf02"/>
        <w:rPr>
          <w:bCs/>
          <w:color w:val="000000"/>
          <w:lang w:val="sq-AL"/>
        </w:rPr>
      </w:pPr>
      <w:r>
        <w:rPr>
          <w:bCs/>
          <w:color w:val="000000"/>
          <w:lang w:val="sq-AL"/>
        </w:rPr>
        <w:t>Kushtet aktuale në trajtimin dhe sigurimin e të drejtave të fëmijëve fokusohet në dy grupe të margjinalizuara: i. të miturit në konflikt me ligjin; dhe ii. të miturit viktima dhe dëshmitarë të veprave penale.</w:t>
      </w:r>
    </w:p>
    <w:p w:rsidR="00493B51" w:rsidRDefault="00493B51" w:rsidP="00493B51">
      <w:pPr>
        <w:pStyle w:val="Paragraf02"/>
        <w:rPr>
          <w:bCs/>
          <w:lang w:val="sq-AL"/>
        </w:rPr>
      </w:pPr>
      <w:r>
        <w:rPr>
          <w:bCs/>
          <w:lang w:val="sq-AL"/>
        </w:rPr>
        <w:t>Komisioni i Posaçëm Parlamentar për Reformën në Sistemin e Drejtësisë analizoi gjendjen</w:t>
      </w:r>
      <w:r>
        <w:rPr>
          <w:bCs/>
          <w:color w:val="000000"/>
          <w:lang w:val="sq-AL"/>
        </w:rPr>
        <w:t xml:space="preserve"> aktuale të organizimit dhe funksionimit të sistemit të drejtësisë, me qëllim identifikimin e problemeve dhe nevojave për përmirësim. Dokumenti strategjik </w:t>
      </w:r>
      <w:r>
        <w:rPr>
          <w:bCs/>
          <w:i/>
          <w:color w:val="000000"/>
          <w:lang w:val="sq-AL"/>
        </w:rPr>
        <w:t>“Strategjia e reformës në Sistemin e Drejtësisë</w:t>
      </w:r>
      <w:r>
        <w:rPr>
          <w:bCs/>
          <w:color w:val="000000"/>
          <w:lang w:val="sq-AL"/>
        </w:rPr>
        <w:t xml:space="preserve">”, i hartuar nga Komisioni i </w:t>
      </w:r>
      <w:r>
        <w:rPr>
          <w:bCs/>
          <w:lang w:val="sq-AL"/>
        </w:rPr>
        <w:t xml:space="preserve">Posaçëm Parlamentar për Reformën në Sistemin e Drejtësisë </w:t>
      </w:r>
      <w:r>
        <w:rPr>
          <w:bCs/>
          <w:color w:val="000000"/>
          <w:lang w:val="sq-AL"/>
        </w:rPr>
        <w:t xml:space="preserve">për objektivat në reformën e sistemit të drejtësisë, </w:t>
      </w:r>
      <w:r>
        <w:rPr>
          <w:bCs/>
          <w:lang w:val="sq-AL"/>
        </w:rPr>
        <w:t>i cili parashikon në objektivin VIII, “</w:t>
      </w:r>
      <w:r>
        <w:rPr>
          <w:bCs/>
          <w:i/>
          <w:lang w:val="sq-AL"/>
        </w:rPr>
        <w:t>Reformimin e sistemit të drejtësisë për të miturit në konflikt me ligjin, duke forcuar sistemin e drejtësisë restauruese dhe mbrojtjen efektive të drejtave të tyre procedurale</w:t>
      </w:r>
      <w:r>
        <w:rPr>
          <w:bCs/>
          <w:lang w:val="sq-AL"/>
        </w:rPr>
        <w:t>”</w:t>
      </w:r>
      <w:r>
        <w:rPr>
          <w:rStyle w:val="FootnoteReference"/>
          <w:bCs/>
          <w:szCs w:val="24"/>
          <w:lang w:val="sq-AL"/>
        </w:rPr>
        <w:footnoteReference w:id="3"/>
      </w:r>
      <w:r>
        <w:rPr>
          <w:bCs/>
          <w:lang w:val="sq-AL"/>
        </w:rPr>
        <w:t>. Ky dokument udhëheqës i reformës në drejtësi, jep orientimin për:</w:t>
      </w:r>
    </w:p>
    <w:p w:rsidR="00493B51" w:rsidRDefault="00493B51" w:rsidP="00493B51">
      <w:pPr>
        <w:pStyle w:val="Paragraf02"/>
        <w:rPr>
          <w:rFonts w:eastAsia="Calibri"/>
          <w:lang w:val="sq-AL"/>
        </w:rPr>
      </w:pPr>
      <w:r>
        <w:rPr>
          <w:bCs/>
          <w:lang w:val="sq-AL"/>
        </w:rPr>
        <w:t>- m</w:t>
      </w:r>
      <w:r>
        <w:rPr>
          <w:rFonts w:eastAsia="Calibri"/>
          <w:lang w:val="sq-AL"/>
        </w:rPr>
        <w:t xml:space="preserve">iratimin e një Plani Strategjik për Drejtësinë për të Miturit, i cili të jetë në përputhje me rekomandimet dhe standardet evropiane; </w:t>
      </w:r>
    </w:p>
    <w:p w:rsidR="00493B51" w:rsidRDefault="00493B51" w:rsidP="00493B51">
      <w:pPr>
        <w:pStyle w:val="Paragraf02"/>
        <w:rPr>
          <w:rFonts w:eastAsia="Calibri"/>
          <w:lang w:val="sq-AL"/>
        </w:rPr>
      </w:pPr>
      <w:r>
        <w:rPr>
          <w:rFonts w:eastAsia="Calibri"/>
          <w:lang w:val="sq-AL"/>
        </w:rPr>
        <w:t xml:space="preserve">- grupimin e dispozitave të posaçme për të miturit në Kodin e Drejtësisë Penale për të Mitur; krijimin e strukturave të specializuara në institucionet e drejtësisë penale, të pajisura me kapacitetet, infrastrukturën, si dhe burimet e nevojshme (si financiare, ashtu edhe njerëzore) përgjegjëse për trajtimin e të miturve në konflikt me ligjin; </w:t>
      </w:r>
    </w:p>
    <w:p w:rsidR="00493B51" w:rsidRDefault="00493B51" w:rsidP="00493B51">
      <w:pPr>
        <w:pStyle w:val="Paragraf02"/>
        <w:rPr>
          <w:rFonts w:eastAsia="Calibri"/>
          <w:lang w:val="sq-AL"/>
        </w:rPr>
      </w:pPr>
      <w:r>
        <w:rPr>
          <w:rFonts w:eastAsia="Calibri"/>
          <w:lang w:val="sq-AL"/>
        </w:rPr>
        <w:t>- si dhe zhvillimin e programeve të trajnimit për përfaqësuesit e institucioneve të sistemit të drejtësisë penale (prokurorë, gjyqtarë, punonjës të Shërbimit të Provës dhe administratës së burgjeve), në lidhje me të drejtat e fëmijëve dhe trajtimin e të miturve në konflikt me ligjin.</w:t>
      </w:r>
    </w:p>
    <w:p w:rsidR="00493B51" w:rsidRDefault="00493B51" w:rsidP="00493B51">
      <w:pPr>
        <w:pStyle w:val="Paragraf02"/>
        <w:rPr>
          <w:lang w:val="sq-AL"/>
        </w:rPr>
      </w:pPr>
      <w:r>
        <w:rPr>
          <w:bCs/>
          <w:color w:val="000000"/>
          <w:lang w:val="sq-AL"/>
        </w:rPr>
        <w:t xml:space="preserve">Raporti i Prokurorit të Përgjithshëm “Mbi gjendjen e kriminalitetit për vitin 2017” citon se: </w:t>
      </w:r>
      <w:r>
        <w:rPr>
          <w:lang w:val="sq-AL"/>
        </w:rPr>
        <w:t>“</w:t>
      </w:r>
      <w:r>
        <w:rPr>
          <w:i/>
          <w:lang w:val="sq-AL"/>
        </w:rPr>
        <w:t>hyrja në fuqi më 1 janar 2018 e ligjit nr. 37/2017, “Kodi i Drejtësisë Penale për të Mitur”, kërkojnë angazhim për rritjen e profesionalizmit të organeve kompetente në administrimin e çështjeve të drejtësisë penale për të mitur. Në çdo fazë të procedimit penal me të miturit në konflikt me ligjin, si dhe gjatë pyetjes së të miturit viktimë ose dëshmitar, pavarësisht nga mosha mbi ose nën 14 vjeç, prania e psikologut është e detyrueshme. Aktualisht, kanë në strukturën e tyre psikolog, prokuroritë e shkallës së parë Tiranë e Durrës. Zbatimi me sukses dhe arritja e qëllimit të ndryshimeve ligjore, kërkojnë si angazhimin personal të çdo prokurori, angazhimin institucional, bashkëpunimin me aktorët e tjerë që veprojnë në fushën e të drejtave të njeriut ashtu edhe rritjen e kapaciteteve njerëzore në prokurori. Në muajin janar 2018, në Prokurorinë e Përgjithshme u ngrit një strukturë e posaçme për ndihmën ndaj subjekteve me status të posaçëm me përbërje prokurorë dhe ndihmës/ psikologë, megjithatë pers a u paraqit edhe më lart, është i nevojshëm shtimi i burimeve njerëzore në prokurori. Gjithashtu, vlerë të rëndësishme në fushën e mbrojtjes së të drejtave të njeriut, të drejtat në kuadër të procesit penal, garantimin e një procesi që mbron interesin më të lartë të të miturit marrin trajnimet dhe tryezat e përbashkëta me gjithë aktorët e përfshirë në sistemin penal”</w:t>
      </w:r>
      <w:r>
        <w:rPr>
          <w:lang w:val="sq-AL"/>
        </w:rPr>
        <w:t xml:space="preserve">. </w:t>
      </w:r>
    </w:p>
    <w:p w:rsidR="00493B51" w:rsidRDefault="00493B51" w:rsidP="00493B51">
      <w:pPr>
        <w:pStyle w:val="Paragraf02"/>
        <w:rPr>
          <w:lang w:val="sq-AL"/>
        </w:rPr>
      </w:pPr>
      <w:r>
        <w:rPr>
          <w:shd w:val="clear" w:color="auto" w:fill="FFFFFF"/>
          <w:lang w:val="sq-AL"/>
        </w:rPr>
        <w:t xml:space="preserve">Në raportin e </w:t>
      </w:r>
      <w:r>
        <w:rPr>
          <w:bCs/>
          <w:color w:val="000000"/>
          <w:lang w:val="sq-AL"/>
        </w:rPr>
        <w:t>Prokurorit të Përgjithshëm “Mbi gjendjen e kriminalitetit për vitin 2017” deklarohet se n</w:t>
      </w:r>
      <w:r>
        <w:rPr>
          <w:lang w:val="sq-AL"/>
        </w:rPr>
        <w:t xml:space="preserve">ë lidhje me të pandehurit e mitur, nga të dhënat statistikore të vitit 2015 rezultojnë 978 të pandehur të mitur; në vitin 2016 rezultojnë 753 të pandehur të mitur të hetuar që përbën një ulje prej 23% krahasuar me një vit më </w:t>
      </w:r>
      <w:r>
        <w:rPr>
          <w:lang w:val="sq-AL"/>
        </w:rPr>
        <w:lastRenderedPageBreak/>
        <w:t xml:space="preserve">parë dhe në vitin 2017 rezultojnë 510 të pandehur të mitur të hetuar që përbën një ulje prej 32,3% krahasuar me një vit më parë. Pra vërehet një ulje nga viti në vit i numri të të miturve të moshës 14 deri 18 vjeç të përfshirë në një hetim penal. </w:t>
      </w:r>
    </w:p>
    <w:p w:rsidR="00493B51" w:rsidRDefault="00493B51" w:rsidP="00493B51">
      <w:pPr>
        <w:pStyle w:val="Paragraf02"/>
        <w:rPr>
          <w:lang w:val="sq-AL"/>
        </w:rPr>
      </w:pPr>
      <w:r>
        <w:rPr>
          <w:lang w:val="sq-AL"/>
        </w:rPr>
        <w:t xml:space="preserve">Të miturit dërguar gjyqit në vitin 2017 janë 386 ose 36,5% më pak se në vitin 2016, gjatë të cilit janë dërguar në gjykatë 608 të pandehur të mitur. </w:t>
      </w:r>
    </w:p>
    <w:p w:rsidR="00493B51" w:rsidRDefault="00493B51" w:rsidP="00493B51">
      <w:pPr>
        <w:pStyle w:val="Paragraf02"/>
        <w:rPr>
          <w:lang w:val="sq-AL"/>
        </w:rPr>
      </w:pPr>
      <w:r>
        <w:rPr>
          <w:lang w:val="sq-AL"/>
        </w:rPr>
        <w:t xml:space="preserve">Në lidhje me të pandehurit e mitur të dënuar nga gjykata, nga të dhënat statistikore rezulton se gjatë vitit 2017 janë dënuar 393 të pandehur të mitur që përbën ulje prej 48,4 % në krahasim me vitin 2016 gjatë të cilit janë dënuar 762 të pandehur të mitur. Vjedhja e pasurisë përbën grup-veprat penale të kryera më së shumti nga të miturit 14 deri 18 vjeç, e konkretisht nga 44% e të pandehurve të mitur. Megjithatë në vitin 2017 numri i të miturve të hetuar për këto grup-vepra rezulton me ulje prej 24%. Një vepër tjetër penale problematike, për të cilën janë hetuar 21% e të pandehurve të mitur është ajo e “drejtimit të automjeteve në mënyrë të parregullt”. Lidhur me veprat penale kundër personit, rezulton se 15% e të miturve kanë kryer vepra penale drejtuar personit. Për veprat penale lidhur me narkotikët rezultojnë 9% e të pandehurve të mitur. Për veprat penale të parashikuara nga neni 278 i Kodit Penal, “Prodhimi dhe mbajtja pa leje e armëve luftarake dhe municionit” dhe neni 279 i Kodit Penal, “Prodhimi, mbajtja, blerja apo shitja pa leje e armëve të ftohta” janë hetuar 2% e të pandehurve të mitur. Pjesa tjetër e të miturve të regjistruar e hetuar kanë kryer vepra penale të tjera të cilat të veçuara nuk kanë peshë specifike të veçantë brenda totalit. </w:t>
      </w:r>
    </w:p>
    <w:p w:rsidR="00493B51" w:rsidRDefault="00493B51" w:rsidP="00493B51">
      <w:pPr>
        <w:pStyle w:val="Paragraf02"/>
        <w:rPr>
          <w:lang w:val="sq-AL"/>
        </w:rPr>
      </w:pPr>
      <w:r>
        <w:rPr>
          <w:lang w:val="sq-AL"/>
        </w:rPr>
        <w:t xml:space="preserve">Lidhur me caktimin e dënimit për të pandehurit e mitur 14 deri 18 vjeç gjatë vitit 2017, rezulton se është kërkuar për 53% të të pandehurve të mitur caktimi i dënimeve alternative, kryesisht pezullimi i vendimit të dënimit me burg dhe vënia në prove, ndërsa në vitin 2016 është kërkuar caktimi i dënimeve alternative për 48,4% të të miturve të dënuar. Ndërsa, kërkesat e prokurorit për caktimin e dënimit me burg kanë ardhur duke u ulur çdo vit. </w:t>
      </w:r>
    </w:p>
    <w:p w:rsidR="00493B51" w:rsidRDefault="00493B51" w:rsidP="00493B51">
      <w:pPr>
        <w:pStyle w:val="Paragraf02"/>
        <w:rPr>
          <w:lang w:val="sq-AL"/>
        </w:rPr>
      </w:pPr>
      <w:r>
        <w:rPr>
          <w:lang w:val="sq-AL"/>
        </w:rPr>
        <w:t>Situata e dy–tri viteve të fundit paraqet një përmirësim të dukshëm, krahasuar me periudhën e mëparshme.</w:t>
      </w:r>
    </w:p>
    <w:p w:rsidR="00493B51" w:rsidRDefault="00493B51" w:rsidP="00493B51">
      <w:pPr>
        <w:pStyle w:val="Paragraf02"/>
        <w:rPr>
          <w:lang w:val="sq-AL"/>
        </w:rPr>
      </w:pPr>
      <w:r>
        <w:rPr>
          <w:lang w:val="sq-AL"/>
        </w:rPr>
        <w:t>“Vlerësimi i impaktit të reformave në fushën e drejtësisë për fëmijët në disa vende (2006–2012)”, ndërmarrë nga UNICEF-i edhe në Shqipëri, veç 10 vendeve të tjera (draft 2015), evidentonte se ende Shqipëria mbetej vendi me përqindjen më të lartë të dhënies së dënimit me burg për fëmijët, siç paraqitet në grafikun e mëposhtëm:</w:t>
      </w:r>
    </w:p>
    <w:p w:rsidR="00493B51" w:rsidRDefault="00493B51" w:rsidP="00493B51">
      <w:pPr>
        <w:spacing w:after="0" w:line="240" w:lineRule="auto"/>
        <w:ind w:firstLine="0"/>
        <w:jc w:val="left"/>
        <w:rPr>
          <w:rFonts w:ascii="Garamond" w:hAnsi="Garamond"/>
          <w:sz w:val="24"/>
          <w:szCs w:val="24"/>
          <w:lang w:val="sq-AL"/>
        </w:rPr>
        <w:sectPr w:rsidR="00493B51" w:rsidSect="00493B51">
          <w:type w:val="continuous"/>
          <w:pgSz w:w="11907" w:h="16840"/>
          <w:pgMar w:top="720" w:right="1134" w:bottom="720" w:left="1134" w:header="851" w:footer="851" w:gutter="0"/>
          <w:cols w:space="454"/>
        </w:sectPr>
      </w:pPr>
    </w:p>
    <w:p w:rsidR="00493B51" w:rsidRDefault="00493B51" w:rsidP="00493B51">
      <w:pPr>
        <w:widowControl w:val="0"/>
        <w:spacing w:after="0" w:line="240" w:lineRule="auto"/>
        <w:ind w:firstLine="0"/>
        <w:contextualSpacing/>
        <w:rPr>
          <w:rFonts w:ascii="Garamond" w:hAnsi="Garamond"/>
          <w:sz w:val="14"/>
          <w:szCs w:val="24"/>
          <w:lang w:val="sq-AL"/>
        </w:rPr>
      </w:pPr>
    </w:p>
    <w:p w:rsidR="00493B51" w:rsidRDefault="00493B51" w:rsidP="00493B51">
      <w:pPr>
        <w:pStyle w:val="Paragrafi"/>
        <w:jc w:val="center"/>
        <w:rPr>
          <w:lang w:val="sq-AL"/>
        </w:rPr>
      </w:pPr>
      <w:r>
        <w:rPr>
          <w:rFonts w:ascii="Times New Roman" w:hAnsi="Times New Roman"/>
          <w:noProof/>
          <w:szCs w:val="24"/>
        </w:rPr>
        <w:drawing>
          <wp:inline distT="0" distB="0" distL="0" distR="0">
            <wp:extent cx="5391150" cy="33147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93B51" w:rsidRDefault="00493B51" w:rsidP="00493B51">
      <w:pPr>
        <w:widowControl w:val="0"/>
        <w:spacing w:after="0" w:line="240" w:lineRule="auto"/>
        <w:rPr>
          <w:rFonts w:ascii="Garamond" w:hAnsi="Garamond"/>
          <w:sz w:val="24"/>
          <w:szCs w:val="24"/>
          <w:lang w:val="sq-AL"/>
        </w:rPr>
      </w:pPr>
    </w:p>
    <w:p w:rsidR="00493B51" w:rsidRDefault="00493B51" w:rsidP="00493B51">
      <w:pPr>
        <w:widowControl w:val="0"/>
        <w:spacing w:after="0" w:line="240" w:lineRule="auto"/>
        <w:rPr>
          <w:rFonts w:ascii="Garamond" w:hAnsi="Garamond"/>
          <w:sz w:val="24"/>
          <w:szCs w:val="24"/>
          <w:lang w:val="sq-AL"/>
        </w:rPr>
      </w:pPr>
      <w:r>
        <w:rPr>
          <w:rFonts w:ascii="Garamond" w:hAnsi="Garamond"/>
          <w:sz w:val="24"/>
          <w:szCs w:val="24"/>
          <w:lang w:val="sq-AL"/>
        </w:rPr>
        <w:t>Po ashtu, ky vlerësim vinte në dukje përdorimin e shpeshtë të paraburgimit për të miturit në Shqipëri. Kështu, në të njëjtin vit krahasimi (2012), Shqipëria rezultonte me 186 të mitur në paraburgim, teksa vende si Mali i Zi, Armenia apo Azerbajxhani rezultonin me përkatësisht 2 fëmijë në paraburgim, 10 dhe 26. Shifrat e vitit 2016 të raportuara nga Drejtoria e Përgjithshme e Burgjeve, paraqesin 191 fëmijë në paraburgim në vitin 2016, në Shqipëri, me një shkallë burgimi/paraburgimi prej 10.97</w:t>
      </w:r>
      <w:r>
        <w:rPr>
          <w:rStyle w:val="FootnoteReference"/>
          <w:rFonts w:ascii="Garamond" w:hAnsi="Garamond"/>
          <w:sz w:val="24"/>
          <w:szCs w:val="24"/>
          <w:lang w:val="sq-AL"/>
        </w:rPr>
        <w:footnoteReference w:id="4"/>
      </w:r>
      <w:r>
        <w:rPr>
          <w:rFonts w:ascii="Garamond" w:hAnsi="Garamond"/>
          <w:sz w:val="24"/>
          <w:szCs w:val="24"/>
          <w:lang w:val="sq-AL"/>
        </w:rPr>
        <w:t xml:space="preserve"> .</w:t>
      </w:r>
    </w:p>
    <w:p w:rsidR="00493B51" w:rsidRDefault="00493B51" w:rsidP="00493B51">
      <w:pPr>
        <w:widowControl w:val="0"/>
        <w:spacing w:after="0" w:line="240" w:lineRule="auto"/>
        <w:rPr>
          <w:rFonts w:ascii="Garamond" w:hAnsi="Garamond"/>
          <w:sz w:val="24"/>
          <w:szCs w:val="24"/>
          <w:lang w:val="sq-AL"/>
        </w:rPr>
      </w:pPr>
      <w:r>
        <w:rPr>
          <w:rFonts w:ascii="Garamond" w:hAnsi="Garamond"/>
          <w:sz w:val="24"/>
          <w:szCs w:val="24"/>
          <w:lang w:val="sq-AL"/>
        </w:rPr>
        <w:lastRenderedPageBreak/>
        <w:t>Veç kësaj, edhe kohëzgjatja mesatare e qëndrimit të fëmijëve në paraburgim në Shqipëri, krahasuar me të dhjetë vendet e tjera ku u zhvillua vlerësimi i sipërpërmendur paraqitej më e larta, si në tabelën më poshtë:</w:t>
      </w:r>
    </w:p>
    <w:p w:rsidR="00493B51" w:rsidRDefault="00493B51" w:rsidP="00493B51">
      <w:pPr>
        <w:widowControl w:val="0"/>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6352"/>
        <w:gridCol w:w="3287"/>
      </w:tblGrid>
      <w:tr w:rsidR="00493B51" w:rsidTr="00493B51">
        <w:trPr>
          <w:trHeight w:val="288"/>
          <w:jc w:val="center"/>
        </w:trPr>
        <w:tc>
          <w:tcPr>
            <w:tcW w:w="3295" w:type="pct"/>
            <w:shd w:val="clear" w:color="auto" w:fill="244061"/>
            <w:noWrap/>
            <w:vAlign w:val="bottom"/>
            <w:hideMark/>
          </w:tcPr>
          <w:p w:rsidR="00493B51" w:rsidRDefault="00493B51">
            <w:pPr>
              <w:widowControl w:val="0"/>
              <w:spacing w:after="0"/>
              <w:ind w:firstLine="0"/>
              <w:rPr>
                <w:rFonts w:ascii="Garamond" w:hAnsi="Garamond"/>
                <w:b/>
                <w:color w:val="FFFFFF"/>
                <w:lang w:val="sq-AL"/>
              </w:rPr>
            </w:pPr>
            <w:r>
              <w:rPr>
                <w:rFonts w:ascii="Garamond" w:hAnsi="Garamond"/>
                <w:b/>
                <w:color w:val="FFFFFF"/>
                <w:lang w:val="sq-AL"/>
              </w:rPr>
              <w:t>Vendi</w:t>
            </w:r>
          </w:p>
        </w:tc>
        <w:tc>
          <w:tcPr>
            <w:tcW w:w="1705" w:type="pct"/>
            <w:shd w:val="clear" w:color="auto" w:fill="244061"/>
            <w:noWrap/>
            <w:vAlign w:val="center"/>
            <w:hideMark/>
          </w:tcPr>
          <w:p w:rsidR="00493B51" w:rsidRDefault="00493B51">
            <w:pPr>
              <w:widowControl w:val="0"/>
              <w:spacing w:after="0"/>
              <w:ind w:firstLine="0"/>
              <w:rPr>
                <w:rFonts w:ascii="Garamond" w:hAnsi="Garamond"/>
                <w:b/>
                <w:color w:val="FFFFFF"/>
                <w:lang w:val="sq-AL"/>
              </w:rPr>
            </w:pPr>
            <w:r>
              <w:rPr>
                <w:rFonts w:ascii="Garamond" w:hAnsi="Garamond"/>
                <w:b/>
                <w:color w:val="FFFFFF"/>
                <w:lang w:val="sq-AL"/>
              </w:rPr>
              <w:t>Viti 2012</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Shqipëria</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202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Armenia</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45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Azerbajxhani</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132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Gjeorgjia</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180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Kazakistani</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125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Kosova</w:t>
            </w:r>
            <w:r>
              <w:rPr>
                <w:rStyle w:val="FootnoteReference"/>
                <w:rFonts w:ascii="Garamond" w:hAnsi="Garamond"/>
                <w:b/>
                <w:bCs/>
                <w:color w:val="000000"/>
                <w:lang w:val="sq-AL"/>
              </w:rPr>
              <w:footnoteReference w:id="5"/>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56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Kirgizstani</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60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Mali i Zi</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15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Moldavia</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90 ditë</w:t>
            </w:r>
          </w:p>
        </w:tc>
      </w:tr>
      <w:tr w:rsidR="00493B51" w:rsidTr="00493B51">
        <w:trPr>
          <w:trHeight w:val="288"/>
          <w:jc w:val="center"/>
        </w:trPr>
        <w:tc>
          <w:tcPr>
            <w:tcW w:w="3295" w:type="pct"/>
            <w:shd w:val="clear" w:color="auto" w:fill="D6DCE4"/>
            <w:noWrap/>
            <w:vAlign w:val="bottom"/>
            <w:hideMark/>
          </w:tcPr>
          <w:p w:rsidR="00493B51" w:rsidRDefault="00493B51">
            <w:pPr>
              <w:widowControl w:val="0"/>
              <w:spacing w:after="0"/>
              <w:ind w:firstLine="0"/>
              <w:rPr>
                <w:rFonts w:ascii="Garamond" w:hAnsi="Garamond"/>
                <w:b/>
                <w:bCs/>
                <w:color w:val="000000"/>
                <w:lang w:val="sq-AL"/>
              </w:rPr>
            </w:pPr>
            <w:r>
              <w:rPr>
                <w:rFonts w:ascii="Garamond" w:hAnsi="Garamond"/>
                <w:b/>
                <w:bCs/>
                <w:color w:val="000000"/>
                <w:lang w:val="sq-AL"/>
              </w:rPr>
              <w:t>Ukraina</w:t>
            </w:r>
          </w:p>
        </w:tc>
        <w:tc>
          <w:tcPr>
            <w:tcW w:w="1705" w:type="pct"/>
            <w:shd w:val="clear" w:color="auto" w:fill="F2F2F2"/>
            <w:noWrap/>
            <w:vAlign w:val="bottom"/>
            <w:hideMark/>
          </w:tcPr>
          <w:p w:rsidR="00493B51" w:rsidRDefault="00493B51">
            <w:pPr>
              <w:widowControl w:val="0"/>
              <w:spacing w:after="0"/>
              <w:ind w:firstLine="0"/>
              <w:jc w:val="right"/>
              <w:rPr>
                <w:rFonts w:ascii="Garamond" w:hAnsi="Garamond"/>
                <w:color w:val="000000"/>
                <w:lang w:val="sq-AL"/>
              </w:rPr>
            </w:pPr>
            <w:r>
              <w:rPr>
                <w:rFonts w:ascii="Garamond" w:hAnsi="Garamond"/>
                <w:color w:val="000000"/>
                <w:lang w:val="sq-AL"/>
              </w:rPr>
              <w:t>30 ditë</w:t>
            </w:r>
          </w:p>
        </w:tc>
      </w:tr>
    </w:tbl>
    <w:p w:rsidR="00493B51" w:rsidRDefault="00493B51" w:rsidP="00493B51">
      <w:pPr>
        <w:pStyle w:val="Paragraf02"/>
        <w:rPr>
          <w:lang w:val="sq-AL"/>
        </w:rPr>
      </w:pPr>
    </w:p>
    <w:p w:rsidR="00493B51" w:rsidRDefault="00493B51" w:rsidP="00493B51">
      <w:pPr>
        <w:spacing w:after="0" w:line="240" w:lineRule="auto"/>
        <w:ind w:firstLine="0"/>
        <w:jc w:val="left"/>
        <w:rPr>
          <w:rFonts w:ascii="Garamond" w:eastAsia="MS Mincho" w:hAnsi="Garamond" w:cs="CG Times"/>
          <w:spacing w:val="-4"/>
          <w:sz w:val="24"/>
          <w:lang w:val="sq-AL"/>
        </w:rPr>
        <w:sectPr w:rsidR="00493B51" w:rsidSect="00493B51">
          <w:type w:val="continuous"/>
          <w:pgSz w:w="11907" w:h="16840"/>
          <w:pgMar w:top="720" w:right="1134" w:bottom="720" w:left="1134" w:header="851" w:footer="851" w:gutter="0"/>
          <w:cols w:space="720"/>
        </w:sectPr>
      </w:pPr>
    </w:p>
    <w:p w:rsidR="00493B51" w:rsidRDefault="00493B51" w:rsidP="00493B51">
      <w:pPr>
        <w:pStyle w:val="Paragraf02"/>
        <w:rPr>
          <w:lang w:val="sq-AL"/>
        </w:rPr>
      </w:pPr>
      <w:r>
        <w:rPr>
          <w:lang w:val="sq-AL"/>
        </w:rPr>
        <w:t xml:space="preserve">Edhe pse ky kohëqëndrim mesatar ka rënë në 92 ditë në vitin 2016, ka ende shumë për të bërë për të arritur së paku nivelin e vendeve fqinje, si Mali i Zi dhe Kosova. Për këto arsye, Strategjia ka parashikuar aktivitete për ndërgjegjësimin e përdorimit të masave alternative, si dhe masave të tjera të drejtësisë restauruese, me qëllim progresin e mëtejshëm. </w:t>
      </w:r>
    </w:p>
    <w:p w:rsidR="00493B51" w:rsidRDefault="00493B51" w:rsidP="00493B51">
      <w:pPr>
        <w:pStyle w:val="Paragraf02"/>
        <w:rPr>
          <w:lang w:val="sq-AL"/>
        </w:rPr>
      </w:pPr>
      <w:r>
        <w:rPr>
          <w:lang w:val="sq-AL"/>
        </w:rPr>
        <w:t>Profesionistë të sektorit të drejtësisë kanë konkluduar se për 77% të të miturve, të cilët bien në kontakt me sistemin gjyqësor shkaqet lidhen me dhunën, abuzimin dhe neglizhencën në familje.</w:t>
      </w:r>
      <w:r>
        <w:rPr>
          <w:rStyle w:val="FootnoteReference"/>
          <w:lang w:val="sq-AL"/>
        </w:rPr>
        <w:footnoteReference w:id="6"/>
      </w:r>
      <w:r>
        <w:rPr>
          <w:lang w:val="sq-AL"/>
        </w:rPr>
        <w:t xml:space="preserve"> Rekomandime për marrjen e masave për trajtimin e viktimave të abuzimit seksual, viktimave të trafikimit dhe viktimave të mitura të dhunës në familje janë bërë edhe nga progresraportet e Komisionit Evropian.</w:t>
      </w:r>
      <w:r>
        <w:rPr>
          <w:rStyle w:val="FootnoteReference"/>
          <w:lang w:val="sq-AL"/>
        </w:rPr>
        <w:footnoteReference w:id="7"/>
      </w:r>
      <w:r>
        <w:rPr>
          <w:lang w:val="sq-AL"/>
        </w:rPr>
        <w:t xml:space="preserve"> Duke marrë parasysh këtë situatë, në muajin janar 2016, Prokuroria e Përgjithshme ka ngritur Zyrën e Ndihmës së Viktimave me objekt të punës sigurimin e informimit dhe këshillimit të viktimave të krimit me fokus të veçantë viktimat në moshë të mitur apo me aftësi të kufizuara, viktimat e dhunës në familje, viktimat e dhunës ose shfrytëzimit seksual, trafikimit të qenieve njerëzore dhe terrorizmit.</w:t>
      </w:r>
      <w:r>
        <w:rPr>
          <w:vertAlign w:val="superscript"/>
          <w:lang w:val="sq-AL"/>
        </w:rPr>
        <w:footnoteReference w:id="8"/>
      </w:r>
    </w:p>
    <w:p w:rsidR="00493B51" w:rsidRDefault="00493B51" w:rsidP="00493B51">
      <w:pPr>
        <w:pStyle w:val="Paragraf02"/>
        <w:rPr>
          <w:lang w:val="sq-AL"/>
        </w:rPr>
      </w:pPr>
      <w:r>
        <w:rPr>
          <w:lang w:val="sq-AL"/>
        </w:rPr>
        <w:t>Shqetësime të tjera të reflektuara në progresraportin e 2015 janë niveli i lartë i përsëritjes së shkeljeve nga të miturit, mungesa e mundësive për ofrimin e riedukimit dhe mungesa e koordinimit ndërmjet drejtësisë dhe sistemeve të mbrojtjes së të miturve që dalin nga sistemi i drejtësisë, të cilët kanë nevojë për mbështetje që të riintegrohen në shoqëri. Forcimi i Programit të Riintegrimit të miturve rekomandohet, gjithashtu, nga analiza e përgatitur në kuadër të Konventës për Integrimin Evropian, bazuar në të dhënën se 90% e të miturve kthehen në recidivistë.</w:t>
      </w:r>
      <w:r>
        <w:rPr>
          <w:vertAlign w:val="superscript"/>
          <w:lang w:val="sq-AL"/>
        </w:rPr>
        <w:footnoteReference w:id="9"/>
      </w:r>
      <w:r>
        <w:rPr>
          <w:lang w:val="sq-AL"/>
        </w:rPr>
        <w:t xml:space="preserve"> Edhe në raportin “Për vlerësimin e kushteve dhe trajtimit në institucionet e ndalimit, paraburgimit dhe burgimit”, përgatitur nga Avokati i Popullit më 2016-ën, deklarohet se aktualisht nuk ka shërbime rehabilitimi ose riintegrimi për fëmijët që kryejnë dënimet e tyre.</w:t>
      </w:r>
      <w:r>
        <w:rPr>
          <w:vertAlign w:val="superscript"/>
          <w:lang w:val="sq-AL"/>
        </w:rPr>
        <w:footnoteReference w:id="10"/>
      </w:r>
      <w:r>
        <w:rPr>
          <w:lang w:val="sq-AL"/>
        </w:rPr>
        <w:t xml:space="preserve"> Mungojnë edhe shërbimet specifike për fëmijët që janë nën moshën e përgjegjësisë penale por që bien në kontakt me veprën penale. Duhet të ekzistojë një qasje më sociale dhe jo t’i jepet përparësi ndëshkimit por edukimit.</w:t>
      </w:r>
      <w:r>
        <w:rPr>
          <w:vertAlign w:val="superscript"/>
          <w:lang w:val="sq-AL"/>
        </w:rPr>
        <w:footnoteReference w:id="11"/>
      </w:r>
    </w:p>
    <w:p w:rsidR="00493B51" w:rsidRDefault="00493B51" w:rsidP="00493B51">
      <w:pPr>
        <w:pStyle w:val="Paragraf02"/>
        <w:rPr>
          <w:lang w:val="sq-AL"/>
        </w:rPr>
      </w:pPr>
      <w:r>
        <w:rPr>
          <w:lang w:val="sq-AL"/>
        </w:rPr>
        <w:t>Në zbatim të akteve ligjore të miratuara për mbrojtjen e të drejtave të fëmijëve ku përmendim ligjin 37/2017, “Kodi i Drejtësisë Penale për të Mitur”, ka sjellë përparësi në mënyrën e trajtimit dhe të mbrojtjes së të drejtave të fëmijëve, për mbështetjen e fëmijëve viktimë apo të akuzuar në procesin penal, si dhe në trajtimin dhe mbrojtjen e të miturve, në  lidhje me:</w:t>
      </w:r>
    </w:p>
    <w:p w:rsidR="00493B51" w:rsidRDefault="00493B51" w:rsidP="00493B51">
      <w:pPr>
        <w:pStyle w:val="Paragraf02"/>
        <w:rPr>
          <w:lang w:val="sq-AL"/>
        </w:rPr>
      </w:pPr>
      <w:r>
        <w:rPr>
          <w:lang w:val="sq-AL"/>
        </w:rPr>
        <w:t>- garantimin e respektit dhe efektshmërinë në zbatimin e të drejtave të fëmijëve nëpërmjet drejtësisë miqësore;</w:t>
      </w:r>
    </w:p>
    <w:p w:rsidR="00493B51" w:rsidRDefault="00493B51" w:rsidP="00493B51">
      <w:pPr>
        <w:pStyle w:val="Paragraf02"/>
        <w:rPr>
          <w:lang w:val="sq-AL"/>
        </w:rPr>
      </w:pPr>
      <w:r>
        <w:rPr>
          <w:lang w:val="sq-AL"/>
        </w:rPr>
        <w:t>- aksesueshmërinë, përshtatjen e sistemit të drejtësisë në përputhje me nevojat dhe moshën e të miturve;</w:t>
      </w:r>
    </w:p>
    <w:p w:rsidR="00493B51" w:rsidRDefault="00493B51" w:rsidP="00493B51">
      <w:pPr>
        <w:pStyle w:val="Paragraf02"/>
        <w:rPr>
          <w:lang w:val="sq-AL"/>
        </w:rPr>
      </w:pPr>
      <w:r>
        <w:rPr>
          <w:lang w:val="sq-AL"/>
        </w:rPr>
        <w:lastRenderedPageBreak/>
        <w:t>- pjesëmarrjen në proces gjyqësore, si dhe respektimin e jetës private dhe familjare;</w:t>
      </w:r>
    </w:p>
    <w:p w:rsidR="00493B51" w:rsidRDefault="00493B51" w:rsidP="00493B51">
      <w:pPr>
        <w:pStyle w:val="Paragraf02"/>
        <w:rPr>
          <w:lang w:val="sq-AL"/>
        </w:rPr>
      </w:pPr>
      <w:r>
        <w:rPr>
          <w:lang w:val="sq-AL"/>
        </w:rPr>
        <w:t xml:space="preserve">- bashkëpunimin e vazhdueshëm të organeve të sistemit të drejtësisë që garantojnë mbrojtjen e të drejtave të fëmijëve, jo vetëm në parandalimin e krimit por edhe në përcaktimin e masave restauruese të përshtatshme për të miturit në konflikt me ligjin, si dhe për rehabilitimin e tyre. </w:t>
      </w:r>
    </w:p>
    <w:p w:rsidR="00493B51" w:rsidRDefault="00493B51" w:rsidP="00493B51">
      <w:pPr>
        <w:pStyle w:val="Paragraf02"/>
        <w:rPr>
          <w:lang w:val="sq-AL"/>
        </w:rPr>
      </w:pPr>
      <w:r>
        <w:rPr>
          <w:lang w:val="sq-AL"/>
        </w:rPr>
        <w:t xml:space="preserve">Kryesisht, veprat e kryera nga të miturit janë vjedhje, por vitet e fundit konstatohet përfshirja e të miturve në vepra penale të rënda, si plagosjet, vrasjet, tregtimi i lëndëve narkotike etj. Bazuar në këto të dhëna del si domosdoshmëri realizimi i analizave që trajtojnë fenomenet në mënyrë ndërdisiplinore, për të kuptuar cilat </w:t>
      </w:r>
    </w:p>
    <w:p w:rsidR="00493B51" w:rsidRDefault="00493B51" w:rsidP="00493B51">
      <w:pPr>
        <w:pStyle w:val="Paragraf02"/>
        <w:ind w:firstLine="0"/>
        <w:rPr>
          <w:lang w:val="sq-AL"/>
        </w:rPr>
      </w:pPr>
      <w:r>
        <w:rPr>
          <w:lang w:val="sq-AL"/>
        </w:rPr>
        <w:t>janë shkaqet dhe për të përcaktuar rrugët për përmirësimin e situatës.</w:t>
      </w:r>
      <w:r>
        <w:rPr>
          <w:vertAlign w:val="superscript"/>
          <w:lang w:val="sq-AL"/>
        </w:rPr>
        <w:footnoteReference w:id="12"/>
      </w:r>
      <w:r>
        <w:rPr>
          <w:lang w:val="sq-AL"/>
        </w:rPr>
        <w:t xml:space="preserve"> Mungesa e një plani kombëtar për parandalimin e përfshirjes së fëmijëve në krim është sjellë në vëmendje edhe nga Avokati i Popullit.</w:t>
      </w:r>
      <w:r>
        <w:rPr>
          <w:rStyle w:val="FootnoteReference"/>
          <w:lang w:val="sq-AL"/>
        </w:rPr>
        <w:footnoteReference w:id="13"/>
      </w:r>
    </w:p>
    <w:p w:rsidR="00493B51" w:rsidRDefault="00493B51" w:rsidP="00493B51">
      <w:pPr>
        <w:pStyle w:val="Paragraf02"/>
        <w:rPr>
          <w:lang w:val="sq-AL"/>
        </w:rPr>
      </w:pPr>
      <w:r>
        <w:rPr>
          <w:lang w:val="sq-AL"/>
        </w:rPr>
        <w:t>Komiteti i Helsinkit në Shqipëri, në raportet e ti,j ka evidentuar mungesë psikologësh e punonjësish socialë të specializuar për të punuar posaçërisht me fëmijët e dënuar.</w:t>
      </w:r>
      <w:r>
        <w:rPr>
          <w:vertAlign w:val="superscript"/>
          <w:lang w:val="sq-AL"/>
        </w:rPr>
        <w:footnoteReference w:id="14"/>
      </w:r>
      <w:r>
        <w:rPr>
          <w:lang w:val="sq-AL"/>
        </w:rPr>
        <w:t xml:space="preserve"> Psikologët janë me profil të përgjithshëm dhe intervistat e tyre nuk trajtojnë nevojat specifike të fëmijëve.</w:t>
      </w:r>
      <w:r>
        <w:rPr>
          <w:sz w:val="22"/>
          <w:vertAlign w:val="superscript"/>
          <w:lang w:val="sq-AL"/>
        </w:rPr>
        <w:footnoteReference w:id="15"/>
      </w:r>
    </w:p>
    <w:p w:rsidR="00493B51" w:rsidRDefault="00493B51" w:rsidP="00493B51">
      <w:pPr>
        <w:pStyle w:val="Paragraf02"/>
        <w:rPr>
          <w:lang w:val="sq-AL"/>
        </w:rPr>
      </w:pPr>
      <w:bookmarkStart w:id="6" w:name="_Toc515610113"/>
      <w:r>
        <w:rPr>
          <w:lang w:val="sq-AL"/>
        </w:rPr>
        <w:t>I.2.2 Aksesi i barabartë i fëmijëve në drejtësi</w:t>
      </w:r>
      <w:bookmarkEnd w:id="6"/>
    </w:p>
    <w:p w:rsidR="00493B51" w:rsidRDefault="00493B51" w:rsidP="00493B51">
      <w:pPr>
        <w:pStyle w:val="Paragraf02"/>
        <w:rPr>
          <w:lang w:val="sq-AL"/>
        </w:rPr>
      </w:pPr>
      <w:r>
        <w:rPr>
          <w:lang w:val="sq-AL"/>
        </w:rPr>
        <w:t xml:space="preserve">Raporti vjetor i Progresit i Komisionit Evropian për Shqipërinë (2014) thekson se aksesi i fëmijëve në drejtësi pengohet nga tarifat gjyqësore. Aksesi në drejtësi referohet, gjithashtu, si problematikë në raportin e progresit të vitit 2015. </w:t>
      </w:r>
    </w:p>
    <w:p w:rsidR="00493B51" w:rsidRDefault="00493B51" w:rsidP="00493B51">
      <w:pPr>
        <w:pStyle w:val="Paragraf02"/>
        <w:rPr>
          <w:lang w:val="sq-AL"/>
        </w:rPr>
      </w:pPr>
      <w:r>
        <w:rPr>
          <w:lang w:val="sq-AL"/>
        </w:rPr>
        <w:t>Në raportin e Komisionit Evropian për Shqipërinë për vitin 2018, të prezantuar më 17 prill 2018, theksohet në mënyrë të posaçme çështja e aksesit të barabartë të fëmijëve në drejtësisë dhe miratimi i ligjit të ri i ndihmës juridike të miratuar që synon të sigurojë aksesin e fëmijëve në ndihmën ligjore.</w:t>
      </w:r>
    </w:p>
    <w:p w:rsidR="00493B51" w:rsidRDefault="00493B51" w:rsidP="00493B51">
      <w:pPr>
        <w:pStyle w:val="Paragraf02"/>
        <w:rPr>
          <w:lang w:val="sq-AL"/>
        </w:rPr>
      </w:pPr>
      <w:r>
        <w:rPr>
          <w:lang w:val="sq-AL"/>
        </w:rPr>
        <w:t>Sipas raporteve të ndryshme të organizatave të tjera ndërkombëtare, po ashtu, një çështje e tillë është raportuar si një çështje e mbetur pezull që kërkon zgjidhje përfundimtare. Në klasifikimin global të shteteve nga Rrjeti Ndërkombëtar i të Drejtave të Fëmijëve (CRIN), Shqipëria renditet e 155-ta, duke u garantuar akses në drejtësi për vetëm 59.4% të fëmijëve.</w:t>
      </w:r>
      <w:r>
        <w:rPr>
          <w:vertAlign w:val="superscript"/>
          <w:lang w:val="sq-AL"/>
        </w:rPr>
        <w:footnoteReference w:id="16"/>
      </w:r>
      <w:r>
        <w:rPr>
          <w:lang w:val="sq-AL"/>
        </w:rPr>
        <w:t xml:space="preserve"> </w:t>
      </w:r>
    </w:p>
    <w:p w:rsidR="00493B51" w:rsidRDefault="00493B51" w:rsidP="00493B51">
      <w:pPr>
        <w:pStyle w:val="Paragraf02"/>
        <w:rPr>
          <w:lang w:val="sq-AL"/>
        </w:rPr>
      </w:pPr>
      <w:r>
        <w:rPr>
          <w:lang w:val="sq-AL"/>
        </w:rPr>
        <w:t>Raporti i UNICEF-it “Aksesi i Barabartë i Fëmijëve në Drejtësi: Evropa Qendrore, Lindore dhe Azia Qendrore”, i cili fokusohej te Shqipëria, Mali i Zi, Gjeorgjia dhe Kirgistani, transmeton perceptimet e mëposhtme të profesionistëve të drejtësisë në lidhje me pengesat ndaj aksesit në drejtësi për fëmijët në situata vulnerabël.</w:t>
      </w:r>
      <w:r>
        <w:rPr>
          <w:rStyle w:val="FootnoteReference"/>
          <w:lang w:val="sq-AL"/>
        </w:rPr>
        <w:footnoteReference w:id="17"/>
      </w:r>
    </w:p>
    <w:p w:rsidR="00493B51" w:rsidRDefault="00493B51" w:rsidP="00493B51">
      <w:pPr>
        <w:pStyle w:val="Paragraf02"/>
        <w:rPr>
          <w:lang w:val="sq-AL"/>
        </w:rPr>
      </w:pPr>
    </w:p>
    <w:p w:rsidR="00493B51" w:rsidRDefault="00493B51" w:rsidP="00493B51">
      <w:pPr>
        <w:widowControl w:val="0"/>
        <w:spacing w:after="0"/>
        <w:jc w:val="center"/>
        <w:rPr>
          <w:rFonts w:ascii="Times New Roman" w:hAnsi="Times New Roman"/>
          <w:sz w:val="24"/>
          <w:szCs w:val="24"/>
          <w:highlight w:val="yellow"/>
          <w:shd w:val="clear" w:color="auto" w:fill="FFFFFF"/>
          <w:lang w:val="sq-AL"/>
        </w:rPr>
      </w:pPr>
      <w:r>
        <w:rPr>
          <w:rFonts w:ascii="Times New Roman" w:hAnsi="Times New Roman"/>
          <w:noProof/>
          <w:sz w:val="24"/>
          <w:szCs w:val="24"/>
          <w:shd w:val="clear" w:color="auto" w:fill="FFFFFF"/>
        </w:rPr>
        <w:drawing>
          <wp:inline distT="0" distB="0" distL="0" distR="0">
            <wp:extent cx="5915025" cy="2800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15025" cy="2800350"/>
                    </a:xfrm>
                    <a:prstGeom prst="rect">
                      <a:avLst/>
                    </a:prstGeom>
                    <a:noFill/>
                    <a:ln>
                      <a:noFill/>
                    </a:ln>
                  </pic:spPr>
                </pic:pic>
              </a:graphicData>
            </a:graphic>
          </wp:inline>
        </w:drawing>
      </w:r>
    </w:p>
    <w:p w:rsidR="00493B51" w:rsidRDefault="00493B51" w:rsidP="00493B51">
      <w:pPr>
        <w:pStyle w:val="Paragraf02"/>
        <w:rPr>
          <w:lang w:val="sq-AL"/>
        </w:rPr>
      </w:pPr>
    </w:p>
    <w:p w:rsidR="00493B51" w:rsidRDefault="00493B51" w:rsidP="00493B51">
      <w:pPr>
        <w:spacing w:after="0" w:line="240" w:lineRule="auto"/>
        <w:ind w:firstLine="0"/>
        <w:jc w:val="left"/>
        <w:rPr>
          <w:rFonts w:ascii="Garamond" w:eastAsia="MS Mincho" w:hAnsi="Garamond" w:cs="CG Times"/>
          <w:spacing w:val="-4"/>
          <w:sz w:val="24"/>
          <w:lang w:val="sq-AL"/>
        </w:rPr>
        <w:sectPr w:rsidR="00493B51" w:rsidSect="00493B51">
          <w:type w:val="continuous"/>
          <w:pgSz w:w="11907" w:h="16840"/>
          <w:pgMar w:top="720" w:right="1134" w:bottom="720" w:left="1134" w:header="851" w:footer="851" w:gutter="0"/>
          <w:cols w:space="720"/>
        </w:sectPr>
      </w:pPr>
    </w:p>
    <w:p w:rsidR="00493B51" w:rsidRDefault="00493B51" w:rsidP="00493B51">
      <w:pPr>
        <w:pStyle w:val="Paragraf02"/>
        <w:rPr>
          <w:lang w:val="sq-AL"/>
        </w:rPr>
      </w:pPr>
      <w:r>
        <w:rPr>
          <w:lang w:val="sq-AL"/>
        </w:rPr>
        <w:t xml:space="preserve">Ofrimi i ndihmës juridike falas është një element që nuk vlerësohet ende efektiv nga raportet </w:t>
      </w:r>
      <w:r>
        <w:rPr>
          <w:lang w:val="sq-AL"/>
        </w:rPr>
        <w:lastRenderedPageBreak/>
        <w:t>ndërkombëtare.</w:t>
      </w:r>
      <w:r>
        <w:rPr>
          <w:rStyle w:val="FootnoteReference"/>
          <w:szCs w:val="24"/>
          <w:shd w:val="clear" w:color="auto" w:fill="FFFFFF"/>
          <w:lang w:val="sq-AL"/>
        </w:rPr>
        <w:footnoteReference w:id="18"/>
      </w:r>
      <w:r>
        <w:rPr>
          <w:shd w:val="clear" w:color="auto" w:fill="FFFFFF"/>
          <w:lang w:val="sq-AL"/>
        </w:rPr>
        <w:t xml:space="preserve"> </w:t>
      </w:r>
      <w:r>
        <w:rPr>
          <w:lang w:val="sq-AL"/>
        </w:rPr>
        <w:t>Komisioni Shtetëror për Ndihmën Juridike, pohon raporti, nuk ka zhvilluar ende mekanizma efektivë për shtrirje dhe qasje në shërbimet e tij, duke përfshirë edhe në nivel rajonal, gjë që reflektohet edhe në përqindjen e fëmijëve që kanë vështirësi për të aksesuar drejtësinë. Mekanizmi i veçantë për ankesa ende mungon, megjithëse ligji për ndihmë juridike përmban dispozita në lidhje me të. Megjithatë, po punohet për reformimin e sistemit të ndihmës juridike.</w:t>
      </w:r>
    </w:p>
    <w:p w:rsidR="00493B51" w:rsidRDefault="00493B51" w:rsidP="00493B51">
      <w:pPr>
        <w:pStyle w:val="Paragraf02"/>
        <w:rPr>
          <w:shd w:val="clear" w:color="auto" w:fill="FFFFFF"/>
          <w:lang w:val="sq-AL"/>
        </w:rPr>
      </w:pPr>
      <w:r>
        <w:rPr>
          <w:shd w:val="clear" w:color="auto" w:fill="FFFFFF"/>
          <w:lang w:val="sq-AL"/>
        </w:rPr>
        <w:t>Në Strategjinë e Reformës në Sistemin e Drejtësisë është evidentuar problematika të sistemit shqiptar për sa i takon drejtësisë për të mitur, duke cituar afatin e paarsyeshëm të mbajtjes në ambientet e strukturës së policisë të fëmijëve, ambientet e papërshtatshme, mungesën e psikologëve, domosdoshmërinë për trajnimin e profesionistëve të sistemit të drejtësisë që punojnë me të miturit. Për më tepër është vënë re mungesa e qasjeve multidisiplinore (bashkëpunimi mes shërbimit social, arsimor, policisë së shtetit, shërbimit të provës, prokurorisë etj.). Barrierat financiare janë parë, gjithashtu, si penguese për aksesin e fëmijëve, prindërve/kujdestarëve të tyre për adresimin e problemeve që lidhen me shkeljen e të drejtave të fëmijëve, këto të sferës penale, civile, familjare, administrative.</w:t>
      </w:r>
    </w:p>
    <w:p w:rsidR="00493B51" w:rsidRDefault="00493B51" w:rsidP="00493B51">
      <w:pPr>
        <w:pStyle w:val="Paragraf02"/>
        <w:ind w:firstLine="0"/>
        <w:rPr>
          <w:sz w:val="14"/>
          <w:lang w:val="sq-AL"/>
        </w:rPr>
      </w:pPr>
      <w:bookmarkStart w:id="7" w:name="_Toc515610114"/>
    </w:p>
    <w:p w:rsidR="00493B51" w:rsidRDefault="00493B51" w:rsidP="00493B51">
      <w:pPr>
        <w:pStyle w:val="Paragraf02"/>
        <w:ind w:firstLine="0"/>
        <w:jc w:val="center"/>
        <w:rPr>
          <w:lang w:val="sq-AL"/>
        </w:rPr>
      </w:pPr>
      <w:r>
        <w:rPr>
          <w:lang w:val="sq-AL"/>
        </w:rPr>
        <w:t>KAPITULLI II</w:t>
      </w:r>
    </w:p>
    <w:p w:rsidR="00493B51" w:rsidRDefault="00493B51" w:rsidP="00493B51">
      <w:pPr>
        <w:pStyle w:val="Paragraf02"/>
        <w:ind w:firstLine="0"/>
        <w:jc w:val="center"/>
        <w:rPr>
          <w:lang w:val="sq-AL"/>
        </w:rPr>
      </w:pPr>
      <w:r>
        <w:rPr>
          <w:lang w:val="sq-AL"/>
        </w:rPr>
        <w:t>VIZIONI, PRIORITETET DHE OBJEKTIVAT STRATEGJIK</w:t>
      </w:r>
      <w:bookmarkEnd w:id="7"/>
      <w:r>
        <w:rPr>
          <w:lang w:val="sq-AL"/>
        </w:rPr>
        <w:t>Ë</w:t>
      </w:r>
    </w:p>
    <w:p w:rsidR="00493B51" w:rsidRDefault="00493B51" w:rsidP="00493B51">
      <w:pPr>
        <w:pStyle w:val="Paragraf02"/>
        <w:rPr>
          <w:sz w:val="14"/>
          <w:lang w:val="sq-AL"/>
        </w:rPr>
      </w:pPr>
      <w:bookmarkStart w:id="8" w:name="_Toc515610115"/>
    </w:p>
    <w:p w:rsidR="00493B51" w:rsidRDefault="00493B51" w:rsidP="00493B51">
      <w:pPr>
        <w:pStyle w:val="Paragraf02"/>
        <w:rPr>
          <w:lang w:val="sq-AL"/>
        </w:rPr>
      </w:pPr>
      <w:r>
        <w:rPr>
          <w:lang w:val="sq-AL"/>
        </w:rPr>
        <w:t>II.1 VIZIONI</w:t>
      </w:r>
      <w:bookmarkEnd w:id="8"/>
      <w:r>
        <w:rPr>
          <w:lang w:val="sq-AL"/>
        </w:rPr>
        <w:t xml:space="preserve"> </w:t>
      </w:r>
    </w:p>
    <w:p w:rsidR="00493B51" w:rsidRDefault="00493B51" w:rsidP="00493B51">
      <w:pPr>
        <w:pStyle w:val="Paragraf02"/>
        <w:rPr>
          <w:lang w:val="sq-AL"/>
        </w:rPr>
      </w:pPr>
      <w:r>
        <w:rPr>
          <w:lang w:val="sq-AL"/>
        </w:rPr>
        <w:t>Vizioni i Strategjisë së Drejtësisë për të Miturit është “</w:t>
      </w:r>
      <w:r>
        <w:rPr>
          <w:i/>
          <w:lang w:val="sq-AL"/>
        </w:rPr>
        <w:t>Përmirësimi i drejtësisë për të mitur që garanton një drejtësi miqësore për fëmijë dhe që mbron interesin më të lartë të tyre</w:t>
      </w:r>
      <w:r>
        <w:rPr>
          <w:lang w:val="sq-AL"/>
        </w:rPr>
        <w:t xml:space="preserve">”. </w:t>
      </w:r>
    </w:p>
    <w:p w:rsidR="00493B51" w:rsidRDefault="00493B51" w:rsidP="00493B51">
      <w:pPr>
        <w:pStyle w:val="Paragraf02"/>
        <w:rPr>
          <w:lang w:val="sq-AL"/>
        </w:rPr>
      </w:pPr>
      <w:r>
        <w:rPr>
          <w:lang w:val="sq-AL"/>
        </w:rPr>
        <w:t>Ky vizion është në të njëjtën linjë me vizionin mbi sektorin e drejtësisë të deklaruar në Strategjinë Kombëtare për Zhvillim dhe Integrim 2015–2020, se: “</w:t>
      </w:r>
      <w:r>
        <w:rPr>
          <w:i/>
          <w:lang w:val="sq-AL"/>
        </w:rPr>
        <w:t>Shqipëria: një vend i bazuar te shteti ligjor, garantuese e të drejtave të njeriut dhe lirive themelore, me një sistem drejtësie të hapur dhe të barabartë që garanton drejtësi për të gjithë</w:t>
      </w:r>
      <w:r>
        <w:rPr>
          <w:lang w:val="sq-AL"/>
        </w:rPr>
        <w:t>” dhe me vizionin e deklaruar nga Strategjia Ndërsektoriale e Drejtësisë 2017–2020, se: “</w:t>
      </w:r>
      <w:r>
        <w:rPr>
          <w:i/>
          <w:lang w:val="sq-AL"/>
        </w:rPr>
        <w:t>Forcimi i shtetit ligjor është një kusht themelor për konsolidimin e demokracisë dhe zhvillimin e qëndrueshëm politik, ekonomik dhe social në vend. Suksesi i reformave të drejtësisë varet në shkallë të madhe nga ndërveprimi mes institucioneve të pavarura gjyqësore dhe bashkëpunimi i ngushtë me palët e interesuara dhe shoqërinë civile</w:t>
      </w:r>
      <w:r>
        <w:rPr>
          <w:lang w:val="sq-AL"/>
        </w:rPr>
        <w:t>”.</w:t>
      </w:r>
    </w:p>
    <w:p w:rsidR="00493B51" w:rsidRDefault="00493B51" w:rsidP="00493B51">
      <w:pPr>
        <w:pStyle w:val="Paragraf02"/>
        <w:rPr>
          <w:lang w:val="sq-AL"/>
        </w:rPr>
      </w:pPr>
      <w:bookmarkStart w:id="9" w:name="_Toc515610116"/>
      <w:r>
        <w:rPr>
          <w:lang w:val="sq-AL"/>
        </w:rPr>
        <w:t>II.2 Prioritetet</w:t>
      </w:r>
      <w:bookmarkEnd w:id="9"/>
    </w:p>
    <w:p w:rsidR="00493B51" w:rsidRDefault="00493B51" w:rsidP="00493B51">
      <w:pPr>
        <w:pStyle w:val="Paragraf02"/>
        <w:rPr>
          <w:lang w:val="sq-AL"/>
        </w:rPr>
      </w:pPr>
      <w:r>
        <w:rPr>
          <w:lang w:val="sq-AL"/>
        </w:rPr>
        <w:t xml:space="preserve">Prioritetet në realizimin e vizionit strategjik fokusohen në qasjen te një </w:t>
      </w:r>
      <w:r>
        <w:rPr>
          <w:i/>
          <w:lang w:val="sq-AL"/>
        </w:rPr>
        <w:t>drejtësi miqësore për të mitur</w:t>
      </w:r>
      <w:r>
        <w:rPr>
          <w:lang w:val="sq-AL"/>
        </w:rPr>
        <w:t xml:space="preserve">, e cila u referohet sistemeve të drejtësisë të cilat garantojnë respektimin dhe implementimin efektiv të të drejtave të fëmijëve, duke pasur parasysh parimet e mëposhtme dhe duke mbajtur në konsideratë nivelin e pjekurisë së fëmijës dhe rrethanat e çështjes. E ndarë në komponentë nënkupton drejtësi të aksesueshme, të përshtatshme me moshën, të shpejtë, efektive, të përshtatur dhe të fokusuar në nevojat dhe të drejtat e fëmijëve, ku përfshihet e drejta për proces të rregullt, e drejta për të marrë pjesë në gjykim dhe për të kuptuar procedurat, </w:t>
      </w:r>
      <w:r>
        <w:rPr>
          <w:color w:val="000000"/>
          <w:lang w:val="sq-AL"/>
        </w:rPr>
        <w:t>si dhe e drejta për respektimin e jetës private dhe familjare, integritetit dhe dinjitetit të fëmijës.</w:t>
      </w:r>
    </w:p>
    <w:p w:rsidR="00493B51" w:rsidRDefault="00493B51" w:rsidP="00493B51">
      <w:pPr>
        <w:pStyle w:val="Paragraf02"/>
        <w:rPr>
          <w:lang w:val="sq-AL"/>
        </w:rPr>
      </w:pPr>
      <w:bookmarkStart w:id="10" w:name="_Toc515610117"/>
      <w:r>
        <w:rPr>
          <w:lang w:val="sq-AL"/>
        </w:rPr>
        <w:t>II.3 Objektivat strategjik</w:t>
      </w:r>
      <w:bookmarkEnd w:id="10"/>
      <w:r>
        <w:rPr>
          <w:lang w:val="sq-AL"/>
        </w:rPr>
        <w:t>ë</w:t>
      </w:r>
    </w:p>
    <w:p w:rsidR="00493B51" w:rsidRDefault="00493B51" w:rsidP="00493B51">
      <w:pPr>
        <w:pStyle w:val="Paragraf02"/>
        <w:rPr>
          <w:color w:val="000000"/>
          <w:lang w:val="sq-AL"/>
        </w:rPr>
      </w:pPr>
      <w:r>
        <w:rPr>
          <w:color w:val="000000"/>
          <w:lang w:val="sq-AL"/>
        </w:rPr>
        <w:t>Strategjia e Drejtësisë për të Miturit evidenton domosdoshmërinë për përmirësim në fushat e mëposhtme:</w:t>
      </w:r>
    </w:p>
    <w:p w:rsidR="00493B51" w:rsidRDefault="00493B51" w:rsidP="00493B51">
      <w:pPr>
        <w:pStyle w:val="Paragraf02"/>
        <w:rPr>
          <w:color w:val="000000"/>
          <w:lang w:val="sq-AL"/>
        </w:rPr>
      </w:pPr>
      <w:r>
        <w:rPr>
          <w:color w:val="000000"/>
          <w:lang w:val="sq-AL"/>
        </w:rPr>
        <w:t>- përmirësime legjislative të normave që rregullojnë sektorin e drejtësisë për të mitur;</w:t>
      </w:r>
    </w:p>
    <w:p w:rsidR="00493B51" w:rsidRDefault="00493B51" w:rsidP="00493B51">
      <w:pPr>
        <w:pStyle w:val="Paragraf02"/>
        <w:rPr>
          <w:color w:val="000000"/>
          <w:lang w:val="sq-AL"/>
        </w:rPr>
      </w:pPr>
      <w:r>
        <w:rPr>
          <w:color w:val="000000"/>
          <w:lang w:val="sq-AL"/>
        </w:rPr>
        <w:t>- përmirësime infrastrukturore të institucioneve mbështetëse të drejtësisë për të mitur;</w:t>
      </w:r>
    </w:p>
    <w:p w:rsidR="00493B51" w:rsidRDefault="00493B51" w:rsidP="00493B51">
      <w:pPr>
        <w:pStyle w:val="Paragraf02"/>
        <w:rPr>
          <w:color w:val="000000"/>
          <w:lang w:val="sq-AL"/>
        </w:rPr>
      </w:pPr>
      <w:r>
        <w:rPr>
          <w:color w:val="000000"/>
          <w:lang w:val="sq-AL"/>
        </w:rPr>
        <w:t xml:space="preserve">- rritje të kapaciteteve të profesionistëve që merren me të miturit. </w:t>
      </w:r>
    </w:p>
    <w:p w:rsidR="00493B51" w:rsidRDefault="00493B51" w:rsidP="00493B51">
      <w:pPr>
        <w:pStyle w:val="Paragraf02"/>
        <w:rPr>
          <w:shd w:val="clear" w:color="auto" w:fill="FFFFFF"/>
          <w:lang w:val="sq-AL"/>
        </w:rPr>
      </w:pPr>
      <w:r>
        <w:rPr>
          <w:shd w:val="clear" w:color="auto" w:fill="FFFFFF"/>
          <w:lang w:val="sq-AL"/>
        </w:rPr>
        <w:t>Këto sfida, strategjia i adreson në mënyrë pragmatike dhe pozitive me objektivat strategjikë, konkretë, si më poshtë:</w:t>
      </w:r>
    </w:p>
    <w:p w:rsidR="00493B51" w:rsidRDefault="00493B51" w:rsidP="00493B51">
      <w:pPr>
        <w:pStyle w:val="Paragraf02"/>
        <w:rPr>
          <w:b/>
          <w:color w:val="000000" w:themeColor="text1"/>
          <w:lang w:val="sq-AL"/>
        </w:rPr>
      </w:pPr>
      <w:r>
        <w:rPr>
          <w:b/>
          <w:color w:val="000000" w:themeColor="text1"/>
          <w:lang w:val="sq-AL"/>
        </w:rPr>
        <w:t>Objektivi strategjik 1. Garantimi i aksesit të të miturve në drejtësi</w:t>
      </w:r>
    </w:p>
    <w:p w:rsidR="00493B51" w:rsidRDefault="00493B51" w:rsidP="00493B51">
      <w:pPr>
        <w:pStyle w:val="Paragraf02"/>
        <w:rPr>
          <w:lang w:val="sq-AL"/>
        </w:rPr>
      </w:pPr>
      <w:r>
        <w:rPr>
          <w:lang w:val="sq-AL"/>
        </w:rPr>
        <w:t>Strategjia parashikon se aksesi në drejtësi do të garantohet duke dhënë rezultate konkrete të matshme me: i. numrin e e strukturave dhe i profesionistëve që ofrojnë ndihmë juridike; ii. numrin e mjediseve të rikonstruktuara në përshtatje me nevojat e të miturve; dhe iii. numrin e aktiviteteve sensiblizuese për drejtësinë për të miturit. Ky aspekt lidhet me kapacitetin e të miturve për t’i aksesuar shërbimet e drejtësisë për të miturit dhe përfshin ndërgjegjësimin dhe ofrimin e ndihmës juridike falas, si aktivitet konkrete të të cilave do të konkretizohen në kapitullin vijues.</w:t>
      </w:r>
    </w:p>
    <w:p w:rsidR="00493B51" w:rsidRDefault="00493B51" w:rsidP="00493B51">
      <w:pPr>
        <w:pStyle w:val="Paragraf02"/>
        <w:rPr>
          <w:b/>
          <w:color w:val="000000" w:themeColor="text1"/>
          <w:lang w:val="sq-AL"/>
        </w:rPr>
      </w:pPr>
      <w:r>
        <w:rPr>
          <w:b/>
          <w:color w:val="000000" w:themeColor="text1"/>
          <w:lang w:val="sq-AL"/>
        </w:rPr>
        <w:t>Objektivi strategjik 2. Garantimi i procesit të rregullt ligjor për të miturit</w:t>
      </w:r>
    </w:p>
    <w:p w:rsidR="00493B51" w:rsidRDefault="00493B51" w:rsidP="00493B51">
      <w:pPr>
        <w:pStyle w:val="Paragraf02"/>
        <w:rPr>
          <w:lang w:val="sq-AL"/>
        </w:rPr>
      </w:pPr>
      <w:r>
        <w:rPr>
          <w:lang w:val="sq-AL"/>
        </w:rPr>
        <w:t xml:space="preserve">Duke mbajtur në konsideratë detyrimin e vendit për të respektuar dhe për të garantuar të drejtat e parashikuara nga Konventa Evropiane për të Drejtat e Njeriut, strategjia ka parashikuar aktivitete konkrete me qëllim garantimin e kësaj të drejte për të miturit e përfshirë në procese gjyqësore. Në fokus të strategjisë është garantimi i gjykimit brenda një kohe të arsyeshme, përmirësimi i kuadrit ligjor që normon të drejtat e fëmijëve dhe mbështetja e të miturit në çdo proces nga profesionistë të trajnuar dhe të specializuar. Strategjia parashikon se ky objektiv do të garantohet duke dhënë rezultate konkrete, në lidhje me: i. numrin e seksioneve </w:t>
      </w:r>
      <w:r>
        <w:rPr>
          <w:lang w:val="sq-AL"/>
        </w:rPr>
        <w:lastRenderedPageBreak/>
        <w:t>të specizializuara për të miturit në gjykata dhe prokurori; ii. numrin e profesionistëve të trajnuar për çështjet e drejtësisë për të miturit; iii. numrin e institucioneve që hedhin të dhëna në Sistemin e Integruara të të Dhënave të Drejtësisë Penale për të Miturit; dhe iv. numrin e akteve ligjore/nënligjore të miratuara në fushën e drejtësisë për të miturit.</w:t>
      </w:r>
    </w:p>
    <w:p w:rsidR="00493B51" w:rsidRDefault="00493B51" w:rsidP="00493B51">
      <w:pPr>
        <w:pStyle w:val="Paragraf02"/>
        <w:rPr>
          <w:b/>
          <w:color w:val="000000" w:themeColor="text1"/>
          <w:lang w:val="sq-AL"/>
        </w:rPr>
      </w:pPr>
      <w:r>
        <w:rPr>
          <w:b/>
          <w:color w:val="000000" w:themeColor="text1"/>
          <w:lang w:val="sq-AL"/>
        </w:rPr>
        <w:t>Objektivi strategjik 3. Parandalimi i ripërfshirjes në krime të të miturve/të rinjve në krime</w:t>
      </w:r>
    </w:p>
    <w:p w:rsidR="00493B51" w:rsidRDefault="00493B51" w:rsidP="00493B51">
      <w:pPr>
        <w:pStyle w:val="Paragraf02"/>
        <w:rPr>
          <w:lang w:val="sq-AL"/>
        </w:rPr>
      </w:pPr>
      <w:r>
        <w:rPr>
          <w:lang w:val="sq-AL"/>
        </w:rPr>
        <w:t>Mënyra më e mirë për reduktimin e numrit të të miturve në konflikt me ligjin është parandalimi.</w:t>
      </w:r>
      <w:r>
        <w:rPr>
          <w:rStyle w:val="FootnoteReference"/>
          <w:szCs w:val="24"/>
          <w:lang w:val="sq-AL"/>
        </w:rPr>
        <w:footnoteReference w:id="19"/>
      </w:r>
      <w:r>
        <w:rPr>
          <w:lang w:val="sq-AL"/>
        </w:rPr>
        <w:t xml:space="preserve"> Ky sugjerim vjen edhe nga Komenti i Përgjithshëm nr. 10 i Komitetit për të Drejtat e Fëmijës.</w:t>
      </w:r>
      <w:r>
        <w:rPr>
          <w:rStyle w:val="FootnoteReference"/>
          <w:szCs w:val="24"/>
          <w:lang w:val="sq-AL"/>
        </w:rPr>
        <w:footnoteReference w:id="20"/>
      </w:r>
    </w:p>
    <w:p w:rsidR="00493B51" w:rsidRDefault="00493B51" w:rsidP="00493B51">
      <w:pPr>
        <w:pStyle w:val="Paragraf02"/>
        <w:rPr>
          <w:lang w:val="sq-AL"/>
        </w:rPr>
      </w:pPr>
      <w:r>
        <w:rPr>
          <w:lang w:val="sq-AL"/>
        </w:rPr>
        <w:t xml:space="preserve">Për realizimin e këtij objektivi planifikohet të analizohen faktorët e riskut dhe masat mbrojtëse. Duke pasur parasysh se kjo është strategjia e parë për drejtësinë për të mitur, objektivi fokusohet në mënyrë të veçantë te ngritja dhe vënia në funksionim e Qendrës për Parandalimin e Krimeve të të Miturve dhe të Rinjve, si dhe te programet për parandalimin e ripërfshirjes së të miturve në vepra penale (recidivizmit), të cilat do të kenë në qendër të vëmendjes mbështetjen për fëmijët dhe familjet, veçanërisht, fëmijët nën moshën e përgjegjësisë penale dhe grupeve në risk apo të cenueshme (vulnerabël). Parandalimi i krimit është zgjidhja më e mirë për fëmijët, familjet e tyre, komunitetet dhe shoqërinë në tërësi. </w:t>
      </w:r>
    </w:p>
    <w:p w:rsidR="00493B51" w:rsidRDefault="00493B51" w:rsidP="00493B51">
      <w:pPr>
        <w:pStyle w:val="Paragraf02"/>
        <w:rPr>
          <w:b/>
          <w:color w:val="000000" w:themeColor="text1"/>
          <w:lang w:val="sq-AL"/>
        </w:rPr>
      </w:pPr>
      <w:r>
        <w:rPr>
          <w:b/>
          <w:bCs/>
          <w:color w:val="000000" w:themeColor="text1"/>
          <w:lang w:val="sq-AL" w:eastAsia="sq-AL"/>
        </w:rPr>
        <w:t xml:space="preserve">Objektivi strategjik 4. </w:t>
      </w:r>
      <w:r>
        <w:rPr>
          <w:b/>
          <w:color w:val="000000" w:themeColor="text1"/>
          <w:lang w:val="sq-AL"/>
        </w:rPr>
        <w:t>Rishoqërizimi, riintegrimi dhe rehabilitimi i të miturve në kontakt ose konflikt me ligjin</w:t>
      </w:r>
    </w:p>
    <w:p w:rsidR="00493B51" w:rsidRDefault="00493B51" w:rsidP="00493B51">
      <w:pPr>
        <w:pStyle w:val="Paragraf02"/>
        <w:rPr>
          <w:lang w:val="sq-AL"/>
        </w:rPr>
      </w:pPr>
      <w:r>
        <w:rPr>
          <w:lang w:val="sq-AL"/>
        </w:rPr>
        <w:t>Strategjia synon riintegrimin dhe përfshirjen sociale të të miturve autorë të veprave penale dhe përfshirjen efektive të tyre në komunitet. Ky proces nuk lidhet domosdoshmërisht me kohën pas dënimit penal, por duhet të jetë një proces gjithëpërfshirës që në momentet e para kur fëmija gjendet në konflikt me ligjin. Për realizimin e këtij objektivi strategjik është i domosdoshëm dhe parashikohet ndërveprim dhe bashkëpunim proaktiv mes institucioneve të ndryshme shtetërore, veçanërisht, të atyre që kanë fushë të veprimtarisë së tyre mbrojtjen e të drejtave të fëmijëve; bashkëpunim dhe koordinim midis organeve të sistemit të drejtësisë dhe institucioneve shtetërore: Ministrisë së Drejtësisë, Shërbimit të Provës, Policisë, Prokurorisë, organeve të vetëqeverisjes vendore dhe njësive për mbrojtjen e fëmijës, Shërbimit Social, institucioneve të arsimit, shëndetësisë dhe aktorëve të tjerë me ndikim në komunitet.</w:t>
      </w:r>
    </w:p>
    <w:p w:rsidR="00493B51" w:rsidRDefault="00493B51" w:rsidP="00493B51">
      <w:pPr>
        <w:pStyle w:val="Paragraf02"/>
        <w:rPr>
          <w:lang w:val="sq-AL"/>
        </w:rPr>
      </w:pPr>
      <w:r>
        <w:rPr>
          <w:lang w:val="sq-AL"/>
        </w:rPr>
        <w:t>Një ndër masat e parashikuara nga legjislacioni vendës janë masat edukuese, për ekzekutimin e të cilave strategjia parashikon ngritjen e institucioneve për ofrimin e këtij shërbimi, ndërsa për të miturit e dënuar planifikohet ngritja e qendrave të veçanta (vetëm për të mitur).</w:t>
      </w:r>
    </w:p>
    <w:p w:rsidR="00493B51" w:rsidRDefault="00493B51" w:rsidP="00493B51">
      <w:pPr>
        <w:pStyle w:val="Paragraf02"/>
        <w:rPr>
          <w:lang w:val="sq-AL"/>
        </w:rPr>
      </w:pPr>
      <w:r>
        <w:rPr>
          <w:lang w:val="sq-AL"/>
        </w:rPr>
        <w:t>Qëllimi i këtij objektivi është rehabilitimi i të miturve, inkurajimi dhe zhvillimi, në kuptim të përgjegjësisë së të miturit, e ndjenjës së respektimit të të drejtave të të tjerëve, nxitja dhe mundësimi i zhvillimit të shëndoshë fizik, mendor, shpirtëror, moral dhe shoqëror i të miturit dhe për ta përgatitur atë që të rikthehet në shoqëri.</w:t>
      </w:r>
    </w:p>
    <w:p w:rsidR="00493B51" w:rsidRDefault="00493B51" w:rsidP="00493B51">
      <w:pPr>
        <w:pStyle w:val="Paragraf02"/>
        <w:rPr>
          <w:lang w:val="sq-AL"/>
        </w:rPr>
      </w:pPr>
      <w:r>
        <w:rPr>
          <w:lang w:val="sq-AL"/>
        </w:rPr>
        <w:t xml:space="preserve">Strategjia parashikon që realizimin e këtij objektivi ta masë nëpërmjet: i. numrit të fëmijëve dhe të familjeve të përfshira në programet e riintegrimit; ii. numrit të fëmijëve të dënuar me burgim dhe me masa alternative dhe numrin e fëmijëve ndaj të cilëve janë zbatuar masat alternative të shmangies nga ndjekja penale. </w:t>
      </w:r>
    </w:p>
    <w:p w:rsidR="00493B51" w:rsidRDefault="00493B51" w:rsidP="00493B51">
      <w:pPr>
        <w:pStyle w:val="Paragraf02"/>
        <w:rPr>
          <w:b/>
          <w:color w:val="000000" w:themeColor="text1"/>
          <w:lang w:val="sq-AL"/>
        </w:rPr>
      </w:pPr>
      <w:r>
        <w:rPr>
          <w:b/>
          <w:color w:val="000000" w:themeColor="text1"/>
          <w:lang w:val="sq-AL"/>
        </w:rPr>
        <w:t>Objektivi strategjik 5. Forcimi i bashkëpunimit të institucioneve të sistemit të drejtësisë për të miturit</w:t>
      </w:r>
    </w:p>
    <w:p w:rsidR="00493B51" w:rsidRDefault="00493B51" w:rsidP="00493B51">
      <w:pPr>
        <w:pStyle w:val="Paragraf02"/>
        <w:rPr>
          <w:lang w:val="sq-AL"/>
        </w:rPr>
      </w:pPr>
      <w:r>
        <w:rPr>
          <w:lang w:val="sq-AL"/>
        </w:rPr>
        <w:t>Vlerësohet se kusht thelbësor për implementimin në mënyrën e duhur dhe efektive të të drejtave dhe garancive të fëmijëve është bashkëpunimi, ndërveprimi dhe bashkërendim i institucioneve dhe i autoriteteve në nivel qendror dhe vendor të përfshira në administrimin e drejtësisë për të mitur. Rrjedhimisht, strategjia parashikon ngritjen dhe funksionimin e rrjetit ndërinstitucional në nivel qendror dhe funksionimin e komunitetit të praktikantëve në nivel vendor.</w:t>
      </w:r>
    </w:p>
    <w:p w:rsidR="00493B51" w:rsidRDefault="00493B51" w:rsidP="00493B51">
      <w:pPr>
        <w:pStyle w:val="Paragraf02"/>
        <w:ind w:firstLine="0"/>
        <w:jc w:val="center"/>
        <w:rPr>
          <w:lang w:val="sq-AL"/>
        </w:rPr>
      </w:pPr>
      <w:bookmarkStart w:id="11" w:name="_Toc515610118"/>
      <w:r>
        <w:rPr>
          <w:lang w:val="sq-AL"/>
        </w:rPr>
        <w:t>KAPITULLI III</w:t>
      </w:r>
    </w:p>
    <w:p w:rsidR="00493B51" w:rsidRDefault="00493B51" w:rsidP="00493B51">
      <w:pPr>
        <w:pStyle w:val="Paragraf02"/>
        <w:ind w:firstLine="0"/>
        <w:jc w:val="center"/>
        <w:rPr>
          <w:lang w:val="sq-AL"/>
        </w:rPr>
      </w:pPr>
      <w:r>
        <w:rPr>
          <w:lang w:val="sq-AL"/>
        </w:rPr>
        <w:t>POLITIKAT</w:t>
      </w:r>
      <w:bookmarkEnd w:id="11"/>
    </w:p>
    <w:p w:rsidR="00493B51" w:rsidRDefault="00493B51" w:rsidP="00493B51">
      <w:pPr>
        <w:pStyle w:val="Paragraf02"/>
        <w:rPr>
          <w:bCs/>
          <w:color w:val="000000"/>
          <w:sz w:val="14"/>
          <w:szCs w:val="14"/>
          <w:lang w:val="sq-AL"/>
        </w:rPr>
      </w:pPr>
    </w:p>
    <w:p w:rsidR="00493B51" w:rsidRDefault="00493B51" w:rsidP="00493B51">
      <w:pPr>
        <w:pStyle w:val="Paragraf02"/>
        <w:rPr>
          <w:bCs/>
          <w:color w:val="000000"/>
          <w:lang w:val="sq-AL"/>
        </w:rPr>
      </w:pPr>
      <w:r>
        <w:rPr>
          <w:bCs/>
          <w:color w:val="000000"/>
          <w:lang w:val="sq-AL"/>
        </w:rPr>
        <w:t>Objektivat strategjikë do të adresohen nëpërmjet politikave të mirëmenduara dhe të programuara me qëllim dhënien e impaktit pozitiv dhe qëndrueshëm në respektimin, promovimin dhe mbrojtjen e të drejtave të fëmijëve në marrëdhënie me organet e sistemit të drejtësisë, të konkretizuara si më poshtë:</w:t>
      </w:r>
    </w:p>
    <w:p w:rsidR="00493B51" w:rsidRDefault="00493B51" w:rsidP="00493B51">
      <w:pPr>
        <w:pStyle w:val="Paragraf02"/>
        <w:rPr>
          <w:b/>
          <w:color w:val="000000" w:themeColor="text1"/>
          <w:lang w:val="sq-AL"/>
        </w:rPr>
      </w:pPr>
      <w:r>
        <w:rPr>
          <w:b/>
          <w:color w:val="000000" w:themeColor="text1"/>
          <w:lang w:val="sq-AL"/>
        </w:rPr>
        <w:t>Objektivi strategjik 1: Garantimi i aksesit të të miturve në drejtësi</w:t>
      </w:r>
    </w:p>
    <w:p w:rsidR="00493B51" w:rsidRDefault="00493B51" w:rsidP="00493B51">
      <w:pPr>
        <w:pStyle w:val="Paragraf02"/>
        <w:rPr>
          <w:lang w:val="sq-AL"/>
        </w:rPr>
      </w:pPr>
      <w:r>
        <w:rPr>
          <w:lang w:val="sq-AL"/>
        </w:rPr>
        <w:t>Ky objektiv strategjik do të arrihet përmes zbatimit të objektivave specifikë të mëposhtëm:</w:t>
      </w:r>
    </w:p>
    <w:p w:rsidR="00493B51" w:rsidRDefault="00493B51" w:rsidP="00493B51">
      <w:pPr>
        <w:pStyle w:val="Paragraf02"/>
        <w:rPr>
          <w:lang w:val="sq-AL"/>
        </w:rPr>
      </w:pPr>
      <w:r>
        <w:rPr>
          <w:lang w:val="sq-AL"/>
        </w:rPr>
        <w:t>1.1 Ofrimi i ndihmës juridike për përfituesit e mitur që ky shërbim të jetë i shpejtë, profesional dhe efektiv;</w:t>
      </w:r>
    </w:p>
    <w:p w:rsidR="00493B51" w:rsidRDefault="00493B51" w:rsidP="00493B51">
      <w:pPr>
        <w:pStyle w:val="Paragraf02"/>
        <w:rPr>
          <w:lang w:val="sq-AL"/>
        </w:rPr>
      </w:pPr>
      <w:r>
        <w:rPr>
          <w:lang w:val="sq-AL"/>
        </w:rPr>
        <w:t>1.2 Krijimi i kushteve infrastrukturore të përshtatshme me nevojat e të miturve;</w:t>
      </w:r>
    </w:p>
    <w:p w:rsidR="00493B51" w:rsidRDefault="00493B51" w:rsidP="00493B51">
      <w:pPr>
        <w:pStyle w:val="Paragraf02"/>
        <w:rPr>
          <w:lang w:val="sq-AL"/>
        </w:rPr>
      </w:pPr>
      <w:r>
        <w:rPr>
          <w:lang w:val="sq-AL"/>
        </w:rPr>
        <w:t xml:space="preserve">1.3 Organizimin e fushatave sensibilizuese për aksesin e të miturve në drejtësi dhe të shërbimeve që ofron </w:t>
      </w:r>
      <w:r>
        <w:rPr>
          <w:lang w:val="sq-AL"/>
        </w:rPr>
        <w:lastRenderedPageBreak/>
        <w:t>sistemi për ta.</w:t>
      </w:r>
    </w:p>
    <w:p w:rsidR="00493B51" w:rsidRDefault="00493B51" w:rsidP="00493B51">
      <w:pPr>
        <w:pStyle w:val="Paragraf02"/>
        <w:rPr>
          <w:lang w:val="sq-AL"/>
        </w:rPr>
      </w:pPr>
      <w:r>
        <w:rPr>
          <w:lang w:val="sq-AL"/>
        </w:rPr>
        <w:t>Në vitin 2020 pritet të kemi një skemë të re të ofrimit të ndihmës nga shteti, rritje të % së përdorimit dhe cilësisë së ndihmës juridike falas nga të miturit, numër të mjaftueshëm avokatëve, kryesisht të specializuar/të trajnuar për të miturit në konflikt me ligjin, infrastrukturë të përshtatur që mundëson aksesueshmërinë fizike të ambienteve të policisë, prokurorisë dhe gjykatave nga të miturit me aftësi të kufizuara, si dhe informacion dhe aktivitete sensiblizuese për fëmijët, në lidhje me proceset ligjore në të cilat përfshihen.</w:t>
      </w:r>
    </w:p>
    <w:p w:rsidR="00493B51" w:rsidRDefault="00493B51" w:rsidP="00493B51">
      <w:pPr>
        <w:pStyle w:val="Paragraf02"/>
        <w:rPr>
          <w:color w:val="000000" w:themeColor="text1"/>
          <w:lang w:val="sq-AL"/>
        </w:rPr>
      </w:pPr>
      <w:r>
        <w:rPr>
          <w:b/>
          <w:color w:val="000000" w:themeColor="text1"/>
          <w:lang w:val="sq-AL"/>
        </w:rPr>
        <w:t>Objektivi strategjik 2. Garantimi i procesit të rregullt ligjor për të miturit</w:t>
      </w:r>
    </w:p>
    <w:p w:rsidR="00493B51" w:rsidRDefault="00493B51" w:rsidP="00493B51">
      <w:pPr>
        <w:pStyle w:val="Paragraf02"/>
        <w:rPr>
          <w:lang w:val="sq-AL"/>
        </w:rPr>
      </w:pPr>
      <w:r>
        <w:rPr>
          <w:lang w:val="sq-AL"/>
        </w:rPr>
        <w:t>Ky objektiv strategjik do të arrihet përmes zbatimit të objektivave specifikë të mëposhtëm:</w:t>
      </w:r>
    </w:p>
    <w:p w:rsidR="00493B51" w:rsidRDefault="00493B51" w:rsidP="00493B51">
      <w:pPr>
        <w:pStyle w:val="Paragraf02"/>
        <w:rPr>
          <w:lang w:val="sq-AL"/>
        </w:rPr>
      </w:pPr>
      <w:r>
        <w:rPr>
          <w:lang w:val="sq-AL"/>
        </w:rPr>
        <w:t>2.1 Seksione të specializuara për gjykimin e çështjeve të drejtësisë për të miturit;</w:t>
      </w:r>
    </w:p>
    <w:p w:rsidR="00493B51" w:rsidRDefault="00493B51" w:rsidP="00493B51">
      <w:pPr>
        <w:pStyle w:val="Paragraf02"/>
        <w:rPr>
          <w:lang w:val="sq-AL"/>
        </w:rPr>
      </w:pPr>
      <w:r>
        <w:rPr>
          <w:lang w:val="sq-AL"/>
        </w:rPr>
        <w:t>2.2 Profesionistë të specializuar në drejtësinë për të miturit;</w:t>
      </w:r>
    </w:p>
    <w:p w:rsidR="00493B51" w:rsidRDefault="00493B51" w:rsidP="00493B51">
      <w:pPr>
        <w:pStyle w:val="Paragraf02"/>
        <w:rPr>
          <w:lang w:val="sq-AL"/>
        </w:rPr>
      </w:pPr>
      <w:r>
        <w:rPr>
          <w:lang w:val="sq-AL"/>
        </w:rPr>
        <w:t>2.3 Shqyrtimi i drejtë dhe në kohë i çështjeve të drejtësisë për të miturit;</w:t>
      </w:r>
    </w:p>
    <w:p w:rsidR="00493B51" w:rsidRDefault="00493B51" w:rsidP="00493B51">
      <w:pPr>
        <w:pStyle w:val="Paragraf02"/>
        <w:rPr>
          <w:lang w:val="sq-AL"/>
        </w:rPr>
      </w:pPr>
      <w:r>
        <w:rPr>
          <w:lang w:val="sq-AL"/>
        </w:rPr>
        <w:t>2.4 Përmirësimi i kuadrit ligjor të drejtësisë civile, penale dhe administratave që normon të drejtat e të miturve në sistemin e drejtësisë.</w:t>
      </w:r>
    </w:p>
    <w:p w:rsidR="00493B51" w:rsidRDefault="00493B51" w:rsidP="00493B51">
      <w:pPr>
        <w:pStyle w:val="Paragraf02"/>
        <w:rPr>
          <w:lang w:val="sq-AL"/>
        </w:rPr>
      </w:pPr>
      <w:r>
        <w:rPr>
          <w:lang w:val="sq-AL"/>
        </w:rPr>
        <w:t>Deri në vitin 2020 pritet të kemi seksione të specializuara për të miturit në gjykata dhe prokurori, profesionistë të trajnuar dhe të specializuar, harmonizim të legjislacionit për mbrojtje më të mirë të të drejtave të fëmijës.</w:t>
      </w:r>
    </w:p>
    <w:p w:rsidR="00493B51" w:rsidRDefault="00493B51" w:rsidP="00493B51">
      <w:pPr>
        <w:pStyle w:val="Paragraf02"/>
        <w:rPr>
          <w:rFonts w:eastAsia="Calibri"/>
          <w:lang w:val="sq-AL"/>
        </w:rPr>
      </w:pPr>
      <w:r>
        <w:rPr>
          <w:rFonts w:eastAsia="Calibri"/>
          <w:lang w:val="sq-AL"/>
        </w:rPr>
        <w:t xml:space="preserve">Deri në vitin 2021 </w:t>
      </w:r>
      <w:r>
        <w:rPr>
          <w:lang w:val="sq-AL"/>
        </w:rPr>
        <w:t xml:space="preserve">pritet të jenë zhvilluar trajnime sistematike </w:t>
      </w:r>
      <w:r>
        <w:rPr>
          <w:rFonts w:eastAsia="Calibri"/>
          <w:lang w:val="sq-AL"/>
        </w:rPr>
        <w:t>dhe të jetë konsoliduar rrjeti i profesionistëve që merren me fëmijët në konflikt/ kontakt me ligjin.</w:t>
      </w:r>
    </w:p>
    <w:p w:rsidR="00493B51" w:rsidRDefault="00493B51" w:rsidP="00493B51">
      <w:pPr>
        <w:pStyle w:val="Paragraf02"/>
        <w:rPr>
          <w:lang w:val="sq-AL"/>
        </w:rPr>
      </w:pPr>
      <w:r>
        <w:rPr>
          <w:lang w:val="sq-AL"/>
        </w:rPr>
        <w:t xml:space="preserve">Gjithashtu, planifikohet të merren masa për krijimin dhe funksionimin e bazave të të dhënave të çështjeve gjyqësore që përfshijnë të miturit në konflikt me ligjin, të miturit viktima dhe dëshmitarë të veprave penale dhe bërjen e të dhënave të aksesueshme. </w:t>
      </w:r>
    </w:p>
    <w:p w:rsidR="00493B51" w:rsidRDefault="00493B51" w:rsidP="00493B51">
      <w:pPr>
        <w:pStyle w:val="Paragraf02"/>
        <w:rPr>
          <w:lang w:val="sq-AL"/>
        </w:rPr>
      </w:pPr>
      <w:r>
        <w:rPr>
          <w:lang w:val="sq-AL"/>
        </w:rPr>
        <w:t xml:space="preserve">Në vitin 2018 është planifikuar plotësimi i kuadrit nënligjor të drejtësisë penale për të mitur në zbatim të ligjit nr. 37/2017, datë 30.3.2017, “Kodi i Drejtësisë Penale për të Mitur”. </w:t>
      </w:r>
    </w:p>
    <w:p w:rsidR="00493B51" w:rsidRDefault="00493B51" w:rsidP="00493B51">
      <w:pPr>
        <w:pStyle w:val="Paragraf02"/>
        <w:rPr>
          <w:b/>
          <w:color w:val="000000" w:themeColor="text1"/>
          <w:lang w:val="sq-AL"/>
        </w:rPr>
      </w:pPr>
      <w:r>
        <w:rPr>
          <w:b/>
          <w:color w:val="000000" w:themeColor="text1"/>
          <w:lang w:val="sq-AL"/>
        </w:rPr>
        <w:t>Objektivi strategjik 3. Parandalimi i ripërfshirjes së të miturve/të rinjve në krime</w:t>
      </w:r>
    </w:p>
    <w:p w:rsidR="00493B51" w:rsidRDefault="00493B51" w:rsidP="00493B51">
      <w:pPr>
        <w:pStyle w:val="Paragraf02"/>
        <w:rPr>
          <w:lang w:val="sq-AL"/>
        </w:rPr>
      </w:pPr>
      <w:r>
        <w:rPr>
          <w:lang w:val="sq-AL"/>
        </w:rPr>
        <w:t xml:space="preserve">Ky objektiv strategjik do të arrihet përmes objektivit specifik për parandalimin e kriminalitetit dhe shkelje të ligjit, duke e konkretizuar me aktivitete që lidhet me krijimin e Qendrës për Parandalimin e Kriminalitetit të Fëmijëve dhe të Rinjve pranë Ministrisë së Drejtësisë, vlerësimin e kriminaliteti për të miturit nën 14 vjeç, identifikimin e grupeve në risk, si dhe sigurimin e kuadrit infrastrukturor për zbatimin e programeve të parandalimit. </w:t>
      </w:r>
    </w:p>
    <w:p w:rsidR="00493B51" w:rsidRDefault="00493B51" w:rsidP="00493B51">
      <w:pPr>
        <w:pStyle w:val="Paragraf02"/>
        <w:rPr>
          <w:lang w:val="sq-AL"/>
        </w:rPr>
      </w:pPr>
      <w:r>
        <w:rPr>
          <w:lang w:val="sq-AL"/>
        </w:rPr>
        <w:t>Në vitin 2019 pritet të funksionojë Qendra për Parandalimin e Krimeve të të Miturve dhe të Rinjve pranë Ministrisë së Drejtësisë, do të hartohen memorandume bashkëpunimi në nivel lokal, me qëllim parandalimin e përfshirjes në krime të të miturve, si dhe të hartohet Programi i Rehabilitimit për Fëmijët nën 14 vjeç dhe të ketë filluar implementimi. Pritet që në vitin 2019 numri i të miturve recidivistë të jetë ulur me 40%.</w:t>
      </w:r>
    </w:p>
    <w:p w:rsidR="00493B51" w:rsidRDefault="00493B51" w:rsidP="00493B51">
      <w:pPr>
        <w:pStyle w:val="Paragraf02"/>
        <w:rPr>
          <w:b/>
          <w:color w:val="000000" w:themeColor="text1"/>
          <w:lang w:val="sq-AL"/>
        </w:rPr>
      </w:pPr>
      <w:r>
        <w:rPr>
          <w:b/>
          <w:color w:val="000000" w:themeColor="text1"/>
          <w:lang w:val="sq-AL"/>
        </w:rPr>
        <w:t xml:space="preserve">Objektiv strategjik 4. Rishoqërizimi, riintegrim dhe rehabilitimi i të miturve në kontakt ose në konflikt me ligjin </w:t>
      </w:r>
    </w:p>
    <w:p w:rsidR="00493B51" w:rsidRDefault="00493B51" w:rsidP="00493B51">
      <w:pPr>
        <w:pStyle w:val="Paragraf02"/>
        <w:rPr>
          <w:lang w:val="sq-AL"/>
        </w:rPr>
      </w:pPr>
      <w:r>
        <w:rPr>
          <w:lang w:val="sq-AL"/>
        </w:rPr>
        <w:t>Ky objektiv strategjik do të arrihet përmes zbatimit të objektivave specifikë të mëposhtëm:</w:t>
      </w:r>
    </w:p>
    <w:p w:rsidR="00493B51" w:rsidRDefault="00493B51" w:rsidP="00493B51">
      <w:pPr>
        <w:pStyle w:val="Paragraf02"/>
        <w:rPr>
          <w:lang w:val="sq-AL"/>
        </w:rPr>
      </w:pPr>
      <w:r>
        <w:rPr>
          <w:lang w:val="sq-AL"/>
        </w:rPr>
        <w:t>4.1 Aplikimi i programeve të drejtësisë restauruese/të ndërmjetësimit;</w:t>
      </w:r>
    </w:p>
    <w:p w:rsidR="00493B51" w:rsidRDefault="00493B51" w:rsidP="00493B51">
      <w:pPr>
        <w:pStyle w:val="Paragraf02"/>
        <w:rPr>
          <w:lang w:val="sq-AL"/>
        </w:rPr>
      </w:pPr>
      <w:r>
        <w:rPr>
          <w:lang w:val="sq-AL"/>
        </w:rPr>
        <w:t>4.2 Zhvillimi i planeve të këshillimit për të miturit dhe/ose familjen e tij;</w:t>
      </w:r>
    </w:p>
    <w:p w:rsidR="00493B51" w:rsidRDefault="00493B51" w:rsidP="00493B51">
      <w:pPr>
        <w:pStyle w:val="Paragraf02"/>
        <w:rPr>
          <w:rFonts w:eastAsia="Calibri"/>
          <w:lang w:val="sq-AL"/>
        </w:rPr>
      </w:pPr>
      <w:r>
        <w:rPr>
          <w:rFonts w:eastAsia="Calibri"/>
          <w:lang w:val="sq-AL"/>
        </w:rPr>
        <w:t>4.3 Nxitja e aplikimit të masës alternative të shmangies nga ndjekja penale;</w:t>
      </w:r>
    </w:p>
    <w:p w:rsidR="00493B51" w:rsidRDefault="00493B51" w:rsidP="00493B51">
      <w:pPr>
        <w:pStyle w:val="Paragraf02"/>
        <w:rPr>
          <w:lang w:val="sq-AL"/>
        </w:rPr>
      </w:pPr>
      <w:r>
        <w:rPr>
          <w:rFonts w:eastAsia="Calibri"/>
          <w:lang w:val="sq-AL"/>
        </w:rPr>
        <w:t xml:space="preserve">4.4 Inkurajimi i aplikimit të masave alternative nga dënimi; </w:t>
      </w:r>
    </w:p>
    <w:p w:rsidR="00493B51" w:rsidRDefault="00493B51" w:rsidP="00493B51">
      <w:pPr>
        <w:pStyle w:val="Paragraf02"/>
        <w:rPr>
          <w:lang w:val="sq-AL"/>
        </w:rPr>
      </w:pPr>
      <w:r>
        <w:rPr>
          <w:lang w:val="sq-AL"/>
        </w:rPr>
        <w:t>4.5 Garantimi i një kuadri institucional që nxit dhe lehtëson edukimin, rehabilitimin dhe riintegrimin e të miturve në institucionet e paraburgimit dhe të burgimit</w:t>
      </w:r>
    </w:p>
    <w:p w:rsidR="00493B51" w:rsidRDefault="00493B51" w:rsidP="00493B51">
      <w:pPr>
        <w:pStyle w:val="Paragraf02"/>
        <w:rPr>
          <w:rFonts w:eastAsia="Calibri"/>
          <w:lang w:val="sq-AL"/>
        </w:rPr>
      </w:pPr>
      <w:r>
        <w:rPr>
          <w:rFonts w:eastAsia="Calibri"/>
          <w:lang w:val="sq-AL"/>
        </w:rPr>
        <w:t xml:space="preserve">Pritet që deri në vitin 2019 të jetë rritur numri i masave alternative të dhëna për të miturit dhe të aplikimit të drejtësisë restauruese. </w:t>
      </w:r>
    </w:p>
    <w:p w:rsidR="00493B51" w:rsidRDefault="00493B51" w:rsidP="00493B51">
      <w:pPr>
        <w:pStyle w:val="Paragraf02"/>
        <w:rPr>
          <w:lang w:val="sq-AL"/>
        </w:rPr>
      </w:pPr>
      <w:r>
        <w:rPr>
          <w:lang w:val="sq-AL"/>
        </w:rPr>
        <w:t>Në vitin 2021 do të jenë ngritur programe/ qendra të edukimit dhe riintegrimit për fëmijët në konflikt me ligjin. Për prindërit e të miturve autorë, të miturve nën moshë për t’u ndjekur penalisht dhe viktima të veprave të paligjshme, do të jenë vënë në zbatim programet e këshillimit dhe të rehabilitimit.</w:t>
      </w:r>
    </w:p>
    <w:p w:rsidR="00493B51" w:rsidRDefault="00493B51" w:rsidP="00493B51">
      <w:pPr>
        <w:pStyle w:val="Paragraf02"/>
        <w:rPr>
          <w:b/>
          <w:color w:val="000000" w:themeColor="text1"/>
          <w:lang w:val="sq-AL"/>
        </w:rPr>
      </w:pPr>
      <w:r>
        <w:rPr>
          <w:b/>
          <w:color w:val="000000" w:themeColor="text1"/>
          <w:lang w:val="sq-AL"/>
        </w:rPr>
        <w:t>Objektivi strategjik 5. Rritje e kapaciteteve të strukturave të sistemit të drejtësisë për të mitur</w:t>
      </w:r>
    </w:p>
    <w:p w:rsidR="00493B51" w:rsidRDefault="00493B51" w:rsidP="00493B51">
      <w:pPr>
        <w:pStyle w:val="Paragraf02"/>
        <w:rPr>
          <w:lang w:val="sq-AL"/>
        </w:rPr>
      </w:pPr>
      <w:r>
        <w:rPr>
          <w:lang w:val="sq-AL"/>
        </w:rPr>
        <w:t>Ky objektiv strategjik do të arrihet përmes zbatimit të objektivit specifik të forcimit të bashkëpunimit ndërinstitucional që përfshin krijimin e rrjetit ndërinstitucional me përfaqësues në nivel teknik nën drejtimin e MD-së dhe mbledhjen e drejtuesve të institucioneve në nivel vendor që trajtojnë çështjet e të miturve</w:t>
      </w:r>
      <w:r>
        <w:rPr>
          <w:rFonts w:eastAsia="Calibri"/>
          <w:lang w:val="sq-AL"/>
        </w:rPr>
        <w:t>.</w:t>
      </w:r>
    </w:p>
    <w:p w:rsidR="00493B51" w:rsidRDefault="00493B51" w:rsidP="00493B51">
      <w:pPr>
        <w:pStyle w:val="Paragraf02"/>
        <w:rPr>
          <w:lang w:val="sq-AL"/>
        </w:rPr>
      </w:pPr>
      <w:bookmarkStart w:id="12" w:name="_Toc457209139"/>
      <w:r>
        <w:rPr>
          <w:lang w:val="sq-AL"/>
        </w:rPr>
        <w:t>Një rrjet ndërsektorial do të jetë ngritur në nivel të qeverisjes qendrore, i cili do të kontribuojë në bashkëpunimin dhe bashkërendimin e punës së institucioneve në nivel qendror, si dhe për të nxitur vënien në zbatim dhe mbikëqyrur mbarëvajtjen e këtij bashkëpunimi edhe në nivel vendor.</w:t>
      </w:r>
    </w:p>
    <w:p w:rsidR="00493B51" w:rsidRDefault="00493B51" w:rsidP="00493B51">
      <w:pPr>
        <w:pStyle w:val="Paragraf02"/>
        <w:ind w:firstLine="0"/>
        <w:rPr>
          <w:sz w:val="14"/>
          <w:szCs w:val="14"/>
          <w:lang w:val="sq-AL"/>
        </w:rPr>
      </w:pPr>
      <w:bookmarkStart w:id="13" w:name="_Toc515610119"/>
    </w:p>
    <w:p w:rsidR="00493B51" w:rsidRDefault="00493B51" w:rsidP="00493B51">
      <w:pPr>
        <w:pStyle w:val="Paragraf02"/>
        <w:ind w:firstLine="0"/>
        <w:rPr>
          <w:sz w:val="14"/>
          <w:szCs w:val="14"/>
          <w:lang w:val="sq-AL"/>
        </w:rPr>
      </w:pPr>
    </w:p>
    <w:p w:rsidR="00493B51" w:rsidRDefault="00493B51" w:rsidP="00493B51">
      <w:pPr>
        <w:pStyle w:val="Paragraf02"/>
        <w:ind w:firstLine="0"/>
        <w:rPr>
          <w:sz w:val="14"/>
          <w:szCs w:val="14"/>
          <w:lang w:val="sq-AL"/>
        </w:rPr>
      </w:pPr>
    </w:p>
    <w:p w:rsidR="00493B51" w:rsidRDefault="00493B51" w:rsidP="00493B51">
      <w:pPr>
        <w:pStyle w:val="Paragraf02"/>
        <w:ind w:firstLine="0"/>
        <w:rPr>
          <w:sz w:val="14"/>
          <w:szCs w:val="14"/>
          <w:lang w:val="sq-AL"/>
        </w:rPr>
      </w:pPr>
    </w:p>
    <w:p w:rsidR="00493B51" w:rsidRDefault="00493B51" w:rsidP="00493B51">
      <w:pPr>
        <w:pStyle w:val="Paragraf02"/>
        <w:ind w:firstLine="0"/>
        <w:jc w:val="center"/>
        <w:rPr>
          <w:lang w:val="sq-AL"/>
        </w:rPr>
      </w:pPr>
      <w:r>
        <w:rPr>
          <w:lang w:val="sq-AL"/>
        </w:rPr>
        <w:lastRenderedPageBreak/>
        <w:t>KAPITULLI IV</w:t>
      </w:r>
    </w:p>
    <w:p w:rsidR="00493B51" w:rsidRDefault="00493B51" w:rsidP="00493B51">
      <w:pPr>
        <w:pStyle w:val="Paragraf02"/>
        <w:ind w:firstLine="0"/>
        <w:jc w:val="center"/>
        <w:rPr>
          <w:lang w:val="sq-AL"/>
        </w:rPr>
      </w:pPr>
      <w:r>
        <w:rPr>
          <w:lang w:val="sq-AL"/>
        </w:rPr>
        <w:t>BURIMET FINANCIARE</w:t>
      </w:r>
      <w:bookmarkEnd w:id="12"/>
      <w:r>
        <w:rPr>
          <w:lang w:val="sq-AL"/>
        </w:rPr>
        <w:t>, HENDEKU FINANCIAR DHE MENAXHIMI I RISKUT</w:t>
      </w:r>
      <w:bookmarkEnd w:id="13"/>
    </w:p>
    <w:p w:rsidR="00493B51" w:rsidRDefault="00493B51" w:rsidP="00493B51">
      <w:pPr>
        <w:pStyle w:val="Paragraf02"/>
        <w:rPr>
          <w:sz w:val="14"/>
          <w:szCs w:val="14"/>
          <w:lang w:val="sq-AL"/>
        </w:rPr>
      </w:pPr>
    </w:p>
    <w:p w:rsidR="00493B51" w:rsidRDefault="00493B51" w:rsidP="00493B51">
      <w:pPr>
        <w:pStyle w:val="Paragraf02"/>
        <w:rPr>
          <w:lang w:val="sq-AL"/>
        </w:rPr>
      </w:pPr>
      <w:r>
        <w:rPr>
          <w:lang w:val="sq-AL"/>
        </w:rPr>
        <w:t>Në këtë kapitull trajtohen në mënyrë të përmbledhur analiza që lidhen me nevojat për përdorimin e burimeve financiare, të nevojshme për zbatimin e Strategjisë së Drejtësisë për të Mitur. Qëllimi i kësaj analize është të paraqesë kostot e Planit të Veprimit 2018–2021, si dhe burimet financiare të alokuara nga buxheti i shtetit, donatorë dhe burime të tjera për zbatimin e tij.</w:t>
      </w:r>
    </w:p>
    <w:p w:rsidR="00493B51" w:rsidRPr="00493B51" w:rsidRDefault="00493B51" w:rsidP="00493B51">
      <w:pPr>
        <w:pStyle w:val="Paragraf02"/>
        <w:rPr>
          <w:rStyle w:val="Heading1Char"/>
          <w:szCs w:val="24"/>
        </w:rPr>
      </w:pPr>
      <w:bookmarkStart w:id="14" w:name="_Toc515610120"/>
      <w:r>
        <w:rPr>
          <w:rStyle w:val="Heading1Char"/>
          <w:szCs w:val="24"/>
          <w:lang w:val="sq-AL"/>
        </w:rPr>
        <w:t>IV.1 Metodologjia e kostimit të aktiviteteve të planit të veprimit</w:t>
      </w:r>
      <w:bookmarkEnd w:id="14"/>
    </w:p>
    <w:p w:rsidR="00493B51" w:rsidRDefault="00493B51" w:rsidP="00493B51">
      <w:pPr>
        <w:pStyle w:val="Paragraf02"/>
        <w:rPr>
          <w:rStyle w:val="hps"/>
        </w:rPr>
      </w:pPr>
      <w:r>
        <w:rPr>
          <w:rStyle w:val="hps"/>
          <w:szCs w:val="24"/>
          <w:lang w:val="sq-AL"/>
        </w:rPr>
        <w:t xml:space="preserve">Metodologjia e zbatuar për llogaritjen e kostove paraqet një kombinim të dy metodave që mund të përdoren në rastet e strategjive ndërsektoriale. </w:t>
      </w:r>
      <w:r>
        <w:rPr>
          <w:rStyle w:val="hps"/>
          <w:i/>
          <w:szCs w:val="24"/>
          <w:lang w:val="sq-AL"/>
        </w:rPr>
        <w:t>Metoda e parë</w:t>
      </w:r>
      <w:r>
        <w:rPr>
          <w:rStyle w:val="hps"/>
          <w:szCs w:val="24"/>
          <w:lang w:val="sq-AL"/>
        </w:rPr>
        <w:t xml:space="preserve"> është </w:t>
      </w:r>
      <w:r>
        <w:rPr>
          <w:lang w:val="sq-AL"/>
        </w:rPr>
        <w:t xml:space="preserve">vlerësimi i kostove bazuar, kryesisht, në të ashtuquajturën qasje nga </w:t>
      </w:r>
      <w:r>
        <w:rPr>
          <w:u w:val="single"/>
          <w:lang w:val="sq-AL"/>
        </w:rPr>
        <w:t>lart poshtë</w:t>
      </w:r>
      <w:r>
        <w:rPr>
          <w:lang w:val="sq-AL"/>
        </w:rPr>
        <w:t xml:space="preserve">. Sipas kësaj metode kostot operative dhe ato të investimeve janë vlerësuar në bazë të të dhënave të agreguara në nivel institucioni. Kjo qasje është e pranueshme për të identifikuar nivelin e shpenzimeve pa marrë parasysh hollësi për masa të veçanta. </w:t>
      </w:r>
      <w:r>
        <w:rPr>
          <w:rStyle w:val="hps"/>
          <w:i/>
          <w:szCs w:val="24"/>
          <w:lang w:val="sq-AL"/>
        </w:rPr>
        <w:t>Metoda e dyt</w:t>
      </w:r>
      <w:r>
        <w:rPr>
          <w:rStyle w:val="hps"/>
          <w:szCs w:val="24"/>
          <w:lang w:val="sq-AL"/>
        </w:rPr>
        <w:t>ë është kostimi i bazuar në aktivitete -</w:t>
      </w:r>
      <w:r>
        <w:rPr>
          <w:lang w:val="sq-AL"/>
        </w:rPr>
        <w:t xml:space="preserve"> metodë e përdorur </w:t>
      </w:r>
      <w:r>
        <w:rPr>
          <w:rStyle w:val="hps"/>
          <w:szCs w:val="24"/>
          <w:lang w:val="sq-AL"/>
        </w:rPr>
        <w:t>për kostimin e aktiviteteve,</w:t>
      </w:r>
      <w:r>
        <w:rPr>
          <w:lang w:val="sq-AL"/>
        </w:rPr>
        <w:t xml:space="preserve"> duke </w:t>
      </w:r>
      <w:r>
        <w:rPr>
          <w:rStyle w:val="hps"/>
          <w:szCs w:val="24"/>
          <w:lang w:val="sq-AL"/>
        </w:rPr>
        <w:t>alokuar burime për të gjitha zërat e shpenzimeve në bazë të konsumit aktual për secilin aktivitet.</w:t>
      </w:r>
    </w:p>
    <w:p w:rsidR="00493B51" w:rsidRDefault="00493B51" w:rsidP="00493B51">
      <w:pPr>
        <w:pStyle w:val="Paragraf02"/>
      </w:pPr>
      <w:r>
        <w:rPr>
          <w:rStyle w:val="hps"/>
          <w:szCs w:val="24"/>
          <w:lang w:val="sq-AL"/>
        </w:rPr>
        <w:t>Për llogaritjen e shpenzimeve është vepruar si më poshtë:</w:t>
      </w:r>
    </w:p>
    <w:p w:rsidR="00493B51" w:rsidRDefault="00493B51" w:rsidP="00493B51">
      <w:pPr>
        <w:pStyle w:val="Paragraf02"/>
        <w:rPr>
          <w:rStyle w:val="hps"/>
          <w:rFonts w:eastAsia="Calibri"/>
          <w:szCs w:val="24"/>
        </w:rPr>
      </w:pPr>
      <w:r>
        <w:rPr>
          <w:rStyle w:val="hps"/>
          <w:rFonts w:eastAsia="Calibri"/>
          <w:szCs w:val="24"/>
          <w:lang w:val="sq-AL"/>
        </w:rPr>
        <w:t xml:space="preserve">- </w:t>
      </w:r>
      <w:r>
        <w:rPr>
          <w:rStyle w:val="hps"/>
          <w:rFonts w:eastAsia="Calibri"/>
          <w:szCs w:val="24"/>
          <w:u w:val="single"/>
          <w:lang w:val="sq-AL"/>
        </w:rPr>
        <w:t>Burime njerëzore</w:t>
      </w:r>
      <w:r>
        <w:rPr>
          <w:rStyle w:val="hps"/>
          <w:rFonts w:eastAsia="Calibri"/>
          <w:szCs w:val="24"/>
          <w:lang w:val="sq-AL"/>
        </w:rPr>
        <w:t>: llogaritja e shpenzimeve bazohet në kohën e punës që nevojitet për zbatimin e masës dhe pagën mujore bruto sipas kategorisë.</w:t>
      </w:r>
    </w:p>
    <w:p w:rsidR="00493B51" w:rsidRDefault="00493B51" w:rsidP="00493B51">
      <w:pPr>
        <w:pStyle w:val="Paragraf02"/>
        <w:rPr>
          <w:rStyle w:val="hps"/>
          <w:rFonts w:eastAsia="Calibri"/>
          <w:szCs w:val="24"/>
          <w:lang w:val="sq-AL"/>
        </w:rPr>
      </w:pPr>
      <w:r>
        <w:rPr>
          <w:lang w:val="sq-AL"/>
        </w:rPr>
        <w:t xml:space="preserve">- </w:t>
      </w:r>
      <w:r>
        <w:rPr>
          <w:u w:val="single"/>
          <w:lang w:val="sq-AL"/>
        </w:rPr>
        <w:t>Trajnime</w:t>
      </w:r>
      <w:r>
        <w:rPr>
          <w:lang w:val="sq-AL"/>
        </w:rPr>
        <w:t>: në llogaritjen e shpenzimeve për trajnime është mbajtur në konsideratë kostoja e trajnimit për një person. Si kosto për njësi janë përdorur kostot e aplikuara për trajnime të ngjashme në të shkuarën nga institucionet përgjegjëse.</w:t>
      </w:r>
    </w:p>
    <w:p w:rsidR="00493B51" w:rsidRDefault="00493B51" w:rsidP="00493B51">
      <w:pPr>
        <w:pStyle w:val="Paragraf02"/>
      </w:pPr>
      <w:r>
        <w:rPr>
          <w:rStyle w:val="hps"/>
          <w:rFonts w:eastAsia="Calibri"/>
          <w:szCs w:val="24"/>
          <w:lang w:val="sq-AL"/>
        </w:rPr>
        <w:t xml:space="preserve">- </w:t>
      </w:r>
      <w:r>
        <w:rPr>
          <w:rStyle w:val="hps"/>
          <w:rFonts w:eastAsia="Calibri"/>
          <w:szCs w:val="24"/>
          <w:u w:val="single"/>
          <w:lang w:val="sq-AL"/>
        </w:rPr>
        <w:t>Shpenzime për shërbime</w:t>
      </w:r>
      <w:r>
        <w:rPr>
          <w:rStyle w:val="hps"/>
          <w:rFonts w:eastAsia="Calibri"/>
          <w:szCs w:val="24"/>
          <w:lang w:val="sq-AL"/>
        </w:rPr>
        <w:t>: kostot janë llogaritur duke marrë parasysh kostot e shërbimeve për njësi të institucioneve përkatëse, bazuar në standardet e miratuara.</w:t>
      </w:r>
    </w:p>
    <w:p w:rsidR="00493B51" w:rsidRDefault="00493B51" w:rsidP="00493B51">
      <w:pPr>
        <w:pStyle w:val="Paragraf02"/>
        <w:rPr>
          <w:lang w:val="sq-AL"/>
        </w:rPr>
      </w:pPr>
      <w:r>
        <w:rPr>
          <w:rStyle w:val="hps"/>
          <w:rFonts w:eastAsia="Calibri"/>
          <w:szCs w:val="24"/>
          <w:lang w:val="sq-AL"/>
        </w:rPr>
        <w:t xml:space="preserve">- </w:t>
      </w:r>
      <w:r>
        <w:rPr>
          <w:rStyle w:val="hps"/>
          <w:rFonts w:eastAsia="Calibri"/>
          <w:szCs w:val="24"/>
          <w:u w:val="single"/>
          <w:lang w:val="sq-AL"/>
        </w:rPr>
        <w:t>Ngritja e institucioneve</w:t>
      </w:r>
      <w:r>
        <w:rPr>
          <w:rStyle w:val="hps"/>
          <w:rFonts w:eastAsia="Calibri"/>
          <w:szCs w:val="24"/>
          <w:lang w:val="sq-AL"/>
        </w:rPr>
        <w:t xml:space="preserve">: llogaritja e shpenzimeve për </w:t>
      </w:r>
      <w:r>
        <w:rPr>
          <w:lang w:val="sq-AL"/>
        </w:rPr>
        <w:t xml:space="preserve">funksionimin e strukturave </w:t>
      </w:r>
      <w:r>
        <w:rPr>
          <w:rStyle w:val="hps"/>
          <w:rFonts w:eastAsia="Calibri"/>
          <w:szCs w:val="24"/>
          <w:lang w:val="sq-AL"/>
        </w:rPr>
        <w:t>të përhershme është realizuar duke mbajtur parasysh shpenzimet e vazhdueshme që do të ndodhin për pagat</w:t>
      </w:r>
      <w:r>
        <w:rPr>
          <w:lang w:val="sq-AL"/>
        </w:rPr>
        <w:t xml:space="preserve">, </w:t>
      </w:r>
      <w:r>
        <w:rPr>
          <w:rStyle w:val="hps"/>
          <w:rFonts w:eastAsia="Calibri"/>
          <w:szCs w:val="24"/>
          <w:lang w:val="sq-AL"/>
        </w:rPr>
        <w:t>kontributet e sigurimeve shoqërore, shpenzimet operative dhe investimet kapitale</w:t>
      </w:r>
      <w:r>
        <w:rPr>
          <w:lang w:val="sq-AL"/>
        </w:rPr>
        <w:t>.</w:t>
      </w:r>
    </w:p>
    <w:p w:rsidR="00493B51" w:rsidRDefault="00493B51" w:rsidP="00493B51">
      <w:pPr>
        <w:pStyle w:val="Paragraf02"/>
        <w:rPr>
          <w:rStyle w:val="hps"/>
          <w:rFonts w:eastAsia="Calibri"/>
          <w:szCs w:val="24"/>
        </w:rPr>
      </w:pPr>
      <w:r>
        <w:rPr>
          <w:rStyle w:val="hps"/>
          <w:rFonts w:eastAsia="Calibri"/>
          <w:szCs w:val="24"/>
          <w:lang w:val="sq-AL"/>
        </w:rPr>
        <w:t>- Llogaritja e shpenzimeve për</w:t>
      </w:r>
      <w:r>
        <w:rPr>
          <w:lang w:val="sq-AL"/>
        </w:rPr>
        <w:t xml:space="preserve"> “</w:t>
      </w:r>
      <w:r>
        <w:rPr>
          <w:u w:val="single"/>
          <w:lang w:val="sq-AL"/>
        </w:rPr>
        <w:t>masa specifike</w:t>
      </w:r>
      <w:r>
        <w:rPr>
          <w:lang w:val="sq-AL"/>
        </w:rPr>
        <w:t xml:space="preserve">” është bazuar kryesisht në natyrën e masave dhe </w:t>
      </w:r>
      <w:r>
        <w:rPr>
          <w:rStyle w:val="hps"/>
          <w:rFonts w:eastAsia="Calibri"/>
          <w:szCs w:val="24"/>
          <w:lang w:val="sq-AL"/>
        </w:rPr>
        <w:t>kostot që ofron tregu për shërbime të tilla.</w:t>
      </w:r>
    </w:p>
    <w:p w:rsidR="00493B51" w:rsidRDefault="00493B51" w:rsidP="00493B51">
      <w:pPr>
        <w:pStyle w:val="Paragraf02"/>
        <w:rPr>
          <w:rStyle w:val="hps"/>
          <w:szCs w:val="24"/>
          <w:lang w:val="sq-AL"/>
        </w:rPr>
      </w:pPr>
      <w:r>
        <w:rPr>
          <w:rStyle w:val="hps"/>
          <w:szCs w:val="24"/>
          <w:lang w:val="sq-AL"/>
        </w:rPr>
        <w:t>- Për ato masa ku informacioni nuk ishte i plotë është ndjekur metoda e vlerësimit për analogji ose janë marrë në konsideratë shpenzimet e bëra për masa të ngjashme dhe/ose produkte të ngjashme në PBA 2017–2019.</w:t>
      </w:r>
    </w:p>
    <w:p w:rsidR="00493B51" w:rsidRDefault="00493B51" w:rsidP="00493B51">
      <w:pPr>
        <w:pStyle w:val="Paragraf02"/>
        <w:rPr>
          <w:rStyle w:val="hps"/>
          <w:szCs w:val="24"/>
          <w:lang w:val="sq-AL"/>
        </w:rPr>
      </w:pPr>
      <w:r>
        <w:rPr>
          <w:rStyle w:val="hps"/>
          <w:szCs w:val="24"/>
          <w:lang w:val="sq-AL"/>
        </w:rPr>
        <w:t xml:space="preserve">- Për disa masa janë marrë në konsideratë kostot e llogaritura për zbatimin e </w:t>
      </w:r>
      <w:r>
        <w:rPr>
          <w:lang w:val="sq-AL"/>
        </w:rPr>
        <w:t>Kodit të Drejtësisë Penale për të Mitur.</w:t>
      </w:r>
    </w:p>
    <w:p w:rsidR="00493B51" w:rsidRDefault="00493B51" w:rsidP="00493B51">
      <w:pPr>
        <w:pStyle w:val="Paragraf02"/>
        <w:rPr>
          <w:rStyle w:val="Heading1Char"/>
          <w:szCs w:val="24"/>
        </w:rPr>
      </w:pPr>
      <w:bookmarkStart w:id="15" w:name="_Toc515610121"/>
      <w:r>
        <w:rPr>
          <w:rStyle w:val="Heading1Char"/>
          <w:szCs w:val="24"/>
          <w:lang w:val="sq-AL"/>
        </w:rPr>
        <w:t>IV.2 Buxheti dhe burimet financiare për zbatimin e planit të veprimit</w:t>
      </w:r>
      <w:bookmarkEnd w:id="15"/>
    </w:p>
    <w:p w:rsidR="00493B51" w:rsidRDefault="00493B51" w:rsidP="00493B51">
      <w:pPr>
        <w:pStyle w:val="Paragraf02"/>
      </w:pPr>
      <w:r>
        <w:rPr>
          <w:lang w:val="sq-AL"/>
        </w:rPr>
        <w:t xml:space="preserve">Strategjia ndërsektoriale e Drejtësisë për të Mitur dhe PV do të zbatohet në periudhën 2018–2021. Për të mundësuar zbatimin e saj janë llogaritur shpenzimet e nevojshme për zbatimin e secilit aktivitet dhe objektiv specifik. </w:t>
      </w:r>
    </w:p>
    <w:p w:rsidR="00493B51" w:rsidRDefault="00493B51" w:rsidP="00493B51">
      <w:pPr>
        <w:pStyle w:val="Paragraf02"/>
        <w:rPr>
          <w:lang w:val="sq-AL"/>
        </w:rPr>
      </w:pPr>
      <w:r>
        <w:rPr>
          <w:lang w:val="sq-AL"/>
        </w:rPr>
        <w:t>Buxheti i përgjithshëm për zbatimin e strategjisë është reflektuar në disa forma:</w:t>
      </w:r>
    </w:p>
    <w:p w:rsidR="00493B51" w:rsidRDefault="00493B51" w:rsidP="00493B51">
      <w:pPr>
        <w:pStyle w:val="Paragraf02"/>
        <w:rPr>
          <w:lang w:val="sq-AL"/>
        </w:rPr>
      </w:pPr>
      <w:r>
        <w:rPr>
          <w:lang w:val="sq-AL"/>
        </w:rPr>
        <w:t>- buxheti i përgjithshëm sipas viteve buxhetore për secilin aktivitet, objektiv strategjik dhe objektiv specifik;</w:t>
      </w:r>
    </w:p>
    <w:p w:rsidR="00493B51" w:rsidRDefault="00493B51" w:rsidP="00493B51">
      <w:pPr>
        <w:pStyle w:val="Paragraf02"/>
        <w:rPr>
          <w:lang w:val="sq-AL"/>
        </w:rPr>
      </w:pPr>
      <w:r>
        <w:rPr>
          <w:lang w:val="sq-AL"/>
        </w:rPr>
        <w:t>- buxheti i detajuar sipas aktiviteteve, burimeve të financimit dhe institucioneve përgjegjëse</w:t>
      </w:r>
      <w:r>
        <w:rPr>
          <w:rStyle w:val="FootnoteReference"/>
          <w:szCs w:val="24"/>
          <w:lang w:val="sq-AL"/>
        </w:rPr>
        <w:footnoteReference w:id="21"/>
      </w:r>
      <w:r>
        <w:rPr>
          <w:lang w:val="sq-AL"/>
        </w:rPr>
        <w:t>;</w:t>
      </w:r>
    </w:p>
    <w:p w:rsidR="00493B51" w:rsidRDefault="00493B51" w:rsidP="00493B51">
      <w:pPr>
        <w:pStyle w:val="Paragraf02"/>
        <w:rPr>
          <w:lang w:val="sq-AL"/>
        </w:rPr>
      </w:pPr>
      <w:r>
        <w:rPr>
          <w:lang w:val="sq-AL"/>
        </w:rPr>
        <w:t>- mbështetur në informacionin e disponueshëm janë identifikuar fondet e angazhuara nga buxheti i shtetit dhe organizmat ndërkombëtarë ose donatorët, si dhe fondet që nevojiten për t’u alokuar shtesë nga buxheti apo për t’u siguruar nga donatorë dypalësh dhe shumëpalësh;</w:t>
      </w:r>
    </w:p>
    <w:p w:rsidR="00493B51" w:rsidRDefault="00493B51" w:rsidP="00493B51">
      <w:pPr>
        <w:pStyle w:val="Paragraf02"/>
        <w:rPr>
          <w:lang w:val="sq-AL"/>
        </w:rPr>
      </w:pPr>
      <w:r>
        <w:rPr>
          <w:lang w:val="sq-AL"/>
        </w:rPr>
        <w:t xml:space="preserve">- buxheti i detajuar sipas llogarive të shpenzimeve. </w:t>
      </w:r>
    </w:p>
    <w:p w:rsidR="00493B51" w:rsidRDefault="00493B51" w:rsidP="00493B51">
      <w:pPr>
        <w:pStyle w:val="Paragraf02"/>
        <w:rPr>
          <w:lang w:val="sq-AL"/>
        </w:rPr>
      </w:pPr>
      <w:r>
        <w:rPr>
          <w:lang w:val="sq-AL"/>
        </w:rPr>
        <w:t xml:space="preserve">Shpenzimet e nevojshme për zbatimin e planit të veprimit, me burime financimi nga buxheti i shtetit, fondet e donatorëve dhe organizatave jofitimprurëse, janë rreth </w:t>
      </w:r>
      <w:r>
        <w:rPr>
          <w:b/>
          <w:lang w:val="sq-AL"/>
        </w:rPr>
        <w:t>681,335,963.00 lekë</w:t>
      </w:r>
      <w:r>
        <w:rPr>
          <w:lang w:val="sq-AL"/>
        </w:rPr>
        <w:t xml:space="preserve"> ose afërsisht </w:t>
      </w:r>
      <w:r>
        <w:rPr>
          <w:b/>
          <w:lang w:val="sq-AL"/>
        </w:rPr>
        <w:t>5.1 milionë euro</w:t>
      </w:r>
      <w:r>
        <w:rPr>
          <w:rStyle w:val="FootnoteReference"/>
          <w:szCs w:val="24"/>
          <w:lang w:val="sq-AL"/>
        </w:rPr>
        <w:footnoteReference w:id="22"/>
      </w:r>
      <w:r>
        <w:rPr>
          <w:lang w:val="sq-AL"/>
        </w:rPr>
        <w:t>.</w:t>
      </w:r>
    </w:p>
    <w:p w:rsidR="00493B51" w:rsidRDefault="00493B51" w:rsidP="00493B51">
      <w:pPr>
        <w:pStyle w:val="Paragraf02"/>
        <w:rPr>
          <w:lang w:val="sq-AL"/>
        </w:rPr>
      </w:pPr>
      <w:r>
        <w:rPr>
          <w:lang w:val="sq-AL"/>
        </w:rPr>
        <w:t>Nga muaji korrik 2017, ka filluar të implementohet programi: “</w:t>
      </w:r>
      <w:r>
        <w:rPr>
          <w:i/>
          <w:iCs/>
          <w:lang w:val="sq-AL"/>
        </w:rPr>
        <w:t xml:space="preserve">Forcimi i kapaciteteve të agjencive ligjzbatuese dhe gjykatave shqiptare për përmbushjen e standardeve të të drejtave të njeriut në drejtësinë për të miturit - një qasje gjithëpërfshirëse e zinxhirit të drejtësisë”, </w:t>
      </w:r>
      <w:r>
        <w:rPr>
          <w:lang w:val="sq-AL"/>
        </w:rPr>
        <w:t xml:space="preserve">i financuar nga Agjencia Suedeze për </w:t>
      </w:r>
    </w:p>
    <w:p w:rsidR="00493B51" w:rsidRDefault="00493B51" w:rsidP="00493B51">
      <w:pPr>
        <w:pStyle w:val="Paragraf02"/>
        <w:ind w:firstLine="0"/>
        <w:rPr>
          <w:lang w:val="sq-AL"/>
        </w:rPr>
      </w:pPr>
      <w:r>
        <w:rPr>
          <w:lang w:val="sq-AL"/>
        </w:rPr>
        <w:t xml:space="preserve">Bashkëpunimin për Zhvillimin Ndërkombëtar (SIDA), nëpërmjet Ambasadës Suedeze në Tiranë, me vlerë financimi 3 (tre) milionë euro. Objektivi i programit është: </w:t>
      </w:r>
      <w:r>
        <w:rPr>
          <w:i/>
          <w:iCs/>
          <w:lang w:val="sq-AL"/>
        </w:rPr>
        <w:t>forcimi i kapaciteteve të agjencive ligjzbatuese dhe gjykatave shqiptare për të përmbushur standardet ndërkombëtare të të drejtave të njeriut</w:t>
      </w:r>
      <w:r>
        <w:rPr>
          <w:lang w:val="sq-AL"/>
        </w:rPr>
        <w:t>, me qasje të integruar të të gjitha agjencive ligjzbatuese në zinxhirin e drejtësisë. Programi filloi në korrik 2017 dhe mbaron në qershor 2020.</w:t>
      </w:r>
    </w:p>
    <w:p w:rsidR="00493B51" w:rsidRDefault="00493B51" w:rsidP="00493B51">
      <w:pPr>
        <w:pStyle w:val="Paragraf02"/>
        <w:rPr>
          <w:lang w:val="sq-AL"/>
        </w:rPr>
      </w:pPr>
      <w:r>
        <w:rPr>
          <w:lang w:val="sq-AL"/>
        </w:rPr>
        <w:lastRenderedPageBreak/>
        <w:t>Tabela 1 paraqet buxhetin që nevojitet për zbatimin e planit të veprimit, për periudhën 2018–2021. Buxheti që duhet të alokohet për zbatimin e planit të veprimit nuk ka një shtrirje uniforme për periudhën 2018–2021, pasi pjesa më e madhe e shërbimeve të reja, trajnimeve dhe investimeve janë planifikuar për periudhën 2019–2021.</w:t>
      </w:r>
    </w:p>
    <w:p w:rsidR="00493B51" w:rsidRDefault="00493B51" w:rsidP="00493B51">
      <w:pPr>
        <w:spacing w:after="0" w:line="240" w:lineRule="auto"/>
        <w:ind w:firstLine="0"/>
        <w:jc w:val="left"/>
        <w:rPr>
          <w:rFonts w:ascii="Garamond" w:eastAsia="MS Mincho" w:hAnsi="Garamond" w:cs="CG Times"/>
          <w:b/>
          <w:color w:val="000000" w:themeColor="text1"/>
          <w:spacing w:val="-4"/>
          <w:sz w:val="24"/>
          <w:lang w:val="sq-AL"/>
        </w:rPr>
        <w:sectPr w:rsidR="00493B51" w:rsidSect="00493B51">
          <w:type w:val="continuous"/>
          <w:pgSz w:w="11907" w:h="16840"/>
          <w:pgMar w:top="720" w:right="1134" w:bottom="720" w:left="1134" w:header="851" w:footer="851" w:gutter="0"/>
          <w:cols w:space="454"/>
        </w:sectPr>
      </w:pPr>
    </w:p>
    <w:p w:rsidR="00493B51" w:rsidRDefault="00493B51" w:rsidP="00493B51">
      <w:pPr>
        <w:pStyle w:val="Paragraf02"/>
        <w:rPr>
          <w:b/>
          <w:color w:val="000000" w:themeColor="text1"/>
          <w:lang w:val="sq-AL"/>
        </w:rPr>
      </w:pPr>
      <w:r>
        <w:rPr>
          <w:b/>
          <w:color w:val="000000" w:themeColor="text1"/>
          <w:lang w:val="sq-AL"/>
        </w:rPr>
        <w:t>Tabela 1. Shpenzimet sipas objektivave, periudha 2018–2021</w:t>
      </w:r>
    </w:p>
    <w:p w:rsidR="00493B51" w:rsidRDefault="00493B51" w:rsidP="00493B51">
      <w:pPr>
        <w:pStyle w:val="Paragrafi"/>
        <w:rPr>
          <w:sz w:val="16"/>
          <w:lang w:val="sq-AL"/>
        </w:rPr>
      </w:pPr>
    </w:p>
    <w:tbl>
      <w:tblPr>
        <w:tblW w:w="10047" w:type="dxa"/>
        <w:jc w:val="center"/>
        <w:tblLook w:val="04A0" w:firstRow="1" w:lastRow="0" w:firstColumn="1" w:lastColumn="0" w:noHBand="0" w:noVBand="1"/>
      </w:tblPr>
      <w:tblGrid>
        <w:gridCol w:w="2513"/>
        <w:gridCol w:w="1398"/>
        <w:gridCol w:w="1445"/>
        <w:gridCol w:w="1488"/>
        <w:gridCol w:w="1676"/>
        <w:gridCol w:w="1527"/>
      </w:tblGrid>
      <w:tr w:rsidR="00493B51" w:rsidTr="00493B51">
        <w:trPr>
          <w:trHeight w:val="316"/>
          <w:jc w:val="center"/>
        </w:trPr>
        <w:tc>
          <w:tcPr>
            <w:tcW w:w="25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PËRSHKRIMI</w:t>
            </w:r>
          </w:p>
        </w:tc>
        <w:tc>
          <w:tcPr>
            <w:tcW w:w="7534" w:type="dxa"/>
            <w:gridSpan w:val="5"/>
            <w:tcBorders>
              <w:top w:val="single" w:sz="4" w:space="0" w:color="auto"/>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Buxheti 2018–2021</w:t>
            </w:r>
          </w:p>
        </w:tc>
      </w:tr>
      <w:tr w:rsidR="00493B51" w:rsidTr="00493B51">
        <w:trPr>
          <w:trHeight w:val="600"/>
          <w:jc w:val="center"/>
        </w:trPr>
        <w:tc>
          <w:tcPr>
            <w:tcW w:w="2513" w:type="dxa"/>
            <w:tcBorders>
              <w:top w:val="nil"/>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OBJEKTIVAT, AKTIVITETET</w:t>
            </w:r>
          </w:p>
        </w:tc>
        <w:tc>
          <w:tcPr>
            <w:tcW w:w="1398"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VITI 2018</w:t>
            </w:r>
          </w:p>
        </w:tc>
        <w:tc>
          <w:tcPr>
            <w:tcW w:w="1445"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VITI 2019</w:t>
            </w:r>
          </w:p>
        </w:tc>
        <w:tc>
          <w:tcPr>
            <w:tcW w:w="1488"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VITI 2020</w:t>
            </w:r>
          </w:p>
        </w:tc>
        <w:tc>
          <w:tcPr>
            <w:tcW w:w="1676"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VITI 2021</w:t>
            </w:r>
          </w:p>
        </w:tc>
        <w:tc>
          <w:tcPr>
            <w:tcW w:w="1527"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TOTALI</w:t>
            </w:r>
          </w:p>
        </w:tc>
      </w:tr>
      <w:tr w:rsidR="00493B51" w:rsidTr="00493B51">
        <w:trPr>
          <w:trHeight w:val="705"/>
          <w:jc w:val="center"/>
        </w:trPr>
        <w:tc>
          <w:tcPr>
            <w:tcW w:w="2513"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1. Garantimi i aksesit të të miturve në drejtësi</w:t>
            </w:r>
          </w:p>
        </w:tc>
        <w:tc>
          <w:tcPr>
            <w:tcW w:w="139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2,020,060.00</w:t>
            </w:r>
          </w:p>
        </w:tc>
        <w:tc>
          <w:tcPr>
            <w:tcW w:w="1445"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9,241,860.00</w:t>
            </w:r>
          </w:p>
        </w:tc>
        <w:tc>
          <w:tcPr>
            <w:tcW w:w="148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8,751,800.00</w:t>
            </w:r>
          </w:p>
        </w:tc>
        <w:tc>
          <w:tcPr>
            <w:tcW w:w="167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8,541,800.00</w:t>
            </w:r>
          </w:p>
        </w:tc>
        <w:tc>
          <w:tcPr>
            <w:tcW w:w="1527"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28,555,520.00</w:t>
            </w:r>
          </w:p>
        </w:tc>
      </w:tr>
      <w:tr w:rsidR="00493B51" w:rsidTr="00493B51">
        <w:trPr>
          <w:trHeight w:val="780"/>
          <w:jc w:val="center"/>
        </w:trPr>
        <w:tc>
          <w:tcPr>
            <w:tcW w:w="2513"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2. Garantimi i procesit të rregullt ligjor për të miturit</w:t>
            </w:r>
          </w:p>
        </w:tc>
        <w:tc>
          <w:tcPr>
            <w:tcW w:w="139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7,956,198.00</w:t>
            </w:r>
          </w:p>
        </w:tc>
        <w:tc>
          <w:tcPr>
            <w:tcW w:w="1445"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115,820,225.50</w:t>
            </w:r>
          </w:p>
        </w:tc>
        <w:tc>
          <w:tcPr>
            <w:tcW w:w="148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163,758,187.50</w:t>
            </w:r>
          </w:p>
        </w:tc>
        <w:tc>
          <w:tcPr>
            <w:tcW w:w="167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162,524,200.00</w:t>
            </w:r>
          </w:p>
        </w:tc>
        <w:tc>
          <w:tcPr>
            <w:tcW w:w="1527"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450,058,811.00</w:t>
            </w:r>
          </w:p>
        </w:tc>
      </w:tr>
      <w:tr w:rsidR="00493B51" w:rsidTr="00493B51">
        <w:trPr>
          <w:trHeight w:val="660"/>
          <w:jc w:val="center"/>
        </w:trPr>
        <w:tc>
          <w:tcPr>
            <w:tcW w:w="2513"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3. Parandalimi i përfshirjes së të miturve/të rinjve në krime</w:t>
            </w:r>
          </w:p>
        </w:tc>
        <w:tc>
          <w:tcPr>
            <w:tcW w:w="139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c>
          <w:tcPr>
            <w:tcW w:w="1445"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9,860,956.00</w:t>
            </w:r>
          </w:p>
        </w:tc>
        <w:tc>
          <w:tcPr>
            <w:tcW w:w="148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8,729,064.00</w:t>
            </w:r>
          </w:p>
        </w:tc>
        <w:tc>
          <w:tcPr>
            <w:tcW w:w="167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8,729,064.00</w:t>
            </w:r>
          </w:p>
        </w:tc>
        <w:tc>
          <w:tcPr>
            <w:tcW w:w="1527"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27,319,084.00</w:t>
            </w:r>
          </w:p>
        </w:tc>
      </w:tr>
      <w:tr w:rsidR="00493B51" w:rsidTr="00493B51">
        <w:trPr>
          <w:trHeight w:val="903"/>
          <w:jc w:val="center"/>
        </w:trPr>
        <w:tc>
          <w:tcPr>
            <w:tcW w:w="2513"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4. Rishoqërizimi, riintegrimi dhe rehabilimi i të miturve në kontakt me ligjin</w:t>
            </w:r>
          </w:p>
        </w:tc>
        <w:tc>
          <w:tcPr>
            <w:tcW w:w="139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30,227,901.00</w:t>
            </w:r>
          </w:p>
        </w:tc>
        <w:tc>
          <w:tcPr>
            <w:tcW w:w="1445"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48,442,749.00</w:t>
            </w:r>
          </w:p>
        </w:tc>
        <w:tc>
          <w:tcPr>
            <w:tcW w:w="148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48,442,749.00</w:t>
            </w:r>
          </w:p>
        </w:tc>
        <w:tc>
          <w:tcPr>
            <w:tcW w:w="167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43,535,229.00</w:t>
            </w:r>
          </w:p>
        </w:tc>
        <w:tc>
          <w:tcPr>
            <w:tcW w:w="1527"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170,648,628.00</w:t>
            </w:r>
          </w:p>
        </w:tc>
      </w:tr>
      <w:tr w:rsidR="00493B51" w:rsidTr="00493B51">
        <w:trPr>
          <w:trHeight w:val="645"/>
          <w:jc w:val="center"/>
        </w:trPr>
        <w:tc>
          <w:tcPr>
            <w:tcW w:w="2513" w:type="dxa"/>
            <w:tcBorders>
              <w:top w:val="nil"/>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5. Forcimi i bashkëpunimit të institucioneve të sistemit të drejtësisë për të mitur</w:t>
            </w:r>
          </w:p>
        </w:tc>
        <w:tc>
          <w:tcPr>
            <w:tcW w:w="139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1,188,480.00</w:t>
            </w:r>
          </w:p>
        </w:tc>
        <w:tc>
          <w:tcPr>
            <w:tcW w:w="1445"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1,188,480.00</w:t>
            </w:r>
          </w:p>
        </w:tc>
        <w:tc>
          <w:tcPr>
            <w:tcW w:w="1488"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1,188,480.00</w:t>
            </w:r>
          </w:p>
        </w:tc>
        <w:tc>
          <w:tcPr>
            <w:tcW w:w="167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1,188,480.00</w:t>
            </w:r>
          </w:p>
        </w:tc>
        <w:tc>
          <w:tcPr>
            <w:tcW w:w="1527"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4,753,920.00</w:t>
            </w:r>
          </w:p>
        </w:tc>
      </w:tr>
      <w:tr w:rsidR="00493B51" w:rsidTr="00493B51">
        <w:trPr>
          <w:trHeight w:val="300"/>
          <w:jc w:val="center"/>
        </w:trPr>
        <w:tc>
          <w:tcPr>
            <w:tcW w:w="2513" w:type="dxa"/>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(1+2+3+4+5)</w:t>
            </w:r>
          </w:p>
        </w:tc>
        <w:tc>
          <w:tcPr>
            <w:tcW w:w="1398"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41,392,639.00</w:t>
            </w:r>
          </w:p>
        </w:tc>
        <w:tc>
          <w:tcPr>
            <w:tcW w:w="1445"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184,554,270.50</w:t>
            </w:r>
          </w:p>
        </w:tc>
        <w:tc>
          <w:tcPr>
            <w:tcW w:w="1488"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230,870,280.50</w:t>
            </w:r>
          </w:p>
        </w:tc>
        <w:tc>
          <w:tcPr>
            <w:tcW w:w="1676"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224,518,773.00</w:t>
            </w:r>
          </w:p>
        </w:tc>
        <w:tc>
          <w:tcPr>
            <w:tcW w:w="1527"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681,335,963.00</w:t>
            </w:r>
          </w:p>
        </w:tc>
      </w:tr>
      <w:tr w:rsidR="00493B51" w:rsidTr="00493B51">
        <w:trPr>
          <w:trHeight w:val="255"/>
          <w:jc w:val="center"/>
        </w:trPr>
        <w:tc>
          <w:tcPr>
            <w:tcW w:w="2513" w:type="dxa"/>
            <w:noWrap/>
            <w:vAlign w:val="bottom"/>
            <w:hideMark/>
          </w:tcPr>
          <w:p w:rsidR="00493B51" w:rsidRDefault="00493B51">
            <w:pPr>
              <w:rPr>
                <w:rFonts w:ascii="Garamond" w:hAnsi="Garamond"/>
                <w:b/>
                <w:bCs/>
                <w:sz w:val="20"/>
                <w:szCs w:val="20"/>
                <w:lang w:val="sq-AL"/>
              </w:rPr>
            </w:pPr>
          </w:p>
        </w:tc>
        <w:tc>
          <w:tcPr>
            <w:tcW w:w="1398"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1445"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1488"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1676"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1527"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r>
      <w:tr w:rsidR="00493B51" w:rsidTr="00493B51">
        <w:trPr>
          <w:trHeight w:val="201"/>
          <w:jc w:val="center"/>
        </w:trPr>
        <w:tc>
          <w:tcPr>
            <w:tcW w:w="2513" w:type="dxa"/>
            <w:tcBorders>
              <w:top w:val="single" w:sz="4" w:space="0" w:color="auto"/>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Në %</w:t>
            </w:r>
          </w:p>
        </w:tc>
        <w:tc>
          <w:tcPr>
            <w:tcW w:w="1398"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6.1%</w:t>
            </w:r>
          </w:p>
        </w:tc>
        <w:tc>
          <w:tcPr>
            <w:tcW w:w="1445"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27.1%</w:t>
            </w:r>
          </w:p>
        </w:tc>
        <w:tc>
          <w:tcPr>
            <w:tcW w:w="1488"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33.9%</w:t>
            </w:r>
          </w:p>
        </w:tc>
        <w:tc>
          <w:tcPr>
            <w:tcW w:w="1676"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33.0%</w:t>
            </w:r>
          </w:p>
        </w:tc>
        <w:tc>
          <w:tcPr>
            <w:tcW w:w="1527"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r>
    </w:tbl>
    <w:p w:rsidR="00493B51" w:rsidRDefault="00493B51" w:rsidP="00493B51">
      <w:pPr>
        <w:widowControl w:val="0"/>
        <w:tabs>
          <w:tab w:val="left" w:pos="360"/>
        </w:tabs>
        <w:autoSpaceDE w:val="0"/>
        <w:autoSpaceDN w:val="0"/>
        <w:adjustRightInd w:val="0"/>
        <w:spacing w:after="0"/>
        <w:contextualSpacing/>
        <w:rPr>
          <w:rFonts w:ascii="Garamond" w:hAnsi="Garamond"/>
          <w:b/>
          <w:sz w:val="24"/>
          <w:szCs w:val="24"/>
          <w:lang w:val="sq-AL"/>
        </w:rPr>
      </w:pPr>
    </w:p>
    <w:p w:rsidR="00493B51" w:rsidRDefault="00493B51" w:rsidP="00493B51">
      <w:pPr>
        <w:widowControl w:val="0"/>
        <w:tabs>
          <w:tab w:val="left" w:pos="360"/>
        </w:tabs>
        <w:autoSpaceDE w:val="0"/>
        <w:autoSpaceDN w:val="0"/>
        <w:adjustRightInd w:val="0"/>
        <w:spacing w:after="0"/>
        <w:contextualSpacing/>
        <w:rPr>
          <w:rFonts w:ascii="Garamond" w:hAnsi="Garamond"/>
          <w:b/>
          <w:sz w:val="24"/>
          <w:szCs w:val="24"/>
          <w:lang w:val="sq-AL"/>
        </w:rPr>
      </w:pPr>
      <w:r>
        <w:rPr>
          <w:rFonts w:ascii="Garamond" w:hAnsi="Garamond"/>
          <w:b/>
          <w:sz w:val="24"/>
          <w:szCs w:val="24"/>
          <w:lang w:val="sq-AL"/>
        </w:rPr>
        <w:t xml:space="preserve">Tabela nr. 2. Burimet e financimit sipas objektivave </w:t>
      </w:r>
    </w:p>
    <w:tbl>
      <w:tblPr>
        <w:tblW w:w="10080" w:type="dxa"/>
        <w:jc w:val="center"/>
        <w:tblLook w:val="04A0" w:firstRow="1" w:lastRow="0" w:firstColumn="1" w:lastColumn="0" w:noHBand="0" w:noVBand="1"/>
      </w:tblPr>
      <w:tblGrid>
        <w:gridCol w:w="2922"/>
        <w:gridCol w:w="1466"/>
        <w:gridCol w:w="1836"/>
        <w:gridCol w:w="1843"/>
        <w:gridCol w:w="2013"/>
      </w:tblGrid>
      <w:tr w:rsidR="00493B51" w:rsidTr="00493B51">
        <w:trPr>
          <w:trHeight w:val="390"/>
          <w:jc w:val="center"/>
        </w:trPr>
        <w:tc>
          <w:tcPr>
            <w:tcW w:w="292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PËRSHKRIMI</w:t>
            </w:r>
          </w:p>
        </w:tc>
        <w:tc>
          <w:tcPr>
            <w:tcW w:w="330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FINANCUAR NGA</w:t>
            </w:r>
          </w:p>
        </w:tc>
        <w:tc>
          <w:tcPr>
            <w:tcW w:w="1843" w:type="dxa"/>
            <w:tcBorders>
              <w:top w:val="single" w:sz="4" w:space="0" w:color="auto"/>
              <w:left w:val="nil"/>
              <w:bottom w:val="single" w:sz="4" w:space="0" w:color="auto"/>
              <w:right w:val="single" w:sz="4" w:space="0" w:color="auto"/>
            </w:tcBorders>
            <w:shd w:val="clear" w:color="auto" w:fill="D9D9D9"/>
            <w:vAlign w:val="center"/>
            <w:hideMark/>
          </w:tcPr>
          <w:p w:rsidR="00493B51" w:rsidRDefault="00493B51">
            <w:pPr>
              <w:rPr>
                <w:rFonts w:ascii="Garamond" w:hAnsi="Garamond"/>
                <w:b/>
                <w:bCs/>
                <w:sz w:val="20"/>
                <w:szCs w:val="20"/>
                <w:lang w:val="sq-AL"/>
              </w:rPr>
            </w:pPr>
          </w:p>
        </w:tc>
        <w:tc>
          <w:tcPr>
            <w:tcW w:w="2013" w:type="dxa"/>
            <w:tcBorders>
              <w:top w:val="single" w:sz="4" w:space="0" w:color="auto"/>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NEVOJAT PËR</w:t>
            </w:r>
          </w:p>
        </w:tc>
      </w:tr>
      <w:tr w:rsidR="00493B51" w:rsidTr="00493B51">
        <w:trPr>
          <w:trHeight w:val="494"/>
          <w:jc w:val="center"/>
        </w:trPr>
        <w:tc>
          <w:tcPr>
            <w:tcW w:w="2922" w:type="dxa"/>
            <w:tcBorders>
              <w:top w:val="nil"/>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OBJEKTIVAT, AKTIVITETET</w:t>
            </w:r>
          </w:p>
        </w:tc>
        <w:tc>
          <w:tcPr>
            <w:tcW w:w="1466" w:type="dxa"/>
            <w:tcBorders>
              <w:top w:val="nil"/>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QEVERIA</w:t>
            </w:r>
          </w:p>
        </w:tc>
        <w:tc>
          <w:tcPr>
            <w:tcW w:w="1836"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DONATORËT</w:t>
            </w:r>
          </w:p>
        </w:tc>
        <w:tc>
          <w:tcPr>
            <w:tcW w:w="1843"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TOTALI</w:t>
            </w:r>
          </w:p>
        </w:tc>
        <w:tc>
          <w:tcPr>
            <w:tcW w:w="2013"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FONDE, LEKË</w:t>
            </w:r>
          </w:p>
        </w:tc>
      </w:tr>
      <w:tr w:rsidR="00493B51" w:rsidTr="00493B51">
        <w:trPr>
          <w:trHeight w:val="449"/>
          <w:jc w:val="center"/>
        </w:trPr>
        <w:tc>
          <w:tcPr>
            <w:tcW w:w="2922"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1. Garantimi i aksesit të të miturve në drejtësi</w:t>
            </w:r>
          </w:p>
        </w:tc>
        <w:tc>
          <w:tcPr>
            <w:tcW w:w="146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25,165,520.00</w:t>
            </w:r>
          </w:p>
        </w:tc>
        <w:tc>
          <w:tcPr>
            <w:tcW w:w="183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c>
          <w:tcPr>
            <w:tcW w:w="184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25,165,520.00</w:t>
            </w:r>
          </w:p>
        </w:tc>
        <w:tc>
          <w:tcPr>
            <w:tcW w:w="201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3,390,000.00</w:t>
            </w:r>
          </w:p>
        </w:tc>
      </w:tr>
      <w:tr w:rsidR="00493B51" w:rsidTr="00493B51">
        <w:trPr>
          <w:trHeight w:val="556"/>
          <w:jc w:val="center"/>
        </w:trPr>
        <w:tc>
          <w:tcPr>
            <w:tcW w:w="2922"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2. Garantimi i procesit të rregullt ligjor për të miturit</w:t>
            </w:r>
          </w:p>
        </w:tc>
        <w:tc>
          <w:tcPr>
            <w:tcW w:w="146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447,077,171.00</w:t>
            </w:r>
          </w:p>
        </w:tc>
        <w:tc>
          <w:tcPr>
            <w:tcW w:w="183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1,107,000.00</w:t>
            </w:r>
          </w:p>
        </w:tc>
        <w:tc>
          <w:tcPr>
            <w:tcW w:w="184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448,184,171.00</w:t>
            </w:r>
          </w:p>
        </w:tc>
        <w:tc>
          <w:tcPr>
            <w:tcW w:w="201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1,874,640.00</w:t>
            </w:r>
          </w:p>
        </w:tc>
      </w:tr>
      <w:tr w:rsidR="00493B51" w:rsidTr="00493B51">
        <w:trPr>
          <w:trHeight w:val="660"/>
          <w:jc w:val="center"/>
        </w:trPr>
        <w:tc>
          <w:tcPr>
            <w:tcW w:w="2922"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3. Parandalimi i përfshirjes së të miturve/të rinjve në krime</w:t>
            </w:r>
          </w:p>
        </w:tc>
        <w:tc>
          <w:tcPr>
            <w:tcW w:w="146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326,832.00</w:t>
            </w:r>
          </w:p>
        </w:tc>
        <w:tc>
          <w:tcPr>
            <w:tcW w:w="183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c>
          <w:tcPr>
            <w:tcW w:w="184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326,832.00</w:t>
            </w:r>
          </w:p>
        </w:tc>
        <w:tc>
          <w:tcPr>
            <w:tcW w:w="201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26,992,252.00</w:t>
            </w:r>
          </w:p>
        </w:tc>
      </w:tr>
      <w:tr w:rsidR="00493B51" w:rsidTr="00493B51">
        <w:trPr>
          <w:trHeight w:val="746"/>
          <w:jc w:val="center"/>
        </w:trPr>
        <w:tc>
          <w:tcPr>
            <w:tcW w:w="2922"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4. Rishoqërizimi, riintegrimi dhe rehabilimi i të miturve në kontakt me ligjin</w:t>
            </w:r>
          </w:p>
        </w:tc>
        <w:tc>
          <w:tcPr>
            <w:tcW w:w="146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120,911,604.00</w:t>
            </w:r>
          </w:p>
        </w:tc>
        <w:tc>
          <w:tcPr>
            <w:tcW w:w="183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c>
          <w:tcPr>
            <w:tcW w:w="184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120,911,604.00</w:t>
            </w:r>
          </w:p>
        </w:tc>
        <w:tc>
          <w:tcPr>
            <w:tcW w:w="201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49,737,024.00</w:t>
            </w:r>
          </w:p>
        </w:tc>
      </w:tr>
      <w:tr w:rsidR="00493B51" w:rsidTr="00493B51">
        <w:trPr>
          <w:trHeight w:val="645"/>
          <w:jc w:val="center"/>
        </w:trPr>
        <w:tc>
          <w:tcPr>
            <w:tcW w:w="2922" w:type="dxa"/>
            <w:tcBorders>
              <w:top w:val="nil"/>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5. Rritje e kapaciteteve të strukturave të sistemit të drejtësisë për të mitur</w:t>
            </w:r>
          </w:p>
        </w:tc>
        <w:tc>
          <w:tcPr>
            <w:tcW w:w="146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4,753,920.00</w:t>
            </w:r>
          </w:p>
        </w:tc>
        <w:tc>
          <w:tcPr>
            <w:tcW w:w="1836"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c>
          <w:tcPr>
            <w:tcW w:w="184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4,753,920.00</w:t>
            </w:r>
          </w:p>
        </w:tc>
        <w:tc>
          <w:tcPr>
            <w:tcW w:w="2013"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r>
      <w:tr w:rsidR="00493B51" w:rsidTr="00493B51">
        <w:trPr>
          <w:trHeight w:val="300"/>
          <w:jc w:val="center"/>
        </w:trPr>
        <w:tc>
          <w:tcPr>
            <w:tcW w:w="2922" w:type="dxa"/>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(1+2+3+4+5)</w:t>
            </w:r>
          </w:p>
        </w:tc>
        <w:tc>
          <w:tcPr>
            <w:tcW w:w="1466" w:type="dxa"/>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598,235,047.00</w:t>
            </w:r>
          </w:p>
        </w:tc>
        <w:tc>
          <w:tcPr>
            <w:tcW w:w="1836"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1,107,000.00</w:t>
            </w:r>
          </w:p>
        </w:tc>
        <w:tc>
          <w:tcPr>
            <w:tcW w:w="1843"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599,342,047.00</w:t>
            </w:r>
          </w:p>
        </w:tc>
        <w:tc>
          <w:tcPr>
            <w:tcW w:w="2013"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81,993,916.00</w:t>
            </w:r>
          </w:p>
        </w:tc>
      </w:tr>
      <w:tr w:rsidR="00493B51" w:rsidTr="00493B51">
        <w:trPr>
          <w:trHeight w:val="255"/>
          <w:jc w:val="center"/>
        </w:trPr>
        <w:tc>
          <w:tcPr>
            <w:tcW w:w="2922" w:type="dxa"/>
            <w:vAlign w:val="bottom"/>
          </w:tcPr>
          <w:p w:rsidR="00493B51" w:rsidRDefault="00493B51">
            <w:pPr>
              <w:widowControl w:val="0"/>
              <w:spacing w:after="0" w:line="240" w:lineRule="auto"/>
              <w:ind w:firstLine="0"/>
              <w:rPr>
                <w:rFonts w:ascii="Garamond" w:hAnsi="Garamond"/>
                <w:sz w:val="20"/>
                <w:szCs w:val="20"/>
                <w:lang w:val="sq-AL"/>
              </w:rPr>
            </w:pPr>
          </w:p>
        </w:tc>
        <w:tc>
          <w:tcPr>
            <w:tcW w:w="1466" w:type="dxa"/>
            <w:noWrap/>
            <w:vAlign w:val="bottom"/>
            <w:hideMark/>
          </w:tcPr>
          <w:p w:rsidR="00493B51" w:rsidRDefault="00493B51">
            <w:pPr>
              <w:rPr>
                <w:rFonts w:ascii="Garamond" w:hAnsi="Garamond"/>
                <w:sz w:val="20"/>
                <w:szCs w:val="20"/>
                <w:lang w:val="sq-AL"/>
              </w:rPr>
            </w:pPr>
          </w:p>
        </w:tc>
        <w:tc>
          <w:tcPr>
            <w:tcW w:w="1836"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1843"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2013"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r>
      <w:tr w:rsidR="00493B51" w:rsidTr="00493B51">
        <w:trPr>
          <w:trHeight w:val="198"/>
          <w:jc w:val="center"/>
        </w:trPr>
        <w:tc>
          <w:tcPr>
            <w:tcW w:w="2922" w:type="dxa"/>
            <w:tcBorders>
              <w:top w:val="single" w:sz="4" w:space="0" w:color="auto"/>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Në %</w:t>
            </w:r>
          </w:p>
        </w:tc>
        <w:tc>
          <w:tcPr>
            <w:tcW w:w="1466" w:type="dxa"/>
            <w:tcBorders>
              <w:top w:val="single" w:sz="4" w:space="0" w:color="auto"/>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87.8%</w:t>
            </w:r>
          </w:p>
        </w:tc>
        <w:tc>
          <w:tcPr>
            <w:tcW w:w="1836"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0.2%</w:t>
            </w:r>
          </w:p>
        </w:tc>
        <w:tc>
          <w:tcPr>
            <w:tcW w:w="1843"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100.00%</w:t>
            </w:r>
          </w:p>
        </w:tc>
        <w:tc>
          <w:tcPr>
            <w:tcW w:w="2013"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12.0%</w:t>
            </w:r>
          </w:p>
        </w:tc>
      </w:tr>
    </w:tbl>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widowControl w:val="0"/>
        <w:autoSpaceDE w:val="0"/>
        <w:autoSpaceDN w:val="0"/>
        <w:adjustRightInd w:val="0"/>
        <w:spacing w:after="0"/>
        <w:rPr>
          <w:rFonts w:ascii="Garamond" w:hAnsi="Garamond"/>
          <w:b/>
          <w:iCs/>
          <w:color w:val="000000"/>
          <w:sz w:val="24"/>
          <w:szCs w:val="24"/>
          <w:lang w:val="sq-AL"/>
        </w:rPr>
      </w:pPr>
      <w:r>
        <w:rPr>
          <w:rFonts w:ascii="Garamond" w:hAnsi="Garamond"/>
          <w:b/>
          <w:iCs/>
          <w:color w:val="000000"/>
          <w:sz w:val="24"/>
          <w:szCs w:val="24"/>
          <w:lang w:val="sq-AL"/>
        </w:rPr>
        <w:lastRenderedPageBreak/>
        <w:t>Tabela 3. Buxheti sipas llogarive të shpenzimeve</w:t>
      </w:r>
    </w:p>
    <w:tbl>
      <w:tblPr>
        <w:tblW w:w="10193" w:type="dxa"/>
        <w:jc w:val="center"/>
        <w:tblLook w:val="04A0" w:firstRow="1" w:lastRow="0" w:firstColumn="1" w:lastColumn="0" w:noHBand="0" w:noVBand="1"/>
      </w:tblPr>
      <w:tblGrid>
        <w:gridCol w:w="2964"/>
        <w:gridCol w:w="2126"/>
        <w:gridCol w:w="2551"/>
        <w:gridCol w:w="2552"/>
      </w:tblGrid>
      <w:tr w:rsidR="00493B51" w:rsidTr="00493B51">
        <w:trPr>
          <w:trHeight w:val="390"/>
          <w:jc w:val="center"/>
        </w:trPr>
        <w:tc>
          <w:tcPr>
            <w:tcW w:w="29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PËRSHKRIMI</w:t>
            </w:r>
          </w:p>
        </w:tc>
        <w:tc>
          <w:tcPr>
            <w:tcW w:w="722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LLOGARIA E SHPENZIMEVE</w:t>
            </w:r>
          </w:p>
        </w:tc>
      </w:tr>
      <w:tr w:rsidR="00493B51" w:rsidTr="00493B51">
        <w:trPr>
          <w:trHeight w:val="539"/>
          <w:jc w:val="center"/>
        </w:trPr>
        <w:tc>
          <w:tcPr>
            <w:tcW w:w="2964" w:type="dxa"/>
            <w:tcBorders>
              <w:top w:val="nil"/>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OBJEKTIVAT, AKTIVITETET</w:t>
            </w:r>
          </w:p>
        </w:tc>
        <w:tc>
          <w:tcPr>
            <w:tcW w:w="2126" w:type="dxa"/>
            <w:tcBorders>
              <w:top w:val="nil"/>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600–601</w:t>
            </w:r>
          </w:p>
        </w:tc>
        <w:tc>
          <w:tcPr>
            <w:tcW w:w="2551"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602–608</w:t>
            </w:r>
          </w:p>
        </w:tc>
        <w:tc>
          <w:tcPr>
            <w:tcW w:w="2552" w:type="dxa"/>
            <w:tcBorders>
              <w:top w:val="nil"/>
              <w:left w:val="nil"/>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230–231</w:t>
            </w:r>
          </w:p>
        </w:tc>
      </w:tr>
      <w:tr w:rsidR="00493B51" w:rsidTr="00493B51">
        <w:trPr>
          <w:trHeight w:val="498"/>
          <w:jc w:val="center"/>
        </w:trPr>
        <w:tc>
          <w:tcPr>
            <w:tcW w:w="2964"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1. Garantimi i aksesit të të miturve në drejtësi</w:t>
            </w:r>
          </w:p>
        </w:tc>
        <w:tc>
          <w:tcPr>
            <w:tcW w:w="212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1,040,120.00</w:t>
            </w:r>
          </w:p>
        </w:tc>
        <w:tc>
          <w:tcPr>
            <w:tcW w:w="2551"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6,390,000.00</w:t>
            </w:r>
          </w:p>
        </w:tc>
        <w:tc>
          <w:tcPr>
            <w:tcW w:w="2552"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21,125,400.00</w:t>
            </w:r>
          </w:p>
        </w:tc>
      </w:tr>
      <w:tr w:rsidR="00493B51" w:rsidTr="00493B51">
        <w:trPr>
          <w:trHeight w:val="467"/>
          <w:jc w:val="center"/>
        </w:trPr>
        <w:tc>
          <w:tcPr>
            <w:tcW w:w="2964" w:type="dxa"/>
            <w:tcBorders>
              <w:top w:val="nil"/>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2. Garantimi i procesit të rregullt ligjor për të miturit</w:t>
            </w:r>
          </w:p>
        </w:tc>
        <w:tc>
          <w:tcPr>
            <w:tcW w:w="212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444,911,201.00</w:t>
            </w:r>
          </w:p>
        </w:tc>
        <w:tc>
          <w:tcPr>
            <w:tcW w:w="2551"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3,919,110.00</w:t>
            </w:r>
          </w:p>
        </w:tc>
        <w:tc>
          <w:tcPr>
            <w:tcW w:w="2552"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1,228,500.00</w:t>
            </w:r>
          </w:p>
        </w:tc>
      </w:tr>
      <w:tr w:rsidR="00493B51" w:rsidTr="00493B51">
        <w:trPr>
          <w:trHeight w:val="660"/>
          <w:jc w:val="center"/>
        </w:trPr>
        <w:tc>
          <w:tcPr>
            <w:tcW w:w="2964"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3. Parandalimi i përfshirjes së të miturve/të rinjve në krime</w:t>
            </w:r>
          </w:p>
        </w:tc>
        <w:tc>
          <w:tcPr>
            <w:tcW w:w="212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24,981,907.60</w:t>
            </w:r>
          </w:p>
        </w:tc>
        <w:tc>
          <w:tcPr>
            <w:tcW w:w="2551"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2,337,176.40</w:t>
            </w:r>
          </w:p>
        </w:tc>
        <w:tc>
          <w:tcPr>
            <w:tcW w:w="2552"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r>
      <w:tr w:rsidR="00493B51" w:rsidTr="00493B51">
        <w:trPr>
          <w:trHeight w:val="743"/>
          <w:jc w:val="center"/>
        </w:trPr>
        <w:tc>
          <w:tcPr>
            <w:tcW w:w="2964" w:type="dxa"/>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nr. 4. Rishoqërizimi, riintegrimi dhe rehabilimi i të miturve në kontakt me ligjin</w:t>
            </w:r>
          </w:p>
        </w:tc>
        <w:tc>
          <w:tcPr>
            <w:tcW w:w="212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164,210,123.20</w:t>
            </w:r>
          </w:p>
        </w:tc>
        <w:tc>
          <w:tcPr>
            <w:tcW w:w="2551"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83,838,504.80</w:t>
            </w:r>
          </w:p>
        </w:tc>
        <w:tc>
          <w:tcPr>
            <w:tcW w:w="2552"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r>
      <w:tr w:rsidR="00493B51" w:rsidTr="00493B51">
        <w:trPr>
          <w:trHeight w:val="645"/>
          <w:jc w:val="center"/>
        </w:trPr>
        <w:tc>
          <w:tcPr>
            <w:tcW w:w="2964" w:type="dxa"/>
            <w:tcBorders>
              <w:top w:val="nil"/>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left"/>
              <w:rPr>
                <w:rFonts w:ascii="Garamond" w:hAnsi="Garamond"/>
                <w:sz w:val="20"/>
                <w:szCs w:val="20"/>
                <w:lang w:val="sq-AL"/>
              </w:rPr>
            </w:pPr>
            <w:r>
              <w:rPr>
                <w:rFonts w:ascii="Garamond" w:hAnsi="Garamond"/>
                <w:sz w:val="20"/>
                <w:szCs w:val="20"/>
                <w:lang w:val="sq-AL"/>
              </w:rPr>
              <w:t>Objektivi 5. Rritje e kapaciteteve të strukturave të sistemit të drejtësisë për të mitur</w:t>
            </w:r>
          </w:p>
        </w:tc>
        <w:tc>
          <w:tcPr>
            <w:tcW w:w="2126" w:type="dxa"/>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4,575,648.00</w:t>
            </w:r>
          </w:p>
        </w:tc>
        <w:tc>
          <w:tcPr>
            <w:tcW w:w="2551"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178,272.00</w:t>
            </w:r>
          </w:p>
        </w:tc>
        <w:tc>
          <w:tcPr>
            <w:tcW w:w="2552" w:type="dxa"/>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right"/>
              <w:rPr>
                <w:rFonts w:ascii="Garamond" w:hAnsi="Garamond"/>
                <w:sz w:val="20"/>
                <w:szCs w:val="20"/>
                <w:lang w:val="sq-AL"/>
              </w:rPr>
            </w:pPr>
            <w:r>
              <w:rPr>
                <w:rFonts w:ascii="Garamond" w:hAnsi="Garamond"/>
                <w:sz w:val="20"/>
                <w:szCs w:val="20"/>
                <w:lang w:val="sq-AL"/>
              </w:rPr>
              <w:t>0.00</w:t>
            </w:r>
          </w:p>
        </w:tc>
      </w:tr>
      <w:tr w:rsidR="00493B51" w:rsidTr="00493B51">
        <w:trPr>
          <w:trHeight w:val="300"/>
          <w:jc w:val="center"/>
        </w:trPr>
        <w:tc>
          <w:tcPr>
            <w:tcW w:w="2964" w:type="dxa"/>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(1+2+3+4+5)</w:t>
            </w:r>
          </w:p>
        </w:tc>
        <w:tc>
          <w:tcPr>
            <w:tcW w:w="2126" w:type="dxa"/>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639,718,999.80</w:t>
            </w:r>
          </w:p>
        </w:tc>
        <w:tc>
          <w:tcPr>
            <w:tcW w:w="2551"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96,663,063.20</w:t>
            </w:r>
          </w:p>
        </w:tc>
        <w:tc>
          <w:tcPr>
            <w:tcW w:w="2552" w:type="dxa"/>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22,353,900.00</w:t>
            </w:r>
          </w:p>
        </w:tc>
      </w:tr>
      <w:tr w:rsidR="00493B51" w:rsidTr="00493B51">
        <w:trPr>
          <w:trHeight w:val="255"/>
          <w:jc w:val="center"/>
        </w:trPr>
        <w:tc>
          <w:tcPr>
            <w:tcW w:w="2964" w:type="dxa"/>
            <w:vAlign w:val="bottom"/>
          </w:tcPr>
          <w:p w:rsidR="00493B51" w:rsidRDefault="00493B51">
            <w:pPr>
              <w:widowControl w:val="0"/>
              <w:spacing w:after="0" w:line="240" w:lineRule="auto"/>
              <w:ind w:firstLine="0"/>
              <w:rPr>
                <w:rFonts w:ascii="Garamond" w:hAnsi="Garamond"/>
                <w:sz w:val="20"/>
                <w:szCs w:val="20"/>
                <w:lang w:val="sq-AL"/>
              </w:rPr>
            </w:pPr>
          </w:p>
        </w:tc>
        <w:tc>
          <w:tcPr>
            <w:tcW w:w="2126" w:type="dxa"/>
            <w:noWrap/>
            <w:vAlign w:val="bottom"/>
            <w:hideMark/>
          </w:tcPr>
          <w:p w:rsidR="00493B51" w:rsidRDefault="00493B51">
            <w:pPr>
              <w:rPr>
                <w:rFonts w:ascii="Garamond" w:hAnsi="Garamond"/>
                <w:sz w:val="20"/>
                <w:szCs w:val="20"/>
                <w:lang w:val="sq-AL"/>
              </w:rPr>
            </w:pPr>
          </w:p>
        </w:tc>
        <w:tc>
          <w:tcPr>
            <w:tcW w:w="2551"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2552" w:type="dxa"/>
            <w:noWrap/>
            <w:vAlign w:val="bottom"/>
            <w:hideMark/>
          </w:tcPr>
          <w:p w:rsidR="00493B51" w:rsidRDefault="00493B51">
            <w:pPr>
              <w:spacing w:after="0"/>
              <w:ind w:firstLine="0"/>
              <w:jc w:val="left"/>
              <w:rPr>
                <w:rFonts w:asciiTheme="minorHAnsi" w:eastAsiaTheme="minorHAnsi" w:hAnsiTheme="minorHAnsi" w:cstheme="minorBidi"/>
                <w:sz w:val="20"/>
                <w:szCs w:val="20"/>
              </w:rPr>
            </w:pPr>
          </w:p>
        </w:tc>
      </w:tr>
      <w:tr w:rsidR="00493B51" w:rsidTr="00493B51">
        <w:trPr>
          <w:trHeight w:val="246"/>
          <w:jc w:val="center"/>
        </w:trPr>
        <w:tc>
          <w:tcPr>
            <w:tcW w:w="2964" w:type="dxa"/>
            <w:tcBorders>
              <w:top w:val="single" w:sz="4" w:space="0" w:color="auto"/>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Në %</w:t>
            </w:r>
          </w:p>
        </w:tc>
        <w:tc>
          <w:tcPr>
            <w:tcW w:w="2126" w:type="dxa"/>
            <w:tcBorders>
              <w:top w:val="single" w:sz="4" w:space="0" w:color="auto"/>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93.9%</w:t>
            </w:r>
          </w:p>
        </w:tc>
        <w:tc>
          <w:tcPr>
            <w:tcW w:w="2551"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14.2%</w:t>
            </w:r>
          </w:p>
        </w:tc>
        <w:tc>
          <w:tcPr>
            <w:tcW w:w="2552" w:type="dxa"/>
            <w:tcBorders>
              <w:top w:val="single" w:sz="4" w:space="0" w:color="auto"/>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3.3%</w:t>
            </w:r>
          </w:p>
        </w:tc>
      </w:tr>
    </w:tbl>
    <w:p w:rsidR="00493B51" w:rsidRDefault="00493B51" w:rsidP="00493B51">
      <w:pPr>
        <w:pStyle w:val="Paragrafi"/>
        <w:rPr>
          <w:sz w:val="14"/>
          <w:lang w:val="sq-AL"/>
        </w:rPr>
      </w:pPr>
    </w:p>
    <w:p w:rsidR="00493B51" w:rsidRDefault="00493B51" w:rsidP="00493B51">
      <w:pPr>
        <w:pStyle w:val="Heading1"/>
        <w:keepNext w:val="0"/>
        <w:widowControl w:val="0"/>
        <w:spacing w:before="0"/>
        <w:ind w:left="357" w:hanging="357"/>
        <w:rPr>
          <w:rStyle w:val="Heading1Char"/>
          <w:rFonts w:ascii="Garamond" w:hAnsi="Garamond"/>
          <w:b/>
          <w:sz w:val="24"/>
          <w:szCs w:val="24"/>
        </w:rPr>
      </w:pPr>
      <w:bookmarkStart w:id="16" w:name="_Toc515610122"/>
      <w:r>
        <w:rPr>
          <w:rFonts w:ascii="Garamond" w:hAnsi="Garamond"/>
          <w:sz w:val="24"/>
          <w:szCs w:val="24"/>
          <w:lang w:val="sq-AL"/>
        </w:rPr>
        <w:t xml:space="preserve">IV.3 </w:t>
      </w:r>
      <w:r>
        <w:rPr>
          <w:rStyle w:val="Heading1Char"/>
          <w:rFonts w:ascii="Garamond" w:hAnsi="Garamond"/>
          <w:b/>
          <w:sz w:val="24"/>
          <w:szCs w:val="24"/>
          <w:lang w:val="sq-AL"/>
        </w:rPr>
        <w:t>Hendeku financiar dhe menaxhimi i riskut</w:t>
      </w:r>
      <w:bookmarkEnd w:id="16"/>
    </w:p>
    <w:tbl>
      <w:tblPr>
        <w:tblW w:w="5000" w:type="pct"/>
        <w:tblLook w:val="04A0" w:firstRow="1" w:lastRow="0" w:firstColumn="1" w:lastColumn="0" w:noHBand="0" w:noVBand="1"/>
      </w:tblPr>
      <w:tblGrid>
        <w:gridCol w:w="2856"/>
        <w:gridCol w:w="1481"/>
        <w:gridCol w:w="1529"/>
        <w:gridCol w:w="2027"/>
        <w:gridCol w:w="38"/>
        <w:gridCol w:w="1698"/>
      </w:tblGrid>
      <w:tr w:rsidR="00493B51" w:rsidTr="00493B51">
        <w:trPr>
          <w:trHeight w:val="630"/>
        </w:trPr>
        <w:tc>
          <w:tcPr>
            <w:tcW w:w="1321" w:type="pct"/>
            <w:tcBorders>
              <w:top w:val="single" w:sz="4" w:space="0" w:color="auto"/>
              <w:left w:val="single" w:sz="4" w:space="0" w:color="auto"/>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bCs/>
                <w:sz w:val="20"/>
                <w:szCs w:val="20"/>
              </w:rPr>
            </w:pPr>
            <w:r>
              <w:rPr>
                <w:rFonts w:ascii="Garamond" w:hAnsi="Garamond"/>
                <w:b/>
                <w:bCs/>
                <w:sz w:val="20"/>
                <w:szCs w:val="20"/>
                <w:lang w:val="sq-AL"/>
              </w:rPr>
              <w:t>Objektivat/objektivat specifikë</w:t>
            </w:r>
          </w:p>
        </w:tc>
        <w:tc>
          <w:tcPr>
            <w:tcW w:w="802" w:type="pct"/>
            <w:tcBorders>
              <w:top w:val="single" w:sz="4" w:space="0" w:color="auto"/>
              <w:left w:val="nil"/>
              <w:bottom w:val="single" w:sz="4" w:space="0" w:color="auto"/>
              <w:right w:val="single" w:sz="4" w:space="0" w:color="auto"/>
            </w:tcBorders>
            <w:shd w:val="clear" w:color="auto" w:fill="FCD5B4"/>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Në % brenda objektivit</w:t>
            </w:r>
          </w:p>
        </w:tc>
        <w:tc>
          <w:tcPr>
            <w:tcW w:w="826" w:type="pct"/>
            <w:tcBorders>
              <w:top w:val="single" w:sz="4" w:space="0" w:color="auto"/>
              <w:left w:val="nil"/>
              <w:bottom w:val="single" w:sz="4" w:space="0" w:color="auto"/>
              <w:right w:val="single" w:sz="4" w:space="0" w:color="auto"/>
            </w:tcBorders>
            <w:shd w:val="clear" w:color="auto" w:fill="FCD5B4"/>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Në % ndaj totalit</w:t>
            </w:r>
          </w:p>
        </w:tc>
        <w:tc>
          <w:tcPr>
            <w:tcW w:w="1085" w:type="pct"/>
            <w:tcBorders>
              <w:top w:val="single" w:sz="4" w:space="0" w:color="auto"/>
              <w:left w:val="nil"/>
              <w:bottom w:val="single" w:sz="4" w:space="0" w:color="auto"/>
              <w:right w:val="single" w:sz="4" w:space="0" w:color="auto"/>
            </w:tcBorders>
            <w:shd w:val="clear" w:color="auto" w:fill="FCD5B4"/>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Nevoja për fonde (në lekë)</w:t>
            </w:r>
          </w:p>
        </w:tc>
        <w:tc>
          <w:tcPr>
            <w:tcW w:w="966" w:type="pct"/>
            <w:gridSpan w:val="2"/>
            <w:tcBorders>
              <w:top w:val="single" w:sz="4" w:space="0" w:color="auto"/>
              <w:left w:val="nil"/>
              <w:bottom w:val="single" w:sz="4" w:space="0" w:color="auto"/>
              <w:right w:val="single" w:sz="4" w:space="0" w:color="auto"/>
            </w:tcBorders>
            <w:shd w:val="clear" w:color="auto" w:fill="FCD5B4"/>
            <w:vAlign w:val="center"/>
            <w:hideMark/>
          </w:tcPr>
          <w:p w:rsidR="00493B51" w:rsidRDefault="00493B51">
            <w:pPr>
              <w:widowControl w:val="0"/>
              <w:spacing w:after="0" w:line="240" w:lineRule="auto"/>
              <w:ind w:firstLine="0"/>
              <w:jc w:val="center"/>
              <w:rPr>
                <w:rFonts w:ascii="Garamond" w:hAnsi="Garamond"/>
                <w:b/>
                <w:bCs/>
                <w:sz w:val="20"/>
                <w:szCs w:val="20"/>
                <w:lang w:val="sq-AL"/>
              </w:rPr>
            </w:pPr>
            <w:r>
              <w:rPr>
                <w:rFonts w:ascii="Garamond" w:hAnsi="Garamond"/>
                <w:b/>
                <w:bCs/>
                <w:sz w:val="20"/>
                <w:szCs w:val="20"/>
                <w:lang w:val="sq-AL"/>
              </w:rPr>
              <w:t>Nevoja për fonde në % brenda objektivit</w:t>
            </w:r>
          </w:p>
        </w:tc>
      </w:tr>
      <w:tr w:rsidR="00493B51" w:rsidTr="00493B51">
        <w:trPr>
          <w:trHeight w:val="332"/>
        </w:trPr>
        <w:tc>
          <w:tcPr>
            <w:tcW w:w="5000" w:type="pct"/>
            <w:gridSpan w:val="6"/>
            <w:tcBorders>
              <w:top w:val="single" w:sz="4" w:space="0" w:color="auto"/>
              <w:left w:val="single" w:sz="4" w:space="0" w:color="auto"/>
              <w:bottom w:val="single" w:sz="4" w:space="0" w:color="auto"/>
              <w:right w:val="single" w:sz="4" w:space="0" w:color="auto"/>
            </w:tcBorders>
            <w:shd w:val="clear" w:color="auto" w:fill="FDE9D9"/>
            <w:noWrap/>
            <w:vAlign w:val="center"/>
            <w:hideMark/>
          </w:tcPr>
          <w:p w:rsidR="00493B51" w:rsidRDefault="00493B51">
            <w:pPr>
              <w:widowControl w:val="0"/>
              <w:spacing w:after="0" w:line="240" w:lineRule="auto"/>
              <w:ind w:firstLine="0"/>
              <w:rPr>
                <w:rFonts w:ascii="Garamond" w:hAnsi="Garamond"/>
                <w:b/>
                <w:bCs/>
                <w:i/>
                <w:iCs/>
                <w:sz w:val="20"/>
                <w:szCs w:val="20"/>
                <w:lang w:val="sq-AL"/>
              </w:rPr>
            </w:pPr>
            <w:r>
              <w:rPr>
                <w:rFonts w:ascii="Garamond" w:hAnsi="Garamond"/>
                <w:b/>
                <w:bCs/>
                <w:i/>
                <w:iCs/>
                <w:sz w:val="20"/>
                <w:szCs w:val="20"/>
                <w:lang w:val="sq-AL"/>
              </w:rPr>
              <w:t xml:space="preserve">Objektivi nr. 1. Garantimi i aksesit të të miturve në drejtësi </w:t>
            </w:r>
          </w:p>
        </w:tc>
      </w:tr>
      <w:tr w:rsidR="00493B51" w:rsidTr="00493B51">
        <w:trPr>
          <w:trHeight w:val="315"/>
        </w:trPr>
        <w:tc>
          <w:tcPr>
            <w:tcW w:w="1321" w:type="pct"/>
            <w:tcBorders>
              <w:top w:val="nil"/>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Objektivi 1</w:t>
            </w:r>
          </w:p>
        </w:tc>
        <w:tc>
          <w:tcPr>
            <w:tcW w:w="802"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c>
          <w:tcPr>
            <w:tcW w:w="82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4.2%</w:t>
            </w:r>
          </w:p>
        </w:tc>
        <w:tc>
          <w:tcPr>
            <w:tcW w:w="1085"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3,390,000.00</w:t>
            </w:r>
          </w:p>
        </w:tc>
        <w:tc>
          <w:tcPr>
            <w:tcW w:w="966" w:type="pct"/>
            <w:gridSpan w:val="2"/>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r>
      <w:tr w:rsidR="00493B51" w:rsidTr="00493B51">
        <w:trPr>
          <w:trHeight w:val="228"/>
        </w:trPr>
        <w:tc>
          <w:tcPr>
            <w:tcW w:w="5000" w:type="pct"/>
            <w:gridSpan w:val="6"/>
            <w:tcBorders>
              <w:top w:val="single" w:sz="4" w:space="0" w:color="auto"/>
              <w:left w:val="single" w:sz="4" w:space="0" w:color="auto"/>
              <w:bottom w:val="single" w:sz="4" w:space="0" w:color="auto"/>
              <w:right w:val="single" w:sz="4" w:space="0" w:color="auto"/>
            </w:tcBorders>
            <w:shd w:val="clear" w:color="auto" w:fill="FDE9D9"/>
            <w:noWrap/>
            <w:vAlign w:val="center"/>
            <w:hideMark/>
          </w:tcPr>
          <w:p w:rsidR="00493B51" w:rsidRDefault="00493B51">
            <w:pPr>
              <w:widowControl w:val="0"/>
              <w:spacing w:after="0" w:line="240" w:lineRule="auto"/>
              <w:ind w:firstLine="0"/>
              <w:rPr>
                <w:rFonts w:ascii="Garamond" w:hAnsi="Garamond"/>
                <w:b/>
                <w:bCs/>
                <w:i/>
                <w:iCs/>
                <w:sz w:val="20"/>
                <w:szCs w:val="20"/>
                <w:lang w:val="sq-AL"/>
              </w:rPr>
            </w:pPr>
            <w:r>
              <w:rPr>
                <w:rFonts w:ascii="Garamond" w:hAnsi="Garamond"/>
                <w:b/>
                <w:bCs/>
                <w:i/>
                <w:iCs/>
                <w:sz w:val="20"/>
                <w:szCs w:val="20"/>
                <w:lang w:val="sq-AL"/>
              </w:rPr>
              <w:t>Objektivi nr. 2 . Garantimi i procesit të rregullt ligjor për të miturit</w:t>
            </w:r>
          </w:p>
        </w:tc>
      </w:tr>
      <w:tr w:rsidR="00493B51" w:rsidTr="00493B51">
        <w:trPr>
          <w:trHeight w:val="272"/>
        </w:trPr>
        <w:tc>
          <w:tcPr>
            <w:tcW w:w="1321" w:type="pct"/>
            <w:tcBorders>
              <w:top w:val="nil"/>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Objektivi 2</w:t>
            </w:r>
          </w:p>
        </w:tc>
        <w:tc>
          <w:tcPr>
            <w:tcW w:w="802"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c>
          <w:tcPr>
            <w:tcW w:w="82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66.1%</w:t>
            </w:r>
          </w:p>
        </w:tc>
        <w:tc>
          <w:tcPr>
            <w:tcW w:w="1085"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1,874,640.00</w:t>
            </w:r>
          </w:p>
        </w:tc>
        <w:tc>
          <w:tcPr>
            <w:tcW w:w="966" w:type="pct"/>
            <w:gridSpan w:val="2"/>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0.0%</w:t>
            </w:r>
          </w:p>
        </w:tc>
      </w:tr>
      <w:tr w:rsidR="00493B51" w:rsidTr="00493B51">
        <w:trPr>
          <w:trHeight w:val="342"/>
        </w:trPr>
        <w:tc>
          <w:tcPr>
            <w:tcW w:w="5000" w:type="pct"/>
            <w:gridSpan w:val="6"/>
            <w:tcBorders>
              <w:top w:val="single" w:sz="4" w:space="0" w:color="auto"/>
              <w:left w:val="single" w:sz="4" w:space="0" w:color="auto"/>
              <w:bottom w:val="single" w:sz="4" w:space="0" w:color="auto"/>
              <w:right w:val="single" w:sz="4" w:space="0" w:color="auto"/>
            </w:tcBorders>
            <w:shd w:val="clear" w:color="auto" w:fill="FDE9D9"/>
            <w:noWrap/>
            <w:vAlign w:val="center"/>
            <w:hideMark/>
          </w:tcPr>
          <w:p w:rsidR="00493B51" w:rsidRDefault="00493B51">
            <w:pPr>
              <w:widowControl w:val="0"/>
              <w:spacing w:after="0" w:line="240" w:lineRule="auto"/>
              <w:ind w:firstLine="0"/>
              <w:rPr>
                <w:rFonts w:ascii="Garamond" w:hAnsi="Garamond"/>
                <w:b/>
                <w:bCs/>
                <w:i/>
                <w:iCs/>
                <w:sz w:val="20"/>
                <w:szCs w:val="20"/>
                <w:lang w:val="sq-AL"/>
              </w:rPr>
            </w:pPr>
            <w:r>
              <w:rPr>
                <w:rFonts w:ascii="Garamond" w:hAnsi="Garamond"/>
                <w:b/>
                <w:bCs/>
                <w:i/>
                <w:iCs/>
                <w:sz w:val="20"/>
                <w:szCs w:val="20"/>
                <w:lang w:val="sq-AL"/>
              </w:rPr>
              <w:t>Objektivi 3: Parandalimi i përfshirjes së të miturve në krime</w:t>
            </w:r>
          </w:p>
        </w:tc>
      </w:tr>
      <w:tr w:rsidR="00493B51" w:rsidTr="00493B51">
        <w:trPr>
          <w:trHeight w:val="199"/>
        </w:trPr>
        <w:tc>
          <w:tcPr>
            <w:tcW w:w="1321" w:type="pct"/>
            <w:tcBorders>
              <w:top w:val="nil"/>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Objektivi 3</w:t>
            </w:r>
          </w:p>
        </w:tc>
        <w:tc>
          <w:tcPr>
            <w:tcW w:w="802"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c>
          <w:tcPr>
            <w:tcW w:w="82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4.0%</w:t>
            </w:r>
          </w:p>
        </w:tc>
        <w:tc>
          <w:tcPr>
            <w:tcW w:w="1085"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26,992,252.00</w:t>
            </w:r>
          </w:p>
        </w:tc>
        <w:tc>
          <w:tcPr>
            <w:tcW w:w="966" w:type="pct"/>
            <w:gridSpan w:val="2"/>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r>
      <w:tr w:rsidR="00493B51" w:rsidTr="00493B51">
        <w:trPr>
          <w:trHeight w:val="348"/>
        </w:trPr>
        <w:tc>
          <w:tcPr>
            <w:tcW w:w="5000" w:type="pct"/>
            <w:gridSpan w:val="6"/>
            <w:tcBorders>
              <w:top w:val="single" w:sz="4" w:space="0" w:color="auto"/>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Objektivi nr. 4. Rishoqërizimi, riintegrimi dhe rehabilitimi i të miturve në kontakt ose konflikt me ligjin</w:t>
            </w:r>
          </w:p>
        </w:tc>
      </w:tr>
      <w:tr w:rsidR="00493B51" w:rsidTr="00493B51">
        <w:trPr>
          <w:trHeight w:val="268"/>
        </w:trPr>
        <w:tc>
          <w:tcPr>
            <w:tcW w:w="1321" w:type="pct"/>
            <w:tcBorders>
              <w:top w:val="nil"/>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Objektivi 4</w:t>
            </w:r>
          </w:p>
        </w:tc>
        <w:tc>
          <w:tcPr>
            <w:tcW w:w="802"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c>
          <w:tcPr>
            <w:tcW w:w="82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25.0%</w:t>
            </w:r>
          </w:p>
        </w:tc>
        <w:tc>
          <w:tcPr>
            <w:tcW w:w="1085"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49,737,024.00</w:t>
            </w:r>
          </w:p>
        </w:tc>
        <w:tc>
          <w:tcPr>
            <w:tcW w:w="966" w:type="pct"/>
            <w:gridSpan w:val="2"/>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r>
      <w:tr w:rsidR="00493B51" w:rsidTr="00493B51">
        <w:trPr>
          <w:trHeight w:val="272"/>
        </w:trPr>
        <w:tc>
          <w:tcPr>
            <w:tcW w:w="5000" w:type="pct"/>
            <w:gridSpan w:val="6"/>
            <w:tcBorders>
              <w:top w:val="single" w:sz="4" w:space="0" w:color="auto"/>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Objektivi 5. Forcimi i bashkëpunimit të institucioneve të sistemit të drejtësisë për të mitur</w:t>
            </w:r>
          </w:p>
        </w:tc>
      </w:tr>
      <w:tr w:rsidR="00493B51" w:rsidTr="00493B51">
        <w:trPr>
          <w:trHeight w:val="237"/>
        </w:trPr>
        <w:tc>
          <w:tcPr>
            <w:tcW w:w="1321" w:type="pct"/>
            <w:tcBorders>
              <w:top w:val="nil"/>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Objektivi 5</w:t>
            </w:r>
          </w:p>
        </w:tc>
        <w:tc>
          <w:tcPr>
            <w:tcW w:w="802"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w:t>
            </w:r>
          </w:p>
        </w:tc>
        <w:tc>
          <w:tcPr>
            <w:tcW w:w="82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0.7%</w:t>
            </w:r>
          </w:p>
        </w:tc>
        <w:tc>
          <w:tcPr>
            <w:tcW w:w="1121" w:type="pct"/>
            <w:gridSpan w:val="2"/>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0.00</w:t>
            </w:r>
          </w:p>
        </w:tc>
        <w:tc>
          <w:tcPr>
            <w:tcW w:w="930" w:type="pct"/>
            <w:tcBorders>
              <w:top w:val="nil"/>
              <w:left w:val="nil"/>
              <w:bottom w:val="single" w:sz="4" w:space="0" w:color="auto"/>
              <w:right w:val="single" w:sz="4" w:space="0" w:color="auto"/>
            </w:tcBorders>
            <w:shd w:val="clear" w:color="auto" w:fill="FDE9D9"/>
            <w:noWrap/>
            <w:vAlign w:val="bottom"/>
            <w:hideMark/>
          </w:tcPr>
          <w:p w:rsidR="00493B51" w:rsidRDefault="00493B51">
            <w:pPr>
              <w:rPr>
                <w:rFonts w:ascii="Garamond" w:hAnsi="Garamond"/>
                <w:b/>
                <w:bCs/>
                <w:sz w:val="20"/>
                <w:szCs w:val="20"/>
                <w:lang w:val="sq-AL"/>
              </w:rPr>
            </w:pPr>
          </w:p>
        </w:tc>
      </w:tr>
      <w:tr w:rsidR="00493B51" w:rsidTr="00493B51">
        <w:trPr>
          <w:trHeight w:val="420"/>
        </w:trPr>
        <w:tc>
          <w:tcPr>
            <w:tcW w:w="1321" w:type="pct"/>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rPr>
                <w:rFonts w:ascii="Garamond" w:hAnsi="Garamond"/>
                <w:b/>
                <w:bCs/>
                <w:sz w:val="20"/>
                <w:szCs w:val="20"/>
                <w:lang w:val="sq-AL"/>
              </w:rPr>
            </w:pPr>
            <w:r>
              <w:rPr>
                <w:rFonts w:ascii="Garamond" w:hAnsi="Garamond"/>
                <w:b/>
                <w:bCs/>
                <w:sz w:val="20"/>
                <w:szCs w:val="20"/>
                <w:lang w:val="sq-AL"/>
              </w:rPr>
              <w:t>Totali: Plani i veprimit (lekë)</w:t>
            </w:r>
          </w:p>
        </w:tc>
        <w:tc>
          <w:tcPr>
            <w:tcW w:w="802"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681,335,963.00</w:t>
            </w:r>
          </w:p>
        </w:tc>
        <w:tc>
          <w:tcPr>
            <w:tcW w:w="826"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100.00%</w:t>
            </w:r>
          </w:p>
        </w:tc>
        <w:tc>
          <w:tcPr>
            <w:tcW w:w="1121" w:type="pct"/>
            <w:gridSpan w:val="2"/>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81,993,916.00</w:t>
            </w:r>
          </w:p>
        </w:tc>
        <w:tc>
          <w:tcPr>
            <w:tcW w:w="930" w:type="pct"/>
            <w:tcBorders>
              <w:top w:val="nil"/>
              <w:left w:val="nil"/>
              <w:bottom w:val="single" w:sz="4" w:space="0" w:color="auto"/>
              <w:right w:val="single" w:sz="4" w:space="0" w:color="auto"/>
            </w:tcBorders>
            <w:shd w:val="clear" w:color="auto" w:fill="FCD5B4"/>
            <w:vAlign w:val="bottom"/>
            <w:hideMark/>
          </w:tcPr>
          <w:p w:rsidR="00493B51" w:rsidRDefault="00493B51">
            <w:pPr>
              <w:rPr>
                <w:rFonts w:ascii="Garamond" w:hAnsi="Garamond"/>
                <w:b/>
                <w:bCs/>
                <w:sz w:val="20"/>
                <w:szCs w:val="20"/>
                <w:lang w:val="sq-AL"/>
              </w:rPr>
            </w:pPr>
          </w:p>
        </w:tc>
      </w:tr>
      <w:tr w:rsidR="00493B51" w:rsidTr="00493B51">
        <w:trPr>
          <w:trHeight w:val="420"/>
        </w:trPr>
        <w:tc>
          <w:tcPr>
            <w:tcW w:w="1321" w:type="pct"/>
            <w:tcBorders>
              <w:top w:val="nil"/>
              <w:left w:val="single" w:sz="4" w:space="0" w:color="auto"/>
              <w:bottom w:val="nil"/>
              <w:right w:val="single" w:sz="4" w:space="0" w:color="auto"/>
            </w:tcBorders>
            <w:shd w:val="clear" w:color="auto" w:fill="FCD5B4"/>
            <w:vAlign w:val="bottom"/>
            <w:hideMark/>
          </w:tcPr>
          <w:p w:rsidR="00493B51" w:rsidRDefault="00493B51">
            <w:pPr>
              <w:widowControl w:val="0"/>
              <w:spacing w:after="0" w:line="240" w:lineRule="auto"/>
              <w:ind w:firstLine="0"/>
              <w:rPr>
                <w:rFonts w:ascii="Garamond" w:hAnsi="Garamond"/>
                <w:b/>
                <w:bCs/>
                <w:i/>
                <w:iCs/>
                <w:sz w:val="20"/>
                <w:szCs w:val="20"/>
                <w:lang w:val="sq-AL"/>
              </w:rPr>
            </w:pPr>
            <w:r>
              <w:rPr>
                <w:rFonts w:ascii="Garamond" w:hAnsi="Garamond"/>
                <w:b/>
                <w:bCs/>
                <w:i/>
                <w:iCs/>
                <w:sz w:val="20"/>
                <w:szCs w:val="20"/>
                <w:lang w:val="sq-AL"/>
              </w:rPr>
              <w:t>Totali: Plani i veprimit (euro)</w:t>
            </w:r>
          </w:p>
        </w:tc>
        <w:tc>
          <w:tcPr>
            <w:tcW w:w="802" w:type="pct"/>
            <w:tcBorders>
              <w:top w:val="nil"/>
              <w:left w:val="nil"/>
              <w:bottom w:val="nil"/>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5,122,826.79</w:t>
            </w:r>
          </w:p>
        </w:tc>
        <w:tc>
          <w:tcPr>
            <w:tcW w:w="826" w:type="pct"/>
            <w:tcBorders>
              <w:top w:val="nil"/>
              <w:left w:val="nil"/>
              <w:bottom w:val="nil"/>
              <w:right w:val="single" w:sz="4" w:space="0" w:color="auto"/>
            </w:tcBorders>
            <w:shd w:val="clear" w:color="auto" w:fill="FCD5B4"/>
            <w:noWrap/>
            <w:vAlign w:val="bottom"/>
            <w:hideMark/>
          </w:tcPr>
          <w:p w:rsidR="00493B51" w:rsidRDefault="00493B51">
            <w:pPr>
              <w:rPr>
                <w:rFonts w:ascii="Garamond" w:hAnsi="Garamond"/>
                <w:b/>
                <w:bCs/>
                <w:sz w:val="20"/>
                <w:szCs w:val="20"/>
                <w:lang w:val="sq-AL"/>
              </w:rPr>
            </w:pPr>
          </w:p>
        </w:tc>
        <w:tc>
          <w:tcPr>
            <w:tcW w:w="1121" w:type="pct"/>
            <w:gridSpan w:val="2"/>
            <w:tcBorders>
              <w:top w:val="nil"/>
              <w:left w:val="nil"/>
              <w:bottom w:val="nil"/>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616,495.61</w:t>
            </w:r>
          </w:p>
        </w:tc>
        <w:tc>
          <w:tcPr>
            <w:tcW w:w="930" w:type="pct"/>
            <w:tcBorders>
              <w:top w:val="nil"/>
              <w:left w:val="nil"/>
              <w:bottom w:val="nil"/>
              <w:right w:val="single" w:sz="4" w:space="0" w:color="auto"/>
            </w:tcBorders>
            <w:shd w:val="clear" w:color="auto" w:fill="FCD5B4"/>
            <w:noWrap/>
            <w:vAlign w:val="bottom"/>
            <w:hideMark/>
          </w:tcPr>
          <w:p w:rsidR="00493B51" w:rsidRDefault="00493B51">
            <w:pPr>
              <w:rPr>
                <w:rFonts w:ascii="Garamond" w:hAnsi="Garamond"/>
                <w:b/>
                <w:bCs/>
                <w:sz w:val="20"/>
                <w:szCs w:val="20"/>
                <w:lang w:val="sq-AL"/>
              </w:rPr>
            </w:pPr>
          </w:p>
        </w:tc>
      </w:tr>
      <w:tr w:rsidR="00493B51" w:rsidTr="00493B51">
        <w:trPr>
          <w:trHeight w:val="420"/>
        </w:trPr>
        <w:tc>
          <w:tcPr>
            <w:tcW w:w="1321" w:type="pct"/>
            <w:tcBorders>
              <w:top w:val="nil"/>
              <w:left w:val="single" w:sz="4" w:space="0" w:color="auto"/>
              <w:bottom w:val="single" w:sz="4" w:space="0" w:color="auto"/>
              <w:right w:val="single" w:sz="4" w:space="0" w:color="auto"/>
            </w:tcBorders>
            <w:shd w:val="clear" w:color="auto" w:fill="FCD5B4"/>
            <w:vAlign w:val="bottom"/>
          </w:tcPr>
          <w:p w:rsidR="00493B51" w:rsidRDefault="00493B51">
            <w:pPr>
              <w:widowControl w:val="0"/>
              <w:spacing w:after="0" w:line="240" w:lineRule="auto"/>
              <w:ind w:firstLine="0"/>
              <w:rPr>
                <w:rFonts w:ascii="Garamond" w:hAnsi="Garamond"/>
                <w:b/>
                <w:bCs/>
                <w:i/>
                <w:iCs/>
                <w:sz w:val="20"/>
                <w:szCs w:val="20"/>
                <w:lang w:val="sq-AL"/>
              </w:rPr>
            </w:pPr>
          </w:p>
        </w:tc>
        <w:tc>
          <w:tcPr>
            <w:tcW w:w="802" w:type="pct"/>
            <w:tcBorders>
              <w:top w:val="nil"/>
              <w:left w:val="nil"/>
              <w:bottom w:val="single" w:sz="4" w:space="0" w:color="auto"/>
              <w:right w:val="single" w:sz="4" w:space="0" w:color="auto"/>
            </w:tcBorders>
            <w:shd w:val="clear" w:color="auto" w:fill="FCD5B4"/>
            <w:noWrap/>
            <w:vAlign w:val="bottom"/>
          </w:tcPr>
          <w:p w:rsidR="00493B51" w:rsidRDefault="00493B51">
            <w:pPr>
              <w:widowControl w:val="0"/>
              <w:spacing w:after="0" w:line="240" w:lineRule="auto"/>
              <w:ind w:firstLine="0"/>
              <w:jc w:val="right"/>
              <w:rPr>
                <w:rFonts w:ascii="Garamond" w:hAnsi="Garamond"/>
                <w:b/>
                <w:bCs/>
                <w:sz w:val="20"/>
                <w:szCs w:val="20"/>
                <w:lang w:val="sq-AL"/>
              </w:rPr>
            </w:pPr>
          </w:p>
        </w:tc>
        <w:tc>
          <w:tcPr>
            <w:tcW w:w="826" w:type="pct"/>
            <w:tcBorders>
              <w:top w:val="nil"/>
              <w:left w:val="nil"/>
              <w:bottom w:val="single" w:sz="4" w:space="0" w:color="auto"/>
              <w:right w:val="single" w:sz="4" w:space="0" w:color="auto"/>
            </w:tcBorders>
            <w:shd w:val="clear" w:color="auto" w:fill="FCD5B4"/>
            <w:noWrap/>
            <w:vAlign w:val="bottom"/>
          </w:tcPr>
          <w:p w:rsidR="00493B51" w:rsidRDefault="00493B51">
            <w:pPr>
              <w:widowControl w:val="0"/>
              <w:spacing w:after="0" w:line="240" w:lineRule="auto"/>
              <w:ind w:firstLine="0"/>
              <w:jc w:val="right"/>
              <w:rPr>
                <w:rFonts w:ascii="Garamond" w:hAnsi="Garamond"/>
                <w:b/>
                <w:bCs/>
                <w:sz w:val="20"/>
                <w:szCs w:val="20"/>
                <w:lang w:val="sq-AL"/>
              </w:rPr>
            </w:pPr>
          </w:p>
        </w:tc>
        <w:tc>
          <w:tcPr>
            <w:tcW w:w="1121" w:type="pct"/>
            <w:gridSpan w:val="2"/>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right"/>
              <w:rPr>
                <w:rFonts w:ascii="Garamond" w:hAnsi="Garamond"/>
                <w:b/>
                <w:bCs/>
                <w:sz w:val="20"/>
                <w:szCs w:val="20"/>
                <w:lang w:val="sq-AL"/>
              </w:rPr>
            </w:pPr>
            <w:r>
              <w:rPr>
                <w:rFonts w:ascii="Garamond" w:hAnsi="Garamond"/>
                <w:b/>
                <w:bCs/>
                <w:sz w:val="20"/>
                <w:szCs w:val="20"/>
                <w:lang w:val="sq-AL"/>
              </w:rPr>
              <w:t>12.3%</w:t>
            </w:r>
          </w:p>
        </w:tc>
        <w:tc>
          <w:tcPr>
            <w:tcW w:w="930" w:type="pct"/>
            <w:tcBorders>
              <w:top w:val="nil"/>
              <w:left w:val="nil"/>
              <w:bottom w:val="single" w:sz="4" w:space="0" w:color="auto"/>
              <w:right w:val="single" w:sz="4" w:space="0" w:color="auto"/>
            </w:tcBorders>
            <w:shd w:val="clear" w:color="auto" w:fill="FCD5B4"/>
            <w:noWrap/>
            <w:vAlign w:val="bottom"/>
          </w:tcPr>
          <w:p w:rsidR="00493B51" w:rsidRDefault="00493B51">
            <w:pPr>
              <w:widowControl w:val="0"/>
              <w:spacing w:after="0" w:line="240" w:lineRule="auto"/>
              <w:ind w:firstLine="0"/>
              <w:jc w:val="right"/>
              <w:rPr>
                <w:rFonts w:ascii="Garamond" w:hAnsi="Garamond"/>
                <w:b/>
                <w:bCs/>
                <w:sz w:val="20"/>
                <w:szCs w:val="20"/>
                <w:lang w:val="sq-AL"/>
              </w:rPr>
            </w:pPr>
          </w:p>
        </w:tc>
      </w:tr>
    </w:tbl>
    <w:p w:rsidR="00493B51" w:rsidRDefault="00493B51" w:rsidP="00493B51">
      <w:pPr>
        <w:pStyle w:val="Paragrafi"/>
        <w:rPr>
          <w:lang w:val="sq-AL"/>
        </w:rPr>
      </w:pPr>
    </w:p>
    <w:p w:rsidR="00493B51" w:rsidRDefault="00493B51" w:rsidP="00493B51">
      <w:pPr>
        <w:spacing w:after="0" w:line="240" w:lineRule="auto"/>
        <w:ind w:firstLine="0"/>
        <w:jc w:val="left"/>
        <w:rPr>
          <w:rFonts w:ascii="Garamond" w:eastAsia="MS Mincho" w:hAnsi="Garamond" w:cs="CG Times"/>
          <w:b/>
          <w:spacing w:val="-4"/>
          <w:sz w:val="24"/>
          <w:lang w:val="sq-AL"/>
        </w:rPr>
        <w:sectPr w:rsidR="00493B51" w:rsidSect="00493B51">
          <w:type w:val="continuous"/>
          <w:pgSz w:w="11907" w:h="16840"/>
          <w:pgMar w:top="720" w:right="1134" w:bottom="720" w:left="1134" w:header="851" w:footer="851" w:gutter="0"/>
          <w:cols w:space="720"/>
        </w:sectPr>
      </w:pPr>
    </w:p>
    <w:p w:rsidR="00493B51" w:rsidRDefault="00493B51" w:rsidP="00493B51">
      <w:pPr>
        <w:pStyle w:val="Paragraf02"/>
        <w:rPr>
          <w:b/>
          <w:lang w:val="sq-AL"/>
        </w:rPr>
      </w:pPr>
      <w:bookmarkStart w:id="17" w:name="_Toc515610123"/>
    </w:p>
    <w:p w:rsidR="00493B51" w:rsidRDefault="00493B51" w:rsidP="00493B51">
      <w:pPr>
        <w:pStyle w:val="Paragraf02"/>
        <w:rPr>
          <w:b/>
          <w:lang w:val="sq-AL"/>
        </w:rPr>
      </w:pPr>
    </w:p>
    <w:p w:rsidR="00493B51" w:rsidRDefault="00493B51" w:rsidP="00493B51">
      <w:pPr>
        <w:pStyle w:val="Paragraf02"/>
        <w:rPr>
          <w:b/>
          <w:lang w:val="sq-AL"/>
        </w:rPr>
      </w:pPr>
      <w:r>
        <w:rPr>
          <w:b/>
          <w:lang w:val="sq-AL"/>
        </w:rPr>
        <w:t>IV.4 Vlerësimi i riskut</w:t>
      </w:r>
      <w:bookmarkEnd w:id="17"/>
      <w:r>
        <w:rPr>
          <w:b/>
          <w:lang w:val="sq-AL"/>
        </w:rPr>
        <w:t xml:space="preserve"> </w:t>
      </w:r>
    </w:p>
    <w:p w:rsidR="00493B51" w:rsidRDefault="00493B51" w:rsidP="00493B51">
      <w:pPr>
        <w:pStyle w:val="Paragraf02"/>
        <w:rPr>
          <w:lang w:val="sq-AL"/>
        </w:rPr>
      </w:pPr>
      <w:r>
        <w:rPr>
          <w:lang w:val="sq-AL"/>
        </w:rPr>
        <w:t>Mekanizmi monitorues i strategjisë do të jetë përgjegjës për monitorimin e rreziqeve dhe përditësimin e rregullt të kësaj analize gjatë zbatimit.</w:t>
      </w:r>
    </w:p>
    <w:p w:rsidR="00493B51" w:rsidRDefault="00493B51" w:rsidP="00493B51">
      <w:pPr>
        <w:pStyle w:val="Paragraf02"/>
        <w:rPr>
          <w:lang w:val="sq-AL"/>
        </w:rPr>
      </w:pPr>
      <w:r>
        <w:rPr>
          <w:lang w:val="sq-AL"/>
        </w:rPr>
        <w:t>Në nivel strategjik, rreziqet kryesore përfshijnë, kryesisht, çështje që u referohen investimeve në përshtatjen e ambienteve të institucioneve ligjzbatuese, pasi kjo çështje lidhet ngushtësisht edhe me riorganizimin e ri të gjykatave dhe të prokurorisë, duke përfshirë edhe seksionet e të miturve në këto institucione sipas hartës së re gjyqësore. Nga ana tjetër, zbatimi i programeve rehabilituese/riintegruese/korrigjuese dhe edukuese për të miturit duhet të shoqërohet edhe me ngritjen e institucioneve dhe qendrave të posaçme për ta, veçanërisht për fëmijët dhe të rinjtë e grupeve vulnerabile dhe me aftësi të kufizuara.</w:t>
      </w:r>
    </w:p>
    <w:p w:rsidR="00493B51" w:rsidRDefault="00493B51" w:rsidP="00493B51">
      <w:pPr>
        <w:pStyle w:val="Paragraf02"/>
        <w:rPr>
          <w:lang w:val="sq-AL"/>
        </w:rPr>
      </w:pPr>
      <w:r>
        <w:rPr>
          <w:lang w:val="sq-AL"/>
        </w:rPr>
        <w:t>Brenda objektivave, mjaftueshmëria e kapaciteteve njerëzore dhe financiare, bashkëpunimi dhe koordinimi ndërmjet organizatave dhe institucioneve do të jenë faktorë kyç që ndikojnë te rezultatet.</w:t>
      </w:r>
    </w:p>
    <w:p w:rsidR="00493B51" w:rsidRDefault="00493B51" w:rsidP="00493B51">
      <w:pPr>
        <w:pStyle w:val="Paragraf02"/>
        <w:rPr>
          <w:b/>
          <w:lang w:val="sq-AL"/>
        </w:rPr>
      </w:pPr>
      <w:r>
        <w:rPr>
          <w:lang w:val="sq-AL"/>
        </w:rPr>
        <w:t>Në nivel aktiviteti, aksesi te burimet dhe zbatimi në kohë i ligjeve dhe rregulloreve do të jenë ndikimet kryesore në progresin e arritshëm. Përveç zbatimit të ligjeve, njohuritë e zotëruara nga persona që zbatojnë iniciativat do të jenë vendimtare në arritjen e aktiviteteve.</w:t>
      </w:r>
    </w:p>
    <w:p w:rsidR="00493B51" w:rsidRDefault="00493B51" w:rsidP="00493B51">
      <w:pPr>
        <w:pStyle w:val="Paragraf02"/>
        <w:rPr>
          <w:b/>
          <w:lang w:val="sq-AL"/>
        </w:rPr>
      </w:pPr>
      <w:bookmarkStart w:id="18" w:name="_Toc515610124"/>
      <w:r>
        <w:rPr>
          <w:b/>
          <w:lang w:val="sq-AL"/>
        </w:rPr>
        <w:lastRenderedPageBreak/>
        <w:t>IV.5 Përputhshmëria e prioriteteve strategjike me planifikimin buxhetor afatmesëm</w:t>
      </w:r>
      <w:bookmarkEnd w:id="18"/>
    </w:p>
    <w:p w:rsidR="00493B51" w:rsidRDefault="00493B51" w:rsidP="00493B51">
      <w:pPr>
        <w:pStyle w:val="Paragraf02"/>
        <w:rPr>
          <w:lang w:val="sq-AL"/>
        </w:rPr>
      </w:pPr>
      <w:r>
        <w:rPr>
          <w:lang w:val="sq-AL"/>
        </w:rPr>
        <w:t>Strategjia e Drejtësisë për të Mitur dhe Plani i Veprimit lidhen me disa programe buxhetore. Plani i veprimit do të zbatohet nga Ministria e Drejtësisë dhe Institucionet e varësisë së saj, Gjykatat, Prokuroritë, Policia e Shtetit, Shkolla e Magjistraturës, Dhoma Kombëtare e Avokatisë, OJF etj. PBA-ja është dokumenti kryesor për të parë përputhshmërinë e prioriteteve strategjike me planin buxhetor afatmesëm.</w:t>
      </w:r>
    </w:p>
    <w:p w:rsidR="00493B51" w:rsidRDefault="00493B51" w:rsidP="00493B51">
      <w:pPr>
        <w:pStyle w:val="Paragraf02"/>
        <w:ind w:firstLine="0"/>
        <w:jc w:val="center"/>
        <w:rPr>
          <w:sz w:val="14"/>
          <w:szCs w:val="14"/>
          <w:lang w:val="sq-AL"/>
        </w:rPr>
      </w:pPr>
      <w:bookmarkStart w:id="19" w:name="_Toc515610125"/>
    </w:p>
    <w:p w:rsidR="00493B51" w:rsidRDefault="00493B51" w:rsidP="00493B51">
      <w:pPr>
        <w:pStyle w:val="Paragraf02"/>
        <w:ind w:firstLine="0"/>
        <w:jc w:val="center"/>
        <w:rPr>
          <w:lang w:val="sq-AL"/>
        </w:rPr>
      </w:pPr>
      <w:r>
        <w:rPr>
          <w:lang w:val="sq-AL"/>
        </w:rPr>
        <w:t>KAPITULLI V</w:t>
      </w:r>
    </w:p>
    <w:p w:rsidR="00493B51" w:rsidRDefault="00493B51" w:rsidP="00493B51">
      <w:pPr>
        <w:pStyle w:val="Paragraf02"/>
        <w:ind w:firstLine="0"/>
        <w:jc w:val="center"/>
        <w:rPr>
          <w:bCs/>
          <w:lang w:val="sq-AL"/>
        </w:rPr>
      </w:pPr>
      <w:r>
        <w:rPr>
          <w:lang w:val="sq-AL"/>
        </w:rPr>
        <w:t>MONITORIMI, LLOGARIDHËNIA, ANALIZË VLERËSUESE</w:t>
      </w:r>
      <w:bookmarkEnd w:id="19"/>
    </w:p>
    <w:p w:rsidR="00493B51" w:rsidRDefault="00493B51" w:rsidP="00493B51">
      <w:pPr>
        <w:pStyle w:val="Paragraf02"/>
        <w:rPr>
          <w:sz w:val="14"/>
          <w:szCs w:val="14"/>
          <w:lang w:val="sq-AL"/>
        </w:rPr>
      </w:pPr>
      <w:bookmarkStart w:id="20" w:name="_Toc515610126"/>
    </w:p>
    <w:p w:rsidR="00493B51" w:rsidRDefault="00493B51" w:rsidP="00493B51">
      <w:pPr>
        <w:pStyle w:val="Paragraf02"/>
        <w:rPr>
          <w:b/>
          <w:lang w:val="sq-AL"/>
        </w:rPr>
      </w:pPr>
      <w:r>
        <w:rPr>
          <w:b/>
          <w:lang w:val="sq-AL"/>
        </w:rPr>
        <w:t>V.1 Sistemet e kontrollit/monitorimi i zhvilluar nga ministria</w:t>
      </w:r>
      <w:bookmarkEnd w:id="20"/>
      <w:r>
        <w:rPr>
          <w:b/>
          <w:lang w:val="sq-AL"/>
        </w:rPr>
        <w:t xml:space="preserve"> </w:t>
      </w:r>
    </w:p>
    <w:p w:rsidR="00493B51" w:rsidRDefault="00493B51" w:rsidP="00493B51">
      <w:pPr>
        <w:pStyle w:val="Paragraf02"/>
        <w:rPr>
          <w:lang w:val="sq-AL"/>
        </w:rPr>
      </w:pPr>
      <w:r>
        <w:rPr>
          <w:lang w:val="sq-AL"/>
        </w:rPr>
        <w:t xml:space="preserve">Ministria e Drejtësisë menaxhon mekanizmin institucional për monitorimin e Strategjisë së Drejtësisë për të Mitur. Mekanizmi institucional për monitorimin e strategjisë mbledh dhe analizon raportet periodike për zbatimin e planit të veprimit të këtij dokumenti strategjik. Çdo institucion raporton çdo 6 muaj dhe në bazë vjetore për nivelin e zbatimit të çdo objektivi strategjik dhe aktiviteti, problemet e hasura dhe vlerësimin e progresit të strategjisë në tërësi. Mekanizmi mund të vendosë më pas për masat korrigjuese, institucionin përgjegjës për korrigjimin dhe sanksionet e duhur. Për këtë qëllim, mekanizmi do të analizojë çdo aktivitet, treguesit e performancës, si për shembull, raporte vlerësimi, rekomandime, pyetësorë të plotësuar, pasojat. </w:t>
      </w:r>
    </w:p>
    <w:p w:rsidR="00493B51" w:rsidRDefault="00493B51" w:rsidP="00493B51">
      <w:pPr>
        <w:pStyle w:val="Paragraf02"/>
        <w:rPr>
          <w:lang w:val="sq-AL"/>
        </w:rPr>
      </w:pPr>
      <w:r>
        <w:rPr>
          <w:lang w:val="sq-AL"/>
        </w:rPr>
        <w:t xml:space="preserve">Raportimi periodik njëvjeçar i monitorimit të zbatimit të strategjisë publikohet në faqen zyrtare të internetit të Ministrisë së Drejtësisë. </w:t>
      </w:r>
    </w:p>
    <w:p w:rsidR="00493B51" w:rsidRDefault="00493B51" w:rsidP="00493B51">
      <w:pPr>
        <w:pStyle w:val="Paragraf02"/>
        <w:rPr>
          <w:lang w:val="sq-AL"/>
        </w:rPr>
      </w:pPr>
      <w:r>
        <w:rPr>
          <w:lang w:val="sq-AL"/>
        </w:rPr>
        <w:t xml:space="preserve">Mekanizmi institucional për monitorimin e kësaj strategjie do të sigurohet nëpërmjet krijimit të një strukture të posaçme, me përbërjen e mëposhtme: </w:t>
      </w:r>
    </w:p>
    <w:p w:rsidR="00493B51" w:rsidRDefault="00493B51" w:rsidP="00493B51">
      <w:pPr>
        <w:pStyle w:val="Paragraf02"/>
        <w:rPr>
          <w:lang w:val="sq-AL"/>
        </w:rPr>
      </w:pPr>
      <w:r>
        <w:rPr>
          <w:lang w:val="sq-AL"/>
        </w:rPr>
        <w:t>- Zëvendësministri i Drejtësisë;</w:t>
      </w:r>
    </w:p>
    <w:p w:rsidR="00493B51" w:rsidRDefault="00493B51" w:rsidP="00493B51">
      <w:pPr>
        <w:pStyle w:val="Paragraf02"/>
        <w:rPr>
          <w:lang w:val="sq-AL"/>
        </w:rPr>
      </w:pPr>
      <w:r>
        <w:rPr>
          <w:lang w:val="sq-AL"/>
        </w:rPr>
        <w:t>- 3 përfaqësues nga Ministria e Drejtësisë;</w:t>
      </w:r>
    </w:p>
    <w:p w:rsidR="00493B51" w:rsidRDefault="00493B51" w:rsidP="00493B51">
      <w:pPr>
        <w:pStyle w:val="Paragraf02"/>
        <w:rPr>
          <w:lang w:val="sq-AL"/>
        </w:rPr>
      </w:pPr>
      <w:r>
        <w:rPr>
          <w:lang w:val="sq-AL"/>
        </w:rPr>
        <w:t>- 1 përfaqësues nga Këshilli i Ministrave që mbulon çështjet e koordinimit të dokumenteve strategjike;</w:t>
      </w:r>
    </w:p>
    <w:p w:rsidR="00493B51" w:rsidRDefault="00493B51" w:rsidP="00493B51">
      <w:pPr>
        <w:pStyle w:val="Paragraf02"/>
        <w:rPr>
          <w:lang w:val="sq-AL"/>
        </w:rPr>
      </w:pPr>
      <w:r>
        <w:rPr>
          <w:lang w:val="sq-AL"/>
        </w:rPr>
        <w:t>- 1 përfaqësues nga Ministria e Brendshme;</w:t>
      </w:r>
    </w:p>
    <w:p w:rsidR="00493B51" w:rsidRDefault="00493B51" w:rsidP="00493B51">
      <w:pPr>
        <w:pStyle w:val="Paragraf02"/>
        <w:rPr>
          <w:lang w:val="sq-AL"/>
        </w:rPr>
      </w:pPr>
      <w:r>
        <w:rPr>
          <w:lang w:val="sq-AL"/>
        </w:rPr>
        <w:t xml:space="preserve">- 1 përfaqësues nga </w:t>
      </w:r>
      <w:r>
        <w:rPr>
          <w:bCs/>
          <w:lang w:val="sq-AL"/>
        </w:rPr>
        <w:t>Ministria e Shëndetësisë dhe Mbrojtjes Sociale;</w:t>
      </w:r>
      <w:r>
        <w:rPr>
          <w:lang w:val="sq-AL"/>
        </w:rPr>
        <w:t xml:space="preserve"> </w:t>
      </w:r>
    </w:p>
    <w:p w:rsidR="00493B51" w:rsidRDefault="00493B51" w:rsidP="00493B51">
      <w:pPr>
        <w:pStyle w:val="Paragraf02"/>
        <w:rPr>
          <w:bCs/>
          <w:lang w:val="sq-AL"/>
        </w:rPr>
      </w:pPr>
      <w:r>
        <w:rPr>
          <w:lang w:val="sq-AL"/>
        </w:rPr>
        <w:t xml:space="preserve">- 1 përfaqësues nga </w:t>
      </w:r>
      <w:r>
        <w:rPr>
          <w:bCs/>
          <w:lang w:val="sq-AL"/>
        </w:rPr>
        <w:t>Arsimit, Sportit dhe Rinisë;</w:t>
      </w:r>
    </w:p>
    <w:p w:rsidR="00493B51" w:rsidRDefault="00493B51" w:rsidP="00493B51">
      <w:pPr>
        <w:pStyle w:val="Paragraf02"/>
        <w:rPr>
          <w:lang w:val="sq-AL"/>
        </w:rPr>
      </w:pPr>
      <w:r>
        <w:rPr>
          <w:lang w:val="sq-AL"/>
        </w:rPr>
        <w:t>- 1 përfaqësues nga Ministria e Financave dhe Ekonomisë;</w:t>
      </w:r>
    </w:p>
    <w:p w:rsidR="00493B51" w:rsidRDefault="00493B51" w:rsidP="00493B51">
      <w:pPr>
        <w:pStyle w:val="Paragraf02"/>
        <w:rPr>
          <w:lang w:val="sq-AL"/>
        </w:rPr>
      </w:pPr>
      <w:r>
        <w:rPr>
          <w:lang w:val="sq-AL"/>
        </w:rPr>
        <w:t>- 1 përfaqësues nga Agjencia Shtetërore për të Drejtat dhe Mbrojtjen e Fëmijës;</w:t>
      </w:r>
    </w:p>
    <w:p w:rsidR="00493B51" w:rsidRDefault="00493B51" w:rsidP="00493B51">
      <w:pPr>
        <w:pStyle w:val="Paragraf02"/>
        <w:rPr>
          <w:lang w:val="sq-AL"/>
        </w:rPr>
      </w:pPr>
      <w:r>
        <w:rPr>
          <w:lang w:val="sq-AL"/>
        </w:rPr>
        <w:t>- 1 përfaqësues nga Drejtoria e Përgjithshme e Burgjeve</w:t>
      </w:r>
    </w:p>
    <w:p w:rsidR="00493B51" w:rsidRDefault="00493B51" w:rsidP="00493B51">
      <w:pPr>
        <w:pStyle w:val="Paragraf02"/>
        <w:rPr>
          <w:lang w:val="sq-AL"/>
        </w:rPr>
      </w:pPr>
      <w:r>
        <w:rPr>
          <w:lang w:val="sq-AL"/>
        </w:rPr>
        <w:t>- 1 përfaqësues nga Drejtoria e Përgjithshme e Shërbimit të Provës</w:t>
      </w:r>
    </w:p>
    <w:p w:rsidR="00493B51" w:rsidRDefault="00493B51" w:rsidP="00493B51">
      <w:pPr>
        <w:pStyle w:val="Paragraf02"/>
        <w:rPr>
          <w:lang w:val="sq-AL"/>
        </w:rPr>
      </w:pPr>
      <w:r>
        <w:rPr>
          <w:lang w:val="sq-AL"/>
        </w:rPr>
        <w:t>- 1 përfaqësues nga Komisioneri për të Drejtën e Informimit dhe Mbrojtjen e të Dhënave Personale;</w:t>
      </w:r>
    </w:p>
    <w:p w:rsidR="00493B51" w:rsidRDefault="00493B51" w:rsidP="00493B51">
      <w:pPr>
        <w:pStyle w:val="Paragraf02"/>
        <w:rPr>
          <w:lang w:val="sq-AL"/>
        </w:rPr>
      </w:pPr>
      <w:r>
        <w:rPr>
          <w:lang w:val="sq-AL"/>
        </w:rPr>
        <w:t>- 1 përfaqësues nga Komisioneri kundër Diskriminimit;</w:t>
      </w:r>
    </w:p>
    <w:p w:rsidR="00493B51" w:rsidRDefault="00493B51" w:rsidP="00493B51">
      <w:pPr>
        <w:pStyle w:val="Paragraf02"/>
        <w:rPr>
          <w:lang w:val="sq-AL"/>
        </w:rPr>
      </w:pPr>
      <w:r>
        <w:rPr>
          <w:lang w:val="sq-AL"/>
        </w:rPr>
        <w:t xml:space="preserve">- 1 përfaqësues nga Këshilli i Lartë Gjyqësor; </w:t>
      </w:r>
    </w:p>
    <w:p w:rsidR="00493B51" w:rsidRDefault="00493B51" w:rsidP="00493B51">
      <w:pPr>
        <w:pStyle w:val="Paragraf02"/>
        <w:rPr>
          <w:lang w:val="sq-AL"/>
        </w:rPr>
      </w:pPr>
      <w:r>
        <w:rPr>
          <w:lang w:val="sq-AL"/>
        </w:rPr>
        <w:t>- 1 përfaqësues nga Këshilli i Lartë i Prokurorisë;</w:t>
      </w:r>
    </w:p>
    <w:p w:rsidR="00493B51" w:rsidRDefault="00493B51" w:rsidP="00493B51">
      <w:pPr>
        <w:pStyle w:val="Paragraf02"/>
        <w:rPr>
          <w:lang w:val="sq-AL"/>
        </w:rPr>
      </w:pPr>
      <w:r>
        <w:rPr>
          <w:lang w:val="sq-AL"/>
        </w:rPr>
        <w:t xml:space="preserve">- 1 përfaqësues nga Prokuroria e Përgjithshme; </w:t>
      </w:r>
    </w:p>
    <w:p w:rsidR="00493B51" w:rsidRDefault="00493B51" w:rsidP="00493B51">
      <w:pPr>
        <w:pStyle w:val="Paragraf02"/>
        <w:rPr>
          <w:lang w:val="sq-AL"/>
        </w:rPr>
      </w:pPr>
      <w:r>
        <w:rPr>
          <w:lang w:val="sq-AL"/>
        </w:rPr>
        <w:t>- 1 përfaqësues nga Shkolla e Magjistraturës;</w:t>
      </w:r>
    </w:p>
    <w:p w:rsidR="00493B51" w:rsidRDefault="00493B51" w:rsidP="00493B51">
      <w:pPr>
        <w:pStyle w:val="Paragraf02"/>
        <w:rPr>
          <w:lang w:val="sq-AL"/>
        </w:rPr>
      </w:pPr>
      <w:r>
        <w:rPr>
          <w:lang w:val="sq-AL"/>
        </w:rPr>
        <w:t>- 1 përfaqësues nga Akademia e Sigurisë;</w:t>
      </w:r>
    </w:p>
    <w:p w:rsidR="00493B51" w:rsidRDefault="00493B51" w:rsidP="00493B51">
      <w:pPr>
        <w:pStyle w:val="Paragraf02"/>
        <w:rPr>
          <w:lang w:val="sq-AL"/>
        </w:rPr>
      </w:pPr>
      <w:r>
        <w:rPr>
          <w:lang w:val="sq-AL"/>
        </w:rPr>
        <w:t xml:space="preserve">- 1 përfaqësues nga Zyra e Avokatit të Popullit; </w:t>
      </w:r>
    </w:p>
    <w:p w:rsidR="00493B51" w:rsidRDefault="00493B51" w:rsidP="00493B51">
      <w:pPr>
        <w:pStyle w:val="Paragraf02"/>
        <w:rPr>
          <w:lang w:val="sq-AL"/>
        </w:rPr>
      </w:pPr>
      <w:r>
        <w:rPr>
          <w:lang w:val="sq-AL"/>
        </w:rPr>
        <w:t xml:space="preserve">- 1 përfaqësues nga Dhoma Kombëtare e Avokatisë; </w:t>
      </w:r>
    </w:p>
    <w:p w:rsidR="00493B51" w:rsidRDefault="00493B51" w:rsidP="00493B51">
      <w:pPr>
        <w:pStyle w:val="Paragraf02"/>
        <w:rPr>
          <w:lang w:val="sq-AL"/>
        </w:rPr>
      </w:pPr>
      <w:r>
        <w:rPr>
          <w:lang w:val="sq-AL"/>
        </w:rPr>
        <w:t xml:space="preserve">- 1 përfaqësues nga Dhoma Kombëtare e Ndërmjetësve. </w:t>
      </w:r>
    </w:p>
    <w:p w:rsidR="00493B51" w:rsidRDefault="00493B51" w:rsidP="00493B51">
      <w:pPr>
        <w:pStyle w:val="Paragraf02"/>
        <w:rPr>
          <w:lang w:val="sq-AL"/>
        </w:rPr>
      </w:pPr>
      <w:r>
        <w:rPr>
          <w:lang w:val="sq-AL"/>
        </w:rPr>
        <w:t>Gjithashtu, përfaqësues nga projekte dhe donatorë të huaj që ndihmojnë institucionet e sistemit të drejtësisë për të miturit, si edhe përfaqësues të shoqërisë civile që veprojnë në fushën e të drejtave të të miturve ftohen që të marrin pjesë në takimet e grupit të monitorimit.</w:t>
      </w:r>
    </w:p>
    <w:p w:rsidR="00493B51" w:rsidRDefault="00493B51" w:rsidP="00493B51">
      <w:pPr>
        <w:pStyle w:val="Paragraf02"/>
        <w:rPr>
          <w:b/>
          <w:lang w:val="sq-AL"/>
        </w:rPr>
      </w:pPr>
      <w:bookmarkStart w:id="21" w:name="_Toc515610127"/>
      <w:r>
        <w:rPr>
          <w:b/>
          <w:lang w:val="sq-AL"/>
        </w:rPr>
        <w:t>V.2 Mekanizmat e monitorimit në nivel teknik</w:t>
      </w:r>
      <w:bookmarkEnd w:id="21"/>
    </w:p>
    <w:p w:rsidR="00493B51" w:rsidRDefault="00493B51" w:rsidP="00493B51">
      <w:pPr>
        <w:pStyle w:val="Paragraf02"/>
        <w:rPr>
          <w:lang w:val="sq-AL"/>
        </w:rPr>
      </w:pPr>
      <w:r>
        <w:rPr>
          <w:lang w:val="sq-AL"/>
        </w:rPr>
        <w:t>Në nivelin më të detajuar, Ministria e Drejtësisë dhe agjencitë e tjera ligjzbatuese do të jenë përgjegjëse për zbatimin e monitorimit të treguesve në kompetencën e tyre, duke krahasuar objektivat e treguesve të performancës të planifikuar me ata aktualë.</w:t>
      </w:r>
    </w:p>
    <w:p w:rsidR="00493B51" w:rsidRDefault="00493B51" w:rsidP="00493B51">
      <w:pPr>
        <w:pStyle w:val="Paragraf02"/>
        <w:rPr>
          <w:lang w:val="sq-AL"/>
        </w:rPr>
      </w:pPr>
      <w:r>
        <w:rPr>
          <w:lang w:val="sq-AL"/>
        </w:rPr>
        <w:t>Mekanizmi do të mbështetet nga një sekretariat teknik, ndërsa në rolin e tij si drejtues i këtij mekanizmit, Ministria e Drejtësisë do të kërkojë kontributin e të gjitha institucioneve të përfshira në strategji për monitorimin e saj.</w:t>
      </w:r>
    </w:p>
    <w:p w:rsidR="00493B51" w:rsidRDefault="00493B51" w:rsidP="00493B51">
      <w:pPr>
        <w:pStyle w:val="Paragraf02"/>
        <w:rPr>
          <w:lang w:val="sq-AL"/>
        </w:rPr>
      </w:pPr>
      <w:r>
        <w:rPr>
          <w:lang w:val="sq-AL"/>
        </w:rPr>
        <w:t>Sekretariati teknik, me mbështetjen e institucioneve të përfaqësuara në mekanizmin monitorues, si dhe me anë të kontributit të institucioneve të pavarura përmbush aktivitetet si më poshtë për monitorimin dhe zbatimin e strategjisë:</w:t>
      </w:r>
    </w:p>
    <w:p w:rsidR="00493B51" w:rsidRDefault="00493B51" w:rsidP="00493B51">
      <w:pPr>
        <w:pStyle w:val="Paragraf02"/>
        <w:rPr>
          <w:lang w:val="sq-AL"/>
        </w:rPr>
      </w:pPr>
      <w:r>
        <w:rPr>
          <w:lang w:val="sq-AL"/>
        </w:rPr>
        <w:t>i. mbledh projektraportet e monitorimit për çdo aktivitiet dhe çdo indikator nga institucionet;</w:t>
      </w:r>
    </w:p>
    <w:p w:rsidR="00493B51" w:rsidRDefault="00493B51" w:rsidP="00493B51">
      <w:pPr>
        <w:pStyle w:val="Paragraf02"/>
        <w:rPr>
          <w:lang w:val="sq-AL"/>
        </w:rPr>
      </w:pPr>
      <w:r>
        <w:rPr>
          <w:lang w:val="sq-AL"/>
        </w:rPr>
        <w:t>ii. shqyrton projektraportet e veprimit të dorëzuara nga institucionet për zbatimin dhe rekomandon në përputhje me rrethanat, miratimin e tyre, ndryshimin apo testimin;</w:t>
      </w:r>
    </w:p>
    <w:p w:rsidR="00493B51" w:rsidRDefault="00493B51" w:rsidP="00493B51">
      <w:pPr>
        <w:pStyle w:val="Paragraf02"/>
        <w:rPr>
          <w:lang w:val="sq-AL"/>
        </w:rPr>
      </w:pPr>
    </w:p>
    <w:p w:rsidR="00493B51" w:rsidRDefault="00493B51" w:rsidP="00493B51">
      <w:pPr>
        <w:pStyle w:val="Paragraf02"/>
        <w:rPr>
          <w:lang w:val="sq-AL"/>
        </w:rPr>
      </w:pPr>
    </w:p>
    <w:p w:rsidR="00493B51" w:rsidRDefault="00493B51" w:rsidP="00493B51">
      <w:pPr>
        <w:pStyle w:val="Paragraf02"/>
        <w:rPr>
          <w:lang w:val="sq-AL"/>
        </w:rPr>
      </w:pPr>
      <w:r>
        <w:rPr>
          <w:lang w:val="sq-AL"/>
        </w:rPr>
        <w:t>iii. u komunikon institucioneve vendimet e mekanizmit monitorues së bashku me udhëzimet e lëna nga ky i fundit;</w:t>
      </w:r>
    </w:p>
    <w:p w:rsidR="00493B51" w:rsidRDefault="00493B51" w:rsidP="00493B51">
      <w:pPr>
        <w:pStyle w:val="Paragraf02"/>
        <w:rPr>
          <w:lang w:val="sq-AL"/>
        </w:rPr>
      </w:pPr>
      <w:r>
        <w:rPr>
          <w:lang w:val="sq-AL"/>
        </w:rPr>
        <w:t>iv. harton raportin e zbatimit të integruar çdo gjashtë muaj dhe në bazë vjetore;</w:t>
      </w:r>
    </w:p>
    <w:p w:rsidR="00493B51" w:rsidRDefault="00493B51" w:rsidP="00493B51">
      <w:pPr>
        <w:pStyle w:val="Paragraf02"/>
        <w:rPr>
          <w:lang w:val="sq-AL"/>
        </w:rPr>
      </w:pPr>
      <w:r>
        <w:rPr>
          <w:lang w:val="sq-AL"/>
        </w:rPr>
        <w:t>v. i komunikon publikut vendimet e marra dhe dokumentet e miratuara.</w:t>
      </w:r>
    </w:p>
    <w:p w:rsidR="00493B51" w:rsidRDefault="00493B51" w:rsidP="00493B51">
      <w:pPr>
        <w:pStyle w:val="Paragraf02"/>
        <w:rPr>
          <w:lang w:val="sq-AL"/>
        </w:rPr>
      </w:pPr>
      <w:r>
        <w:rPr>
          <w:lang w:val="sq-AL"/>
        </w:rPr>
        <w:t>Në aspektin cilësor të monitorimit, sekretariati teknik mund të sugjerojë ose mund t’i caktohet nga mekanizmi koordinues të përdorë metodat e mëposhtme për monitorimin dhe vlerësimin e zbatimit të strategjisë:</w:t>
      </w:r>
    </w:p>
    <w:p w:rsidR="00493B51" w:rsidRDefault="00493B51" w:rsidP="00493B51">
      <w:pPr>
        <w:pStyle w:val="Paragraf02"/>
        <w:rPr>
          <w:lang w:val="sq-AL"/>
        </w:rPr>
      </w:pPr>
      <w:r>
        <w:rPr>
          <w:lang w:val="sq-AL"/>
        </w:rPr>
        <w:t>i. përditësimin e përmbushjes apo jo të masave, sipas planit të veprimit (aneks 1) dhe në bazë të vetëvlerësimit të institucioneve;</w:t>
      </w:r>
    </w:p>
    <w:p w:rsidR="00493B51" w:rsidRDefault="00493B51" w:rsidP="00493B51">
      <w:pPr>
        <w:pStyle w:val="Paragraf02"/>
        <w:rPr>
          <w:lang w:val="sq-AL"/>
        </w:rPr>
      </w:pPr>
      <w:r>
        <w:rPr>
          <w:lang w:val="sq-AL"/>
        </w:rPr>
        <w:t>ii. vlerësime tematike (sipas objektivave specifikë), sipas udhëzimeve të mekanizmit vlerësues, lidhur me efektivitetin e veprimeve të ndërmarra;</w:t>
      </w:r>
    </w:p>
    <w:p w:rsidR="00493B51" w:rsidRDefault="00493B51" w:rsidP="00493B51">
      <w:pPr>
        <w:pStyle w:val="Paragraf02"/>
        <w:rPr>
          <w:lang w:val="sq-AL"/>
        </w:rPr>
      </w:pPr>
      <w:r>
        <w:rPr>
          <w:lang w:val="sq-AL"/>
        </w:rPr>
        <w:t>iii. përdorimin e analizës statistikore apo cilësore, duke përdorur të dhëna krahasuese përtej atyre të vetëraportimeve të institucioneve;</w:t>
      </w:r>
    </w:p>
    <w:p w:rsidR="00493B51" w:rsidRDefault="00493B51" w:rsidP="00493B51">
      <w:pPr>
        <w:pStyle w:val="Paragraf02"/>
        <w:rPr>
          <w:lang w:val="sq-AL"/>
        </w:rPr>
      </w:pPr>
      <w:r>
        <w:rPr>
          <w:lang w:val="sq-AL"/>
        </w:rPr>
        <w:t>iv. përdorimin e raporteve të tjera nga organizma vendës dhe të huaj që lidhen me vlerësimin e situatës të të miturve;</w:t>
      </w:r>
    </w:p>
    <w:p w:rsidR="00493B51" w:rsidRDefault="00493B51" w:rsidP="00493B51">
      <w:pPr>
        <w:pStyle w:val="Paragraf02"/>
        <w:rPr>
          <w:lang w:val="sq-AL"/>
        </w:rPr>
      </w:pPr>
      <w:r>
        <w:rPr>
          <w:lang w:val="sq-AL"/>
        </w:rPr>
        <w:t>v. komunikimin me palë të treta dhe shoqërinë civile për vlerësimin e masave të zbatuara;</w:t>
      </w:r>
    </w:p>
    <w:p w:rsidR="00493B51" w:rsidRDefault="00493B51" w:rsidP="00493B51">
      <w:pPr>
        <w:pStyle w:val="Paragraf02"/>
        <w:rPr>
          <w:lang w:val="sq-AL"/>
        </w:rPr>
      </w:pPr>
      <w:r>
        <w:rPr>
          <w:lang w:val="sq-AL"/>
        </w:rPr>
        <w:t>vi. dokumentimin e arritjeve dhe të praktikave të mira.</w:t>
      </w:r>
    </w:p>
    <w:p w:rsidR="00493B51" w:rsidRDefault="00493B51" w:rsidP="00493B51">
      <w:pPr>
        <w:pStyle w:val="Paragraf02"/>
        <w:rPr>
          <w:lang w:val="sq-AL"/>
        </w:rPr>
      </w:pPr>
      <w:r>
        <w:rPr>
          <w:lang w:val="sq-AL"/>
        </w:rPr>
        <w:t>Mjetet dhe mënyrat e raportimit mund të rishikohen dhe të miratohen të përditësuara nga mekanizmi koordinues.</w:t>
      </w:r>
    </w:p>
    <w:p w:rsidR="00493B51" w:rsidRDefault="00493B51" w:rsidP="00493B51">
      <w:pPr>
        <w:pStyle w:val="Paragraf02"/>
        <w:rPr>
          <w:lang w:val="sq-AL"/>
        </w:rPr>
      </w:pPr>
      <w:r>
        <w:rPr>
          <w:lang w:val="sq-AL"/>
        </w:rPr>
        <w:t>Raportet e monitorimit duhet të publikohen në bazë vjetore dhe gjerësisht, duke raportuar gjithmonë arritjet, mangësitë në zbatim, si dhe rekomandimet e dhëna për institucionet nga mekanizmi koordinues.</w:t>
      </w:r>
    </w:p>
    <w:p w:rsidR="00493B51" w:rsidRDefault="00493B51" w:rsidP="00493B51">
      <w:pPr>
        <w:spacing w:after="0" w:line="240" w:lineRule="auto"/>
        <w:ind w:firstLine="0"/>
        <w:jc w:val="left"/>
        <w:rPr>
          <w:rFonts w:ascii="Garamond" w:eastAsia="MS Mincho" w:hAnsi="Garamond" w:cs="CG Times"/>
          <w:sz w:val="24"/>
          <w:lang w:val="sq-AL"/>
        </w:rPr>
        <w:sectPr w:rsidR="00493B51" w:rsidSect="00493B51">
          <w:type w:val="continuous"/>
          <w:pgSz w:w="11907" w:h="16840"/>
          <w:pgMar w:top="720" w:right="1134" w:bottom="720" w:left="1134" w:header="851" w:footer="851" w:gutter="0"/>
          <w:cols w:space="454"/>
        </w:sectPr>
      </w:pPr>
    </w:p>
    <w:p w:rsidR="00493B51" w:rsidRDefault="00493B51" w:rsidP="00493B51">
      <w:pPr>
        <w:pStyle w:val="Paragrafi"/>
        <w:rPr>
          <w:lang w:val="sq-AL"/>
        </w:rPr>
      </w:pPr>
    </w:p>
    <w:p w:rsidR="00493B51" w:rsidRDefault="00493B51" w:rsidP="00493B51">
      <w:pPr>
        <w:pStyle w:val="Paragrafi"/>
        <w:rPr>
          <w:lang w:val="sq-AL"/>
        </w:rPr>
      </w:pPr>
    </w:p>
    <w:p w:rsidR="00493B51" w:rsidRDefault="00493B51" w:rsidP="00493B51">
      <w:pPr>
        <w:pStyle w:val="Paragrafi"/>
        <w:ind w:firstLine="0"/>
        <w:rPr>
          <w:lang w:val="sq-AL"/>
        </w:rPr>
      </w:pPr>
    </w:p>
    <w:p w:rsidR="00493B51" w:rsidRDefault="00493B51" w:rsidP="00493B51">
      <w:pPr>
        <w:pStyle w:val="Paragrafi"/>
        <w:ind w:firstLine="0"/>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8"/>
        <w:gridCol w:w="2070"/>
        <w:gridCol w:w="2700"/>
        <w:gridCol w:w="2628"/>
      </w:tblGrid>
      <w:tr w:rsidR="00493B51" w:rsidTr="00493B51">
        <w:trPr>
          <w:jc w:val="center"/>
        </w:trPr>
        <w:tc>
          <w:tcPr>
            <w:tcW w:w="2178" w:type="dxa"/>
            <w:tcBorders>
              <w:top w:val="single" w:sz="4" w:space="0" w:color="auto"/>
              <w:left w:val="single" w:sz="4" w:space="0" w:color="auto"/>
              <w:bottom w:val="single" w:sz="4" w:space="0" w:color="auto"/>
              <w:right w:val="single" w:sz="4" w:space="0" w:color="auto"/>
            </w:tcBorders>
            <w:shd w:val="clear" w:color="auto" w:fill="31849B"/>
            <w:hideMark/>
          </w:tcPr>
          <w:p w:rsidR="00493B51" w:rsidRDefault="00493B51">
            <w:pPr>
              <w:widowControl w:val="0"/>
              <w:spacing w:after="0" w:line="240" w:lineRule="auto"/>
              <w:ind w:firstLine="0"/>
              <w:jc w:val="center"/>
              <w:rPr>
                <w:rFonts w:ascii="Garamond" w:hAnsi="Garamond"/>
                <w:b/>
                <w:color w:val="FFFFFF"/>
                <w:spacing w:val="-4"/>
                <w:sz w:val="20"/>
                <w:szCs w:val="20"/>
                <w:lang w:val="sq-AL"/>
              </w:rPr>
            </w:pPr>
            <w:r>
              <w:rPr>
                <w:rFonts w:ascii="Garamond" w:hAnsi="Garamond"/>
                <w:b/>
                <w:color w:val="FFFFFF"/>
                <w:spacing w:val="-4"/>
                <w:sz w:val="20"/>
                <w:szCs w:val="20"/>
                <w:lang w:val="sq-AL"/>
              </w:rPr>
              <w:t>Objektivi</w:t>
            </w:r>
          </w:p>
        </w:tc>
        <w:tc>
          <w:tcPr>
            <w:tcW w:w="2070" w:type="dxa"/>
            <w:tcBorders>
              <w:top w:val="single" w:sz="4" w:space="0" w:color="auto"/>
              <w:left w:val="single" w:sz="4" w:space="0" w:color="auto"/>
              <w:bottom w:val="single" w:sz="4" w:space="0" w:color="auto"/>
              <w:right w:val="single" w:sz="4" w:space="0" w:color="auto"/>
            </w:tcBorders>
            <w:shd w:val="clear" w:color="auto" w:fill="31849B"/>
            <w:hideMark/>
          </w:tcPr>
          <w:p w:rsidR="00493B51" w:rsidRDefault="00493B51">
            <w:pPr>
              <w:widowControl w:val="0"/>
              <w:spacing w:after="0" w:line="240" w:lineRule="auto"/>
              <w:ind w:firstLine="0"/>
              <w:jc w:val="center"/>
              <w:rPr>
                <w:rFonts w:ascii="Garamond" w:hAnsi="Garamond"/>
                <w:b/>
                <w:color w:val="FFFFFF"/>
                <w:spacing w:val="-4"/>
                <w:sz w:val="20"/>
                <w:szCs w:val="20"/>
                <w:lang w:val="sq-AL"/>
              </w:rPr>
            </w:pPr>
            <w:r>
              <w:rPr>
                <w:rFonts w:ascii="Garamond" w:hAnsi="Garamond"/>
                <w:b/>
                <w:color w:val="FFFFFF"/>
                <w:spacing w:val="-4"/>
                <w:sz w:val="20"/>
                <w:szCs w:val="20"/>
                <w:lang w:val="sq-AL"/>
              </w:rPr>
              <w:t>Standardet/pikat kryesore</w:t>
            </w:r>
          </w:p>
        </w:tc>
        <w:tc>
          <w:tcPr>
            <w:tcW w:w="2700" w:type="dxa"/>
            <w:tcBorders>
              <w:top w:val="single" w:sz="4" w:space="0" w:color="auto"/>
              <w:left w:val="single" w:sz="4" w:space="0" w:color="auto"/>
              <w:bottom w:val="single" w:sz="4" w:space="0" w:color="auto"/>
              <w:right w:val="single" w:sz="4" w:space="0" w:color="auto"/>
            </w:tcBorders>
            <w:shd w:val="clear" w:color="auto" w:fill="31849B"/>
            <w:hideMark/>
          </w:tcPr>
          <w:p w:rsidR="00493B51" w:rsidRDefault="00493B51">
            <w:pPr>
              <w:widowControl w:val="0"/>
              <w:spacing w:after="0" w:line="240" w:lineRule="auto"/>
              <w:ind w:firstLine="0"/>
              <w:jc w:val="center"/>
              <w:rPr>
                <w:rFonts w:ascii="Garamond" w:hAnsi="Garamond"/>
                <w:b/>
                <w:color w:val="FFFFFF"/>
                <w:spacing w:val="-4"/>
                <w:sz w:val="20"/>
                <w:szCs w:val="20"/>
                <w:lang w:val="sq-AL"/>
              </w:rPr>
            </w:pPr>
            <w:r>
              <w:rPr>
                <w:rFonts w:ascii="Garamond" w:hAnsi="Garamond"/>
                <w:b/>
                <w:color w:val="FFFFFF"/>
                <w:spacing w:val="-4"/>
                <w:sz w:val="20"/>
                <w:szCs w:val="20"/>
                <w:lang w:val="sq-AL"/>
              </w:rPr>
              <w:t>Objektivat për vitin 2018</w:t>
            </w:r>
          </w:p>
        </w:tc>
        <w:tc>
          <w:tcPr>
            <w:tcW w:w="2628" w:type="dxa"/>
            <w:tcBorders>
              <w:top w:val="single" w:sz="4" w:space="0" w:color="auto"/>
              <w:left w:val="single" w:sz="4" w:space="0" w:color="auto"/>
              <w:bottom w:val="single" w:sz="4" w:space="0" w:color="auto"/>
              <w:right w:val="single" w:sz="4" w:space="0" w:color="auto"/>
            </w:tcBorders>
            <w:shd w:val="clear" w:color="auto" w:fill="31849B"/>
            <w:hideMark/>
          </w:tcPr>
          <w:p w:rsidR="00493B51" w:rsidRDefault="00493B51">
            <w:pPr>
              <w:widowControl w:val="0"/>
              <w:spacing w:after="0" w:line="240" w:lineRule="auto"/>
              <w:ind w:firstLine="0"/>
              <w:jc w:val="center"/>
              <w:rPr>
                <w:rFonts w:ascii="Garamond" w:hAnsi="Garamond"/>
                <w:b/>
                <w:color w:val="FFFFFF"/>
                <w:spacing w:val="-4"/>
                <w:sz w:val="20"/>
                <w:szCs w:val="20"/>
                <w:lang w:val="sq-AL"/>
              </w:rPr>
            </w:pPr>
            <w:r>
              <w:rPr>
                <w:rFonts w:ascii="Garamond" w:hAnsi="Garamond"/>
                <w:b/>
                <w:color w:val="FFFFFF"/>
                <w:spacing w:val="-4"/>
                <w:sz w:val="20"/>
                <w:szCs w:val="20"/>
                <w:lang w:val="sq-AL"/>
              </w:rPr>
              <w:t>Objektivat për vitin 2021</w:t>
            </w:r>
          </w:p>
        </w:tc>
      </w:tr>
      <w:tr w:rsidR="00493B51" w:rsidTr="00493B51">
        <w:trPr>
          <w:jc w:val="center"/>
        </w:trPr>
        <w:tc>
          <w:tcPr>
            <w:tcW w:w="217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b/>
                <w:spacing w:val="-4"/>
                <w:sz w:val="20"/>
                <w:szCs w:val="20"/>
                <w:lang w:val="sq-AL"/>
              </w:rPr>
              <w:t xml:space="preserve">Garantimi i aksesit të të miturve në drejtësi </w:t>
            </w:r>
            <w:r>
              <w:rPr>
                <w:rFonts w:ascii="Garamond" w:hAnsi="Garamond"/>
                <w:b/>
                <w:i/>
                <w:spacing w:val="-4"/>
                <w:sz w:val="20"/>
                <w:szCs w:val="20"/>
                <w:lang w:val="sq-AL"/>
              </w:rPr>
              <w:t>(objektivi strategjik nr. 1)</w:t>
            </w:r>
          </w:p>
        </w:tc>
        <w:tc>
          <w:tcPr>
            <w:tcW w:w="207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xml:space="preserve">Mekanizëm institucional i dobët në ofrimin e ndihmës juridike falas </w:t>
            </w:r>
          </w:p>
        </w:tc>
        <w:tc>
          <w:tcPr>
            <w:tcW w:w="270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Ngritja e Drejtorisë për Ndihmën Juridike Falas</w:t>
            </w:r>
          </w:p>
        </w:tc>
        <w:tc>
          <w:tcPr>
            <w:tcW w:w="262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Ofrimi i ndihmës juridike falas i shpejtë, profesional dhe efektiv</w:t>
            </w:r>
          </w:p>
        </w:tc>
      </w:tr>
      <w:tr w:rsidR="00493B51" w:rsidTr="00493B51">
        <w:trPr>
          <w:jc w:val="center"/>
        </w:trPr>
        <w:tc>
          <w:tcPr>
            <w:tcW w:w="217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b/>
                <w:spacing w:val="-4"/>
                <w:sz w:val="20"/>
                <w:szCs w:val="20"/>
                <w:lang w:val="sq-AL"/>
              </w:rPr>
              <w:t xml:space="preserve">Garantimi i procesit të rregullt ligjor për të miturit </w:t>
            </w:r>
            <w:r>
              <w:rPr>
                <w:rFonts w:ascii="Garamond" w:hAnsi="Garamond"/>
                <w:b/>
                <w:i/>
                <w:spacing w:val="-4"/>
                <w:sz w:val="20"/>
                <w:szCs w:val="20"/>
                <w:lang w:val="sq-AL"/>
              </w:rPr>
              <w:t>(objektivi strategjik nr. 2)</w:t>
            </w:r>
          </w:p>
        </w:tc>
        <w:tc>
          <w:tcPr>
            <w:tcW w:w="207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 xml:space="preserve">Përballja e sistemit të drejtësisë me parashikimet e reja të legjislacionit penal për të miturit </w:t>
            </w:r>
          </w:p>
        </w:tc>
        <w:tc>
          <w:tcPr>
            <w:tcW w:w="270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Plotësimi i kuadrit të nevojshëm nënligjor</w:t>
            </w:r>
          </w:p>
        </w:tc>
        <w:tc>
          <w:tcPr>
            <w:tcW w:w="262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Gjurmim efektiv i çështjeve të të miturve në të gjitha hallkat e sistemit gjyqësor</w:t>
            </w:r>
          </w:p>
        </w:tc>
      </w:tr>
      <w:tr w:rsidR="00493B51" w:rsidTr="00493B51">
        <w:trPr>
          <w:jc w:val="center"/>
        </w:trPr>
        <w:tc>
          <w:tcPr>
            <w:tcW w:w="217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b/>
                <w:spacing w:val="-4"/>
                <w:sz w:val="20"/>
                <w:szCs w:val="20"/>
                <w:lang w:val="sq-AL"/>
              </w:rPr>
              <w:t xml:space="preserve">Parandalimi i ripërfshirjes së të miturve/të rinjve në krime </w:t>
            </w:r>
            <w:r>
              <w:rPr>
                <w:rFonts w:ascii="Garamond" w:hAnsi="Garamond"/>
                <w:b/>
                <w:i/>
                <w:spacing w:val="-4"/>
                <w:sz w:val="20"/>
                <w:szCs w:val="20"/>
                <w:lang w:val="sq-AL"/>
              </w:rPr>
              <w:t>(objektivi strategjik nr. 3)</w:t>
            </w:r>
          </w:p>
        </w:tc>
        <w:tc>
          <w:tcPr>
            <w:tcW w:w="207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Mungesa e shërbimeve dhe e programeve të institucionalizuara për parandalimin e kriminalitetit</w:t>
            </w:r>
          </w:p>
        </w:tc>
        <w:tc>
          <w:tcPr>
            <w:tcW w:w="270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Planifikimi financiar dhe administrativ për funksionimin e Qendrës për Parandalimin e Krimeve te të Miturit dhe të Rinjtë</w:t>
            </w:r>
          </w:p>
        </w:tc>
        <w:tc>
          <w:tcPr>
            <w:tcW w:w="262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Programe dhe plane të standardizuara për vlerësimin e riskut familjar/shoqëror të të miturve dhe të rinjve në konflikt me ligjin</w:t>
            </w:r>
          </w:p>
        </w:tc>
      </w:tr>
      <w:tr w:rsidR="00493B51" w:rsidTr="00493B51">
        <w:trPr>
          <w:jc w:val="center"/>
        </w:trPr>
        <w:tc>
          <w:tcPr>
            <w:tcW w:w="217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b/>
                <w:spacing w:val="-4"/>
                <w:sz w:val="20"/>
                <w:szCs w:val="20"/>
                <w:lang w:val="sq-AL"/>
              </w:rPr>
              <w:t xml:space="preserve">Rishoqërizimi, riintegrimi dhe rehabilitimi i të miturve në kontakt ose konflikt me ligjin </w:t>
            </w:r>
            <w:r>
              <w:rPr>
                <w:rFonts w:ascii="Garamond" w:hAnsi="Garamond"/>
                <w:b/>
                <w:i/>
                <w:spacing w:val="-4"/>
                <w:sz w:val="20"/>
                <w:szCs w:val="20"/>
                <w:lang w:val="sq-AL"/>
              </w:rPr>
              <w:t>(objektivi strategjik nr. 4)</w:t>
            </w:r>
          </w:p>
        </w:tc>
        <w:tc>
          <w:tcPr>
            <w:tcW w:w="207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Mangësi në ofrimin e shërbimeve dhe programeve të institucionalizuara për riintegrimin dhe rehabilitimin e të miturve në konflikt me ligjin</w:t>
            </w:r>
          </w:p>
        </w:tc>
        <w:tc>
          <w:tcPr>
            <w:tcW w:w="270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Iniciimi i projekteve pilot për zbatimin e masave alternative të shmangies dhe të krijimit të qendrave për riintegrimin dhe mbikëqyrjen</w:t>
            </w:r>
          </w:p>
        </w:tc>
        <w:tc>
          <w:tcPr>
            <w:tcW w:w="262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Funksionimi i qendrave/institucioneve edukuese/korrigjuese/rehabili-tuese për të miturit në konflikt me ligjin</w:t>
            </w:r>
          </w:p>
        </w:tc>
      </w:tr>
      <w:tr w:rsidR="00493B51" w:rsidTr="00493B51">
        <w:trPr>
          <w:jc w:val="center"/>
        </w:trPr>
        <w:tc>
          <w:tcPr>
            <w:tcW w:w="217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b/>
                <w:spacing w:val="-4"/>
                <w:sz w:val="20"/>
                <w:szCs w:val="20"/>
                <w:lang w:val="sq-AL"/>
              </w:rPr>
            </w:pPr>
            <w:r>
              <w:rPr>
                <w:rFonts w:ascii="Garamond" w:hAnsi="Garamond"/>
                <w:b/>
                <w:spacing w:val="-4"/>
                <w:sz w:val="20"/>
                <w:szCs w:val="20"/>
                <w:lang w:val="sq-AL"/>
              </w:rPr>
              <w:t xml:space="preserve">Forcimi i bashkëpunimit të institucioneve të sistemit të drejtësisë për të mitur </w:t>
            </w:r>
            <w:r>
              <w:rPr>
                <w:rFonts w:ascii="Garamond" w:hAnsi="Garamond"/>
                <w:b/>
                <w:i/>
                <w:spacing w:val="-4"/>
                <w:sz w:val="20"/>
                <w:szCs w:val="20"/>
                <w:lang w:val="sq-AL"/>
              </w:rPr>
              <w:t>(objektivi strategjik nr. 5)</w:t>
            </w:r>
          </w:p>
        </w:tc>
        <w:tc>
          <w:tcPr>
            <w:tcW w:w="207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Mungesa e koordinimit ndërinstitucional për çështjet e drejtësisë për të miturit</w:t>
            </w:r>
          </w:p>
        </w:tc>
        <w:tc>
          <w:tcPr>
            <w:tcW w:w="2700"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Ngritja e rrjetit ndërinstitucional në nivel qendror</w:t>
            </w:r>
          </w:p>
        </w:tc>
        <w:tc>
          <w:tcPr>
            <w:tcW w:w="2628" w:type="dxa"/>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20"/>
                <w:szCs w:val="20"/>
                <w:lang w:val="sq-AL"/>
              </w:rPr>
            </w:pPr>
            <w:r>
              <w:rPr>
                <w:rFonts w:ascii="Garamond" w:hAnsi="Garamond"/>
                <w:spacing w:val="-4"/>
                <w:sz w:val="20"/>
                <w:szCs w:val="20"/>
                <w:lang w:val="sq-AL"/>
              </w:rPr>
              <w:t>Funksionimi efikas i komunitetit të praktikantëve pranë çdo seksioni gjyqësor të specializuar për të miturit</w:t>
            </w:r>
          </w:p>
        </w:tc>
      </w:tr>
    </w:tbl>
    <w:p w:rsidR="00493B51" w:rsidRDefault="00493B51" w:rsidP="00493B51">
      <w:pPr>
        <w:pStyle w:val="Paragrafi"/>
        <w:rPr>
          <w:lang w:val="sq-AL"/>
        </w:rPr>
      </w:pPr>
    </w:p>
    <w:p w:rsidR="00493B51" w:rsidRDefault="00493B51" w:rsidP="00493B51">
      <w:pPr>
        <w:spacing w:after="0" w:line="240" w:lineRule="auto"/>
        <w:ind w:firstLine="0"/>
        <w:jc w:val="left"/>
        <w:rPr>
          <w:rFonts w:ascii="Garamond" w:eastAsia="MS Mincho" w:hAnsi="Garamond" w:cs="CG Times"/>
          <w:sz w:val="24"/>
          <w:lang w:val="sq-AL"/>
        </w:rPr>
        <w:sectPr w:rsidR="00493B51" w:rsidSect="00493B51">
          <w:type w:val="continuous"/>
          <w:pgSz w:w="11907" w:h="16840"/>
          <w:pgMar w:top="720" w:right="1134" w:bottom="720" w:left="1134" w:header="851" w:footer="851" w:gutter="0"/>
          <w:cols w:space="720"/>
        </w:sectPr>
      </w:pPr>
    </w:p>
    <w:p w:rsidR="00493B51" w:rsidRDefault="00493B51" w:rsidP="00493B51">
      <w:pPr>
        <w:widowControl w:val="0"/>
        <w:spacing w:after="0"/>
        <w:jc w:val="center"/>
        <w:rPr>
          <w:rFonts w:ascii="Garamond" w:hAnsi="Garamond"/>
          <w:sz w:val="24"/>
          <w:szCs w:val="24"/>
          <w:lang w:val="sq-AL"/>
        </w:rPr>
      </w:pPr>
      <w:bookmarkStart w:id="22" w:name="_Toc502248447"/>
      <w:r>
        <w:rPr>
          <w:rFonts w:ascii="Garamond" w:hAnsi="Garamond"/>
          <w:sz w:val="24"/>
          <w:szCs w:val="24"/>
          <w:lang w:val="sq-AL"/>
        </w:rPr>
        <w:lastRenderedPageBreak/>
        <w:t>ANEKS 1</w:t>
      </w:r>
    </w:p>
    <w:p w:rsidR="00493B51" w:rsidRDefault="00493B51" w:rsidP="00493B51">
      <w:pPr>
        <w:widowControl w:val="0"/>
        <w:spacing w:after="0"/>
        <w:jc w:val="center"/>
        <w:rPr>
          <w:rFonts w:ascii="Garamond" w:hAnsi="Garamond"/>
          <w:sz w:val="24"/>
          <w:szCs w:val="24"/>
          <w:lang w:val="sq-AL"/>
        </w:rPr>
      </w:pPr>
      <w:r>
        <w:rPr>
          <w:rFonts w:ascii="Garamond" w:hAnsi="Garamond"/>
          <w:sz w:val="24"/>
          <w:szCs w:val="24"/>
          <w:lang w:val="sq-AL"/>
        </w:rPr>
        <w:t>PLANI I VEPRIMIT TË STRATEGJISË SË DREJTËSISË PËR TË MITUR</w:t>
      </w:r>
      <w:bookmarkEnd w:id="22"/>
    </w:p>
    <w:p w:rsidR="00493B51" w:rsidRDefault="00493B51" w:rsidP="00493B51">
      <w:pPr>
        <w:pStyle w:val="Paragrafi"/>
        <w:rPr>
          <w:sz w:val="14"/>
          <w:szCs w:val="14"/>
          <w:lang w:val="sq-AL"/>
        </w:rPr>
      </w:pP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204"/>
        <w:gridCol w:w="2182"/>
        <w:gridCol w:w="17"/>
        <w:gridCol w:w="1549"/>
        <w:gridCol w:w="1324"/>
        <w:gridCol w:w="146"/>
        <w:gridCol w:w="1318"/>
        <w:gridCol w:w="1552"/>
        <w:gridCol w:w="1139"/>
        <w:gridCol w:w="1496"/>
        <w:gridCol w:w="2074"/>
      </w:tblGrid>
      <w:tr w:rsidR="00493B51" w:rsidTr="00493B51">
        <w:trPr>
          <w:trHeight w:val="184"/>
          <w:tblHeader/>
          <w:jc w:val="center"/>
        </w:trPr>
        <w:tc>
          <w:tcPr>
            <w:tcW w:w="200" w:type="pct"/>
            <w:vMerge w:val="restar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tabs>
                <w:tab w:val="left" w:pos="700"/>
              </w:tabs>
              <w:spacing w:after="0" w:line="240" w:lineRule="auto"/>
              <w:ind w:firstLine="0"/>
              <w:rPr>
                <w:rFonts w:ascii="Garamond" w:hAnsi="Garamond"/>
                <w:spacing w:val="-4"/>
                <w:sz w:val="18"/>
                <w:szCs w:val="18"/>
                <w:lang w:val="sq-AL"/>
              </w:rPr>
            </w:pPr>
            <w:r>
              <w:rPr>
                <w:rFonts w:ascii="Garamond" w:hAnsi="Garamond"/>
                <w:b/>
                <w:bCs/>
                <w:spacing w:val="-4"/>
                <w:sz w:val="18"/>
                <w:szCs w:val="18"/>
                <w:lang w:val="sq-AL"/>
              </w:rPr>
              <w:t xml:space="preserve">Nr. </w:t>
            </w:r>
          </w:p>
        </w:tc>
        <w:tc>
          <w:tcPr>
            <w:tcW w:w="706" w:type="pct"/>
            <w:vMerge w:val="restar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b/>
                <w:spacing w:val="-4"/>
                <w:sz w:val="18"/>
                <w:szCs w:val="18"/>
                <w:lang w:val="sq-AL"/>
              </w:rPr>
            </w:pPr>
            <w:r>
              <w:rPr>
                <w:rFonts w:ascii="Garamond" w:hAnsi="Garamond"/>
                <w:b/>
                <w:bCs/>
                <w:spacing w:val="-4"/>
                <w:sz w:val="18"/>
                <w:szCs w:val="18"/>
                <w:lang w:val="sq-AL"/>
              </w:rPr>
              <w:t>Objektivat specifikë</w:t>
            </w:r>
          </w:p>
        </w:tc>
        <w:tc>
          <w:tcPr>
            <w:tcW w:w="705"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b/>
                <w:bCs/>
                <w:spacing w:val="-4"/>
                <w:sz w:val="18"/>
                <w:szCs w:val="18"/>
                <w:lang w:val="sq-AL"/>
              </w:rPr>
              <w:t>Aktivitetet</w:t>
            </w:r>
          </w:p>
        </w:tc>
        <w:tc>
          <w:tcPr>
            <w:tcW w:w="496"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b/>
                <w:bCs/>
                <w:spacing w:val="-4"/>
                <w:sz w:val="18"/>
                <w:szCs w:val="18"/>
                <w:lang w:val="sq-AL" w:eastAsia="sq-AL"/>
              </w:rPr>
            </w:pPr>
          </w:p>
          <w:p w:rsidR="00493B51" w:rsidRDefault="00493B51">
            <w:pPr>
              <w:widowControl w:val="0"/>
              <w:spacing w:after="0" w:line="240" w:lineRule="auto"/>
              <w:ind w:firstLine="0"/>
              <w:jc w:val="center"/>
              <w:rPr>
                <w:rFonts w:ascii="Garamond" w:hAnsi="Garamond"/>
                <w:b/>
                <w:bCs/>
                <w:spacing w:val="-4"/>
                <w:sz w:val="18"/>
                <w:szCs w:val="18"/>
                <w:lang w:val="sq-AL" w:eastAsia="sq-AL"/>
              </w:rPr>
            </w:pPr>
            <w:r>
              <w:rPr>
                <w:rFonts w:ascii="Garamond" w:hAnsi="Garamond"/>
                <w:b/>
                <w:bCs/>
                <w:spacing w:val="-4"/>
                <w:sz w:val="18"/>
                <w:szCs w:val="18"/>
                <w:lang w:val="sq-AL" w:eastAsia="sq-AL"/>
              </w:rPr>
              <w:t>Afati i realizimit</w:t>
            </w:r>
          </w:p>
        </w:tc>
        <w:tc>
          <w:tcPr>
            <w:tcW w:w="1390" w:type="pct"/>
            <w:gridSpan w:val="4"/>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
                <w:bCs/>
                <w:spacing w:val="-4"/>
                <w:sz w:val="18"/>
                <w:szCs w:val="18"/>
                <w:lang w:val="sq-AL" w:eastAsia="sq-AL"/>
              </w:rPr>
            </w:pPr>
            <w:r>
              <w:rPr>
                <w:rFonts w:ascii="Garamond" w:hAnsi="Garamond"/>
                <w:b/>
                <w:bCs/>
                <w:spacing w:val="-4"/>
                <w:sz w:val="18"/>
                <w:szCs w:val="18"/>
                <w:lang w:val="sq-AL" w:eastAsia="sq-AL"/>
              </w:rPr>
              <w:t>Efektet financiare dhe burimet në lekë</w:t>
            </w:r>
          </w:p>
        </w:tc>
        <w:tc>
          <w:tcPr>
            <w:tcW w:w="360" w:type="pct"/>
            <w:vMerge w:val="restar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b/>
                <w:bCs/>
                <w:spacing w:val="-4"/>
                <w:sz w:val="18"/>
                <w:szCs w:val="18"/>
                <w:lang w:val="sq-AL" w:eastAsia="sq-AL"/>
              </w:rPr>
              <w:t>Komente</w:t>
            </w:r>
          </w:p>
        </w:tc>
        <w:tc>
          <w:tcPr>
            <w:tcW w:w="479" w:type="pct"/>
            <w:vMerge w:val="restar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b/>
                <w:bCs/>
                <w:spacing w:val="-4"/>
                <w:sz w:val="18"/>
                <w:szCs w:val="18"/>
                <w:lang w:val="sq-AL" w:eastAsia="sq-AL"/>
              </w:rPr>
              <w:t xml:space="preserve">Institucionet përgjegjëse </w:t>
            </w:r>
          </w:p>
        </w:tc>
        <w:tc>
          <w:tcPr>
            <w:tcW w:w="664" w:type="pct"/>
            <w:vMerge w:val="restar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b/>
                <w:bCs/>
                <w:spacing w:val="-4"/>
                <w:sz w:val="18"/>
                <w:szCs w:val="18"/>
                <w:lang w:val="sq-AL" w:eastAsia="sq-AL"/>
              </w:rPr>
            </w:pPr>
            <w:r>
              <w:rPr>
                <w:rFonts w:ascii="Garamond" w:hAnsi="Garamond"/>
                <w:b/>
                <w:bCs/>
                <w:spacing w:val="-4"/>
                <w:sz w:val="18"/>
                <w:szCs w:val="18"/>
                <w:lang w:val="sq-AL" w:eastAsia="sq-AL"/>
              </w:rPr>
              <w:t>Indikatorët e zbatimit</w:t>
            </w:r>
          </w:p>
        </w:tc>
      </w:tr>
      <w:tr w:rsidR="00493B51" w:rsidTr="00493B51">
        <w:trPr>
          <w:trHeight w:val="33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spacing w:val="-4"/>
                <w:sz w:val="18"/>
                <w:szCs w:val="18"/>
                <w:lang w:val="sq-AL"/>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eastAsia="sq-AL"/>
              </w:rPr>
            </w:pPr>
          </w:p>
        </w:tc>
        <w:tc>
          <w:tcPr>
            <w:tcW w:w="424" w:type="pc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b/>
                <w:spacing w:val="-4"/>
                <w:sz w:val="18"/>
                <w:szCs w:val="18"/>
                <w:lang w:val="sq-AL"/>
              </w:rPr>
            </w:pPr>
            <w:r>
              <w:rPr>
                <w:rFonts w:ascii="Garamond" w:hAnsi="Garamond"/>
                <w:b/>
                <w:bCs/>
                <w:spacing w:val="-4"/>
                <w:sz w:val="18"/>
                <w:szCs w:val="18"/>
                <w:lang w:val="sq-AL" w:eastAsia="sq-AL"/>
              </w:rPr>
              <w:t xml:space="preserve">Shpenzime </w:t>
            </w:r>
            <w:r>
              <w:rPr>
                <w:rFonts w:ascii="Garamond" w:hAnsi="Garamond"/>
                <w:b/>
                <w:spacing w:val="-4"/>
                <w:sz w:val="18"/>
                <w:szCs w:val="18"/>
                <w:lang w:val="sq-AL"/>
              </w:rPr>
              <w:t>korrente</w:t>
            </w:r>
          </w:p>
        </w:tc>
        <w:tc>
          <w:tcPr>
            <w:tcW w:w="469" w:type="pct"/>
            <w:gridSpan w:val="2"/>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b/>
                <w:spacing w:val="-4"/>
                <w:sz w:val="18"/>
                <w:szCs w:val="18"/>
                <w:lang w:val="sq-AL"/>
              </w:rPr>
            </w:pPr>
            <w:r>
              <w:rPr>
                <w:rFonts w:ascii="Garamond" w:hAnsi="Garamond"/>
                <w:b/>
                <w:bCs/>
                <w:spacing w:val="-4"/>
                <w:sz w:val="18"/>
                <w:szCs w:val="18"/>
                <w:lang w:val="sq-AL" w:eastAsia="sq-AL"/>
              </w:rPr>
              <w:t xml:space="preserve">Shpenzime </w:t>
            </w:r>
            <w:r>
              <w:rPr>
                <w:rFonts w:ascii="Garamond" w:hAnsi="Garamond"/>
                <w:b/>
                <w:spacing w:val="-4"/>
                <w:sz w:val="18"/>
                <w:szCs w:val="18"/>
                <w:lang w:val="sq-AL"/>
              </w:rPr>
              <w:t>kapitale</w:t>
            </w:r>
          </w:p>
        </w:tc>
        <w:tc>
          <w:tcPr>
            <w:tcW w:w="497" w:type="pct"/>
            <w:tcBorders>
              <w:top w:val="single" w:sz="4" w:space="0" w:color="auto"/>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jc w:val="center"/>
              <w:rPr>
                <w:rFonts w:ascii="Garamond" w:hAnsi="Garamond"/>
                <w:b/>
                <w:spacing w:val="-4"/>
                <w:sz w:val="18"/>
                <w:szCs w:val="18"/>
                <w:lang w:val="sq-AL"/>
              </w:rPr>
            </w:pPr>
            <w:r>
              <w:rPr>
                <w:rFonts w:ascii="Garamond" w:hAnsi="Garamond"/>
                <w:b/>
                <w:bCs/>
                <w:spacing w:val="-4"/>
                <w:sz w:val="18"/>
                <w:szCs w:val="18"/>
                <w:lang w:val="sq-AL" w:eastAsia="sq-AL"/>
              </w:rPr>
              <w:t>Nevojat për fonde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eastAsia="sq-AL"/>
              </w:rPr>
            </w:pPr>
          </w:p>
        </w:tc>
      </w:tr>
      <w:tr w:rsidR="00493B51" w:rsidTr="00493B51">
        <w:trPr>
          <w:trHeight w:val="1421"/>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2F5496" w:themeFill="accent5" w:themeFillShade="BF"/>
          </w:tcPr>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r>
              <w:rPr>
                <w:rFonts w:ascii="Garamond" w:hAnsi="Garamond"/>
                <w:b/>
                <w:color w:val="FFFFFF"/>
                <w:spacing w:val="-4"/>
                <w:sz w:val="18"/>
                <w:szCs w:val="18"/>
                <w:lang w:val="sq-AL"/>
              </w:rPr>
              <w:t>Objektivi nr. 1. Garantimi i aksesit të të miturit në drejtësi</w:t>
            </w: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p>
          <w:p w:rsidR="00493B51" w:rsidRDefault="00493B51">
            <w:pPr>
              <w:pStyle w:val="ListParagraph"/>
              <w:widowControl w:val="0"/>
              <w:spacing w:after="0" w:line="240" w:lineRule="auto"/>
              <w:ind w:left="0"/>
              <w:jc w:val="both"/>
              <w:rPr>
                <w:rFonts w:ascii="Garamond" w:hAnsi="Garamond"/>
                <w:bCs/>
                <w:i/>
                <w:color w:val="000000" w:themeColor="text1"/>
                <w:spacing w:val="-4"/>
                <w:sz w:val="18"/>
                <w:szCs w:val="18"/>
                <w:shd w:val="clear" w:color="auto" w:fill="31849B"/>
                <w:lang w:val="sq-AL"/>
              </w:rPr>
            </w:pPr>
            <w:r>
              <w:rPr>
                <w:rFonts w:ascii="Garamond" w:hAnsi="Garamond"/>
                <w:i/>
                <w:color w:val="000000" w:themeColor="text1"/>
                <w:spacing w:val="-4"/>
                <w:sz w:val="18"/>
                <w:szCs w:val="18"/>
                <w:lang w:val="sq-AL"/>
              </w:rPr>
              <w:t xml:space="preserve">Indikatorët: </w:t>
            </w:r>
            <w:r>
              <w:rPr>
                <w:rFonts w:ascii="Garamond" w:hAnsi="Garamond"/>
                <w:bCs/>
                <w:i/>
                <w:color w:val="000000" w:themeColor="text1"/>
                <w:spacing w:val="-4"/>
                <w:sz w:val="18"/>
                <w:szCs w:val="18"/>
                <w:lang w:val="sq-AL"/>
              </w:rPr>
              <w:t>Numri i strukturave dhe i profesionistëve që ofrojnë ndihmë ligjore:</w:t>
            </w:r>
          </w:p>
          <w:p w:rsidR="00493B51" w:rsidRDefault="00493B51">
            <w:pPr>
              <w:pStyle w:val="ListParagraph"/>
              <w:widowControl w:val="0"/>
              <w:numPr>
                <w:ilvl w:val="0"/>
                <w:numId w:val="18"/>
              </w:numPr>
              <w:spacing w:after="0" w:line="240" w:lineRule="auto"/>
              <w:ind w:left="0" w:firstLine="0"/>
              <w:jc w:val="both"/>
              <w:rPr>
                <w:rFonts w:ascii="Garamond" w:hAnsi="Garamond"/>
                <w:bCs/>
                <w:i/>
                <w:color w:val="000000" w:themeColor="text1"/>
                <w:spacing w:val="-4"/>
                <w:sz w:val="18"/>
                <w:szCs w:val="18"/>
                <w:lang w:val="sq-AL"/>
              </w:rPr>
            </w:pPr>
            <w:r>
              <w:rPr>
                <w:rFonts w:ascii="Garamond" w:hAnsi="Garamond"/>
                <w:bCs/>
                <w:i/>
                <w:color w:val="000000" w:themeColor="text1"/>
                <w:spacing w:val="-4"/>
                <w:sz w:val="18"/>
                <w:szCs w:val="18"/>
                <w:shd w:val="clear" w:color="auto" w:fill="31849B"/>
                <w:lang w:val="sq-AL"/>
              </w:rPr>
              <w:t xml:space="preserve"> numri i institucioneve të rikostruktuara në përshtatje me nevojat e të miturve;</w:t>
            </w:r>
          </w:p>
          <w:p w:rsidR="00493B51" w:rsidRDefault="00493B51">
            <w:pPr>
              <w:pStyle w:val="ListParagraph"/>
              <w:widowControl w:val="0"/>
              <w:numPr>
                <w:ilvl w:val="0"/>
                <w:numId w:val="18"/>
              </w:numPr>
              <w:spacing w:after="0" w:line="240" w:lineRule="auto"/>
              <w:ind w:left="0" w:firstLine="0"/>
              <w:jc w:val="both"/>
              <w:rPr>
                <w:rFonts w:ascii="Garamond" w:hAnsi="Garamond"/>
                <w:bCs/>
                <w:i/>
                <w:color w:val="000000" w:themeColor="text1"/>
                <w:spacing w:val="-4"/>
                <w:sz w:val="18"/>
                <w:szCs w:val="18"/>
                <w:lang w:val="sq-AL"/>
              </w:rPr>
            </w:pPr>
            <w:r>
              <w:rPr>
                <w:rFonts w:ascii="Garamond" w:hAnsi="Garamond"/>
                <w:bCs/>
                <w:i/>
                <w:color w:val="000000" w:themeColor="text1"/>
                <w:spacing w:val="-4"/>
                <w:sz w:val="18"/>
                <w:szCs w:val="18"/>
                <w:lang w:val="sq-AL"/>
              </w:rPr>
              <w:t xml:space="preserve"> numri i aktiviteteve senbizilizuese për drejtësinë për të miturit;</w:t>
            </w:r>
          </w:p>
          <w:p w:rsidR="00493B51" w:rsidRDefault="00493B51">
            <w:pPr>
              <w:pStyle w:val="ListParagraph"/>
              <w:widowControl w:val="0"/>
              <w:numPr>
                <w:ilvl w:val="0"/>
                <w:numId w:val="18"/>
              </w:numPr>
              <w:spacing w:after="0" w:line="240" w:lineRule="auto"/>
              <w:ind w:left="0" w:firstLine="0"/>
              <w:jc w:val="both"/>
              <w:rPr>
                <w:rFonts w:ascii="Garamond" w:hAnsi="Garamond"/>
                <w:bCs/>
                <w:i/>
                <w:color w:val="000000" w:themeColor="text1"/>
                <w:spacing w:val="-4"/>
                <w:sz w:val="18"/>
                <w:szCs w:val="18"/>
                <w:lang w:val="sq-AL"/>
              </w:rPr>
            </w:pPr>
            <w:r>
              <w:rPr>
                <w:rFonts w:ascii="Garamond" w:hAnsi="Garamond"/>
                <w:bCs/>
                <w:i/>
                <w:color w:val="000000" w:themeColor="text1"/>
                <w:spacing w:val="-4"/>
                <w:sz w:val="18"/>
                <w:szCs w:val="18"/>
                <w:lang w:val="sq-AL"/>
              </w:rPr>
              <w:t xml:space="preserve"> numri i fëmijëve që marrin ndihmë ligjore.</w:t>
            </w:r>
          </w:p>
          <w:p w:rsidR="00493B51" w:rsidRDefault="00493B51">
            <w:pPr>
              <w:pStyle w:val="ListParagraph"/>
              <w:widowControl w:val="0"/>
              <w:shd w:val="clear" w:color="auto" w:fill="31849B"/>
              <w:spacing w:after="0" w:line="240" w:lineRule="auto"/>
              <w:ind w:left="0"/>
              <w:jc w:val="both"/>
              <w:rPr>
                <w:rFonts w:ascii="Garamond" w:hAnsi="Garamond"/>
                <w:b/>
                <w:bCs/>
                <w:spacing w:val="-4"/>
                <w:sz w:val="18"/>
                <w:szCs w:val="18"/>
                <w:lang w:val="sq-AL"/>
              </w:rPr>
            </w:pPr>
          </w:p>
        </w:tc>
      </w:tr>
      <w:tr w:rsidR="00493B51" w:rsidTr="00493B51">
        <w:trPr>
          <w:trHeight w:val="861"/>
          <w:jc w:val="center"/>
        </w:trPr>
        <w:tc>
          <w:tcPr>
            <w:tcW w:w="200"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1.</w:t>
            </w:r>
          </w:p>
        </w:tc>
        <w:tc>
          <w:tcPr>
            <w:tcW w:w="706"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Ofrimi i ndihmës juridike për përfituesit e mitur që ky shërbim të jetë i shpejtë, profesional dhe efektiv. </w:t>
            </w:r>
          </w:p>
        </w:tc>
        <w:tc>
          <w:tcPr>
            <w:tcW w:w="705" w:type="pct"/>
            <w:gridSpan w:val="2"/>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1.1 Krijimi i kuadrit rregullator për ofrimin e ndihmës juridike për përfituesit e mitur.</w:t>
            </w:r>
          </w:p>
          <w:p w:rsidR="00493B51" w:rsidRDefault="00493B51">
            <w:pPr>
              <w:widowControl w:val="0"/>
              <w:spacing w:after="0" w:line="240" w:lineRule="auto"/>
              <w:ind w:firstLine="0"/>
              <w:rPr>
                <w:rFonts w:ascii="Garamond" w:hAnsi="Garamond"/>
                <w:spacing w:val="-4"/>
                <w:sz w:val="18"/>
                <w:szCs w:val="18"/>
                <w:lang w:val="sq-AL"/>
              </w:rPr>
            </w:pPr>
          </w:p>
          <w:p w:rsidR="00493B51" w:rsidRDefault="00493B51">
            <w:pPr>
              <w:widowControl w:val="0"/>
              <w:spacing w:after="0" w:line="240" w:lineRule="auto"/>
              <w:ind w:firstLine="0"/>
              <w:rPr>
                <w:rFonts w:ascii="Garamond" w:hAnsi="Garamond"/>
                <w:spacing w:val="-4"/>
                <w:sz w:val="18"/>
                <w:szCs w:val="18"/>
                <w:lang w:val="sq-AL"/>
              </w:rPr>
            </w:pPr>
          </w:p>
          <w:p w:rsidR="00493B51" w:rsidRDefault="00493B51">
            <w:pPr>
              <w:widowControl w:val="0"/>
              <w:spacing w:after="0" w:line="240" w:lineRule="auto"/>
              <w:ind w:firstLine="0"/>
              <w:rPr>
                <w:rFonts w:ascii="Garamond" w:hAnsi="Garamond"/>
                <w:spacing w:val="-4"/>
                <w:sz w:val="18"/>
                <w:szCs w:val="18"/>
                <w:lang w:val="sq-AL"/>
              </w:rPr>
            </w:pPr>
          </w:p>
          <w:p w:rsidR="00493B51" w:rsidRDefault="00493B51">
            <w:pPr>
              <w:widowControl w:val="0"/>
              <w:spacing w:after="0" w:line="240" w:lineRule="auto"/>
              <w:ind w:firstLine="0"/>
              <w:rPr>
                <w:rFonts w:ascii="Garamond" w:hAnsi="Garamond"/>
                <w:spacing w:val="-4"/>
                <w:sz w:val="18"/>
                <w:szCs w:val="18"/>
                <w:lang w:val="sq-AL"/>
              </w:rPr>
            </w:pP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2018–2019</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1,040,120.00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36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bCs/>
                <w:spacing w:val="-4"/>
                <w:sz w:val="18"/>
                <w:szCs w:val="18"/>
                <w:lang w:val="sq-AL" w:eastAsia="sq-AL"/>
              </w:rPr>
              <w:t>Ligji nr. 111/2017 për ndihmën juridike të garantuar nga shteti hyn në fuqi në datën 1 qershor 2018.</w:t>
            </w:r>
          </w:p>
          <w:p w:rsidR="00493B51" w:rsidRDefault="00493B51">
            <w:pPr>
              <w:widowControl w:val="0"/>
              <w:spacing w:after="0" w:line="240" w:lineRule="auto"/>
              <w:ind w:firstLine="0"/>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MD</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Drejtoria e Ndihmës Juridike Falas </w:t>
            </w:r>
          </w:p>
          <w:p w:rsidR="00493B51" w:rsidRDefault="00493B51">
            <w:pPr>
              <w:widowControl w:val="0"/>
              <w:spacing w:after="0" w:line="240" w:lineRule="auto"/>
              <w:ind w:firstLine="0"/>
              <w:rPr>
                <w:rFonts w:ascii="Garamond" w:hAnsi="Garamond"/>
                <w:spacing w:val="-4"/>
                <w:sz w:val="18"/>
                <w:szCs w:val="18"/>
                <w:lang w:val="sq-AL"/>
              </w:rPr>
            </w:pP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Miratimi i 2 (dy) formularëve të vetë-deklarimit për përfitimin e ndihmës juridike, për:</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1. Viktimat e mitura; </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 Të miturit në konflikt me ligjin.</w:t>
            </w:r>
          </w:p>
        </w:tc>
      </w:tr>
      <w:tr w:rsidR="00493B51" w:rsidTr="00493B51">
        <w:trPr>
          <w:trHeight w:val="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705"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1.2 Përmirësimi i kuadrit profesional në ofrimin e ndihmës juridike për përfituesit e mitur.</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2019–2021</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390,000.00</w:t>
            </w:r>
          </w:p>
        </w:tc>
        <w:tc>
          <w:tcPr>
            <w:tcW w:w="469" w:type="pct"/>
            <w:gridSpan w:val="2"/>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390,000.00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Drejtoria e Ndihmës Juridike Falas (MD)</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DHKA</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DPA</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OJF/Donatorët</w:t>
            </w: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Zhvillimi i 2 (dy) trajnimeve në vit për punonjësit që do të ofrojnë ndihmë falas parësore dhe dytësore për të mitur, </w:t>
            </w:r>
            <w:r>
              <w:rPr>
                <w:rFonts w:ascii="Garamond" w:hAnsi="Garamond"/>
                <w:i/>
                <w:spacing w:val="-4"/>
                <w:sz w:val="18"/>
                <w:szCs w:val="18"/>
                <w:lang w:val="sq-AL"/>
              </w:rPr>
              <w:t>si dhe të përfaqësuesve proceduralë nga punonjësit e mbrojtjes së fëmijëve.</w:t>
            </w:r>
          </w:p>
        </w:tc>
      </w:tr>
      <w:tr w:rsidR="00493B51" w:rsidTr="00493B51">
        <w:trPr>
          <w:trHeight w:val="1358"/>
          <w:jc w:val="center"/>
        </w:trPr>
        <w:tc>
          <w:tcPr>
            <w:tcW w:w="200"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2.</w:t>
            </w:r>
          </w:p>
        </w:tc>
        <w:tc>
          <w:tcPr>
            <w:tcW w:w="70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
                <w:spacing w:val="-4"/>
                <w:sz w:val="18"/>
                <w:szCs w:val="18"/>
                <w:lang w:val="sq-AL"/>
              </w:rPr>
            </w:pPr>
            <w:r>
              <w:rPr>
                <w:rFonts w:ascii="Garamond" w:hAnsi="Garamond"/>
                <w:spacing w:val="-4"/>
                <w:sz w:val="18"/>
                <w:szCs w:val="18"/>
                <w:lang w:val="sq-AL"/>
              </w:rPr>
              <w:t>Krijimi i kushteve infrastrukturore të përshtatshme me nevojat e të miturve.</w:t>
            </w:r>
          </w:p>
        </w:tc>
        <w:tc>
          <w:tcPr>
            <w:tcW w:w="705"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2.1 Përshtatja e mjediseve në polici, prokurori, gjykata dhe në institucione të tjera ligjzbatuese.</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2019–2021</w:t>
            </w:r>
          </w:p>
        </w:tc>
        <w:tc>
          <w:tcPr>
            <w:tcW w:w="424" w:type="pct"/>
            <w:tcBorders>
              <w:top w:val="single" w:sz="4" w:space="0" w:color="auto"/>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21,125,400.00</w:t>
            </w:r>
          </w:p>
        </w:tc>
        <w:tc>
          <w:tcPr>
            <w:tcW w:w="497" w:type="pct"/>
            <w:tcBorders>
              <w:top w:val="single" w:sz="4" w:space="0" w:color="auto"/>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21,125,400.00</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36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MD</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MB </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DPB</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DPPSH</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DPSHP</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KLGJ</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KLP</w:t>
            </w:r>
          </w:p>
          <w:p w:rsidR="00493B51" w:rsidRDefault="00493B51">
            <w:pPr>
              <w:widowControl w:val="0"/>
              <w:spacing w:after="0" w:line="240" w:lineRule="auto"/>
              <w:ind w:firstLine="0"/>
              <w:rPr>
                <w:rFonts w:ascii="Garamond" w:hAnsi="Garamond"/>
                <w:spacing w:val="-4"/>
                <w:sz w:val="18"/>
                <w:szCs w:val="18"/>
                <w:lang w:val="sq-AL"/>
              </w:rPr>
            </w:pP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Përshtatja sipas nevojave të të miturve në ambientet e policisë, gjykata dhe prokurori.</w:t>
            </w:r>
          </w:p>
        </w:tc>
      </w:tr>
      <w:tr w:rsidR="00493B51" w:rsidTr="00493B51">
        <w:trPr>
          <w:trHeight w:val="2817"/>
          <w:jc w:val="center"/>
        </w:trPr>
        <w:tc>
          <w:tcPr>
            <w:tcW w:w="200"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lastRenderedPageBreak/>
              <w:t xml:space="preserve">3. </w:t>
            </w:r>
          </w:p>
        </w:tc>
        <w:tc>
          <w:tcPr>
            <w:tcW w:w="70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Fushata sensibilizuese për aksesin e të miturve në drejtësi dhe të shërbimeve që ofron sistemi për ta</w:t>
            </w:r>
          </w:p>
        </w:tc>
        <w:tc>
          <w:tcPr>
            <w:tcW w:w="705"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3.1. Zhvillimi i aktiviteteve sensibilizuese në lidhje me të drejtat e të miturve autor, viktima, dëshmitar dhe shërbimet që mund të përfitojnë </w:t>
            </w:r>
            <w:r>
              <w:rPr>
                <w:rFonts w:ascii="Garamond" w:hAnsi="Garamond"/>
                <w:i/>
                <w:spacing w:val="-4"/>
                <w:sz w:val="18"/>
                <w:szCs w:val="18"/>
                <w:lang w:val="sq-AL"/>
              </w:rPr>
              <w:t>nëpërmjet garantimit të së drejtës së fëmijës për informacion e këshillim ligjor përmes përfshirjes në kurrikulat shkollore të moduleve të edukimit ligjor</w:t>
            </w:r>
            <w:r>
              <w:rPr>
                <w:rFonts w:ascii="Garamond" w:hAnsi="Garamond"/>
                <w:i/>
                <w:color w:val="FF0000"/>
                <w:spacing w:val="-4"/>
                <w:sz w:val="18"/>
                <w:szCs w:val="18"/>
                <w:lang w:val="sq-AL"/>
              </w:rPr>
              <w:t>.</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2018–2021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6,000,000.00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eastAsia="sq-AL"/>
              </w:rPr>
            </w:pPr>
          </w:p>
        </w:tc>
        <w:tc>
          <w:tcPr>
            <w:tcW w:w="497" w:type="pct"/>
            <w:tcBorders>
              <w:top w:val="single" w:sz="4" w:space="0" w:color="auto"/>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3,000,000.00</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Drejtoria e Ndihmës Juridike Falas (MD)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DHKA</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Gjykata/ KLGJ</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Prokurori/ KLP</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MB</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AP</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DPPSH</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MSHMS</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MASR</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ASHDMF</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OJF/</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Donatorët</w:t>
            </w:r>
          </w:p>
        </w:tc>
        <w:tc>
          <w:tcPr>
            <w:tcW w:w="664"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1. Hartimi i 1 (një) plani ndërgjegjësimi </w:t>
            </w:r>
          </w:p>
          <w:p w:rsidR="00493B51" w:rsidRDefault="00493B51">
            <w:pPr>
              <w:widowControl w:val="0"/>
              <w:spacing w:after="0" w:line="240" w:lineRule="auto"/>
              <w:ind w:firstLine="0"/>
              <w:rPr>
                <w:rFonts w:ascii="Garamond" w:hAnsi="Garamond"/>
                <w:spacing w:val="-4"/>
                <w:sz w:val="18"/>
                <w:szCs w:val="18"/>
                <w:lang w:val="sq-AL"/>
              </w:rPr>
            </w:pP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2. Zhvillimi i 10-20 në vit i aktiviteteve sensibilizuese pranë institucioneve arsimore, shëndetësore, vendore, penitenciare, gjyqësore dhe të tjera. </w:t>
            </w:r>
          </w:p>
        </w:tc>
      </w:tr>
      <w:tr w:rsidR="00493B51" w:rsidTr="00493B51">
        <w:trPr>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31849B"/>
          </w:tcPr>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r>
              <w:rPr>
                <w:rFonts w:ascii="Garamond" w:hAnsi="Garamond"/>
                <w:b/>
                <w:color w:val="FFFFFF"/>
                <w:spacing w:val="-4"/>
                <w:sz w:val="18"/>
                <w:szCs w:val="18"/>
                <w:lang w:val="sq-AL"/>
              </w:rPr>
              <w:t>Objektivi nr. 2. Garantimi i procesit të rregullt ligjor për të miturit</w:t>
            </w: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p>
          <w:p w:rsidR="00493B51" w:rsidRDefault="00493B51">
            <w:pPr>
              <w:widowControl w:val="0"/>
              <w:spacing w:after="0" w:line="240" w:lineRule="auto"/>
              <w:ind w:firstLine="0"/>
              <w:contextualSpacing/>
              <w:rPr>
                <w:rFonts w:ascii="Garamond" w:hAnsi="Garamond"/>
                <w:i/>
                <w:color w:val="FFFFFF"/>
                <w:spacing w:val="-4"/>
                <w:sz w:val="18"/>
                <w:szCs w:val="18"/>
                <w:shd w:val="clear" w:color="auto" w:fill="31849B"/>
                <w:lang w:val="sq-AL"/>
              </w:rPr>
            </w:pPr>
            <w:r>
              <w:rPr>
                <w:rFonts w:ascii="Garamond" w:hAnsi="Garamond"/>
                <w:i/>
                <w:color w:val="FFFFFF"/>
                <w:spacing w:val="-4"/>
                <w:sz w:val="18"/>
                <w:szCs w:val="18"/>
                <w:shd w:val="clear" w:color="auto" w:fill="31849B"/>
                <w:lang w:val="sq-AL"/>
              </w:rPr>
              <w:t>Indikatorët: Numri i seksioneve në gjykata dhe prokurori për të miturit:</w:t>
            </w:r>
          </w:p>
          <w:p w:rsidR="00493B51" w:rsidRDefault="00493B51">
            <w:pPr>
              <w:pStyle w:val="ListParagraph"/>
              <w:widowControl w:val="0"/>
              <w:numPr>
                <w:ilvl w:val="0"/>
                <w:numId w:val="18"/>
              </w:numPr>
              <w:spacing w:after="0" w:line="240" w:lineRule="auto"/>
              <w:ind w:left="0" w:firstLine="0"/>
              <w:jc w:val="both"/>
              <w:rPr>
                <w:rFonts w:ascii="Garamond" w:hAnsi="Garamond"/>
                <w:i/>
                <w:color w:val="FFFFFF"/>
                <w:spacing w:val="-4"/>
                <w:sz w:val="18"/>
                <w:szCs w:val="18"/>
                <w:shd w:val="clear" w:color="auto" w:fill="31849B"/>
                <w:lang w:val="sq-AL"/>
              </w:rPr>
            </w:pPr>
            <w:r>
              <w:rPr>
                <w:rFonts w:ascii="Garamond" w:hAnsi="Garamond"/>
                <w:i/>
                <w:color w:val="FFFFFF"/>
                <w:spacing w:val="-4"/>
                <w:sz w:val="18"/>
                <w:szCs w:val="18"/>
                <w:shd w:val="clear" w:color="auto" w:fill="31849B"/>
                <w:lang w:val="sq-AL"/>
              </w:rPr>
              <w:t xml:space="preserve"> numri i gjyqtarëve/prokurorëve/oficerëve të policisë/avokatëve/psikologëve/ndërmjetësve/punonjësve të sistemit penitenciar të trajnuar për çështjet e të miturve;</w:t>
            </w:r>
          </w:p>
          <w:p w:rsidR="00493B51" w:rsidRDefault="00493B51">
            <w:pPr>
              <w:pStyle w:val="ListParagraph"/>
              <w:widowControl w:val="0"/>
              <w:numPr>
                <w:ilvl w:val="0"/>
                <w:numId w:val="18"/>
              </w:numPr>
              <w:spacing w:after="0" w:line="240" w:lineRule="auto"/>
              <w:ind w:left="0" w:firstLine="0"/>
              <w:jc w:val="both"/>
              <w:rPr>
                <w:rFonts w:ascii="Garamond" w:hAnsi="Garamond"/>
                <w:i/>
                <w:color w:val="FFFFFF"/>
                <w:spacing w:val="-4"/>
                <w:sz w:val="18"/>
                <w:szCs w:val="18"/>
                <w:shd w:val="clear" w:color="auto" w:fill="31849B"/>
                <w:lang w:val="sq-AL"/>
              </w:rPr>
            </w:pPr>
            <w:r>
              <w:rPr>
                <w:rFonts w:ascii="Garamond" w:hAnsi="Garamond"/>
                <w:i/>
                <w:color w:val="FFFFFF"/>
                <w:spacing w:val="-4"/>
                <w:sz w:val="18"/>
                <w:szCs w:val="18"/>
                <w:shd w:val="clear" w:color="auto" w:fill="31849B"/>
                <w:lang w:val="sq-AL"/>
              </w:rPr>
              <w:t xml:space="preserve"> numri i punonjësve të mbrojtjes së fëmijëve dhe përfaqësuesve proceduralë; </w:t>
            </w:r>
          </w:p>
          <w:p w:rsidR="00493B51" w:rsidRDefault="00493B51">
            <w:pPr>
              <w:pStyle w:val="ListParagraph"/>
              <w:widowControl w:val="0"/>
              <w:numPr>
                <w:ilvl w:val="0"/>
                <w:numId w:val="18"/>
              </w:numPr>
              <w:spacing w:after="0" w:line="240" w:lineRule="auto"/>
              <w:ind w:left="0" w:firstLine="0"/>
              <w:jc w:val="both"/>
              <w:rPr>
                <w:rFonts w:ascii="Garamond" w:hAnsi="Garamond"/>
                <w:i/>
                <w:color w:val="FFFFFF"/>
                <w:spacing w:val="-4"/>
                <w:sz w:val="18"/>
                <w:szCs w:val="18"/>
                <w:shd w:val="clear" w:color="auto" w:fill="31849B"/>
                <w:lang w:val="sq-AL"/>
              </w:rPr>
            </w:pPr>
            <w:r>
              <w:rPr>
                <w:rFonts w:ascii="Garamond" w:hAnsi="Garamond"/>
                <w:i/>
                <w:color w:val="FFFFFF"/>
                <w:spacing w:val="-4"/>
                <w:sz w:val="18"/>
                <w:szCs w:val="18"/>
                <w:shd w:val="clear" w:color="auto" w:fill="31849B"/>
                <w:lang w:val="sq-AL"/>
              </w:rPr>
              <w:t xml:space="preserve"> numri i institucioneve që hedhin të dhëna në </w:t>
            </w:r>
            <w:r>
              <w:rPr>
                <w:rFonts w:ascii="Garamond" w:hAnsi="Garamond"/>
                <w:i/>
                <w:color w:val="FFFFFF"/>
                <w:spacing w:val="-4"/>
                <w:sz w:val="18"/>
                <w:szCs w:val="18"/>
                <w:lang w:val="sq-AL"/>
              </w:rPr>
              <w:t>Sistemin e Integruar të të Dhënave të Drejtësisë Penale për të Mitur;</w:t>
            </w:r>
          </w:p>
          <w:p w:rsidR="00493B51" w:rsidRDefault="00493B51">
            <w:pPr>
              <w:pStyle w:val="ListParagraph"/>
              <w:widowControl w:val="0"/>
              <w:numPr>
                <w:ilvl w:val="0"/>
                <w:numId w:val="18"/>
              </w:numPr>
              <w:spacing w:after="0" w:line="240" w:lineRule="auto"/>
              <w:ind w:left="0" w:firstLine="0"/>
              <w:jc w:val="both"/>
              <w:rPr>
                <w:rFonts w:ascii="Garamond" w:hAnsi="Garamond"/>
                <w:i/>
                <w:color w:val="FFFFFF"/>
                <w:spacing w:val="-4"/>
                <w:sz w:val="18"/>
                <w:szCs w:val="18"/>
                <w:shd w:val="clear" w:color="auto" w:fill="31849B"/>
                <w:lang w:val="sq-AL"/>
              </w:rPr>
            </w:pPr>
            <w:r>
              <w:rPr>
                <w:rFonts w:ascii="Garamond" w:hAnsi="Garamond"/>
                <w:i/>
                <w:color w:val="FFFFFF"/>
                <w:spacing w:val="-4"/>
                <w:sz w:val="18"/>
                <w:szCs w:val="18"/>
                <w:shd w:val="clear" w:color="auto" w:fill="31849B"/>
                <w:lang w:val="sq-AL"/>
              </w:rPr>
              <w:t xml:space="preserve"> numri i akteve ligjore/nënligjore të miratuara me qëllim bashkërendimin e punës në një mjedis të përshtatur për fëmijët.</w:t>
            </w:r>
          </w:p>
          <w:p w:rsidR="00493B51" w:rsidRDefault="00493B51">
            <w:pPr>
              <w:widowControl w:val="0"/>
              <w:spacing w:after="0" w:line="240" w:lineRule="auto"/>
              <w:ind w:firstLine="0"/>
              <w:contextualSpacing/>
              <w:rPr>
                <w:rFonts w:ascii="Garamond" w:hAnsi="Garamond"/>
                <w:i/>
                <w:color w:val="FFFFFF"/>
                <w:spacing w:val="-4"/>
                <w:sz w:val="18"/>
                <w:szCs w:val="18"/>
                <w:lang w:val="sq-AL"/>
              </w:rPr>
            </w:pPr>
          </w:p>
        </w:tc>
      </w:tr>
      <w:tr w:rsidR="00493B51" w:rsidTr="00493B51">
        <w:trPr>
          <w:trHeight w:val="1079"/>
          <w:jc w:val="center"/>
        </w:trPr>
        <w:tc>
          <w:tcPr>
            <w:tcW w:w="200"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1.</w:t>
            </w:r>
          </w:p>
        </w:tc>
        <w:tc>
          <w:tcPr>
            <w:tcW w:w="706"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pStyle w:val="FootnoteText"/>
              <w:widowControl w:val="0"/>
              <w:ind w:firstLine="0"/>
              <w:rPr>
                <w:rFonts w:ascii="Garamond" w:hAnsi="Garamond"/>
                <w:spacing w:val="-4"/>
                <w:sz w:val="18"/>
                <w:szCs w:val="18"/>
              </w:rPr>
            </w:pPr>
            <w:r>
              <w:rPr>
                <w:rFonts w:ascii="Garamond" w:hAnsi="Garamond"/>
                <w:spacing w:val="-4"/>
                <w:sz w:val="18"/>
                <w:szCs w:val="18"/>
              </w:rPr>
              <w:t>Seksione të specializuara për gjykimin e çështjeve të drejtësisë për të miturit</w:t>
            </w: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1.1 Hartimi dhe miratimi i kuadrit rregullator për ngritjen e seksioneve për të miturit në gjykata dhe prokurori.</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2019–2020</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520,060.00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right"/>
              <w:rPr>
                <w:rFonts w:ascii="Garamond" w:hAnsi="Garamond"/>
                <w:spacing w:val="-4"/>
                <w:sz w:val="18"/>
                <w:szCs w:val="18"/>
                <w:lang w:val="sq-AL"/>
              </w:rPr>
            </w:pPr>
            <w:r>
              <w:rPr>
                <w:rFonts w:ascii="Garamond" w:hAnsi="Garamond"/>
                <w:spacing w:val="-4"/>
                <w:sz w:val="18"/>
                <w:szCs w:val="18"/>
                <w:lang w:val="sq-AL"/>
              </w:rPr>
              <w:t>0.00</w:t>
            </w:r>
          </w:p>
        </w:tc>
        <w:tc>
          <w:tcPr>
            <w:tcW w:w="36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KM</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KLGJ</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KLP</w:t>
            </w:r>
          </w:p>
        </w:tc>
        <w:tc>
          <w:tcPr>
            <w:tcW w:w="664"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Miratimi i 1 (një) vendimi të KM-së për përcaktimin e hartës së re gjyqësore. </w:t>
            </w:r>
          </w:p>
          <w:p w:rsidR="00493B51" w:rsidRDefault="00493B51">
            <w:pPr>
              <w:widowControl w:val="0"/>
              <w:spacing w:after="0" w:line="240" w:lineRule="auto"/>
              <w:ind w:firstLine="0"/>
              <w:rPr>
                <w:rFonts w:ascii="Garamond" w:hAnsi="Garamond"/>
                <w:spacing w:val="-4"/>
                <w:sz w:val="18"/>
                <w:szCs w:val="18"/>
                <w:lang w:val="sq-AL"/>
              </w:rPr>
            </w:pPr>
          </w:p>
          <w:p w:rsidR="00493B51" w:rsidRDefault="00493B51">
            <w:pPr>
              <w:widowControl w:val="0"/>
              <w:spacing w:after="0" w:line="240" w:lineRule="auto"/>
              <w:ind w:firstLine="0"/>
              <w:rPr>
                <w:rFonts w:ascii="Garamond" w:hAnsi="Garamond"/>
                <w:spacing w:val="-4"/>
                <w:sz w:val="18"/>
                <w:szCs w:val="18"/>
                <w:lang w:val="sq-AL"/>
              </w:rPr>
            </w:pPr>
          </w:p>
        </w:tc>
      </w:tr>
      <w:tr w:rsidR="00493B51" w:rsidTr="00493B51">
        <w:trPr>
          <w:trHeight w:val="12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eastAsia="MS Mincho" w:hAnsi="Garamond"/>
                <w:spacing w:val="-4"/>
                <w:sz w:val="18"/>
                <w:szCs w:val="18"/>
                <w:lang w:val="sq-AL"/>
              </w:rPr>
            </w:pP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contextualSpacing/>
              <w:jc w:val="left"/>
              <w:rPr>
                <w:rFonts w:ascii="Garamond" w:hAnsi="Garamond"/>
                <w:spacing w:val="-4"/>
                <w:sz w:val="18"/>
                <w:szCs w:val="18"/>
                <w:lang w:val="sq-AL"/>
              </w:rPr>
            </w:pPr>
            <w:r>
              <w:rPr>
                <w:rFonts w:ascii="Garamond" w:hAnsi="Garamond"/>
                <w:spacing w:val="-4"/>
                <w:sz w:val="18"/>
                <w:szCs w:val="18"/>
                <w:lang w:val="sq-AL"/>
              </w:rPr>
              <w:t>1.2 Fuqizimi i seksioneve për të miturit në gjykata dhe prokurori</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2019–2021</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434,484,000.00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KLGJ</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KLP</w:t>
            </w:r>
          </w:p>
          <w:p w:rsidR="00493B51" w:rsidRDefault="00493B51">
            <w:pPr>
              <w:widowControl w:val="0"/>
              <w:spacing w:after="0" w:line="240" w:lineRule="auto"/>
              <w:ind w:firstLine="0"/>
              <w:jc w:val="center"/>
              <w:rPr>
                <w:rFonts w:ascii="Garamond" w:hAnsi="Garamond"/>
                <w:spacing w:val="-4"/>
                <w:sz w:val="18"/>
                <w:szCs w:val="18"/>
                <w:lang w:val="sq-AL"/>
              </w:rPr>
            </w:pP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Numri i seksioneve në gjykata dhe prokurori për të miturit dhe specializimi 100–150 magjistratë dhe oficerë të policisë gjyqësore për çështjet e të miturve.</w:t>
            </w:r>
          </w:p>
        </w:tc>
      </w:tr>
      <w:tr w:rsidR="00493B51" w:rsidTr="00493B51">
        <w:trPr>
          <w:trHeight w:val="293"/>
          <w:jc w:val="center"/>
        </w:trPr>
        <w:tc>
          <w:tcPr>
            <w:tcW w:w="20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spacing w:val="-4"/>
                <w:sz w:val="18"/>
                <w:szCs w:val="18"/>
                <w:lang w:val="sq-AL"/>
              </w:rPr>
              <w:t>2.</w:t>
            </w:r>
          </w:p>
          <w:p w:rsidR="00493B51" w:rsidRDefault="00493B51">
            <w:pPr>
              <w:widowControl w:val="0"/>
              <w:spacing w:after="0" w:line="240" w:lineRule="auto"/>
              <w:ind w:firstLine="0"/>
              <w:jc w:val="right"/>
              <w:rPr>
                <w:rFonts w:ascii="Garamond" w:hAnsi="Garamond"/>
                <w:b/>
                <w:spacing w:val="-4"/>
                <w:sz w:val="18"/>
                <w:szCs w:val="18"/>
                <w:lang w:val="sq-AL"/>
              </w:rPr>
            </w:pPr>
          </w:p>
          <w:p w:rsidR="00493B51" w:rsidRDefault="00493B51">
            <w:pPr>
              <w:widowControl w:val="0"/>
              <w:spacing w:after="0" w:line="240" w:lineRule="auto"/>
              <w:ind w:firstLine="0"/>
              <w:jc w:val="right"/>
              <w:rPr>
                <w:rFonts w:ascii="Garamond" w:hAnsi="Garamond"/>
                <w:b/>
                <w:spacing w:val="-4"/>
                <w:sz w:val="18"/>
                <w:szCs w:val="18"/>
                <w:lang w:val="sq-AL"/>
              </w:rPr>
            </w:pPr>
          </w:p>
          <w:p w:rsidR="00493B51" w:rsidRDefault="00493B51">
            <w:pPr>
              <w:widowControl w:val="0"/>
              <w:spacing w:after="0" w:line="240" w:lineRule="auto"/>
              <w:ind w:firstLine="0"/>
              <w:jc w:val="right"/>
              <w:rPr>
                <w:rFonts w:ascii="Garamond" w:hAnsi="Garamond"/>
                <w:b/>
                <w:bCs/>
                <w:spacing w:val="-4"/>
                <w:sz w:val="18"/>
                <w:szCs w:val="18"/>
                <w:lang w:val="sq-AL"/>
              </w:rPr>
            </w:pPr>
          </w:p>
        </w:tc>
        <w:tc>
          <w:tcPr>
            <w:tcW w:w="706"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pStyle w:val="FootnoteText"/>
              <w:widowControl w:val="0"/>
              <w:ind w:firstLine="0"/>
              <w:rPr>
                <w:rFonts w:ascii="Garamond" w:hAnsi="Garamond"/>
                <w:spacing w:val="-4"/>
                <w:sz w:val="18"/>
                <w:szCs w:val="18"/>
              </w:rPr>
            </w:pPr>
            <w:r>
              <w:rPr>
                <w:rFonts w:ascii="Garamond" w:hAnsi="Garamond"/>
                <w:spacing w:val="-4"/>
                <w:sz w:val="18"/>
                <w:szCs w:val="18"/>
              </w:rPr>
              <w:t>Profesionistë të specializuar në drejtësinë për të miturit</w:t>
            </w: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2.1 Specializimi dhe trajnimi i profesionistëve që mbulojnë të drejtat e fëmijëve në çështjet e drejtësisë. </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2018–2021</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2,361,240.00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674,640.00</w:t>
            </w:r>
          </w:p>
        </w:tc>
        <w:tc>
          <w:tcPr>
            <w:tcW w:w="360"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SHM</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AS</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ASHMDF</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UP/Punonjësit Social</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DHKA, DHKNd,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DPB</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Shërbimi i Provës,</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lastRenderedPageBreak/>
              <w:t>IML</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KSHB</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OJF/Donatorët</w:t>
            </w: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lastRenderedPageBreak/>
              <w:t>1. Hartimi i kurrikulave/ programe trajnimi, për:</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 oficer policie; </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 gjyqtarë; </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prokurorë;</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 punonjës të NJMF-së; </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 punonjës të shërbimit të provës; </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 burgjeve; </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lastRenderedPageBreak/>
              <w:t xml:space="preserve">- avokat; </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 ndërmjetës; </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psikolog.</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i/>
                <w:spacing w:val="-4"/>
                <w:sz w:val="18"/>
                <w:szCs w:val="18"/>
                <w:lang w:val="sq-AL"/>
              </w:rPr>
              <w:t>Përfaqësuesit proceduralë:</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 profesionistë të tjerë</w:t>
            </w:r>
          </w:p>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2. Trajnimi/specializimi i 150–200 punonjësve.</w:t>
            </w:r>
          </w:p>
        </w:tc>
      </w:tr>
      <w:tr w:rsidR="00493B51" w:rsidTr="00493B51">
        <w:trPr>
          <w:trHeight w:val="125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eastAsia="MS Mincho" w:hAnsi="Garamond"/>
                <w:spacing w:val="-4"/>
                <w:sz w:val="18"/>
                <w:szCs w:val="18"/>
                <w:lang w:val="sq-AL"/>
              </w:rPr>
            </w:pP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2.2 Zhvillimi i programeve për menaxhimin e rasteve për të miturit nga sistemi i drejtësisë.</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2019–2021</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1,427,855.00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1,200,000.00</w:t>
            </w:r>
          </w:p>
        </w:tc>
        <w:tc>
          <w:tcPr>
            <w:tcW w:w="360" w:type="pct"/>
            <w:tcBorders>
              <w:top w:val="nil"/>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OJF/Donatorët</w:t>
            </w: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Hartimi i 1 (një) - 2 (dy) udhërrëfyesve/manualeve për profesionistët që mbulojnë të drejtat e fëmijëve në çështjet e drejtësisë</w:t>
            </w:r>
          </w:p>
        </w:tc>
      </w:tr>
      <w:tr w:rsidR="00493B51" w:rsidTr="00493B51">
        <w:trPr>
          <w:trHeight w:val="719"/>
          <w:jc w:val="center"/>
        </w:trPr>
        <w:tc>
          <w:tcPr>
            <w:tcW w:w="200"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right"/>
              <w:rPr>
                <w:rFonts w:ascii="Garamond" w:hAnsi="Garamond"/>
                <w:b/>
                <w:spacing w:val="-4"/>
                <w:sz w:val="18"/>
                <w:szCs w:val="18"/>
                <w:lang w:val="sq-AL"/>
              </w:rPr>
            </w:pPr>
            <w:r>
              <w:rPr>
                <w:rFonts w:ascii="Garamond" w:hAnsi="Garamond"/>
                <w:b/>
                <w:spacing w:val="-4"/>
                <w:sz w:val="18"/>
                <w:szCs w:val="18"/>
                <w:lang w:val="sq-AL"/>
              </w:rPr>
              <w:t xml:space="preserve">3. </w:t>
            </w:r>
          </w:p>
        </w:tc>
        <w:tc>
          <w:tcPr>
            <w:tcW w:w="70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
                <w:spacing w:val="-4"/>
                <w:sz w:val="18"/>
                <w:szCs w:val="18"/>
                <w:lang w:val="sq-AL"/>
              </w:rPr>
            </w:pPr>
            <w:r>
              <w:rPr>
                <w:rFonts w:ascii="Garamond" w:hAnsi="Garamond"/>
                <w:spacing w:val="-4"/>
                <w:sz w:val="18"/>
                <w:szCs w:val="18"/>
                <w:lang w:val="sq-AL"/>
              </w:rPr>
              <w:t xml:space="preserve">Shqyrtimi i drejtë dhe në kohë i çështjeve të drejtësisë për të miturit. </w:t>
            </w:r>
          </w:p>
        </w:tc>
        <w:tc>
          <w:tcPr>
            <w:tcW w:w="705" w:type="pct"/>
            <w:gridSpan w:val="2"/>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3.1 Krijimi dhe funksionimi i Sistemit të Integruar të të Dhënave të Drejtësisë Penale për të Mitur.</w:t>
            </w:r>
          </w:p>
          <w:p w:rsidR="00493B51" w:rsidRDefault="00493B51">
            <w:pPr>
              <w:widowControl w:val="0"/>
              <w:spacing w:after="0" w:line="240" w:lineRule="auto"/>
              <w:ind w:firstLine="0"/>
              <w:contextualSpacing/>
              <w:rPr>
                <w:rFonts w:ascii="Garamond" w:hAnsi="Garamond"/>
                <w:spacing w:val="-4"/>
                <w:sz w:val="18"/>
                <w:szCs w:val="18"/>
                <w:lang w:val="sq-AL"/>
              </w:rPr>
            </w:pPr>
          </w:p>
          <w:p w:rsidR="00493B51" w:rsidRDefault="00493B51">
            <w:pPr>
              <w:widowControl w:val="0"/>
              <w:spacing w:after="0" w:line="240" w:lineRule="auto"/>
              <w:ind w:firstLine="0"/>
              <w:contextualSpacing/>
              <w:rPr>
                <w:rFonts w:ascii="Garamond" w:hAnsi="Garamond"/>
                <w:spacing w:val="-4"/>
                <w:sz w:val="18"/>
                <w:szCs w:val="18"/>
                <w:lang w:val="sq-AL"/>
              </w:rPr>
            </w:pPr>
          </w:p>
          <w:p w:rsidR="00493B51" w:rsidRDefault="00493B51">
            <w:pPr>
              <w:widowControl w:val="0"/>
              <w:spacing w:after="0" w:line="240" w:lineRule="auto"/>
              <w:ind w:firstLine="0"/>
              <w:contextualSpacing/>
              <w:rPr>
                <w:rFonts w:ascii="Garamond" w:hAnsi="Garamond"/>
                <w:spacing w:val="-4"/>
                <w:sz w:val="18"/>
                <w:szCs w:val="18"/>
                <w:lang w:val="sq-AL"/>
              </w:rPr>
            </w:pPr>
          </w:p>
          <w:p w:rsidR="00493B51" w:rsidRDefault="00493B51">
            <w:pPr>
              <w:widowControl w:val="0"/>
              <w:spacing w:after="0" w:line="240" w:lineRule="auto"/>
              <w:ind w:firstLine="0"/>
              <w:contextualSpacing/>
              <w:rPr>
                <w:rFonts w:ascii="Garamond" w:hAnsi="Garamond"/>
                <w:spacing w:val="-4"/>
                <w:sz w:val="18"/>
                <w:szCs w:val="18"/>
                <w:lang w:val="sq-AL"/>
              </w:rPr>
            </w:pPr>
          </w:p>
          <w:p w:rsidR="00493B51" w:rsidRDefault="00493B51">
            <w:pPr>
              <w:widowControl w:val="0"/>
              <w:spacing w:after="0" w:line="240" w:lineRule="auto"/>
              <w:ind w:firstLine="0"/>
              <w:contextualSpacing/>
              <w:rPr>
                <w:rFonts w:ascii="Garamond" w:hAnsi="Garamond"/>
                <w:spacing w:val="-4"/>
                <w:sz w:val="18"/>
                <w:szCs w:val="18"/>
                <w:lang w:val="sq-AL"/>
              </w:rPr>
            </w:pPr>
          </w:p>
          <w:p w:rsidR="00493B51" w:rsidRDefault="00493B51">
            <w:pPr>
              <w:widowControl w:val="0"/>
              <w:spacing w:after="0" w:line="240" w:lineRule="auto"/>
              <w:ind w:firstLine="0"/>
              <w:contextualSpacing/>
              <w:rPr>
                <w:rFonts w:ascii="Garamond" w:hAnsi="Garamond"/>
                <w:spacing w:val="-4"/>
                <w:sz w:val="18"/>
                <w:szCs w:val="18"/>
                <w:lang w:val="sq-AL"/>
              </w:rPr>
            </w:pP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2018–2021</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1,196,760.00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1,228,500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360"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 xml:space="preserve"> MD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MB</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AKSHI</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DPB</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DPSHP</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KLGJ/gjykata</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KLP/prokurori</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UNICEF</w:t>
            </w: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1. Ngritja e Sistemit të Integruar të të Dhënave të Drejtësisë Penale për të Mitur.</w:t>
            </w:r>
          </w:p>
          <w:p w:rsidR="00493B51" w:rsidRDefault="00493B51">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2. Zhvillimi i 1 (një) trajnimi për hedhjen e të dhënave në sistem.</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3. Raport vjetor 1-vjeçar (njëvjeçar) mbi numrin e çështjeve të hedhura në sistem dhe ecurinë e shqyrtimit të tyre. </w:t>
            </w:r>
          </w:p>
        </w:tc>
      </w:tr>
      <w:tr w:rsidR="00493B51" w:rsidTr="00493B51">
        <w:trPr>
          <w:trHeight w:val="53"/>
          <w:jc w:val="center"/>
        </w:trPr>
        <w:tc>
          <w:tcPr>
            <w:tcW w:w="200"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right"/>
              <w:rPr>
                <w:rFonts w:ascii="Garamond" w:hAnsi="Garamond"/>
                <w:b/>
                <w:spacing w:val="-4"/>
                <w:sz w:val="18"/>
                <w:szCs w:val="18"/>
                <w:lang w:val="sq-AL"/>
              </w:rPr>
            </w:pPr>
            <w:r>
              <w:rPr>
                <w:rFonts w:ascii="Garamond" w:hAnsi="Garamond"/>
                <w:b/>
                <w:spacing w:val="-4"/>
                <w:sz w:val="18"/>
                <w:szCs w:val="18"/>
                <w:lang w:val="sq-AL"/>
              </w:rPr>
              <w:t>4.</w:t>
            </w:r>
          </w:p>
        </w:tc>
        <w:tc>
          <w:tcPr>
            <w:tcW w:w="706"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
                <w:spacing w:val="-4"/>
                <w:sz w:val="18"/>
                <w:szCs w:val="18"/>
                <w:lang w:val="sq-AL"/>
              </w:rPr>
            </w:pPr>
            <w:r>
              <w:rPr>
                <w:rFonts w:ascii="Garamond" w:hAnsi="Garamond"/>
                <w:spacing w:val="-4"/>
                <w:sz w:val="18"/>
                <w:szCs w:val="18"/>
                <w:lang w:val="sq-AL"/>
              </w:rPr>
              <w:t>Përmirësimi i kuadrit ligjor që normon të drejtat e të miturve në sistemin e drejtësisë.</w:t>
            </w:r>
          </w:p>
        </w:tc>
        <w:tc>
          <w:tcPr>
            <w:tcW w:w="705" w:type="pct"/>
            <w:gridSpan w:val="2"/>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4.1 Plotësimi i kuadrit nënligjor në zbatim të Kodit të Drejtësisë Penale për të Miturit.</w:t>
            </w:r>
          </w:p>
          <w:p w:rsidR="00493B51" w:rsidRDefault="00493B51">
            <w:pPr>
              <w:widowControl w:val="0"/>
              <w:spacing w:after="0" w:line="240" w:lineRule="auto"/>
              <w:ind w:firstLine="0"/>
              <w:contextualSpacing/>
              <w:rPr>
                <w:rFonts w:ascii="Garamond" w:hAnsi="Garamond"/>
                <w:spacing w:val="-4"/>
                <w:sz w:val="18"/>
                <w:szCs w:val="18"/>
                <w:lang w:val="sq-AL"/>
              </w:rPr>
            </w:pP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 xml:space="preserve">2018 </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6,760,780.00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36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KM</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MASR</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UNICEF</w:t>
            </w:r>
          </w:p>
        </w:tc>
        <w:tc>
          <w:tcPr>
            <w:tcW w:w="664"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13 akte nënligjore të miratuara në zbatim të Kodit të Drejtësisë Penale për të Miturit.</w:t>
            </w:r>
          </w:p>
          <w:p w:rsidR="00493B51" w:rsidRDefault="00493B51">
            <w:pPr>
              <w:widowControl w:val="0"/>
              <w:spacing w:after="0" w:line="240" w:lineRule="auto"/>
              <w:ind w:firstLine="0"/>
              <w:rPr>
                <w:rFonts w:ascii="Garamond" w:hAnsi="Garamond"/>
                <w:spacing w:val="-4"/>
                <w:sz w:val="18"/>
                <w:szCs w:val="18"/>
                <w:lang w:val="sq-AL"/>
              </w:rPr>
            </w:pPr>
          </w:p>
          <w:p w:rsidR="00493B51" w:rsidRDefault="00493B51">
            <w:pPr>
              <w:widowControl w:val="0"/>
              <w:spacing w:after="0" w:line="240" w:lineRule="auto"/>
              <w:ind w:firstLine="0"/>
              <w:rPr>
                <w:rFonts w:ascii="Garamond" w:hAnsi="Garamond"/>
                <w:spacing w:val="-4"/>
                <w:sz w:val="18"/>
                <w:szCs w:val="18"/>
                <w:lang w:val="sq-AL"/>
              </w:rPr>
            </w:pPr>
          </w:p>
        </w:tc>
      </w:tr>
      <w:tr w:rsidR="00493B51" w:rsidTr="00493B51">
        <w:trPr>
          <w:trHeight w:val="196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spacing w:val="-4"/>
                <w:sz w:val="18"/>
                <w:szCs w:val="18"/>
                <w:lang w:val="sq-AL"/>
              </w:rPr>
            </w:pP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408"/>
              </w:tabs>
              <w:spacing w:after="0" w:line="240" w:lineRule="auto"/>
              <w:ind w:firstLine="0"/>
              <w:rPr>
                <w:rFonts w:ascii="Garamond" w:hAnsi="Garamond"/>
                <w:spacing w:val="-4"/>
                <w:sz w:val="18"/>
                <w:szCs w:val="18"/>
                <w:lang w:val="sq-AL"/>
              </w:rPr>
            </w:pPr>
            <w:r>
              <w:rPr>
                <w:rFonts w:ascii="Garamond" w:hAnsi="Garamond"/>
                <w:spacing w:val="-4"/>
                <w:sz w:val="18"/>
                <w:szCs w:val="18"/>
                <w:lang w:val="sq-AL"/>
              </w:rPr>
              <w:t>4.2 Ndryshime në aktet ligjore civile, penale dhe administrative sipas nevojës së identifikuar.</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2019–2021</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2,080,240.00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Kuvend</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KM</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MD</w:t>
            </w:r>
          </w:p>
          <w:p w:rsidR="00493B51" w:rsidRDefault="00493B51">
            <w:pPr>
              <w:widowControl w:val="0"/>
              <w:spacing w:after="0" w:line="240" w:lineRule="auto"/>
              <w:ind w:firstLine="0"/>
              <w:jc w:val="center"/>
              <w:rPr>
                <w:rFonts w:ascii="Garamond" w:hAnsi="Garamond"/>
                <w:spacing w:val="-4"/>
                <w:sz w:val="18"/>
                <w:szCs w:val="18"/>
                <w:lang w:val="sq-AL"/>
              </w:rPr>
            </w:pP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1. Hartimi i 2 (dy) studimeve/analizave për identifikimin e ndryshimeve në Kodin e Familjes dhe Kodin Penal.</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2. Hartimi i 2 (dy) projektligjeve për ndryshime/shtesa në Kodin Penal dhe Kodin e Familjes.</w:t>
            </w:r>
          </w:p>
        </w:tc>
      </w:tr>
      <w:tr w:rsidR="00493B51" w:rsidTr="00493B51">
        <w:trPr>
          <w:trHeight w:val="843"/>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31849B"/>
          </w:tcPr>
          <w:p w:rsidR="00493B51" w:rsidRDefault="00493B51">
            <w:pPr>
              <w:pStyle w:val="ListParagraph"/>
              <w:widowControl w:val="0"/>
              <w:spacing w:after="0" w:line="240" w:lineRule="auto"/>
              <w:ind w:left="0"/>
              <w:jc w:val="center"/>
              <w:rPr>
                <w:rFonts w:ascii="Garamond" w:hAnsi="Garamond"/>
                <w:b/>
                <w:bCs/>
                <w:color w:val="FFFFFF"/>
                <w:spacing w:val="-4"/>
                <w:sz w:val="18"/>
                <w:szCs w:val="18"/>
                <w:lang w:val="sq-AL"/>
              </w:rPr>
            </w:pP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r>
              <w:rPr>
                <w:rFonts w:ascii="Garamond" w:hAnsi="Garamond"/>
                <w:b/>
                <w:bCs/>
                <w:color w:val="FFFFFF"/>
                <w:spacing w:val="-4"/>
                <w:sz w:val="18"/>
                <w:szCs w:val="18"/>
                <w:lang w:val="sq-AL"/>
              </w:rPr>
              <w:t xml:space="preserve">Objektivi nr. 3. </w:t>
            </w:r>
            <w:r>
              <w:rPr>
                <w:rFonts w:ascii="Garamond" w:hAnsi="Garamond"/>
                <w:b/>
                <w:color w:val="FFFFFF"/>
                <w:spacing w:val="-4"/>
                <w:sz w:val="18"/>
                <w:szCs w:val="18"/>
                <w:lang w:val="sq-AL"/>
              </w:rPr>
              <w:t>Parandalimi i ripërfshirjes së të miturve/të rinjve në krime</w:t>
            </w:r>
          </w:p>
          <w:p w:rsidR="00493B51" w:rsidRDefault="00493B51">
            <w:pPr>
              <w:widowControl w:val="0"/>
              <w:spacing w:after="0" w:line="240" w:lineRule="auto"/>
              <w:ind w:firstLine="0"/>
              <w:rPr>
                <w:rFonts w:ascii="Garamond" w:hAnsi="Garamond"/>
                <w:i/>
                <w:color w:val="FFFFFF"/>
                <w:spacing w:val="-4"/>
                <w:sz w:val="18"/>
                <w:szCs w:val="18"/>
                <w:lang w:val="sq-AL"/>
              </w:rPr>
            </w:pPr>
            <w:r>
              <w:rPr>
                <w:rFonts w:ascii="Garamond" w:hAnsi="Garamond"/>
                <w:i/>
                <w:color w:val="FFFFFF"/>
                <w:spacing w:val="-4"/>
                <w:sz w:val="18"/>
                <w:szCs w:val="18"/>
                <w:shd w:val="clear" w:color="auto" w:fill="31849B"/>
                <w:lang w:val="sq-AL"/>
              </w:rPr>
              <w:t xml:space="preserve">Indikatorët: </w:t>
            </w:r>
            <w:r>
              <w:rPr>
                <w:rFonts w:ascii="Garamond" w:hAnsi="Garamond"/>
                <w:i/>
                <w:color w:val="FFFFFF"/>
                <w:spacing w:val="-4"/>
                <w:sz w:val="18"/>
                <w:szCs w:val="18"/>
                <w:lang w:val="sq-AL"/>
              </w:rPr>
              <w:t>Ngritja e Qendrës për Parandalimin e Krimeve të të Miturve dhe të Rinjve:</w:t>
            </w:r>
          </w:p>
          <w:p w:rsidR="00493B51" w:rsidRDefault="00493B51">
            <w:pPr>
              <w:pStyle w:val="ListParagraph"/>
              <w:widowControl w:val="0"/>
              <w:numPr>
                <w:ilvl w:val="0"/>
                <w:numId w:val="18"/>
              </w:numPr>
              <w:autoSpaceDE w:val="0"/>
              <w:autoSpaceDN w:val="0"/>
              <w:adjustRightInd w:val="0"/>
              <w:spacing w:after="0" w:line="240" w:lineRule="auto"/>
              <w:ind w:left="0" w:firstLine="0"/>
              <w:jc w:val="both"/>
              <w:rPr>
                <w:rFonts w:ascii="Garamond" w:hAnsi="Garamond"/>
                <w:i/>
                <w:color w:val="FFFFFF"/>
                <w:spacing w:val="-4"/>
                <w:sz w:val="18"/>
                <w:szCs w:val="18"/>
                <w:lang w:val="sq-AL"/>
              </w:rPr>
            </w:pPr>
            <w:r>
              <w:rPr>
                <w:rFonts w:ascii="Garamond" w:hAnsi="Garamond"/>
                <w:i/>
                <w:color w:val="FFFFFF"/>
                <w:spacing w:val="-4"/>
                <w:sz w:val="18"/>
                <w:szCs w:val="18"/>
                <w:lang w:val="sq-AL"/>
              </w:rPr>
              <w:t xml:space="preserve"> numri i fëmijëve të përfshirë në programet e parandalimit.</w:t>
            </w:r>
          </w:p>
          <w:p w:rsidR="00493B51" w:rsidRDefault="00493B51">
            <w:pPr>
              <w:pStyle w:val="ListParagraph"/>
              <w:widowControl w:val="0"/>
              <w:spacing w:after="0" w:line="240" w:lineRule="auto"/>
              <w:ind w:left="0"/>
              <w:jc w:val="center"/>
              <w:rPr>
                <w:rFonts w:ascii="Garamond" w:hAnsi="Garamond"/>
                <w:b/>
                <w:bCs/>
                <w:color w:val="FFFFFF"/>
                <w:spacing w:val="-4"/>
                <w:sz w:val="18"/>
                <w:szCs w:val="18"/>
                <w:lang w:val="sq-AL"/>
              </w:rPr>
            </w:pPr>
          </w:p>
        </w:tc>
      </w:tr>
      <w:tr w:rsidR="00493B51" w:rsidTr="00493B51">
        <w:trPr>
          <w:trHeight w:val="782"/>
          <w:jc w:val="center"/>
        </w:trPr>
        <w:tc>
          <w:tcPr>
            <w:tcW w:w="20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1.</w:t>
            </w: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tc>
        <w:tc>
          <w:tcPr>
            <w:tcW w:w="706"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spacing w:val="-4"/>
                <w:sz w:val="18"/>
                <w:szCs w:val="18"/>
                <w:lang w:val="sq-AL"/>
              </w:rPr>
              <w:t>Parandalimi i kriminalitetit dhe të shkeljeve të ligjit.</w:t>
            </w:r>
          </w:p>
        </w:tc>
        <w:tc>
          <w:tcPr>
            <w:tcW w:w="705" w:type="pct"/>
            <w:gridSpan w:val="2"/>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1.1 Krijimi dhe funksionimi i Qendrës për Parandalimin e Krimeve të të Miturve dhe të rinjve.</w:t>
            </w:r>
          </w:p>
          <w:p w:rsidR="00493B51" w:rsidRDefault="00493B51">
            <w:pPr>
              <w:widowControl w:val="0"/>
              <w:spacing w:after="0" w:line="240" w:lineRule="auto"/>
              <w:ind w:firstLine="0"/>
              <w:rPr>
                <w:rFonts w:ascii="Garamond" w:hAnsi="Garamond"/>
                <w:bCs/>
                <w:spacing w:val="-4"/>
                <w:sz w:val="18"/>
                <w:szCs w:val="18"/>
                <w:lang w:val="sq-AL" w:eastAsia="sq-AL"/>
              </w:rPr>
            </w:pP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 xml:space="preserve">2019 </w:t>
            </w:r>
          </w:p>
        </w:tc>
        <w:tc>
          <w:tcPr>
            <w:tcW w:w="471"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13,274,956.00</w:t>
            </w:r>
          </w:p>
        </w:tc>
        <w:tc>
          <w:tcPr>
            <w:tcW w:w="422"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13,274,956.00</w:t>
            </w:r>
          </w:p>
        </w:tc>
        <w:tc>
          <w:tcPr>
            <w:tcW w:w="36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Qendra për Parandalimin e Krimeve të të Miturve dhe të Rinjve fillon funksionimin në datën 1 janar 2019</w:t>
            </w:r>
          </w:p>
          <w:p w:rsidR="00493B51" w:rsidRDefault="00493B51">
            <w:pPr>
              <w:widowControl w:val="0"/>
              <w:spacing w:after="0" w:line="240" w:lineRule="auto"/>
              <w:ind w:firstLine="0"/>
              <w:jc w:val="left"/>
              <w:rPr>
                <w:rFonts w:ascii="Garamond" w:hAnsi="Garamond"/>
                <w:spacing w:val="-4"/>
                <w:sz w:val="18"/>
                <w:szCs w:val="18"/>
                <w:lang w:val="sq-AL"/>
              </w:rPr>
            </w:pPr>
          </w:p>
          <w:p w:rsidR="00493B51" w:rsidRDefault="00493B51">
            <w:pPr>
              <w:widowControl w:val="0"/>
              <w:spacing w:after="0" w:line="240" w:lineRule="auto"/>
              <w:ind w:firstLine="0"/>
              <w:jc w:val="left"/>
              <w:rPr>
                <w:rFonts w:ascii="Garamond" w:hAnsi="Garamond"/>
                <w:spacing w:val="-4"/>
                <w:sz w:val="18"/>
                <w:szCs w:val="18"/>
                <w:lang w:val="sq-AL"/>
              </w:rPr>
            </w:pPr>
          </w:p>
          <w:p w:rsidR="00493B51" w:rsidRDefault="00493B51">
            <w:pPr>
              <w:widowControl w:val="0"/>
              <w:spacing w:after="0" w:line="240" w:lineRule="auto"/>
              <w:ind w:firstLine="0"/>
              <w:jc w:val="left"/>
              <w:rPr>
                <w:rFonts w:ascii="Garamond" w:hAnsi="Garamond"/>
                <w:spacing w:val="-4"/>
                <w:sz w:val="18"/>
                <w:szCs w:val="18"/>
                <w:lang w:val="sq-AL"/>
              </w:rPr>
            </w:pPr>
          </w:p>
          <w:p w:rsidR="00493B51" w:rsidRDefault="00493B51">
            <w:pPr>
              <w:widowControl w:val="0"/>
              <w:spacing w:after="0" w:line="240" w:lineRule="auto"/>
              <w:ind w:firstLine="0"/>
              <w:jc w:val="left"/>
              <w:rPr>
                <w:rFonts w:ascii="Garamond" w:hAnsi="Garamond"/>
                <w:spacing w:val="-4"/>
                <w:sz w:val="18"/>
                <w:szCs w:val="18"/>
                <w:lang w:val="sq-AL"/>
              </w:rPr>
            </w:pPr>
          </w:p>
          <w:p w:rsidR="00493B51" w:rsidRDefault="00493B51">
            <w:pPr>
              <w:widowControl w:val="0"/>
              <w:spacing w:after="0" w:line="240" w:lineRule="auto"/>
              <w:ind w:firstLine="0"/>
              <w:jc w:val="left"/>
              <w:rPr>
                <w:rFonts w:ascii="Garamond" w:hAnsi="Garamond"/>
                <w:spacing w:val="-4"/>
                <w:sz w:val="18"/>
                <w:szCs w:val="18"/>
                <w:lang w:val="sq-AL"/>
              </w:rPr>
            </w:pPr>
          </w:p>
          <w:p w:rsidR="00493B51" w:rsidRDefault="00493B51">
            <w:pPr>
              <w:widowControl w:val="0"/>
              <w:spacing w:after="0" w:line="240" w:lineRule="auto"/>
              <w:ind w:firstLine="0"/>
              <w:jc w:val="left"/>
              <w:rPr>
                <w:rFonts w:ascii="Garamond" w:hAnsi="Garamond"/>
                <w:spacing w:val="-4"/>
                <w:sz w:val="18"/>
                <w:szCs w:val="18"/>
                <w:lang w:val="sq-AL"/>
              </w:rPr>
            </w:pPr>
          </w:p>
          <w:p w:rsidR="00493B51" w:rsidRDefault="00493B51">
            <w:pPr>
              <w:widowControl w:val="0"/>
              <w:spacing w:after="0" w:line="240" w:lineRule="auto"/>
              <w:ind w:firstLine="0"/>
              <w:jc w:val="left"/>
              <w:rPr>
                <w:rFonts w:ascii="Garamond" w:hAnsi="Garamond"/>
                <w:spacing w:val="-4"/>
                <w:sz w:val="18"/>
                <w:szCs w:val="18"/>
                <w:lang w:val="sq-AL"/>
              </w:rPr>
            </w:pPr>
          </w:p>
          <w:p w:rsidR="00493B51" w:rsidRDefault="00493B51">
            <w:pPr>
              <w:widowControl w:val="0"/>
              <w:spacing w:after="0" w:line="240" w:lineRule="auto"/>
              <w:ind w:firstLine="0"/>
              <w:jc w:val="left"/>
              <w:rPr>
                <w:rFonts w:ascii="Garamond" w:hAnsi="Garamond"/>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DAP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MFE</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KM</w:t>
            </w: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bCs/>
                <w:spacing w:val="-4"/>
                <w:sz w:val="18"/>
                <w:szCs w:val="18"/>
                <w:lang w:val="sq-AL" w:eastAsia="sq-AL"/>
              </w:rPr>
              <w:t xml:space="preserve">Ngritja e Qendrës </w:t>
            </w:r>
            <w:r>
              <w:rPr>
                <w:rFonts w:ascii="Garamond" w:hAnsi="Garamond"/>
                <w:spacing w:val="-4"/>
                <w:sz w:val="18"/>
                <w:szCs w:val="18"/>
                <w:lang w:val="sq-AL"/>
              </w:rPr>
              <w:t>për Parandalimin e Krimeve të të Miturve dhe të Rinjve</w:t>
            </w:r>
          </w:p>
        </w:tc>
      </w:tr>
      <w:tr w:rsidR="00493B51" w:rsidTr="00493B51">
        <w:trPr>
          <w:trHeight w:val="101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bCs/>
                <w:spacing w:val="-4"/>
                <w:sz w:val="18"/>
                <w:szCs w:val="18"/>
                <w:lang w:val="sq-AL"/>
              </w:rPr>
              <w:t>1.2 Vlerësimi i kriminalitetit të të miturve nën moshën e përgjegjësisë penale.</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2019</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71" w:type="pct"/>
            <w:gridSpan w:val="2"/>
            <w:tcBorders>
              <w:top w:val="nil"/>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315,000.00</w:t>
            </w:r>
          </w:p>
        </w:tc>
        <w:tc>
          <w:tcPr>
            <w:tcW w:w="422" w:type="pct"/>
            <w:tcBorders>
              <w:top w:val="nil"/>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97" w:type="pct"/>
            <w:tcBorders>
              <w:top w:val="nil"/>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315,000.00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479"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MD/QPKMR</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spacing w:val="-4"/>
                <w:sz w:val="18"/>
                <w:szCs w:val="18"/>
                <w:lang w:val="sq-AL"/>
              </w:rPr>
              <w:t>OJF/Projekte</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664"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Hartimi i 1 (një) raporti vjetor mbi kriminalitetin e të miturve nën moshën e përgjegjësisë penale dhe grupeve në risk.</w:t>
            </w:r>
          </w:p>
          <w:p w:rsidR="00493B51" w:rsidRDefault="00493B51">
            <w:pPr>
              <w:widowControl w:val="0"/>
              <w:spacing w:after="0" w:line="240" w:lineRule="auto"/>
              <w:ind w:firstLine="0"/>
              <w:rPr>
                <w:rFonts w:ascii="Garamond" w:hAnsi="Garamond"/>
                <w:spacing w:val="-4"/>
                <w:sz w:val="18"/>
                <w:szCs w:val="18"/>
                <w:lang w:val="sq-AL"/>
              </w:rPr>
            </w:pPr>
          </w:p>
        </w:tc>
      </w:tr>
      <w:tr w:rsidR="00493B51" w:rsidTr="00493B51">
        <w:trPr>
          <w:trHeight w:val="7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bCs/>
                <w:spacing w:val="-4"/>
                <w:sz w:val="18"/>
                <w:szCs w:val="18"/>
                <w:lang w:val="sq-AL" w:eastAsia="sq-AL"/>
              </w:rPr>
              <w:t>1.3 I</w:t>
            </w:r>
            <w:r>
              <w:rPr>
                <w:rFonts w:ascii="Garamond" w:hAnsi="Garamond"/>
                <w:bCs/>
                <w:spacing w:val="-4"/>
                <w:sz w:val="18"/>
                <w:szCs w:val="18"/>
                <w:lang w:val="sq-AL"/>
              </w:rPr>
              <w:t>dentifikimi i grupeve në risk të të miturve të moshës së përgjegjësisë penale.</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2019</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71" w:type="pct"/>
            <w:gridSpan w:val="2"/>
            <w:tcBorders>
              <w:top w:val="nil"/>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326,832.00</w:t>
            </w:r>
          </w:p>
        </w:tc>
        <w:tc>
          <w:tcPr>
            <w:tcW w:w="422" w:type="pct"/>
            <w:tcBorders>
              <w:top w:val="nil"/>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97" w:type="pct"/>
            <w:tcBorders>
              <w:top w:val="nil"/>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r>
      <w:tr w:rsidR="00493B51" w:rsidTr="00493B51">
        <w:trPr>
          <w:trHeight w:val="12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bCs/>
                <w:spacing w:val="-4"/>
                <w:sz w:val="18"/>
                <w:szCs w:val="18"/>
                <w:lang w:val="sq-AL" w:eastAsia="sq-AL"/>
              </w:rPr>
              <w:t>1.4 Sigurimi i kuadrit infrastrukturor dhe institucional për zbatimin e programeve të parandalimit.</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2019</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71" w:type="pct"/>
            <w:gridSpan w:val="2"/>
            <w:tcBorders>
              <w:top w:val="nil"/>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13,402,296.00</w:t>
            </w:r>
          </w:p>
        </w:tc>
        <w:tc>
          <w:tcPr>
            <w:tcW w:w="422" w:type="pct"/>
            <w:tcBorders>
              <w:top w:val="nil"/>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97" w:type="pct"/>
            <w:tcBorders>
              <w:top w:val="nil"/>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13,402,296.00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MD/DPKMR</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spacing w:val="-4"/>
                <w:sz w:val="18"/>
                <w:szCs w:val="18"/>
                <w:lang w:val="sq-AL"/>
              </w:rPr>
              <w:t>OJF/Projekte</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bCs/>
                <w:spacing w:val="-4"/>
                <w:sz w:val="18"/>
                <w:szCs w:val="18"/>
                <w:lang w:val="sq-AL" w:eastAsia="sq-AL"/>
              </w:rPr>
              <w:t xml:space="preserve"> Zbatimi i 2 (dy) programeve për veprimtari rehabilituese që lidhen: a) me mbështetjen pas lirimit; dhe b) me mbikëqyrjen pas kryerjes së dënimit.</w:t>
            </w:r>
          </w:p>
        </w:tc>
      </w:tr>
      <w:tr w:rsidR="00493B51" w:rsidTr="00493B51">
        <w:trPr>
          <w:trHeight w:val="494"/>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31849B"/>
          </w:tcPr>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r>
              <w:rPr>
                <w:rFonts w:ascii="Garamond" w:hAnsi="Garamond"/>
                <w:b/>
                <w:color w:val="FFFFFF"/>
                <w:spacing w:val="-4"/>
                <w:sz w:val="18"/>
                <w:szCs w:val="18"/>
                <w:lang w:val="sq-AL"/>
              </w:rPr>
              <w:t>Objektivi nr. 4 – Rishoqërizimi, riintegrimi dhe rehabilitimi i të miturve në kontakt ose konflikt me ligjin</w:t>
            </w: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p>
          <w:p w:rsidR="00493B51" w:rsidRDefault="00493B51">
            <w:pPr>
              <w:pStyle w:val="ListParagraph"/>
              <w:widowControl w:val="0"/>
              <w:spacing w:after="0" w:line="240" w:lineRule="auto"/>
              <w:ind w:left="0"/>
              <w:rPr>
                <w:rFonts w:ascii="Garamond" w:hAnsi="Garamond"/>
                <w:i/>
                <w:color w:val="FFFFFF"/>
                <w:spacing w:val="-4"/>
                <w:sz w:val="18"/>
                <w:szCs w:val="18"/>
                <w:lang w:val="sq-AL"/>
              </w:rPr>
            </w:pPr>
            <w:r>
              <w:rPr>
                <w:rFonts w:ascii="Garamond" w:hAnsi="Garamond"/>
                <w:i/>
                <w:color w:val="FFFFFF"/>
                <w:spacing w:val="-4"/>
                <w:sz w:val="18"/>
                <w:szCs w:val="18"/>
                <w:lang w:val="sq-AL"/>
              </w:rPr>
              <w:t>Indikatorët:</w:t>
            </w:r>
            <w:r>
              <w:rPr>
                <w:rFonts w:ascii="Garamond" w:hAnsi="Garamond"/>
                <w:b/>
                <w:i/>
                <w:color w:val="FFFFFF"/>
                <w:spacing w:val="-4"/>
                <w:sz w:val="18"/>
                <w:szCs w:val="18"/>
                <w:lang w:val="sq-AL"/>
              </w:rPr>
              <w:t xml:space="preserve"> </w:t>
            </w:r>
            <w:r>
              <w:rPr>
                <w:rFonts w:ascii="Garamond" w:hAnsi="Garamond"/>
                <w:i/>
                <w:color w:val="FFFFFF"/>
                <w:spacing w:val="-4"/>
                <w:sz w:val="18"/>
                <w:szCs w:val="18"/>
                <w:lang w:val="sq-AL"/>
              </w:rPr>
              <w:t>Numri i fëmijëve dhe i prindërve të përfshirë në programet e riintegrimit:</w:t>
            </w:r>
          </w:p>
          <w:p w:rsidR="00493B51" w:rsidRDefault="00493B51">
            <w:pPr>
              <w:pStyle w:val="ListParagraph"/>
              <w:widowControl w:val="0"/>
              <w:numPr>
                <w:ilvl w:val="0"/>
                <w:numId w:val="18"/>
              </w:numPr>
              <w:autoSpaceDE w:val="0"/>
              <w:autoSpaceDN w:val="0"/>
              <w:adjustRightInd w:val="0"/>
              <w:spacing w:after="0" w:line="240" w:lineRule="auto"/>
              <w:ind w:left="0" w:firstLine="0"/>
              <w:rPr>
                <w:rFonts w:ascii="Garamond" w:hAnsi="Garamond"/>
                <w:i/>
                <w:color w:val="FFFFFF"/>
                <w:spacing w:val="-4"/>
                <w:sz w:val="18"/>
                <w:szCs w:val="18"/>
                <w:lang w:val="sq-AL"/>
              </w:rPr>
            </w:pPr>
            <w:r>
              <w:rPr>
                <w:rFonts w:ascii="Garamond" w:hAnsi="Garamond"/>
                <w:i/>
                <w:color w:val="FFFFFF"/>
                <w:spacing w:val="-4"/>
                <w:sz w:val="18"/>
                <w:szCs w:val="18"/>
                <w:lang w:val="sq-AL"/>
              </w:rPr>
              <w:t xml:space="preserve"> numri i fëmijëve të dënuar me burgim dhe me masa alternative; </w:t>
            </w:r>
          </w:p>
          <w:p w:rsidR="00493B51" w:rsidRDefault="00493B51">
            <w:pPr>
              <w:pStyle w:val="ListParagraph"/>
              <w:widowControl w:val="0"/>
              <w:numPr>
                <w:ilvl w:val="0"/>
                <w:numId w:val="18"/>
              </w:numPr>
              <w:autoSpaceDE w:val="0"/>
              <w:autoSpaceDN w:val="0"/>
              <w:adjustRightInd w:val="0"/>
              <w:spacing w:after="0" w:line="240" w:lineRule="auto"/>
              <w:ind w:left="0" w:firstLine="0"/>
              <w:rPr>
                <w:rFonts w:ascii="Garamond" w:hAnsi="Garamond"/>
                <w:i/>
                <w:color w:val="FFFFFF"/>
                <w:spacing w:val="-4"/>
                <w:sz w:val="18"/>
                <w:szCs w:val="18"/>
                <w:lang w:val="sq-AL"/>
              </w:rPr>
            </w:pPr>
            <w:r>
              <w:rPr>
                <w:rFonts w:ascii="Garamond" w:hAnsi="Garamond"/>
                <w:i/>
                <w:color w:val="FFFFFF"/>
                <w:spacing w:val="-4"/>
                <w:sz w:val="18"/>
                <w:szCs w:val="18"/>
                <w:lang w:val="sq-AL"/>
              </w:rPr>
              <w:t xml:space="preserve"> numri i fëmijëve ndaj të cilëve janë zbatuar masat alternative të shmangies nga ndjekja penale.</w:t>
            </w:r>
          </w:p>
          <w:p w:rsidR="00493B51" w:rsidRDefault="00493B51">
            <w:pPr>
              <w:widowControl w:val="0"/>
              <w:spacing w:after="0" w:line="240" w:lineRule="auto"/>
              <w:ind w:firstLine="0"/>
              <w:rPr>
                <w:rFonts w:ascii="Garamond" w:hAnsi="Garamond"/>
                <w:b/>
                <w:color w:val="FFFFFF"/>
                <w:spacing w:val="-4"/>
                <w:sz w:val="18"/>
                <w:szCs w:val="18"/>
                <w:lang w:val="sq-AL"/>
              </w:rPr>
            </w:pPr>
          </w:p>
        </w:tc>
      </w:tr>
      <w:tr w:rsidR="00493B51" w:rsidTr="00493B51">
        <w:trPr>
          <w:trHeight w:val="1727"/>
          <w:jc w:val="center"/>
        </w:trPr>
        <w:tc>
          <w:tcPr>
            <w:tcW w:w="200"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1.</w:t>
            </w:r>
          </w:p>
        </w:tc>
        <w:tc>
          <w:tcPr>
            <w:tcW w:w="706"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Aplikimi i programeve të drejtësisë restauruese/të ndërmjetësimit. </w:t>
            </w:r>
          </w:p>
          <w:p w:rsidR="00493B51" w:rsidRDefault="00493B51">
            <w:pPr>
              <w:widowControl w:val="0"/>
              <w:spacing w:after="0" w:line="240" w:lineRule="auto"/>
              <w:ind w:firstLine="0"/>
              <w:rPr>
                <w:rFonts w:ascii="Garamond" w:hAnsi="Garamond"/>
                <w:spacing w:val="-4"/>
                <w:sz w:val="18"/>
                <w:szCs w:val="18"/>
                <w:lang w:val="sq-AL"/>
              </w:rPr>
            </w:pPr>
          </w:p>
        </w:tc>
        <w:tc>
          <w:tcPr>
            <w:tcW w:w="699" w:type="pc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spacing w:val="-4"/>
                <w:sz w:val="18"/>
                <w:szCs w:val="18"/>
                <w:lang w:val="sq-AL"/>
              </w:rPr>
              <w:t xml:space="preserve">1.1 </w:t>
            </w:r>
            <w:r>
              <w:rPr>
                <w:rFonts w:ascii="Garamond" w:hAnsi="Garamond"/>
                <w:bCs/>
                <w:spacing w:val="-4"/>
                <w:sz w:val="18"/>
                <w:szCs w:val="18"/>
                <w:lang w:val="sq-AL" w:eastAsia="sq-AL"/>
              </w:rPr>
              <w:t>Përmirësimi i kuadrit institucional për zbatimin e programeve të drejtësisë restauruese dhe të ndërmjetësimit.</w:t>
            </w:r>
          </w:p>
          <w:p w:rsidR="00493B51" w:rsidRDefault="00493B51">
            <w:pPr>
              <w:widowControl w:val="0"/>
              <w:spacing w:after="0" w:line="240" w:lineRule="auto"/>
              <w:ind w:firstLine="0"/>
              <w:rPr>
                <w:rFonts w:ascii="Garamond" w:hAnsi="Garamond"/>
                <w:spacing w:val="-4"/>
                <w:sz w:val="18"/>
                <w:szCs w:val="18"/>
                <w:lang w:val="sq-AL"/>
              </w:rPr>
            </w:pPr>
          </w:p>
        </w:tc>
        <w:tc>
          <w:tcPr>
            <w:tcW w:w="502" w:type="pct"/>
            <w:gridSpan w:val="2"/>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2018</w:t>
            </w:r>
            <w:r>
              <w:rPr>
                <w:rFonts w:ascii="Garamond" w:hAnsi="Garamond"/>
                <w:spacing w:val="-4"/>
                <w:sz w:val="18"/>
                <w:szCs w:val="18"/>
                <w:lang w:val="sq-AL"/>
              </w:rPr>
              <w:t>–</w:t>
            </w:r>
            <w:r>
              <w:rPr>
                <w:rFonts w:ascii="Garamond" w:hAnsi="Garamond"/>
                <w:bCs/>
                <w:spacing w:val="-4"/>
                <w:sz w:val="18"/>
                <w:szCs w:val="18"/>
                <w:lang w:val="sq-AL" w:eastAsia="sq-AL"/>
              </w:rPr>
              <w:t>2020</w:t>
            </w: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815,040.00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bCs/>
                <w:spacing w:val="-4"/>
                <w:sz w:val="18"/>
                <w:szCs w:val="18"/>
                <w:lang w:val="sq-AL" w:eastAsia="sq-AL"/>
              </w:rPr>
              <w:t>815,040.00</w:t>
            </w:r>
          </w:p>
        </w:tc>
        <w:tc>
          <w:tcPr>
            <w:tcW w:w="360"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DPSHP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ASHMDF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NJMF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DHKNd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Gjykata/KLGJ</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Prokurori/KLP</w:t>
            </w:r>
          </w:p>
          <w:p w:rsidR="00493B51" w:rsidRDefault="00493B51">
            <w:pPr>
              <w:widowControl w:val="0"/>
              <w:spacing w:after="0" w:line="240" w:lineRule="auto"/>
              <w:ind w:firstLine="0"/>
              <w:jc w:val="center"/>
              <w:rPr>
                <w:rFonts w:ascii="Garamond" w:hAnsi="Garamond"/>
                <w:b/>
                <w:bCs/>
                <w:spacing w:val="-4"/>
                <w:sz w:val="18"/>
                <w:szCs w:val="18"/>
                <w:lang w:val="sq-AL" w:eastAsia="sq-AL"/>
              </w:rPr>
            </w:pPr>
            <w:r>
              <w:rPr>
                <w:rFonts w:ascii="Garamond" w:hAnsi="Garamond"/>
                <w:bCs/>
                <w:spacing w:val="-4"/>
                <w:sz w:val="18"/>
                <w:szCs w:val="18"/>
                <w:lang w:val="sq-AL" w:eastAsia="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spacing w:val="-4"/>
                <w:sz w:val="18"/>
                <w:szCs w:val="18"/>
                <w:lang w:val="sq-AL"/>
              </w:rPr>
              <w:t>Zbatimi i 2 (dy) programeve për: i. drejtësinë restauruese; dhe ii. ndërmjetësimin për të miturin dhe viktimën.</w:t>
            </w:r>
          </w:p>
        </w:tc>
      </w:tr>
      <w:tr w:rsidR="00493B51" w:rsidTr="00493B51">
        <w:trPr>
          <w:trHeight w:val="1493"/>
          <w:jc w:val="center"/>
        </w:trPr>
        <w:tc>
          <w:tcPr>
            <w:tcW w:w="200"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lastRenderedPageBreak/>
              <w:t>2.</w:t>
            </w:r>
          </w:p>
        </w:tc>
        <w:tc>
          <w:tcPr>
            <w:tcW w:w="70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Zhvillimi i planeve të këshillimit për të miturit dhe/ ose familjen e tij.</w:t>
            </w:r>
          </w:p>
        </w:tc>
        <w:tc>
          <w:tcPr>
            <w:tcW w:w="69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2.1 </w:t>
            </w:r>
            <w:r>
              <w:rPr>
                <w:rFonts w:ascii="Garamond" w:hAnsi="Garamond"/>
                <w:bCs/>
                <w:spacing w:val="-4"/>
                <w:sz w:val="18"/>
                <w:szCs w:val="18"/>
                <w:lang w:val="sq-AL" w:eastAsia="sq-AL"/>
              </w:rPr>
              <w:t xml:space="preserve">Ngritja e kuadrit institucional për zbatimin e </w:t>
            </w:r>
            <w:r>
              <w:rPr>
                <w:rFonts w:ascii="Garamond" w:hAnsi="Garamond"/>
                <w:spacing w:val="-4"/>
                <w:sz w:val="18"/>
                <w:szCs w:val="18"/>
                <w:lang w:val="sq-AL"/>
              </w:rPr>
              <w:t xml:space="preserve">planeve të këshillimit për të miturit dhe familjen. </w:t>
            </w:r>
          </w:p>
        </w:tc>
        <w:tc>
          <w:tcPr>
            <w:tcW w:w="502"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2019</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7,200,000.00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bCs/>
                <w:spacing w:val="-4"/>
                <w:sz w:val="18"/>
                <w:szCs w:val="18"/>
                <w:lang w:val="sq-AL" w:eastAsia="sq-AL"/>
              </w:rPr>
              <w:t>7,200,000.00</w:t>
            </w:r>
          </w:p>
        </w:tc>
        <w:tc>
          <w:tcPr>
            <w:tcW w:w="360"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ASHMDF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DPB</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DPSHP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NJMF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MASR</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bCs/>
                <w:spacing w:val="-4"/>
                <w:sz w:val="18"/>
                <w:szCs w:val="18"/>
                <w:lang w:val="sq-AL" w:eastAsia="sq-AL"/>
              </w:rPr>
              <w:t xml:space="preserve">1. </w:t>
            </w:r>
            <w:r>
              <w:rPr>
                <w:rFonts w:ascii="Garamond" w:hAnsi="Garamond"/>
                <w:spacing w:val="-4"/>
                <w:sz w:val="18"/>
                <w:szCs w:val="18"/>
                <w:lang w:val="sq-AL"/>
              </w:rPr>
              <w:t>Zbatimi i 1 (një) programi këshillimi për të miturit dhe familjen.</w:t>
            </w:r>
          </w:p>
        </w:tc>
      </w:tr>
      <w:tr w:rsidR="00493B51" w:rsidTr="00493B51">
        <w:trPr>
          <w:trHeight w:val="1034"/>
          <w:jc w:val="center"/>
        </w:trPr>
        <w:tc>
          <w:tcPr>
            <w:tcW w:w="200" w:type="pct"/>
            <w:tcBorders>
              <w:top w:val="single" w:sz="4" w:space="0" w:color="auto"/>
              <w:left w:val="single" w:sz="4" w:space="0" w:color="auto"/>
              <w:bottom w:val="single" w:sz="4" w:space="0" w:color="auto"/>
              <w:right w:val="single" w:sz="4" w:space="0" w:color="auto"/>
            </w:tcBorders>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 xml:space="preserve">3. </w:t>
            </w: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tc>
        <w:tc>
          <w:tcPr>
            <w:tcW w:w="70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contextualSpacing/>
              <w:rPr>
                <w:rFonts w:ascii="Garamond" w:hAnsi="Garamond"/>
                <w:spacing w:val="-4"/>
                <w:sz w:val="18"/>
                <w:szCs w:val="18"/>
                <w:lang w:val="sq-AL"/>
              </w:rPr>
            </w:pPr>
            <w:r>
              <w:rPr>
                <w:rFonts w:ascii="Garamond" w:hAnsi="Garamond"/>
                <w:spacing w:val="-4"/>
                <w:sz w:val="18"/>
                <w:szCs w:val="18"/>
                <w:lang w:val="sq-AL"/>
              </w:rPr>
              <w:t>Nxitja e aplikimit të masës alternative të shmangies nga ndjekja penale.</w:t>
            </w:r>
          </w:p>
        </w:tc>
        <w:tc>
          <w:tcPr>
            <w:tcW w:w="69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3.1 </w:t>
            </w:r>
            <w:r>
              <w:rPr>
                <w:rFonts w:ascii="Garamond" w:hAnsi="Garamond"/>
                <w:bCs/>
                <w:spacing w:val="-4"/>
                <w:sz w:val="18"/>
                <w:szCs w:val="18"/>
                <w:lang w:val="sq-AL" w:eastAsia="sq-AL"/>
              </w:rPr>
              <w:t xml:space="preserve">Ngritja e kuadrit infrastrukturor për zbatimin e </w:t>
            </w:r>
            <w:r>
              <w:rPr>
                <w:rFonts w:ascii="Garamond" w:hAnsi="Garamond"/>
                <w:spacing w:val="-4"/>
                <w:sz w:val="18"/>
                <w:szCs w:val="18"/>
                <w:lang w:val="sq-AL"/>
              </w:rPr>
              <w:t>masës së shmangies.</w:t>
            </w:r>
          </w:p>
        </w:tc>
        <w:tc>
          <w:tcPr>
            <w:tcW w:w="502"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2018</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10,500,000.00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10,500,000.00</w:t>
            </w:r>
          </w:p>
        </w:tc>
        <w:tc>
          <w:tcPr>
            <w:tcW w:w="360"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DPSHP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NJMF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pStyle w:val="FootnoteText"/>
              <w:widowControl w:val="0"/>
              <w:ind w:firstLine="0"/>
              <w:rPr>
                <w:rFonts w:ascii="Garamond" w:hAnsi="Garamond"/>
                <w:bCs/>
                <w:spacing w:val="-4"/>
                <w:sz w:val="18"/>
                <w:szCs w:val="18"/>
                <w:lang w:eastAsia="sq-AL"/>
              </w:rPr>
            </w:pPr>
            <w:r>
              <w:rPr>
                <w:rFonts w:ascii="Garamond" w:hAnsi="Garamond"/>
                <w:bCs/>
                <w:spacing w:val="-4"/>
                <w:sz w:val="18"/>
                <w:szCs w:val="18"/>
                <w:lang w:eastAsia="sq-AL"/>
              </w:rPr>
              <w:t>Funksionimi i 10 (dhjetë) ambienteve pranë qendrave komunitare për zbatimin e masës së shmangies.</w:t>
            </w:r>
          </w:p>
        </w:tc>
      </w:tr>
      <w:tr w:rsidR="00493B51" w:rsidTr="00493B51">
        <w:trPr>
          <w:trHeight w:val="1144"/>
          <w:jc w:val="center"/>
        </w:trPr>
        <w:tc>
          <w:tcPr>
            <w:tcW w:w="200"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4.</w:t>
            </w:r>
          </w:p>
        </w:tc>
        <w:tc>
          <w:tcPr>
            <w:tcW w:w="70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contextualSpacing/>
              <w:rPr>
                <w:rFonts w:ascii="Garamond" w:hAnsi="Garamond"/>
                <w:b/>
                <w:spacing w:val="-4"/>
                <w:sz w:val="18"/>
                <w:szCs w:val="18"/>
                <w:lang w:val="sq-AL"/>
              </w:rPr>
            </w:pPr>
            <w:r>
              <w:rPr>
                <w:rFonts w:ascii="Garamond" w:hAnsi="Garamond"/>
                <w:spacing w:val="-4"/>
                <w:sz w:val="18"/>
                <w:szCs w:val="18"/>
                <w:lang w:val="sq-AL"/>
              </w:rPr>
              <w:t>Inkurajimi i aplikimit të masave alternative të dënimit.</w:t>
            </w:r>
          </w:p>
        </w:tc>
        <w:tc>
          <w:tcPr>
            <w:tcW w:w="69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4.1 Fuqizimi i mekanizmave dhe strukturave për zbatimin e masave alternative të dënimit.</w:t>
            </w:r>
          </w:p>
        </w:tc>
        <w:tc>
          <w:tcPr>
            <w:tcW w:w="502"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2018</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120,287,604,00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360"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DPSHP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Polici</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spacing w:val="-4"/>
                <w:sz w:val="18"/>
                <w:szCs w:val="18"/>
                <w:lang w:val="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pStyle w:val="FootnoteText"/>
              <w:widowControl w:val="0"/>
              <w:ind w:firstLine="0"/>
              <w:rPr>
                <w:rFonts w:ascii="Garamond" w:hAnsi="Garamond"/>
                <w:bCs/>
                <w:spacing w:val="-4"/>
                <w:sz w:val="18"/>
                <w:szCs w:val="18"/>
                <w:lang w:eastAsia="sq-AL"/>
              </w:rPr>
            </w:pPr>
            <w:r>
              <w:rPr>
                <w:rFonts w:ascii="Garamond" w:hAnsi="Garamond"/>
                <w:bCs/>
                <w:spacing w:val="-4"/>
                <w:sz w:val="18"/>
                <w:szCs w:val="18"/>
                <w:lang w:eastAsia="sq-AL"/>
              </w:rPr>
              <w:t>Numri i strukturave organizative/punonjësve të caktuar në shërbim prove që mbulojnë çështjet e të miturve.</w:t>
            </w:r>
          </w:p>
        </w:tc>
      </w:tr>
      <w:tr w:rsidR="00493B51" w:rsidTr="00493B51">
        <w:trPr>
          <w:trHeight w:val="964"/>
          <w:jc w:val="center"/>
        </w:trPr>
        <w:tc>
          <w:tcPr>
            <w:tcW w:w="20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5.</w:t>
            </w: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p w:rsidR="00493B51" w:rsidRDefault="00493B51">
            <w:pPr>
              <w:widowControl w:val="0"/>
              <w:tabs>
                <w:tab w:val="left" w:pos="700"/>
              </w:tabs>
              <w:spacing w:after="0" w:line="240" w:lineRule="auto"/>
              <w:ind w:firstLine="0"/>
              <w:jc w:val="right"/>
              <w:rPr>
                <w:rFonts w:ascii="Garamond" w:hAnsi="Garamond"/>
                <w:b/>
                <w:bCs/>
                <w:spacing w:val="-4"/>
                <w:sz w:val="18"/>
                <w:szCs w:val="18"/>
                <w:lang w:val="sq-AL"/>
              </w:rPr>
            </w:pPr>
          </w:p>
        </w:tc>
        <w:tc>
          <w:tcPr>
            <w:tcW w:w="706"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
                <w:spacing w:val="-4"/>
                <w:sz w:val="18"/>
                <w:szCs w:val="18"/>
                <w:lang w:val="sq-AL"/>
              </w:rPr>
            </w:pPr>
            <w:r>
              <w:rPr>
                <w:rFonts w:ascii="Garamond" w:hAnsi="Garamond"/>
                <w:spacing w:val="-4"/>
                <w:sz w:val="18"/>
                <w:szCs w:val="18"/>
                <w:lang w:val="sq-AL"/>
              </w:rPr>
              <w:t>Garantimi i një kuadri institucional që nxit dhe lehtëson edukimin, rehabilitimin dhe riintegrimin e të miturve në institucionet e paraburgimit dhe burgimit.</w:t>
            </w:r>
          </w:p>
        </w:tc>
        <w:tc>
          <w:tcPr>
            <w:tcW w:w="69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5.1 Krijimi i kuadrit infrastrukturor për zbatimin e masave të kufizimit të lirisë.</w:t>
            </w:r>
          </w:p>
        </w:tc>
        <w:tc>
          <w:tcPr>
            <w:tcW w:w="502"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2019</w:t>
            </w:r>
            <w:r>
              <w:rPr>
                <w:rFonts w:ascii="Garamond" w:hAnsi="Garamond"/>
                <w:spacing w:val="-4"/>
                <w:sz w:val="18"/>
                <w:szCs w:val="18"/>
                <w:lang w:val="sq-AL"/>
              </w:rPr>
              <w:t>–</w:t>
            </w:r>
            <w:r>
              <w:rPr>
                <w:rFonts w:ascii="Garamond" w:hAnsi="Garamond"/>
                <w:bCs/>
                <w:spacing w:val="-4"/>
                <w:sz w:val="18"/>
                <w:szCs w:val="18"/>
                <w:lang w:val="sq-AL" w:eastAsia="sq-AL"/>
              </w:rPr>
              <w:t>2020</w:t>
            </w:r>
          </w:p>
        </w:tc>
        <w:tc>
          <w:tcPr>
            <w:tcW w:w="42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9,000,000.00</w:t>
            </w:r>
          </w:p>
        </w:tc>
        <w:tc>
          <w:tcPr>
            <w:tcW w:w="469"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9,000,000.00</w:t>
            </w:r>
          </w:p>
        </w:tc>
        <w:tc>
          <w:tcPr>
            <w:tcW w:w="360"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DPB</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bCs/>
                <w:spacing w:val="-4"/>
                <w:sz w:val="18"/>
                <w:szCs w:val="18"/>
                <w:lang w:val="sq-AL" w:eastAsia="sq-AL"/>
              </w:rPr>
            </w:pPr>
            <w:r>
              <w:rPr>
                <w:rFonts w:ascii="Garamond" w:hAnsi="Garamond"/>
                <w:bCs/>
                <w:spacing w:val="-4"/>
                <w:sz w:val="18"/>
                <w:szCs w:val="18"/>
                <w:lang w:val="sq-AL" w:eastAsia="sq-AL"/>
              </w:rPr>
              <w:t>Pilotimi i 1 (një) qendre edukuese/rehabilituese për të miturit me kufizim lirie.</w:t>
            </w:r>
          </w:p>
        </w:tc>
      </w:tr>
      <w:tr w:rsidR="00493B51" w:rsidTr="00493B51">
        <w:trPr>
          <w:trHeight w:val="96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spacing w:val="-4"/>
                <w:sz w:val="18"/>
                <w:szCs w:val="18"/>
                <w:lang w:val="sq-AL"/>
              </w:rPr>
            </w:pPr>
          </w:p>
        </w:tc>
        <w:tc>
          <w:tcPr>
            <w:tcW w:w="69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5.2 Përmirësimi i praktikës në zbatimin masave të dënimit me burgim. </w:t>
            </w:r>
          </w:p>
        </w:tc>
        <w:tc>
          <w:tcPr>
            <w:tcW w:w="502"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2019</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7,821,984.00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spacing w:val="-4"/>
                <w:sz w:val="18"/>
                <w:szCs w:val="18"/>
                <w:lang w:val="sq-AL"/>
              </w:rPr>
            </w:pPr>
            <w:r>
              <w:rPr>
                <w:rFonts w:ascii="Garamond" w:hAnsi="Garamond"/>
                <w:bCs/>
                <w:spacing w:val="-4"/>
                <w:sz w:val="18"/>
                <w:szCs w:val="18"/>
                <w:lang w:val="sq-AL" w:eastAsia="sq-AL"/>
              </w:rPr>
              <w:t>7,821,984.00</w:t>
            </w:r>
          </w:p>
        </w:tc>
        <w:tc>
          <w:tcPr>
            <w:tcW w:w="360" w:type="pct"/>
            <w:vMerge w:val="restart"/>
            <w:tcBorders>
              <w:top w:val="single" w:sz="4" w:space="0" w:color="auto"/>
              <w:left w:val="single" w:sz="4" w:space="0" w:color="auto"/>
              <w:bottom w:val="single" w:sz="4" w:space="0" w:color="auto"/>
              <w:right w:val="single" w:sz="4" w:space="0" w:color="auto"/>
            </w:tcBorders>
          </w:tcPr>
          <w:p w:rsidR="00493B51" w:rsidRDefault="00493B51">
            <w:pPr>
              <w:widowControl w:val="0"/>
              <w:spacing w:after="0" w:line="240" w:lineRule="auto"/>
              <w:ind w:firstLine="0"/>
              <w:jc w:val="center"/>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DPB</w:t>
            </w:r>
          </w:p>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Standardizimi i 3 (tri) formateve të planeve që hartojnë punonjësit e IEVP/paraburgimit.</w:t>
            </w:r>
          </w:p>
        </w:tc>
      </w:tr>
      <w:tr w:rsidR="00493B51" w:rsidTr="00493B51">
        <w:trPr>
          <w:trHeight w:val="166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spacing w:val="-4"/>
                <w:sz w:val="18"/>
                <w:szCs w:val="18"/>
                <w:lang w:val="sq-AL"/>
              </w:rPr>
            </w:pPr>
          </w:p>
        </w:tc>
        <w:tc>
          <w:tcPr>
            <w:tcW w:w="69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5.3 Përmirësimi i programeve që lidhen me arsimimin, formimin profesional, punësimin, sportin, argëtimin dhe programe të tjera.</w:t>
            </w:r>
          </w:p>
        </w:tc>
        <w:tc>
          <w:tcPr>
            <w:tcW w:w="502"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2018</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14,400,000.00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
                <w:bCs/>
                <w:spacing w:val="-4"/>
                <w:sz w:val="18"/>
                <w:szCs w:val="18"/>
                <w:lang w:val="sq-AL" w:eastAsia="sq-AL"/>
              </w:rPr>
            </w:pPr>
            <w:r>
              <w:rPr>
                <w:rFonts w:ascii="Garamond" w:hAnsi="Garamond"/>
                <w:bCs/>
                <w:spacing w:val="-4"/>
                <w:sz w:val="18"/>
                <w:szCs w:val="18"/>
                <w:lang w:val="sq-AL" w:eastAsia="sq-AL"/>
              </w:rPr>
              <w:t>14,400,000.00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DPB</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MASR</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MFE</w:t>
            </w:r>
          </w:p>
          <w:p w:rsidR="00493B51" w:rsidRDefault="00493B51">
            <w:pPr>
              <w:widowControl w:val="0"/>
              <w:spacing w:after="0" w:line="240" w:lineRule="auto"/>
              <w:ind w:firstLine="0"/>
              <w:jc w:val="center"/>
              <w:rPr>
                <w:rFonts w:ascii="Garamond" w:hAnsi="Garamond"/>
                <w:b/>
                <w:bCs/>
                <w:spacing w:val="-4"/>
                <w:sz w:val="18"/>
                <w:szCs w:val="18"/>
                <w:lang w:val="sq-AL" w:eastAsia="sq-AL"/>
              </w:rPr>
            </w:pPr>
            <w:r>
              <w:rPr>
                <w:rFonts w:ascii="Garamond" w:hAnsi="Garamond"/>
                <w:bCs/>
                <w:spacing w:val="-4"/>
                <w:sz w:val="18"/>
                <w:szCs w:val="18"/>
                <w:lang w:val="sq-AL" w:eastAsia="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Zbatimi i 11 (dhjetë) i programeve/aktiviteteve në institucionet e sistemit penitenciar:</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arsimimit;</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formimit profesional;</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punësimit;</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menaxhimi i sjelljes e agresivitetit, përmes promovimit të aftësive pro-sociale;</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zgjidhja e konflikteve dhe parandalimi i dhunës; </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forcimit të marrëdhënieve me familjen; </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xml:space="preserve">- program për parandalimin </w:t>
            </w:r>
            <w:r>
              <w:rPr>
                <w:rFonts w:ascii="Garamond" w:hAnsi="Garamond"/>
                <w:spacing w:val="-4"/>
                <w:sz w:val="18"/>
                <w:szCs w:val="18"/>
                <w:lang w:val="sq-AL"/>
              </w:rPr>
              <w:lastRenderedPageBreak/>
              <w:t>e bulizmit; </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w:t>
            </w:r>
            <w:r>
              <w:rPr>
                <w:rFonts w:ascii="Garamond" w:hAnsi="Garamond"/>
                <w:spacing w:val="-4"/>
                <w:sz w:val="10"/>
                <w:szCs w:val="18"/>
                <w:lang w:val="sq-AL"/>
              </w:rPr>
              <w:t xml:space="preserve"> </w:t>
            </w:r>
            <w:r>
              <w:rPr>
                <w:rFonts w:ascii="Garamond" w:hAnsi="Garamond"/>
                <w:spacing w:val="-4"/>
                <w:sz w:val="18"/>
                <w:szCs w:val="18"/>
                <w:lang w:val="sq-AL"/>
              </w:rPr>
              <w:t>ndërhyrjes gjithëpërfshirëse të komunitetit;</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rekreative dhe sportive;</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edukuese, kulturore dhe fetare;</w:t>
            </w:r>
          </w:p>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 radikalizmit dhe terrorizmit.</w:t>
            </w:r>
          </w:p>
        </w:tc>
      </w:tr>
      <w:tr w:rsidR="00493B51" w:rsidTr="00493B51">
        <w:trPr>
          <w:trHeight w:val="103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spacing w:val="-4"/>
                <w:sz w:val="18"/>
                <w:szCs w:val="18"/>
                <w:lang w:val="sq-AL"/>
              </w:rPr>
            </w:pPr>
          </w:p>
        </w:tc>
        <w:tc>
          <w:tcPr>
            <w:tcW w:w="69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5.4 Përgatitja e materialeve informuese për të drejtat e të miturve në institucionet e sistemit penitenciar.</w:t>
            </w:r>
          </w:p>
        </w:tc>
        <w:tc>
          <w:tcPr>
            <w:tcW w:w="502"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2018</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624,000.00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0.00</w:t>
            </w: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spacing w:val="-4"/>
                <w:sz w:val="18"/>
                <w:szCs w:val="18"/>
                <w:lang w:val="sq-AL" w:eastAsia="sq-AL"/>
              </w:rPr>
            </w:pPr>
            <w:r>
              <w:rPr>
                <w:rFonts w:ascii="Garamond" w:hAnsi="Garamond"/>
                <w:spacing w:val="-4"/>
                <w:sz w:val="18"/>
                <w:szCs w:val="18"/>
                <w:lang w:val="sq-AL" w:eastAsia="sq-AL"/>
              </w:rPr>
              <w:t>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DPB</w:t>
            </w:r>
          </w:p>
          <w:p w:rsidR="00493B51" w:rsidRDefault="00493B51">
            <w:pPr>
              <w:widowControl w:val="0"/>
              <w:spacing w:after="0" w:line="240" w:lineRule="auto"/>
              <w:ind w:firstLine="0"/>
              <w:jc w:val="center"/>
              <w:rPr>
                <w:rFonts w:ascii="Garamond" w:hAnsi="Garamond"/>
                <w:b/>
                <w:bCs/>
                <w:spacing w:val="-4"/>
                <w:sz w:val="18"/>
                <w:szCs w:val="18"/>
                <w:lang w:val="sq-AL" w:eastAsia="sq-AL"/>
              </w:rPr>
            </w:pPr>
            <w:r>
              <w:rPr>
                <w:rFonts w:ascii="Garamond" w:hAnsi="Garamond"/>
                <w:spacing w:val="-4"/>
                <w:sz w:val="18"/>
                <w:szCs w:val="18"/>
                <w:lang w:val="sq-AL"/>
              </w:rPr>
              <w:t>OJF/Projekte</w:t>
            </w:r>
          </w:p>
        </w:tc>
        <w:tc>
          <w:tcPr>
            <w:tcW w:w="65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Përgatitja e 2 (dy) formateve pamflete/dokumente informuese në vit për të miturin dhe prindin/të afërmin.</w:t>
            </w:r>
          </w:p>
        </w:tc>
      </w:tr>
      <w:tr w:rsidR="00493B51" w:rsidTr="00493B51">
        <w:trPr>
          <w:trHeight w:val="683"/>
          <w:jc w:val="center"/>
        </w:trPr>
        <w:tc>
          <w:tcPr>
            <w:tcW w:w="5000" w:type="pct"/>
            <w:gridSpan w:val="12"/>
            <w:tcBorders>
              <w:top w:val="single" w:sz="4" w:space="0" w:color="auto"/>
              <w:left w:val="single" w:sz="4" w:space="0" w:color="auto"/>
              <w:bottom w:val="single" w:sz="4" w:space="0" w:color="auto"/>
              <w:right w:val="single" w:sz="4" w:space="0" w:color="auto"/>
            </w:tcBorders>
            <w:shd w:val="clear" w:color="auto" w:fill="31849B"/>
            <w:vAlign w:val="center"/>
          </w:tcPr>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p>
          <w:p w:rsidR="00493B51" w:rsidRDefault="00493B51">
            <w:pPr>
              <w:pStyle w:val="ListParagraph"/>
              <w:widowControl w:val="0"/>
              <w:spacing w:after="0" w:line="240" w:lineRule="auto"/>
              <w:ind w:left="0"/>
              <w:jc w:val="center"/>
              <w:rPr>
                <w:rFonts w:ascii="Garamond" w:hAnsi="Garamond"/>
                <w:b/>
                <w:color w:val="FFFFFF"/>
                <w:spacing w:val="-4"/>
                <w:sz w:val="18"/>
                <w:szCs w:val="18"/>
                <w:lang w:val="sq-AL"/>
              </w:rPr>
            </w:pPr>
            <w:r>
              <w:rPr>
                <w:rFonts w:ascii="Garamond" w:hAnsi="Garamond"/>
                <w:b/>
                <w:color w:val="FFFFFF"/>
                <w:spacing w:val="-4"/>
                <w:sz w:val="18"/>
                <w:szCs w:val="18"/>
                <w:lang w:val="sq-AL"/>
              </w:rPr>
              <w:t>Objektivi nr. 5. Forcimi i bashkëpunimit të institucioneve të sistemit të drejtësisë për të mitur</w:t>
            </w:r>
          </w:p>
          <w:p w:rsidR="00493B51" w:rsidRDefault="00493B51">
            <w:pPr>
              <w:widowControl w:val="0"/>
              <w:spacing w:after="0" w:line="240" w:lineRule="auto"/>
              <w:ind w:firstLine="0"/>
              <w:rPr>
                <w:rFonts w:ascii="Garamond" w:hAnsi="Garamond"/>
                <w:spacing w:val="-4"/>
                <w:sz w:val="18"/>
                <w:szCs w:val="18"/>
                <w:lang w:val="sq-AL"/>
              </w:rPr>
            </w:pPr>
          </w:p>
          <w:p w:rsidR="00493B51" w:rsidRDefault="00493B51">
            <w:pPr>
              <w:widowControl w:val="0"/>
              <w:spacing w:after="0" w:line="240" w:lineRule="auto"/>
              <w:ind w:firstLine="0"/>
              <w:rPr>
                <w:rFonts w:ascii="Garamond" w:hAnsi="Garamond"/>
                <w:b/>
                <w:i/>
                <w:color w:val="FFFFFF"/>
                <w:spacing w:val="-4"/>
                <w:sz w:val="18"/>
                <w:szCs w:val="18"/>
                <w:lang w:val="sq-AL"/>
              </w:rPr>
            </w:pPr>
            <w:r>
              <w:rPr>
                <w:rFonts w:ascii="Garamond" w:hAnsi="Garamond"/>
                <w:i/>
                <w:color w:val="FFFFFF"/>
                <w:spacing w:val="-4"/>
                <w:sz w:val="18"/>
                <w:szCs w:val="18"/>
                <w:lang w:val="sq-AL"/>
              </w:rPr>
              <w:t>Indikatorët: Numri i institucioneve dhe përfaqësuesve të angazhuar në nivel qendror dhe vendor në çështjet e drejtësisë për të miturit</w:t>
            </w:r>
          </w:p>
          <w:p w:rsidR="00493B51" w:rsidRDefault="00493B51">
            <w:pPr>
              <w:widowControl w:val="0"/>
              <w:spacing w:after="0" w:line="240" w:lineRule="auto"/>
              <w:ind w:firstLine="0"/>
              <w:rPr>
                <w:rFonts w:ascii="Garamond" w:hAnsi="Garamond"/>
                <w:spacing w:val="-4"/>
                <w:sz w:val="18"/>
                <w:szCs w:val="18"/>
                <w:lang w:val="sq-AL"/>
              </w:rPr>
            </w:pPr>
          </w:p>
        </w:tc>
      </w:tr>
      <w:tr w:rsidR="00493B51" w:rsidTr="00493B51">
        <w:trPr>
          <w:trHeight w:val="1166"/>
          <w:jc w:val="center"/>
        </w:trPr>
        <w:tc>
          <w:tcPr>
            <w:tcW w:w="200"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tabs>
                <w:tab w:val="left" w:pos="0"/>
              </w:tabs>
              <w:spacing w:after="0" w:line="240" w:lineRule="auto"/>
              <w:ind w:firstLine="0"/>
              <w:jc w:val="right"/>
              <w:rPr>
                <w:rFonts w:ascii="Garamond" w:hAnsi="Garamond"/>
                <w:b/>
                <w:bCs/>
                <w:spacing w:val="-4"/>
                <w:sz w:val="18"/>
                <w:szCs w:val="18"/>
                <w:lang w:val="sq-AL"/>
              </w:rPr>
            </w:pPr>
            <w:r>
              <w:rPr>
                <w:rFonts w:ascii="Garamond" w:hAnsi="Garamond"/>
                <w:b/>
                <w:bCs/>
                <w:spacing w:val="-4"/>
                <w:sz w:val="18"/>
                <w:szCs w:val="18"/>
                <w:lang w:val="sq-AL"/>
              </w:rPr>
              <w:t>1.</w:t>
            </w:r>
          </w:p>
        </w:tc>
        <w:tc>
          <w:tcPr>
            <w:tcW w:w="706"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spacing w:val="-4"/>
                <w:sz w:val="18"/>
                <w:szCs w:val="18"/>
                <w:lang w:val="sq-AL"/>
              </w:rPr>
            </w:pPr>
            <w:r>
              <w:rPr>
                <w:rFonts w:ascii="Garamond" w:hAnsi="Garamond"/>
                <w:spacing w:val="-4"/>
                <w:sz w:val="18"/>
                <w:szCs w:val="18"/>
                <w:lang w:val="sq-AL"/>
              </w:rPr>
              <w:t>Forcimi i bashkëpunimit ndërinstitucional.</w:t>
            </w: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1.1 Ngritja dhe funksionimi i rrjetit ndërinstitucional në nivel qendror për çështjet e drejtësisë për të miturit.</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bCs/>
                <w:spacing w:val="-4"/>
                <w:sz w:val="18"/>
                <w:szCs w:val="18"/>
                <w:lang w:val="sq-AL" w:eastAsia="sq-AL"/>
              </w:rPr>
              <w:t>2018</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rPr>
            </w:pPr>
            <w:r>
              <w:rPr>
                <w:rFonts w:ascii="Garamond" w:hAnsi="Garamond"/>
                <w:bCs/>
                <w:spacing w:val="-4"/>
                <w:sz w:val="18"/>
                <w:szCs w:val="18"/>
                <w:lang w:val="sq-AL"/>
              </w:rPr>
              <w:t>891,360.00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p w:rsidR="00493B51" w:rsidRDefault="00493B51">
            <w:pPr>
              <w:widowControl w:val="0"/>
              <w:spacing w:after="0" w:line="240" w:lineRule="auto"/>
              <w:ind w:firstLine="0"/>
              <w:jc w:val="center"/>
              <w:rPr>
                <w:rFonts w:ascii="Garamond" w:hAnsi="Garamond"/>
                <w:spacing w:val="-4"/>
                <w:sz w:val="18"/>
                <w:szCs w:val="18"/>
                <w:lang w:val="sq-AL"/>
              </w:rPr>
            </w:pPr>
          </w:p>
          <w:p w:rsidR="00493B51" w:rsidRDefault="00493B51">
            <w:pPr>
              <w:widowControl w:val="0"/>
              <w:spacing w:after="0" w:line="240" w:lineRule="auto"/>
              <w:ind w:firstLine="0"/>
              <w:jc w:val="center"/>
              <w:rPr>
                <w:rFonts w:ascii="Garamond" w:hAnsi="Garamond"/>
                <w:spacing w:val="-4"/>
                <w:sz w:val="18"/>
                <w:szCs w:val="18"/>
                <w:lang w:val="sq-AL"/>
              </w:rPr>
            </w:pPr>
          </w:p>
          <w:p w:rsidR="00493B51" w:rsidRDefault="00493B51">
            <w:pPr>
              <w:widowControl w:val="0"/>
              <w:spacing w:after="0" w:line="240" w:lineRule="auto"/>
              <w:ind w:firstLine="0"/>
              <w:jc w:val="center"/>
              <w:rPr>
                <w:rFonts w:ascii="Garamond" w:hAnsi="Garamond"/>
                <w:spacing w:val="-4"/>
                <w:sz w:val="18"/>
                <w:szCs w:val="18"/>
                <w:lang w:val="sq-AL"/>
              </w:rPr>
            </w:pPr>
          </w:p>
          <w:p w:rsidR="00493B51" w:rsidRDefault="00493B51">
            <w:pPr>
              <w:widowControl w:val="0"/>
              <w:spacing w:after="0" w:line="240" w:lineRule="auto"/>
              <w:ind w:firstLine="0"/>
              <w:jc w:val="center"/>
              <w:rPr>
                <w:rFonts w:ascii="Garamond" w:hAnsi="Garamond"/>
                <w:spacing w:val="-4"/>
                <w:sz w:val="18"/>
                <w:szCs w:val="18"/>
                <w:lang w:val="sq-AL"/>
              </w:rPr>
            </w:pPr>
          </w:p>
          <w:p w:rsidR="00493B51" w:rsidRDefault="00493B51">
            <w:pPr>
              <w:widowControl w:val="0"/>
              <w:spacing w:after="0" w:line="240" w:lineRule="auto"/>
              <w:ind w:firstLine="0"/>
              <w:jc w:val="center"/>
              <w:rPr>
                <w:rFonts w:ascii="Garamond" w:hAnsi="Garamond"/>
                <w:spacing w:val="-4"/>
                <w:sz w:val="18"/>
                <w:szCs w:val="18"/>
                <w:lang w:val="sq-AL"/>
              </w:rPr>
            </w:pP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rPr>
            </w:pPr>
            <w:r>
              <w:rPr>
                <w:rFonts w:ascii="Garamond" w:hAnsi="Garamond"/>
                <w:bCs/>
                <w:spacing w:val="-4"/>
                <w:sz w:val="18"/>
                <w:szCs w:val="18"/>
                <w:lang w:val="sq-AL"/>
              </w:rPr>
              <w:t>0.00</w:t>
            </w:r>
          </w:p>
        </w:tc>
        <w:tc>
          <w:tcPr>
            <w:tcW w:w="360" w:type="pct"/>
            <w:vMerge w:val="restar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left"/>
              <w:rPr>
                <w:rFonts w:ascii="Garamond" w:hAnsi="Garamond"/>
                <w:bCs/>
                <w:spacing w:val="-4"/>
                <w:sz w:val="18"/>
                <w:szCs w:val="18"/>
                <w:lang w:val="sq-AL" w:eastAsia="sq-AL"/>
              </w:rPr>
            </w:pPr>
            <w:r>
              <w:rPr>
                <w:rFonts w:ascii="Garamond" w:hAnsi="Garamond"/>
                <w:bCs/>
                <w:spacing w:val="-4"/>
                <w:sz w:val="18"/>
                <w:szCs w:val="18"/>
                <w:lang w:val="sq-AL" w:eastAsia="sq-AL"/>
              </w:rPr>
              <w:t>Në zbatim të strategjisë dhe Kodit do të ngrihet dhe funksionojë rrjeti i përfaqësuesve për adresimin e çështjeve që lidhen me drejtësinë për të miturit.</w:t>
            </w:r>
          </w:p>
        </w:tc>
        <w:tc>
          <w:tcPr>
            <w:tcW w:w="479" w:type="pct"/>
            <w:tcBorders>
              <w:top w:val="single" w:sz="4" w:space="0" w:color="auto"/>
              <w:left w:val="single" w:sz="4" w:space="0" w:color="auto"/>
              <w:bottom w:val="single" w:sz="4" w:space="0" w:color="auto"/>
              <w:right w:val="single" w:sz="4" w:space="0" w:color="auto"/>
            </w:tcBorders>
            <w:vAlign w:val="center"/>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MD</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MB</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MFE</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MASR</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MSHMS</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ASHDMF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PP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(prokuroria)</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KLGJ (gjykata)</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KDIMDHP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KMK</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Avokati i Popullit</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UP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UNICEF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OJF/Projekte</w:t>
            </w:r>
          </w:p>
          <w:p w:rsidR="00493B51" w:rsidRDefault="00493B51">
            <w:pPr>
              <w:widowControl w:val="0"/>
              <w:spacing w:after="0" w:line="240" w:lineRule="auto"/>
              <w:ind w:firstLine="0"/>
              <w:jc w:val="center"/>
              <w:rPr>
                <w:rFonts w:ascii="Garamond" w:hAnsi="Garamond"/>
                <w:bCs/>
                <w:spacing w:val="-4"/>
                <w:sz w:val="18"/>
                <w:szCs w:val="18"/>
                <w:lang w:val="sq-AL" w:eastAsia="sq-AL"/>
              </w:rPr>
            </w:pP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Krijimi i 1 (një) rrjeti funksional ndërinstitucional për çështjet e drejtësisë për të miturit.</w:t>
            </w:r>
          </w:p>
        </w:tc>
      </w:tr>
      <w:tr w:rsidR="00493B51" w:rsidTr="00493B51">
        <w:trPr>
          <w:trHeight w:val="139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
                <w:bCs/>
                <w:spacing w:val="-4"/>
                <w:sz w:val="18"/>
                <w:szCs w:val="18"/>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spacing w:val="-4"/>
                <w:sz w:val="18"/>
                <w:szCs w:val="18"/>
                <w:lang w:val="sq-AL"/>
              </w:rPr>
            </w:pPr>
          </w:p>
        </w:tc>
        <w:tc>
          <w:tcPr>
            <w:tcW w:w="705" w:type="pct"/>
            <w:gridSpan w:val="2"/>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1.2 Ngritja e komunitetit të praktikantëve në nivel vendor.</w:t>
            </w:r>
          </w:p>
        </w:tc>
        <w:tc>
          <w:tcPr>
            <w:tcW w:w="496"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bCs/>
                <w:spacing w:val="-4"/>
                <w:sz w:val="18"/>
                <w:szCs w:val="18"/>
                <w:lang w:val="sq-AL" w:eastAsia="sq-AL"/>
              </w:rPr>
              <w:t>2018</w:t>
            </w:r>
            <w:r>
              <w:rPr>
                <w:rFonts w:ascii="Garamond" w:hAnsi="Garamond"/>
                <w:spacing w:val="-4"/>
                <w:sz w:val="18"/>
                <w:szCs w:val="18"/>
                <w:lang w:val="sq-AL"/>
              </w:rPr>
              <w:t>–</w:t>
            </w:r>
            <w:r>
              <w:rPr>
                <w:rFonts w:ascii="Garamond" w:hAnsi="Garamond"/>
                <w:bCs/>
                <w:spacing w:val="-4"/>
                <w:sz w:val="18"/>
                <w:szCs w:val="18"/>
                <w:lang w:val="sq-AL" w:eastAsia="sq-AL"/>
              </w:rPr>
              <w:t>2021</w:t>
            </w:r>
          </w:p>
        </w:tc>
        <w:tc>
          <w:tcPr>
            <w:tcW w:w="424"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rPr>
            </w:pPr>
            <w:r>
              <w:rPr>
                <w:rFonts w:ascii="Garamond" w:hAnsi="Garamond"/>
                <w:bCs/>
                <w:spacing w:val="-4"/>
                <w:sz w:val="18"/>
                <w:szCs w:val="18"/>
                <w:lang w:val="sq-AL"/>
              </w:rPr>
              <w:t>3,862,000.00</w:t>
            </w:r>
          </w:p>
        </w:tc>
        <w:tc>
          <w:tcPr>
            <w:tcW w:w="46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spacing w:after="0" w:line="240" w:lineRule="auto"/>
              <w:ind w:firstLine="0"/>
              <w:jc w:val="center"/>
              <w:rPr>
                <w:rFonts w:ascii="Garamond" w:hAnsi="Garamond"/>
                <w:spacing w:val="-4"/>
                <w:sz w:val="18"/>
                <w:szCs w:val="18"/>
                <w:lang w:val="sq-AL"/>
              </w:rPr>
            </w:pPr>
            <w:r>
              <w:rPr>
                <w:rFonts w:ascii="Garamond" w:hAnsi="Garamond"/>
                <w:spacing w:val="-4"/>
                <w:sz w:val="18"/>
                <w:szCs w:val="18"/>
                <w:lang w:val="sq-AL"/>
              </w:rPr>
              <w:t>0.00</w:t>
            </w:r>
          </w:p>
        </w:tc>
        <w:tc>
          <w:tcPr>
            <w:tcW w:w="497" w:type="pct"/>
            <w:tcBorders>
              <w:top w:val="single" w:sz="4" w:space="0" w:color="auto"/>
              <w:left w:val="single" w:sz="4" w:space="0" w:color="auto"/>
              <w:bottom w:val="single" w:sz="4" w:space="0" w:color="auto"/>
              <w:right w:val="single" w:sz="4" w:space="0" w:color="auto"/>
            </w:tcBorders>
            <w:shd w:val="clear" w:color="auto" w:fill="FFFFFF"/>
            <w:hideMark/>
          </w:tcPr>
          <w:p w:rsidR="00493B51" w:rsidRDefault="00493B51">
            <w:pPr>
              <w:widowControl w:val="0"/>
              <w:tabs>
                <w:tab w:val="left" w:pos="371"/>
              </w:tabs>
              <w:spacing w:after="0" w:line="240" w:lineRule="auto"/>
              <w:ind w:firstLine="0"/>
              <w:jc w:val="center"/>
              <w:rPr>
                <w:rFonts w:ascii="Garamond" w:hAnsi="Garamond"/>
                <w:bCs/>
                <w:spacing w:val="-4"/>
                <w:sz w:val="18"/>
                <w:szCs w:val="18"/>
                <w:lang w:val="sq-AL"/>
              </w:rPr>
            </w:pPr>
            <w:r>
              <w:rPr>
                <w:rFonts w:ascii="Garamond" w:hAnsi="Garamond"/>
                <w:bCs/>
                <w:spacing w:val="-4"/>
                <w:sz w:val="18"/>
                <w:szCs w:val="18"/>
                <w:lang w:val="sq-AL"/>
              </w:rPr>
              <w:t>0.00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B51" w:rsidRDefault="00493B51">
            <w:pPr>
              <w:spacing w:after="0"/>
              <w:ind w:firstLine="0"/>
              <w:jc w:val="left"/>
              <w:rPr>
                <w:rFonts w:ascii="Garamond" w:hAnsi="Garamond"/>
                <w:bCs/>
                <w:spacing w:val="-4"/>
                <w:sz w:val="18"/>
                <w:szCs w:val="18"/>
                <w:lang w:val="sq-AL" w:eastAsia="sq-AL"/>
              </w:rPr>
            </w:pPr>
          </w:p>
        </w:tc>
        <w:tc>
          <w:tcPr>
            <w:tcW w:w="479"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Polici</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Gjykata</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Prokurori</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Shërbim Prove</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IEVP</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NJMF</w:t>
            </w:r>
          </w:p>
          <w:p w:rsidR="00493B51" w:rsidRDefault="00493B51">
            <w:pPr>
              <w:widowControl w:val="0"/>
              <w:spacing w:after="0" w:line="240" w:lineRule="auto"/>
              <w:ind w:firstLine="0"/>
              <w:jc w:val="center"/>
              <w:rPr>
                <w:rFonts w:ascii="Garamond" w:hAnsi="Garamond"/>
                <w:bCs/>
                <w:spacing w:val="-4"/>
                <w:sz w:val="18"/>
                <w:szCs w:val="18"/>
                <w:lang w:val="sq-AL" w:eastAsia="sq-AL"/>
              </w:rPr>
            </w:pPr>
            <w:r>
              <w:rPr>
                <w:rFonts w:ascii="Garamond" w:hAnsi="Garamond"/>
                <w:bCs/>
                <w:spacing w:val="-4"/>
                <w:sz w:val="18"/>
                <w:szCs w:val="18"/>
                <w:lang w:val="sq-AL" w:eastAsia="sq-AL"/>
              </w:rPr>
              <w:t>OJF/Projekte</w:t>
            </w:r>
          </w:p>
        </w:tc>
        <w:tc>
          <w:tcPr>
            <w:tcW w:w="664" w:type="pct"/>
            <w:tcBorders>
              <w:top w:val="single" w:sz="4" w:space="0" w:color="auto"/>
              <w:left w:val="single" w:sz="4" w:space="0" w:color="auto"/>
              <w:bottom w:val="single" w:sz="4" w:space="0" w:color="auto"/>
              <w:right w:val="single" w:sz="4" w:space="0" w:color="auto"/>
            </w:tcBorders>
            <w:hideMark/>
          </w:tcPr>
          <w:p w:rsidR="00493B51" w:rsidRDefault="00493B51">
            <w:pPr>
              <w:widowControl w:val="0"/>
              <w:spacing w:after="0" w:line="240" w:lineRule="auto"/>
              <w:ind w:firstLine="0"/>
              <w:rPr>
                <w:rFonts w:ascii="Garamond" w:hAnsi="Garamond"/>
                <w:spacing w:val="-4"/>
                <w:sz w:val="18"/>
                <w:szCs w:val="18"/>
                <w:lang w:val="sq-AL"/>
              </w:rPr>
            </w:pPr>
            <w:r>
              <w:rPr>
                <w:rFonts w:ascii="Garamond" w:hAnsi="Garamond"/>
                <w:spacing w:val="-4"/>
                <w:sz w:val="18"/>
                <w:szCs w:val="18"/>
                <w:lang w:val="sq-AL"/>
              </w:rPr>
              <w:t>Funksionimi i 10 (dhjetë) grupeve të komunitetit të praktikantëve në nivel vendor.</w:t>
            </w:r>
          </w:p>
        </w:tc>
      </w:tr>
    </w:tbl>
    <w:p w:rsidR="00493B51" w:rsidRDefault="00493B51" w:rsidP="00493B51">
      <w:pPr>
        <w:pStyle w:val="Heading1"/>
        <w:keepNext w:val="0"/>
        <w:widowControl w:val="0"/>
        <w:numPr>
          <w:ilvl w:val="0"/>
          <w:numId w:val="0"/>
        </w:numPr>
        <w:spacing w:before="0"/>
        <w:rPr>
          <w:rFonts w:ascii="Garamond" w:hAnsi="Garamond"/>
          <w:b/>
          <w:sz w:val="18"/>
          <w:szCs w:val="18"/>
          <w:lang w:val="sq-AL"/>
        </w:rPr>
      </w:pPr>
    </w:p>
    <w:p w:rsidR="00493B51" w:rsidRPr="00493B51" w:rsidRDefault="00493B51" w:rsidP="00493B51">
      <w:pPr>
        <w:pStyle w:val="Heading1"/>
        <w:keepNext w:val="0"/>
        <w:widowControl w:val="0"/>
        <w:numPr>
          <w:ilvl w:val="0"/>
          <w:numId w:val="0"/>
        </w:numPr>
        <w:spacing w:before="0"/>
        <w:jc w:val="center"/>
        <w:rPr>
          <w:rFonts w:ascii="Garamond" w:hAnsi="Garamond"/>
          <w:b/>
          <w:color w:val="auto"/>
          <w:sz w:val="18"/>
          <w:szCs w:val="18"/>
          <w:lang w:val="sq-AL"/>
        </w:rPr>
      </w:pPr>
      <w:r w:rsidRPr="00493B51">
        <w:rPr>
          <w:rFonts w:ascii="Garamond" w:hAnsi="Garamond"/>
          <w:color w:val="auto"/>
          <w:sz w:val="18"/>
          <w:szCs w:val="18"/>
          <w:lang w:val="sq-AL"/>
        </w:rPr>
        <w:lastRenderedPageBreak/>
        <w:t>ANEKSI 2</w:t>
      </w:r>
    </w:p>
    <w:p w:rsidR="00493B51" w:rsidRPr="00493B51" w:rsidRDefault="00493B51" w:rsidP="00493B51">
      <w:pPr>
        <w:pStyle w:val="Heading1"/>
        <w:keepNext w:val="0"/>
        <w:widowControl w:val="0"/>
        <w:numPr>
          <w:ilvl w:val="0"/>
          <w:numId w:val="0"/>
        </w:numPr>
        <w:spacing w:before="0"/>
        <w:jc w:val="center"/>
        <w:rPr>
          <w:rFonts w:ascii="Garamond" w:hAnsi="Garamond"/>
          <w:b/>
          <w:color w:val="auto"/>
          <w:sz w:val="18"/>
          <w:szCs w:val="18"/>
          <w:lang w:val="sq-AL"/>
        </w:rPr>
      </w:pPr>
      <w:r w:rsidRPr="00493B51">
        <w:rPr>
          <w:rFonts w:ascii="Garamond" w:hAnsi="Garamond"/>
          <w:color w:val="auto"/>
          <w:sz w:val="18"/>
          <w:szCs w:val="18"/>
          <w:lang w:val="sq-AL"/>
        </w:rPr>
        <w:t>PROJEKT FINANCIMI</w:t>
      </w:r>
    </w:p>
    <w:tbl>
      <w:tblPr>
        <w:tblW w:w="5000" w:type="pct"/>
        <w:jc w:val="center"/>
        <w:tblLook w:val="04A0" w:firstRow="1" w:lastRow="0" w:firstColumn="1" w:lastColumn="0" w:noHBand="0" w:noVBand="1"/>
      </w:tblPr>
      <w:tblGrid>
        <w:gridCol w:w="2018"/>
        <w:gridCol w:w="1030"/>
        <w:gridCol w:w="1099"/>
        <w:gridCol w:w="1109"/>
        <w:gridCol w:w="1099"/>
        <w:gridCol w:w="1109"/>
        <w:gridCol w:w="1109"/>
        <w:gridCol w:w="1217"/>
        <w:gridCol w:w="1109"/>
        <w:gridCol w:w="1304"/>
        <w:gridCol w:w="1109"/>
        <w:gridCol w:w="1039"/>
        <w:gridCol w:w="1039"/>
      </w:tblGrid>
      <w:tr w:rsidR="00493B51" w:rsidTr="00493B51">
        <w:trPr>
          <w:trHeight w:val="689"/>
          <w:jc w:val="center"/>
        </w:trPr>
        <w:tc>
          <w:tcPr>
            <w:tcW w:w="66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PËRSHKRIMI</w:t>
            </w:r>
          </w:p>
        </w:tc>
        <w:tc>
          <w:tcPr>
            <w:tcW w:w="1767" w:type="pct"/>
            <w:gridSpan w:val="5"/>
            <w:tcBorders>
              <w:top w:val="single" w:sz="4" w:space="0" w:color="auto"/>
              <w:left w:val="nil"/>
              <w:bottom w:val="single" w:sz="4" w:space="0" w:color="auto"/>
              <w:right w:val="single" w:sz="4" w:space="0" w:color="auto"/>
            </w:tcBorders>
            <w:shd w:val="clear" w:color="auto" w:fill="D9D9D9"/>
            <w:noWrap/>
            <w:vAlign w:val="center"/>
            <w:hideMark/>
          </w:tcPr>
          <w:p w:rsidR="00493B51" w:rsidRDefault="00493B51">
            <w:pPr>
              <w:rPr>
                <w:rFonts w:ascii="Garamond" w:hAnsi="Garamond"/>
                <w:b/>
                <w:bCs/>
                <w:sz w:val="16"/>
                <w:szCs w:val="16"/>
                <w:lang w:val="sq-AL"/>
              </w:rPr>
            </w:pPr>
          </w:p>
        </w:tc>
        <w:tc>
          <w:tcPr>
            <w:tcW w:w="755" w:type="pct"/>
            <w:gridSpan w:val="2"/>
            <w:tcBorders>
              <w:top w:val="single" w:sz="4" w:space="0" w:color="auto"/>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FINANCUAR NGA</w:t>
            </w:r>
          </w:p>
        </w:tc>
        <w:tc>
          <w:tcPr>
            <w:tcW w:w="360" w:type="pct"/>
            <w:tcBorders>
              <w:top w:val="single" w:sz="4" w:space="0" w:color="auto"/>
              <w:left w:val="nil"/>
              <w:bottom w:val="single" w:sz="4" w:space="0" w:color="auto"/>
              <w:right w:val="single" w:sz="4" w:space="0" w:color="auto"/>
            </w:tcBorders>
            <w:shd w:val="clear" w:color="auto" w:fill="D9D9D9"/>
            <w:noWrap/>
            <w:vAlign w:val="center"/>
            <w:hideMark/>
          </w:tcPr>
          <w:p w:rsidR="00493B51" w:rsidRDefault="00493B51">
            <w:pPr>
              <w:rPr>
                <w:rFonts w:ascii="Garamond" w:hAnsi="Garamond"/>
                <w:b/>
                <w:bCs/>
                <w:sz w:val="16"/>
                <w:szCs w:val="16"/>
                <w:lang w:val="sq-AL"/>
              </w:rPr>
            </w:pPr>
          </w:p>
        </w:tc>
        <w:tc>
          <w:tcPr>
            <w:tcW w:w="424" w:type="pct"/>
            <w:tcBorders>
              <w:top w:val="single" w:sz="4" w:space="0" w:color="auto"/>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NEVOJAT PËR</w:t>
            </w:r>
          </w:p>
        </w:tc>
        <w:tc>
          <w:tcPr>
            <w:tcW w:w="1033" w:type="pct"/>
            <w:gridSpan w:val="3"/>
            <w:tcBorders>
              <w:top w:val="single" w:sz="4" w:space="0" w:color="auto"/>
              <w:left w:val="nil"/>
              <w:bottom w:val="single" w:sz="4" w:space="0" w:color="auto"/>
              <w:right w:val="single" w:sz="4" w:space="0" w:color="auto"/>
            </w:tcBorders>
            <w:shd w:val="clear" w:color="auto" w:fill="D9D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LLOGARIA E SHPENZIMEVE</w:t>
            </w:r>
          </w:p>
        </w:tc>
      </w:tr>
      <w:tr w:rsidR="00493B51" w:rsidTr="00493B51">
        <w:trPr>
          <w:trHeight w:val="570"/>
          <w:jc w:val="center"/>
        </w:trPr>
        <w:tc>
          <w:tcPr>
            <w:tcW w:w="661" w:type="pct"/>
            <w:tcBorders>
              <w:top w:val="nil"/>
              <w:left w:val="single" w:sz="4" w:space="0" w:color="auto"/>
              <w:bottom w:val="single" w:sz="4" w:space="0" w:color="auto"/>
              <w:right w:val="single" w:sz="4" w:space="0" w:color="auto"/>
            </w:tcBorders>
            <w:shd w:val="clear" w:color="auto" w:fill="D9D9D9"/>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OBJEKTIVAT, AKTIVITETET</w:t>
            </w:r>
          </w:p>
        </w:tc>
        <w:tc>
          <w:tcPr>
            <w:tcW w:w="333"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VITI 2018</w:t>
            </w:r>
          </w:p>
        </w:tc>
        <w:tc>
          <w:tcPr>
            <w:tcW w:w="356"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VITI 2019</w:t>
            </w:r>
          </w:p>
        </w:tc>
        <w:tc>
          <w:tcPr>
            <w:tcW w:w="360"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VITI 2020</w:t>
            </w:r>
          </w:p>
        </w:tc>
        <w:tc>
          <w:tcPr>
            <w:tcW w:w="356"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VITI 2021</w:t>
            </w:r>
          </w:p>
        </w:tc>
        <w:tc>
          <w:tcPr>
            <w:tcW w:w="360"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w:t>
            </w:r>
          </w:p>
        </w:tc>
        <w:tc>
          <w:tcPr>
            <w:tcW w:w="360"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QEVERIA</w:t>
            </w:r>
          </w:p>
        </w:tc>
        <w:tc>
          <w:tcPr>
            <w:tcW w:w="395"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DONATORËT</w:t>
            </w:r>
          </w:p>
        </w:tc>
        <w:tc>
          <w:tcPr>
            <w:tcW w:w="360"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w:t>
            </w:r>
          </w:p>
        </w:tc>
        <w:tc>
          <w:tcPr>
            <w:tcW w:w="424"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FONDE,  LEKË</w:t>
            </w:r>
          </w:p>
        </w:tc>
        <w:tc>
          <w:tcPr>
            <w:tcW w:w="360"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600–601</w:t>
            </w:r>
          </w:p>
        </w:tc>
        <w:tc>
          <w:tcPr>
            <w:tcW w:w="337"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602–608</w:t>
            </w:r>
          </w:p>
        </w:tc>
        <w:tc>
          <w:tcPr>
            <w:tcW w:w="337" w:type="pct"/>
            <w:tcBorders>
              <w:top w:val="nil"/>
              <w:left w:val="nil"/>
              <w:bottom w:val="single" w:sz="4" w:space="0" w:color="auto"/>
              <w:right w:val="single" w:sz="4" w:space="0" w:color="auto"/>
            </w:tcBorders>
            <w:shd w:val="clear" w:color="auto" w:fill="D9D9D9"/>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230–231</w:t>
            </w:r>
          </w:p>
        </w:tc>
      </w:tr>
      <w:tr w:rsidR="00493B51" w:rsidTr="00493B51">
        <w:trPr>
          <w:trHeight w:val="268"/>
          <w:jc w:val="center"/>
        </w:trPr>
        <w:tc>
          <w:tcPr>
            <w:tcW w:w="3967" w:type="pct"/>
            <w:gridSpan w:val="10"/>
            <w:tcBorders>
              <w:top w:val="single" w:sz="4" w:space="0" w:color="auto"/>
              <w:left w:val="single" w:sz="4" w:space="0" w:color="auto"/>
              <w:bottom w:val="single" w:sz="4" w:space="0" w:color="auto"/>
              <w:right w:val="single" w:sz="4" w:space="0" w:color="auto"/>
            </w:tcBorders>
            <w:shd w:val="clear" w:color="auto" w:fill="FDE9D9"/>
            <w:vAlign w:val="center"/>
            <w:hideMark/>
          </w:tcPr>
          <w:p w:rsidR="00493B51" w:rsidRDefault="00493B51">
            <w:pPr>
              <w:widowControl w:val="0"/>
              <w:spacing w:after="0" w:line="240" w:lineRule="auto"/>
              <w:ind w:firstLine="0"/>
              <w:jc w:val="center"/>
              <w:rPr>
                <w:rFonts w:ascii="Garamond" w:hAnsi="Garamond"/>
                <w:b/>
                <w:bCs/>
                <w:color w:val="FF0000"/>
                <w:sz w:val="16"/>
                <w:szCs w:val="16"/>
                <w:lang w:val="sq-AL"/>
              </w:rPr>
            </w:pPr>
            <w:r>
              <w:rPr>
                <w:rFonts w:ascii="Garamond" w:hAnsi="Garamond"/>
                <w:b/>
                <w:bCs/>
                <w:color w:val="FF0000"/>
                <w:sz w:val="16"/>
                <w:szCs w:val="16"/>
                <w:lang w:val="sq-AL"/>
              </w:rPr>
              <w:t>Objektivi nr. 1. Garantimi i aksesit të të miturve në drejtësi</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rPr>
                <w:rFonts w:ascii="Garamond" w:hAnsi="Garamond"/>
                <w:b/>
                <w:bCs/>
                <w:color w:val="FF0000"/>
                <w:sz w:val="16"/>
                <w:szCs w:val="16"/>
                <w:lang w:val="sq-AL"/>
              </w:rPr>
            </w:pPr>
          </w:p>
        </w:tc>
        <w:tc>
          <w:tcPr>
            <w:tcW w:w="337" w:type="pct"/>
            <w:tcBorders>
              <w:top w:val="nil"/>
              <w:left w:val="nil"/>
              <w:bottom w:val="single" w:sz="4" w:space="0" w:color="auto"/>
              <w:right w:val="single" w:sz="4" w:space="0" w:color="auto"/>
            </w:tcBorders>
            <w:shd w:val="clear" w:color="auto" w:fill="FDE9D9"/>
            <w:noWrap/>
            <w:vAlign w:val="bottom"/>
            <w:hideMark/>
          </w:tcPr>
          <w:p w:rsidR="00493B51" w:rsidRDefault="00493B51">
            <w:pPr>
              <w:spacing w:after="0"/>
              <w:ind w:firstLine="0"/>
              <w:jc w:val="left"/>
              <w:rPr>
                <w:rFonts w:asciiTheme="minorHAnsi" w:eastAsiaTheme="minorHAnsi" w:hAnsiTheme="minorHAnsi" w:cstheme="minorBidi"/>
                <w:sz w:val="20"/>
                <w:szCs w:val="20"/>
              </w:rPr>
            </w:pPr>
          </w:p>
        </w:tc>
        <w:tc>
          <w:tcPr>
            <w:tcW w:w="337" w:type="pct"/>
            <w:tcBorders>
              <w:top w:val="nil"/>
              <w:left w:val="nil"/>
              <w:bottom w:val="single" w:sz="4" w:space="0" w:color="auto"/>
              <w:right w:val="single" w:sz="4" w:space="0" w:color="auto"/>
            </w:tcBorders>
            <w:shd w:val="clear" w:color="auto" w:fill="FDE9D9"/>
            <w:noWrap/>
            <w:vAlign w:val="bottom"/>
            <w:hideMark/>
          </w:tcPr>
          <w:p w:rsidR="00493B51" w:rsidRDefault="00493B51">
            <w:pPr>
              <w:spacing w:after="0"/>
              <w:ind w:firstLine="0"/>
              <w:jc w:val="left"/>
              <w:rPr>
                <w:rFonts w:asciiTheme="minorHAnsi" w:eastAsiaTheme="minorHAnsi" w:hAnsiTheme="minorHAnsi" w:cstheme="minorBidi"/>
                <w:sz w:val="20"/>
                <w:szCs w:val="20"/>
              </w:rPr>
            </w:pPr>
          </w:p>
        </w:tc>
      </w:tr>
      <w:tr w:rsidR="00493B51" w:rsidTr="00493B51">
        <w:trPr>
          <w:trHeight w:val="32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center"/>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963634"/>
                <w:sz w:val="16"/>
                <w:szCs w:val="16"/>
                <w:lang w:val="sq-AL"/>
              </w:rPr>
              <w:t xml:space="preserve">Objektivi specifik 1. </w:t>
            </w:r>
            <w:r>
              <w:rPr>
                <w:rFonts w:ascii="Garamond" w:hAnsi="Garamond"/>
                <w:b/>
                <w:bCs/>
                <w:color w:val="FF0000"/>
                <w:sz w:val="16"/>
                <w:szCs w:val="16"/>
                <w:lang w:val="sq-AL"/>
              </w:rPr>
              <w:t>Ofrimi i ndihmës juridike për përfituesit e mitur që ky shërbim të jetë i shpejtë, profesional dhe efektiv</w:t>
            </w:r>
          </w:p>
        </w:tc>
      </w:tr>
      <w:tr w:rsidR="00493B51" w:rsidTr="00493B51">
        <w:trPr>
          <w:trHeight w:val="629"/>
          <w:jc w:val="center"/>
        </w:trPr>
        <w:tc>
          <w:tcPr>
            <w:tcW w:w="661" w:type="pct"/>
            <w:tcBorders>
              <w:top w:val="nil"/>
              <w:left w:val="single" w:sz="4" w:space="0" w:color="auto"/>
              <w:bottom w:val="single" w:sz="4" w:space="0" w:color="auto"/>
              <w:right w:val="nil"/>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1.1 Krijimi i kuadrit rregullator për ofrimin e ndihmës juridike për përfituesit e mitur.</w:t>
            </w:r>
          </w:p>
        </w:tc>
        <w:tc>
          <w:tcPr>
            <w:tcW w:w="333" w:type="pct"/>
            <w:tcBorders>
              <w:top w:val="nil"/>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rPr>
                <w:rFonts w:ascii="Garamond" w:hAnsi="Garamond"/>
                <w:sz w:val="16"/>
                <w:szCs w:val="16"/>
                <w:lang w:val="sq-AL"/>
              </w:rPr>
            </w:pPr>
            <w:r>
              <w:rPr>
                <w:rFonts w:ascii="Garamond" w:hAnsi="Garamond"/>
                <w:sz w:val="16"/>
                <w:szCs w:val="16"/>
                <w:lang w:val="sq-AL"/>
              </w:rPr>
              <w:t>1,040,120.00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709"/>
          <w:jc w:val="center"/>
        </w:trPr>
        <w:tc>
          <w:tcPr>
            <w:tcW w:w="661" w:type="pct"/>
            <w:tcBorders>
              <w:top w:val="single" w:sz="4" w:space="0" w:color="auto"/>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1.2 Fuqizimi i kuadrit institucional profesional dhe efektiv në ofrimin e ndihmës juridike për përfituesit e mitur.</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180,000.00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210,000.00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390,000.00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390,000.00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390,000.00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334"/>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jc w:val="center"/>
              <w:rPr>
                <w:rFonts w:ascii="Garamond" w:hAnsi="Garamond"/>
                <w:b/>
                <w:bCs/>
                <w:color w:val="FF0000"/>
                <w:sz w:val="16"/>
                <w:szCs w:val="16"/>
                <w:lang w:val="sq-AL"/>
              </w:rPr>
            </w:pPr>
            <w:r>
              <w:rPr>
                <w:rFonts w:ascii="Garamond" w:hAnsi="Garamond"/>
                <w:b/>
                <w:bCs/>
                <w:color w:val="963634"/>
                <w:sz w:val="16"/>
                <w:szCs w:val="16"/>
                <w:lang w:val="sq-AL"/>
              </w:rPr>
              <w:t xml:space="preserve">Objektivi specifik 2. </w:t>
            </w:r>
            <w:r>
              <w:rPr>
                <w:rFonts w:ascii="Garamond" w:hAnsi="Garamond"/>
                <w:b/>
                <w:bCs/>
                <w:color w:val="FF0000"/>
                <w:sz w:val="16"/>
                <w:szCs w:val="16"/>
                <w:lang w:val="sq-AL"/>
              </w:rPr>
              <w:t>Krijimi i kushteve infrastrukturore të përshtatshme me nevojat e të miturve</w:t>
            </w:r>
          </w:p>
        </w:tc>
      </w:tr>
      <w:tr w:rsidR="00493B51" w:rsidTr="00493B51">
        <w:trPr>
          <w:trHeight w:val="62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 xml:space="preserve">2.1 Përshtatja e mjediseve në polici, prokurori, gjykata dhe në institucione të tjera ligjzbatuese </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7,041,800.00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7,041,800.00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7,041,800.00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21,125,400.00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21,125,400.00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21,125,400.00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21,125,400.00</w:t>
            </w:r>
          </w:p>
        </w:tc>
      </w:tr>
      <w:tr w:rsidR="00493B51" w:rsidTr="00493B51">
        <w:trPr>
          <w:trHeight w:val="390"/>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center"/>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632423"/>
                <w:sz w:val="16"/>
                <w:szCs w:val="16"/>
                <w:lang w:val="sq-AL"/>
              </w:rPr>
              <w:t>Objektivi specifik 3.</w:t>
            </w:r>
            <w:r>
              <w:rPr>
                <w:rFonts w:ascii="Garamond" w:hAnsi="Garamond"/>
                <w:b/>
                <w:bCs/>
                <w:color w:val="C0504D"/>
                <w:sz w:val="16"/>
                <w:szCs w:val="16"/>
                <w:lang w:val="sq-AL"/>
              </w:rPr>
              <w:t xml:space="preserve"> </w:t>
            </w:r>
            <w:r>
              <w:rPr>
                <w:rFonts w:ascii="Garamond" w:hAnsi="Garamond"/>
                <w:b/>
                <w:bCs/>
                <w:color w:val="FF0000"/>
                <w:sz w:val="16"/>
                <w:szCs w:val="16"/>
                <w:lang w:val="sq-AL"/>
              </w:rPr>
              <w:t>Fushata sensibilizuese për aksesin e të miturve në drejtësi dhe të shërbimeve që ofron sistemi për ta</w:t>
            </w:r>
          </w:p>
        </w:tc>
      </w:tr>
      <w:tr w:rsidR="00493B51" w:rsidTr="00493B51">
        <w:trPr>
          <w:trHeight w:val="768"/>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3.1 Zhvillimi i aktiviteteve sensibilizuese në lidhje me të drejtat e të miturve autor,  viktima, dëshmitar dhe shërbimet që mund të përfitojnë.</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1,500,000.00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1,500,000.00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1,500,000.00</w:t>
            </w:r>
          </w:p>
        </w:tc>
        <w:tc>
          <w:tcPr>
            <w:tcW w:w="360" w:type="pct"/>
            <w:tcBorders>
              <w:top w:val="nil"/>
              <w:left w:val="nil"/>
              <w:bottom w:val="single" w:sz="4" w:space="0" w:color="auto"/>
              <w:right w:val="single" w:sz="4" w:space="0" w:color="auto"/>
            </w:tcBorders>
            <w:shd w:val="clear" w:color="auto" w:fill="FFFFFF"/>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6,000,000.00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3,000,000.00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3,000,000.00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3,000,000.00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6,000,000.00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600"/>
          <w:jc w:val="center"/>
        </w:trPr>
        <w:tc>
          <w:tcPr>
            <w:tcW w:w="661" w:type="pct"/>
            <w:tcBorders>
              <w:top w:val="nil"/>
              <w:left w:val="single" w:sz="4" w:space="0" w:color="auto"/>
              <w:bottom w:val="single" w:sz="4" w:space="0" w:color="auto"/>
              <w:right w:val="nil"/>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1</w:t>
            </w:r>
          </w:p>
        </w:tc>
        <w:tc>
          <w:tcPr>
            <w:tcW w:w="333"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2,020,060.00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9,241,860.00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8,751,800.00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8,541,800.00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28,555,520.00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25,165,520.00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25,165,520.00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3,390,000.00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1,040,120.00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6,390,000.00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21,125,400.00</w:t>
            </w:r>
          </w:p>
        </w:tc>
      </w:tr>
      <w:tr w:rsidR="00493B51" w:rsidTr="00493B51">
        <w:trPr>
          <w:trHeight w:val="176"/>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jc w:val="center"/>
              <w:rPr>
                <w:rFonts w:ascii="Garamond" w:hAnsi="Garamond"/>
                <w:b/>
                <w:bCs/>
                <w:color w:val="FF0000"/>
                <w:sz w:val="16"/>
                <w:szCs w:val="16"/>
                <w:lang w:val="sq-AL"/>
              </w:rPr>
            </w:pPr>
            <w:r>
              <w:rPr>
                <w:rFonts w:ascii="Garamond" w:hAnsi="Garamond"/>
                <w:b/>
                <w:bCs/>
                <w:color w:val="C00000"/>
                <w:sz w:val="16"/>
                <w:szCs w:val="16"/>
                <w:lang w:val="sq-AL"/>
              </w:rPr>
              <w:t xml:space="preserve">Objektivi nr. 2. </w:t>
            </w:r>
            <w:r>
              <w:rPr>
                <w:rFonts w:ascii="Garamond" w:hAnsi="Garamond"/>
                <w:b/>
                <w:bCs/>
                <w:color w:val="FF0000"/>
                <w:sz w:val="16"/>
                <w:szCs w:val="16"/>
                <w:lang w:val="sq-AL"/>
              </w:rPr>
              <w:t>Garantimi i procesit të rregullt ligjor për të miturit</w:t>
            </w:r>
          </w:p>
        </w:tc>
      </w:tr>
      <w:tr w:rsidR="00493B51" w:rsidTr="00493B51">
        <w:trPr>
          <w:trHeight w:val="277"/>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bottom"/>
            <w:hideMark/>
          </w:tcPr>
          <w:p w:rsidR="00493B51" w:rsidRDefault="00493B51">
            <w:pPr>
              <w:widowControl w:val="0"/>
              <w:spacing w:after="0" w:line="240" w:lineRule="auto"/>
              <w:ind w:firstLine="0"/>
              <w:jc w:val="center"/>
              <w:rPr>
                <w:rFonts w:ascii="Garamond" w:hAnsi="Garamond"/>
                <w:b/>
                <w:bCs/>
                <w:color w:val="FF0000"/>
                <w:sz w:val="16"/>
                <w:szCs w:val="16"/>
                <w:lang w:val="sq-AL"/>
              </w:rPr>
            </w:pPr>
            <w:r>
              <w:rPr>
                <w:rFonts w:ascii="Garamond" w:hAnsi="Garamond"/>
                <w:b/>
                <w:bCs/>
                <w:color w:val="C00000"/>
                <w:sz w:val="16"/>
                <w:szCs w:val="16"/>
                <w:lang w:val="sq-AL"/>
              </w:rPr>
              <w:t xml:space="preserve">Objektivi specifik 1. </w:t>
            </w:r>
            <w:r>
              <w:rPr>
                <w:rFonts w:ascii="Garamond" w:hAnsi="Garamond"/>
                <w:b/>
                <w:bCs/>
                <w:color w:val="FF0000"/>
                <w:sz w:val="16"/>
                <w:szCs w:val="16"/>
                <w:lang w:val="sq-AL"/>
              </w:rPr>
              <w:t>Seksione të specializuara për gjykimin e çështjeve të drejtësisë për të miturit</w:t>
            </w:r>
          </w:p>
        </w:tc>
      </w:tr>
      <w:tr w:rsidR="00493B51" w:rsidTr="00493B51">
        <w:trPr>
          <w:trHeight w:val="61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sz w:val="16"/>
                <w:szCs w:val="16"/>
                <w:lang w:val="sq-AL"/>
              </w:rPr>
            </w:pPr>
            <w:r>
              <w:rPr>
                <w:rFonts w:ascii="Garamond" w:hAnsi="Garamond"/>
                <w:sz w:val="16"/>
                <w:szCs w:val="16"/>
                <w:lang w:val="sq-AL"/>
              </w:rPr>
              <w:t>1.1 Hartimi dhe miratimi i kuadrit rregullator për ngritjen e seksioneve për të miturit në gjykata dhe prokurori.</w:t>
            </w:r>
          </w:p>
        </w:tc>
        <w:tc>
          <w:tcPr>
            <w:tcW w:w="333"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260,030.00</w:t>
            </w:r>
          </w:p>
        </w:tc>
        <w:tc>
          <w:tcPr>
            <w:tcW w:w="356"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260,030.00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520,060.00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520,060.00</w:t>
            </w:r>
          </w:p>
        </w:tc>
        <w:tc>
          <w:tcPr>
            <w:tcW w:w="395"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520,060.00</w:t>
            </w:r>
          </w:p>
        </w:tc>
        <w:tc>
          <w:tcPr>
            <w:tcW w:w="424"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390,045.00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130,015.00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453"/>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sz w:val="16"/>
                <w:szCs w:val="16"/>
                <w:lang w:val="sq-AL"/>
              </w:rPr>
            </w:pPr>
            <w:r>
              <w:rPr>
                <w:rFonts w:ascii="Garamond" w:hAnsi="Garamond"/>
                <w:sz w:val="16"/>
                <w:szCs w:val="16"/>
                <w:lang w:val="sq-AL"/>
              </w:rPr>
              <w:t>1.2 Fuqizimi i seksioneve për të miturit në gjykata dhe prokurori.</w:t>
            </w:r>
          </w:p>
        </w:tc>
        <w:tc>
          <w:tcPr>
            <w:tcW w:w="333"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112,644,000.00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160,920,000.00</w:t>
            </w:r>
          </w:p>
        </w:tc>
        <w:tc>
          <w:tcPr>
            <w:tcW w:w="356"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160,920,000.00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434,484,000.00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434,484,000.00</w:t>
            </w:r>
          </w:p>
        </w:tc>
        <w:tc>
          <w:tcPr>
            <w:tcW w:w="395"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434,484,000.00</w:t>
            </w:r>
          </w:p>
        </w:tc>
        <w:tc>
          <w:tcPr>
            <w:tcW w:w="424" w:type="pct"/>
            <w:tcBorders>
              <w:top w:val="nil"/>
              <w:left w:val="nil"/>
              <w:bottom w:val="single" w:sz="4" w:space="0" w:color="auto"/>
              <w:right w:val="single" w:sz="4" w:space="0" w:color="auto"/>
            </w:tcBorders>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434,484,000.00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186"/>
          <w:jc w:val="center"/>
        </w:trPr>
        <w:tc>
          <w:tcPr>
            <w:tcW w:w="661" w:type="pct"/>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(1)</w:t>
            </w:r>
          </w:p>
        </w:tc>
        <w:tc>
          <w:tcPr>
            <w:tcW w:w="333"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260,030.00</w:t>
            </w:r>
          </w:p>
        </w:tc>
        <w:tc>
          <w:tcPr>
            <w:tcW w:w="356"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112,904,030.00</w:t>
            </w:r>
          </w:p>
        </w:tc>
        <w:tc>
          <w:tcPr>
            <w:tcW w:w="360"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160,920,000.00</w:t>
            </w:r>
          </w:p>
        </w:tc>
        <w:tc>
          <w:tcPr>
            <w:tcW w:w="356"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160,920,000.00</w:t>
            </w:r>
          </w:p>
        </w:tc>
        <w:tc>
          <w:tcPr>
            <w:tcW w:w="360"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435,004,060.00</w:t>
            </w:r>
          </w:p>
        </w:tc>
        <w:tc>
          <w:tcPr>
            <w:tcW w:w="360"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435,004,060.00</w:t>
            </w:r>
          </w:p>
        </w:tc>
        <w:tc>
          <w:tcPr>
            <w:tcW w:w="395"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435,004,060.00</w:t>
            </w:r>
          </w:p>
        </w:tc>
        <w:tc>
          <w:tcPr>
            <w:tcW w:w="424"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434,874,045.00</w:t>
            </w:r>
          </w:p>
        </w:tc>
        <w:tc>
          <w:tcPr>
            <w:tcW w:w="337"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130,015.00</w:t>
            </w:r>
          </w:p>
        </w:tc>
        <w:tc>
          <w:tcPr>
            <w:tcW w:w="337" w:type="pct"/>
            <w:tcBorders>
              <w:top w:val="nil"/>
              <w:left w:val="nil"/>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328"/>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auto" w:fill="FDE9D9"/>
            <w:vAlign w:val="bottom"/>
            <w:hideMark/>
          </w:tcPr>
          <w:p w:rsidR="00493B51" w:rsidRDefault="00493B51">
            <w:pPr>
              <w:widowControl w:val="0"/>
              <w:spacing w:after="0" w:line="240" w:lineRule="auto"/>
              <w:ind w:firstLine="0"/>
              <w:jc w:val="center"/>
              <w:rPr>
                <w:rFonts w:ascii="Garamond" w:hAnsi="Garamond"/>
                <w:b/>
                <w:bCs/>
                <w:color w:val="C00000"/>
                <w:sz w:val="16"/>
                <w:szCs w:val="16"/>
                <w:lang w:val="sq-AL"/>
              </w:rPr>
            </w:pPr>
            <w:r>
              <w:rPr>
                <w:rFonts w:ascii="Garamond" w:hAnsi="Garamond"/>
                <w:b/>
                <w:bCs/>
                <w:color w:val="C00000"/>
                <w:sz w:val="16"/>
                <w:szCs w:val="16"/>
                <w:lang w:val="sq-AL"/>
              </w:rPr>
              <w:t xml:space="preserve">Objektivi specifik 2. </w:t>
            </w:r>
            <w:r>
              <w:rPr>
                <w:rFonts w:ascii="Garamond" w:hAnsi="Garamond"/>
                <w:b/>
                <w:bCs/>
                <w:color w:val="FF0000"/>
                <w:sz w:val="16"/>
                <w:szCs w:val="16"/>
                <w:lang w:val="sq-AL"/>
              </w:rPr>
              <w:t>Profesionistë të specializuar në drejtësinë për të miturit</w:t>
            </w:r>
          </w:p>
        </w:tc>
      </w:tr>
      <w:tr w:rsidR="00493B51" w:rsidTr="00493B51">
        <w:trPr>
          <w:trHeight w:val="531"/>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lastRenderedPageBreak/>
              <w:t>2.1 Specializimi/trajnimi i specialistëve që mbulojnë të drejtat e fëmijëve në çështjet e drejtësisë.</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337,320.00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674,640.00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674,640.00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674,640.00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2,361,240.00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1,686,600.00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1,686,600.00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674,640.00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2,361,240.00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67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2.2 Zhvillimi i programeve për menaxhimin e rasteve për të miturit nga sistemi i drejtësisë.</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713,927.50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713,927.50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1,427,855.00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227,855.00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227,855.00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1,200,000.00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1,427,855.00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280"/>
          <w:jc w:val="center"/>
        </w:trPr>
        <w:tc>
          <w:tcPr>
            <w:tcW w:w="661" w:type="pct"/>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(2)</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337,320.00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1,388,567.50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1,388,567.50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674,640.00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3,789,095.00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1,914,455.00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1,914,455.00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1,874,640.00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3,789,095.00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425"/>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center"/>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C00000"/>
                <w:sz w:val="16"/>
                <w:szCs w:val="16"/>
                <w:lang w:val="sq-AL"/>
              </w:rPr>
              <w:t xml:space="preserve">Objektivi specifik 3. </w:t>
            </w:r>
            <w:r>
              <w:rPr>
                <w:rFonts w:ascii="Garamond" w:hAnsi="Garamond"/>
                <w:b/>
                <w:bCs/>
                <w:color w:val="FF0000"/>
                <w:sz w:val="16"/>
                <w:szCs w:val="16"/>
                <w:lang w:val="sq-AL"/>
              </w:rPr>
              <w:t>Shqyrtimi i drejtë dhe në kohë i çështjeve të drejtësisë për të miturit</w:t>
            </w:r>
          </w:p>
        </w:tc>
      </w:tr>
      <w:tr w:rsidR="00493B51" w:rsidTr="00493B51">
        <w:trPr>
          <w:trHeight w:val="54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3.1 Krijimi dhe funksionimi i Sistemit të Integruar të të Dhënave të Drejtësisë Penale për të Mitur.</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598,068.00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1,007,568.00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409,500.00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409,500.00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2,424,636.00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1,317,636.00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1,107,000.00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2,424,636.00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1,196,136.00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bCs/>
                <w:sz w:val="16"/>
                <w:szCs w:val="16"/>
                <w:lang w:val="sq-AL"/>
              </w:rPr>
            </w:pPr>
            <w:r>
              <w:rPr>
                <w:rFonts w:ascii="Garamond" w:hAnsi="Garamond"/>
                <w:bCs/>
                <w:sz w:val="16"/>
                <w:szCs w:val="16"/>
                <w:lang w:val="sq-AL"/>
              </w:rPr>
              <w:t>1,228,500.00</w:t>
            </w:r>
          </w:p>
        </w:tc>
      </w:tr>
      <w:tr w:rsidR="00493B51" w:rsidTr="00493B51">
        <w:trPr>
          <w:trHeight w:val="283"/>
          <w:jc w:val="center"/>
        </w:trPr>
        <w:tc>
          <w:tcPr>
            <w:tcW w:w="661"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(3)</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598,068.00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1,007,568.00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409,500.00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409,500.00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2,424,636.00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1,317,636.00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1,107,000.00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2,424,636.00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1,196,136.00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1,228,500.00</w:t>
            </w:r>
          </w:p>
        </w:tc>
      </w:tr>
      <w:tr w:rsidR="00493B51" w:rsidTr="00493B51">
        <w:trPr>
          <w:trHeight w:val="401"/>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color w:val="632423"/>
                <w:sz w:val="16"/>
                <w:szCs w:val="16"/>
                <w:lang w:val="sq-AL"/>
              </w:rPr>
              <w:t>Objektivi specifik 4.</w:t>
            </w:r>
            <w:r>
              <w:rPr>
                <w:rFonts w:ascii="Garamond" w:hAnsi="Garamond"/>
                <w:b/>
                <w:bCs/>
                <w:color w:val="C00000"/>
                <w:sz w:val="16"/>
                <w:szCs w:val="16"/>
                <w:lang w:val="sq-AL"/>
              </w:rPr>
              <w:t xml:space="preserve"> Përmirësimi i kuadrit ligjor që normon të drejtat e të miturve në sistemin e drejtësisë</w:t>
            </w:r>
          </w:p>
        </w:tc>
      </w:tr>
      <w:tr w:rsidR="00493B51" w:rsidTr="00493B51">
        <w:trPr>
          <w:trHeight w:val="563"/>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4.1 Plotësimi i kuadrit nënligjor në zbatim të Kodit të Drejtësisë Penale për të Miturit</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6,760,780.00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6,760,780.00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6,760,780.00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6,760,780.00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6,760,780.00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600"/>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4.2 Analiza e mangësive të legjislacionit shqiptar civil, penal dhe administrativ</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520,060.00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520,060.00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368"/>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4.3 Ndryshime në aktet ligjore sipas nevojës së identifikuar</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520,060.00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520,060.00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1,040,120.00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145"/>
          <w:jc w:val="center"/>
        </w:trPr>
        <w:tc>
          <w:tcPr>
            <w:tcW w:w="661" w:type="pct"/>
            <w:tcBorders>
              <w:top w:val="nil"/>
              <w:left w:val="single" w:sz="4" w:space="0" w:color="auto"/>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(4)</w:t>
            </w:r>
          </w:p>
        </w:tc>
        <w:tc>
          <w:tcPr>
            <w:tcW w:w="333"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6,760,780.00</w:t>
            </w:r>
          </w:p>
        </w:tc>
        <w:tc>
          <w:tcPr>
            <w:tcW w:w="35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520,060.00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1,040,120.00</w:t>
            </w:r>
          </w:p>
        </w:tc>
        <w:tc>
          <w:tcPr>
            <w:tcW w:w="35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520,060.00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8,841,020.00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8,841,020.00</w:t>
            </w:r>
          </w:p>
        </w:tc>
        <w:tc>
          <w:tcPr>
            <w:tcW w:w="395"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8,841,020.00</w:t>
            </w:r>
          </w:p>
        </w:tc>
        <w:tc>
          <w:tcPr>
            <w:tcW w:w="424"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8,841,020.00</w:t>
            </w:r>
          </w:p>
        </w:tc>
        <w:tc>
          <w:tcPr>
            <w:tcW w:w="337"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37"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92"/>
          <w:jc w:val="center"/>
        </w:trPr>
        <w:tc>
          <w:tcPr>
            <w:tcW w:w="661" w:type="pct"/>
            <w:tcBorders>
              <w:top w:val="nil"/>
              <w:left w:val="single" w:sz="4" w:space="0" w:color="auto"/>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2</w:t>
            </w:r>
          </w:p>
        </w:tc>
        <w:tc>
          <w:tcPr>
            <w:tcW w:w="333"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7,956,198.00</w:t>
            </w:r>
          </w:p>
        </w:tc>
        <w:tc>
          <w:tcPr>
            <w:tcW w:w="35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115,820,225.50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163,758,187.50</w:t>
            </w:r>
          </w:p>
        </w:tc>
        <w:tc>
          <w:tcPr>
            <w:tcW w:w="356"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162,524,200.00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450,058,811.00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447,077,171.00</w:t>
            </w:r>
          </w:p>
        </w:tc>
        <w:tc>
          <w:tcPr>
            <w:tcW w:w="395"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1,107,000.00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448,184,171.00</w:t>
            </w:r>
          </w:p>
        </w:tc>
        <w:tc>
          <w:tcPr>
            <w:tcW w:w="424"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1,874,640.00</w:t>
            </w:r>
          </w:p>
        </w:tc>
        <w:tc>
          <w:tcPr>
            <w:tcW w:w="360"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444,911,201.00</w:t>
            </w:r>
          </w:p>
        </w:tc>
        <w:tc>
          <w:tcPr>
            <w:tcW w:w="337"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3,919,110.00</w:t>
            </w:r>
          </w:p>
        </w:tc>
        <w:tc>
          <w:tcPr>
            <w:tcW w:w="337" w:type="pct"/>
            <w:tcBorders>
              <w:top w:val="nil"/>
              <w:left w:val="nil"/>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1,228,500.00</w:t>
            </w:r>
          </w:p>
        </w:tc>
      </w:tr>
      <w:tr w:rsidR="00493B51" w:rsidTr="00493B51">
        <w:trPr>
          <w:trHeight w:val="336"/>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noWrap/>
            <w:vAlign w:val="center"/>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C00000"/>
                <w:sz w:val="16"/>
                <w:szCs w:val="16"/>
                <w:lang w:val="sq-AL"/>
              </w:rPr>
              <w:t xml:space="preserve">Objektivi 3.  </w:t>
            </w:r>
            <w:r>
              <w:rPr>
                <w:rFonts w:ascii="Garamond" w:hAnsi="Garamond"/>
                <w:b/>
                <w:bCs/>
                <w:color w:val="FF0000"/>
                <w:sz w:val="16"/>
                <w:szCs w:val="16"/>
                <w:lang w:val="sq-AL"/>
              </w:rPr>
              <w:t>Parandalimi i përfshirjes së të miturve në krime</w:t>
            </w:r>
          </w:p>
        </w:tc>
      </w:tr>
      <w:tr w:rsidR="00493B51" w:rsidTr="00493B51">
        <w:trPr>
          <w:trHeight w:val="256"/>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noWrap/>
            <w:vAlign w:val="center"/>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C00000"/>
                <w:sz w:val="16"/>
                <w:szCs w:val="16"/>
                <w:lang w:val="sq-AL"/>
              </w:rPr>
              <w:t xml:space="preserve">Objektivi specifik 1. </w:t>
            </w:r>
            <w:r>
              <w:rPr>
                <w:rFonts w:ascii="Garamond" w:hAnsi="Garamond"/>
                <w:b/>
                <w:bCs/>
                <w:color w:val="FF0000"/>
                <w:sz w:val="16"/>
                <w:szCs w:val="16"/>
                <w:lang w:val="sq-AL"/>
              </w:rPr>
              <w:t>Parandalimi i kriminalitetit dhe të shkeljeve të ligjit</w:t>
            </w:r>
          </w:p>
        </w:tc>
      </w:tr>
      <w:tr w:rsidR="00493B51" w:rsidTr="00493B51">
        <w:trPr>
          <w:trHeight w:val="571"/>
          <w:jc w:val="center"/>
        </w:trPr>
        <w:tc>
          <w:tcPr>
            <w:tcW w:w="661" w:type="pct"/>
            <w:tcBorders>
              <w:top w:val="nil"/>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1.1 Krijimi dhe funksionimi i Qendrës për parandalimin e krimeve të të miturve dhe të rinjve.</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4,961,692.00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4,156,632.00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4,156,632.00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13,274,956.00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13,274,956.00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13,274,956.00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52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1.2 Vlerësimi i kriminalitetit të të miturve nën moshën e përgjegjësisë penale.</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105,000.00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105,000.00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105,000.00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315,000.00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315,000.00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315,000.00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417"/>
          <w:jc w:val="center"/>
        </w:trPr>
        <w:tc>
          <w:tcPr>
            <w:tcW w:w="661" w:type="pct"/>
            <w:tcBorders>
              <w:top w:val="single" w:sz="4" w:space="0" w:color="auto"/>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1.3 Identifikimi i grupeve në risk të të miturve të moshës së përgjegjësisë penale.</w:t>
            </w:r>
          </w:p>
        </w:tc>
        <w:tc>
          <w:tcPr>
            <w:tcW w:w="333"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326,832.00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326,832.00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326,832.00</w:t>
            </w:r>
          </w:p>
        </w:tc>
        <w:tc>
          <w:tcPr>
            <w:tcW w:w="395"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326,832.00</w:t>
            </w:r>
          </w:p>
        </w:tc>
        <w:tc>
          <w:tcPr>
            <w:tcW w:w="424"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326,832.00</w:t>
            </w:r>
          </w:p>
        </w:tc>
        <w:tc>
          <w:tcPr>
            <w:tcW w:w="337"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612"/>
          <w:jc w:val="center"/>
        </w:trPr>
        <w:tc>
          <w:tcPr>
            <w:tcW w:w="661" w:type="pct"/>
            <w:tcBorders>
              <w:top w:val="single" w:sz="4" w:space="0" w:color="auto"/>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1.4 Sigurimi i kuadrit infrastrukturor dhe institucional për zbatimin e programeve të parandalimit.</w:t>
            </w:r>
          </w:p>
        </w:tc>
        <w:tc>
          <w:tcPr>
            <w:tcW w:w="333"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4,467,432.00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4,467,432.00</w:t>
            </w:r>
          </w:p>
        </w:tc>
        <w:tc>
          <w:tcPr>
            <w:tcW w:w="356"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4,467,432.00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13,402,296.00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13,402,296.00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11,391,951.60</w:t>
            </w:r>
          </w:p>
        </w:tc>
        <w:tc>
          <w:tcPr>
            <w:tcW w:w="337"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2,010,344.40</w:t>
            </w:r>
          </w:p>
        </w:tc>
        <w:tc>
          <w:tcPr>
            <w:tcW w:w="337"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186"/>
          <w:jc w:val="center"/>
        </w:trPr>
        <w:tc>
          <w:tcPr>
            <w:tcW w:w="661" w:type="pct"/>
            <w:tcBorders>
              <w:top w:val="nil"/>
              <w:left w:val="single" w:sz="4" w:space="0" w:color="auto"/>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(1)</w:t>
            </w:r>
          </w:p>
        </w:tc>
        <w:tc>
          <w:tcPr>
            <w:tcW w:w="333"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56"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9,860,956.00</w:t>
            </w:r>
          </w:p>
        </w:tc>
        <w:tc>
          <w:tcPr>
            <w:tcW w:w="360"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8,729,064.00</w:t>
            </w:r>
          </w:p>
        </w:tc>
        <w:tc>
          <w:tcPr>
            <w:tcW w:w="356"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8,729,064.00</w:t>
            </w:r>
          </w:p>
        </w:tc>
        <w:tc>
          <w:tcPr>
            <w:tcW w:w="360"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27,319,084.00</w:t>
            </w:r>
          </w:p>
        </w:tc>
        <w:tc>
          <w:tcPr>
            <w:tcW w:w="360"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326,832.00</w:t>
            </w:r>
          </w:p>
        </w:tc>
        <w:tc>
          <w:tcPr>
            <w:tcW w:w="395"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326,832.00</w:t>
            </w:r>
          </w:p>
        </w:tc>
        <w:tc>
          <w:tcPr>
            <w:tcW w:w="424"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26,992,252.00</w:t>
            </w:r>
          </w:p>
        </w:tc>
        <w:tc>
          <w:tcPr>
            <w:tcW w:w="360"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24,981,907.60</w:t>
            </w:r>
          </w:p>
        </w:tc>
        <w:tc>
          <w:tcPr>
            <w:tcW w:w="337"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2,337,176.40</w:t>
            </w:r>
          </w:p>
        </w:tc>
        <w:tc>
          <w:tcPr>
            <w:tcW w:w="337" w:type="pct"/>
            <w:tcBorders>
              <w:top w:val="nil"/>
              <w:left w:val="nil"/>
              <w:bottom w:val="single" w:sz="4" w:space="0" w:color="auto"/>
              <w:right w:val="single" w:sz="4" w:space="0" w:color="auto"/>
            </w:tcBorders>
            <w:shd w:val="clear" w:color="auto" w:fill="FCD5B4"/>
            <w:noWrap/>
            <w:vAlign w:val="center"/>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275"/>
          <w:jc w:val="center"/>
        </w:trPr>
        <w:tc>
          <w:tcPr>
            <w:tcW w:w="661"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3</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9,860,956.00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8,729,064.00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8,729,064.00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27,319,084.00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326,832.00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326,832.00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26,992,252.00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24,981,907.60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2,337,176.40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278"/>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632423"/>
                <w:sz w:val="16"/>
                <w:szCs w:val="16"/>
                <w:lang w:val="sq-AL"/>
              </w:rPr>
              <w:lastRenderedPageBreak/>
              <w:t xml:space="preserve">Objektivi nr. 4. </w:t>
            </w:r>
            <w:r>
              <w:rPr>
                <w:rFonts w:ascii="Garamond" w:hAnsi="Garamond"/>
                <w:b/>
                <w:bCs/>
                <w:color w:val="FF0000"/>
                <w:sz w:val="16"/>
                <w:szCs w:val="16"/>
                <w:lang w:val="sq-AL"/>
              </w:rPr>
              <w:t>Rishoqërizimi, riintegrimi dhe rehabilitimi i të miturve në kontakt ose konflikt me ligjin</w:t>
            </w:r>
          </w:p>
        </w:tc>
      </w:tr>
      <w:tr w:rsidR="00493B51" w:rsidTr="00493B51">
        <w:trPr>
          <w:trHeight w:val="269"/>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center"/>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632423"/>
                <w:sz w:val="16"/>
                <w:szCs w:val="16"/>
                <w:lang w:val="sq-AL"/>
              </w:rPr>
              <w:t xml:space="preserve">Objektivi specifik 1. </w:t>
            </w:r>
            <w:r>
              <w:rPr>
                <w:rFonts w:ascii="Garamond" w:hAnsi="Garamond"/>
                <w:b/>
                <w:bCs/>
                <w:color w:val="C00000"/>
                <w:sz w:val="16"/>
                <w:szCs w:val="16"/>
                <w:lang w:val="sq-AL"/>
              </w:rPr>
              <w:t>Aplikimi i programeve të drejtësisë restauruese/ndërmjetësimit</w:t>
            </w:r>
          </w:p>
        </w:tc>
      </w:tr>
      <w:tr w:rsidR="00493B51" w:rsidTr="00493B51">
        <w:trPr>
          <w:trHeight w:val="698"/>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1.1 Përmirësimi i kuadrit institucional për zbatimin e programeve të drejtësisë restauruese dhe të ndërmjetësimit.</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407,520.00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407,520.00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815,040.00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815,040.00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780,040.00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35,000.00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315"/>
          <w:jc w:val="center"/>
        </w:trPr>
        <w:tc>
          <w:tcPr>
            <w:tcW w:w="661"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(1)</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407,520.00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407,520.00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815,040.00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815,040.00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780,040.00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35,000.00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428"/>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vAlign w:val="center"/>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C00000"/>
                <w:sz w:val="16"/>
                <w:szCs w:val="16"/>
                <w:lang w:val="sq-AL"/>
              </w:rPr>
              <w:t xml:space="preserve">Objektivi specifik 2. </w:t>
            </w:r>
            <w:r>
              <w:rPr>
                <w:rFonts w:ascii="Garamond" w:hAnsi="Garamond"/>
                <w:b/>
                <w:bCs/>
                <w:color w:val="FF0000"/>
                <w:sz w:val="16"/>
                <w:szCs w:val="16"/>
                <w:lang w:val="sq-AL"/>
              </w:rPr>
              <w:t>Zhvillimi i planeve të këshillimit për të miturit dhe/ose familjen e tij</w:t>
            </w:r>
          </w:p>
        </w:tc>
      </w:tr>
      <w:tr w:rsidR="00493B51" w:rsidTr="00493B51">
        <w:trPr>
          <w:trHeight w:val="600"/>
          <w:jc w:val="center"/>
        </w:trPr>
        <w:tc>
          <w:tcPr>
            <w:tcW w:w="661" w:type="pct"/>
            <w:tcBorders>
              <w:top w:val="nil"/>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2.1 Ngritja e kuadrit institucional për zbatimin e planeve të këshillimit për të miturit dhe familjen.</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2,400,000.00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2,400,000.00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2,400,000.00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7,200,000.00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7,200,000.00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7,200,000.00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387"/>
          <w:jc w:val="center"/>
        </w:trPr>
        <w:tc>
          <w:tcPr>
            <w:tcW w:w="661"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(2)</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2,400,000.00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7,200,000.00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7,200,000.00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7,200,000.00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353"/>
          <w:jc w:val="center"/>
        </w:trPr>
        <w:tc>
          <w:tcPr>
            <w:tcW w:w="5000" w:type="pct"/>
            <w:gridSpan w:val="13"/>
            <w:tcBorders>
              <w:top w:val="single" w:sz="4" w:space="0" w:color="auto"/>
              <w:left w:val="single" w:sz="4" w:space="0" w:color="auto"/>
              <w:bottom w:val="single" w:sz="4" w:space="0" w:color="auto"/>
              <w:right w:val="single" w:sz="4" w:space="0" w:color="auto"/>
            </w:tcBorders>
            <w:shd w:val="clear" w:color="auto" w:fill="FDE9D9"/>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b/>
                <w:bCs/>
                <w:color w:val="C00000"/>
                <w:sz w:val="16"/>
                <w:szCs w:val="16"/>
                <w:lang w:val="sq-AL"/>
              </w:rPr>
              <w:t xml:space="preserve">Objektivi specifik 3. </w:t>
            </w:r>
            <w:r>
              <w:rPr>
                <w:rFonts w:ascii="Garamond" w:hAnsi="Garamond"/>
                <w:b/>
                <w:bCs/>
                <w:color w:val="FF0000"/>
                <w:sz w:val="16"/>
                <w:szCs w:val="16"/>
                <w:lang w:val="sq-AL"/>
              </w:rPr>
              <w:t>Nxitja e aplikimit të masës alternative të shmangies nga ndjekja penale</w:t>
            </w:r>
          </w:p>
        </w:tc>
      </w:tr>
      <w:tr w:rsidR="00493B51" w:rsidTr="00493B51">
        <w:trPr>
          <w:trHeight w:val="544"/>
          <w:jc w:val="center"/>
        </w:trPr>
        <w:tc>
          <w:tcPr>
            <w:tcW w:w="661" w:type="pct"/>
            <w:tcBorders>
              <w:top w:val="nil"/>
              <w:left w:val="single" w:sz="4" w:space="0" w:color="auto"/>
              <w:bottom w:val="single" w:sz="4" w:space="0" w:color="auto"/>
              <w:right w:val="single" w:sz="4" w:space="0" w:color="auto"/>
            </w:tcBorders>
            <w:vAlign w:val="center"/>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3.1 Ngritja e kuadrit institucional për zbatimin e masës së shmangies.</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3,500,000.00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3,500,000.00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3,500,000.00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10,500,000.00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10,500,000.00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52,800,000.00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35,100,000.00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139"/>
          <w:jc w:val="center"/>
        </w:trPr>
        <w:tc>
          <w:tcPr>
            <w:tcW w:w="661"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(3)</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3,500,000.00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3,500,000.00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3,500,000.00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10,500,000.00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10,500,000.00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52,800,000.00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35,100,000.00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228"/>
          <w:jc w:val="center"/>
        </w:trPr>
        <w:tc>
          <w:tcPr>
            <w:tcW w:w="4663" w:type="pct"/>
            <w:gridSpan w:val="12"/>
            <w:tcBorders>
              <w:top w:val="single" w:sz="4" w:space="0" w:color="auto"/>
              <w:left w:val="single" w:sz="4" w:space="0" w:color="auto"/>
              <w:bottom w:val="single" w:sz="4" w:space="0" w:color="auto"/>
              <w:right w:val="nil"/>
            </w:tcBorders>
            <w:shd w:val="clear" w:color="auto" w:fill="FCD5B4"/>
            <w:noWrap/>
            <w:vAlign w:val="bottom"/>
          </w:tcPr>
          <w:p w:rsidR="00493B51" w:rsidRDefault="00493B51">
            <w:pPr>
              <w:widowControl w:val="0"/>
              <w:spacing w:after="0" w:line="240" w:lineRule="auto"/>
              <w:ind w:firstLine="0"/>
              <w:jc w:val="center"/>
              <w:rPr>
                <w:rFonts w:ascii="Garamond" w:hAnsi="Garamond"/>
                <w:b/>
                <w:bCs/>
                <w:color w:val="C00000"/>
                <w:sz w:val="16"/>
                <w:szCs w:val="16"/>
                <w:lang w:val="sq-AL"/>
              </w:rPr>
            </w:pPr>
          </w:p>
          <w:p w:rsidR="00493B51" w:rsidRDefault="00493B51">
            <w:pPr>
              <w:widowControl w:val="0"/>
              <w:spacing w:after="0" w:line="240" w:lineRule="auto"/>
              <w:ind w:firstLine="0"/>
              <w:jc w:val="center"/>
              <w:rPr>
                <w:rFonts w:ascii="Garamond" w:hAnsi="Garamond"/>
                <w:b/>
                <w:bCs/>
                <w:color w:val="C00000"/>
                <w:sz w:val="16"/>
                <w:szCs w:val="16"/>
                <w:lang w:val="sq-AL"/>
              </w:rPr>
            </w:pPr>
            <w:r>
              <w:rPr>
                <w:rFonts w:ascii="Garamond" w:hAnsi="Garamond"/>
                <w:b/>
                <w:bCs/>
                <w:color w:val="C00000"/>
                <w:sz w:val="16"/>
                <w:szCs w:val="16"/>
                <w:lang w:val="sq-AL"/>
              </w:rPr>
              <w:t>Objektivi specifik 4</w:t>
            </w:r>
            <w:r>
              <w:rPr>
                <w:rFonts w:ascii="Garamond" w:hAnsi="Garamond"/>
                <w:b/>
                <w:bCs/>
                <w:color w:val="FF0000"/>
                <w:sz w:val="16"/>
                <w:szCs w:val="16"/>
                <w:lang w:val="sq-AL"/>
              </w:rPr>
              <w:t>. Inkurajimi i aplikimit të masave alternative nga dënimi</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rPr>
                <w:rFonts w:ascii="Garamond" w:hAnsi="Garamond"/>
                <w:b/>
                <w:bCs/>
                <w:color w:val="C00000"/>
                <w:sz w:val="16"/>
                <w:szCs w:val="16"/>
                <w:lang w:val="sq-AL"/>
              </w:rPr>
            </w:pPr>
          </w:p>
        </w:tc>
      </w:tr>
      <w:tr w:rsidR="00493B51" w:rsidTr="00493B51">
        <w:trPr>
          <w:trHeight w:val="73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4.1 Fuqizimi i mekanizmave dhe strukturave organizative për zbatimin e masave alternative të dënimit.</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30,071,901.00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30,071,901.00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30,071,901.00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30,071,901.00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120,287,604.00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120,287,604.00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120,287,604.00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96,230,083.20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24,057,520.80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244"/>
          <w:jc w:val="center"/>
        </w:trPr>
        <w:tc>
          <w:tcPr>
            <w:tcW w:w="661"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(4)</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30,071,901.00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30,071,901.00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30,071,901.00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30,071,901.00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120,287,604.00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120,287,604.00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120,287,604.00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96,230,083.20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24,057,520.80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261"/>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auto" w:fill="FDE9D9"/>
            <w:vAlign w:val="bottom"/>
          </w:tcPr>
          <w:p w:rsidR="00493B51" w:rsidRDefault="00493B51">
            <w:pPr>
              <w:widowControl w:val="0"/>
              <w:spacing w:after="0" w:line="240" w:lineRule="auto"/>
              <w:ind w:firstLine="0"/>
              <w:jc w:val="center"/>
              <w:rPr>
                <w:rFonts w:ascii="Garamond" w:hAnsi="Garamond"/>
                <w:b/>
                <w:bCs/>
                <w:color w:val="C00000"/>
                <w:sz w:val="16"/>
                <w:szCs w:val="16"/>
                <w:lang w:val="sq-AL"/>
              </w:rPr>
            </w:pPr>
          </w:p>
          <w:p w:rsidR="00493B51" w:rsidRDefault="00493B51">
            <w:pPr>
              <w:widowControl w:val="0"/>
              <w:spacing w:after="0" w:line="240" w:lineRule="auto"/>
              <w:ind w:firstLine="0"/>
              <w:jc w:val="center"/>
              <w:rPr>
                <w:rFonts w:ascii="Garamond" w:hAnsi="Garamond"/>
                <w:b/>
                <w:bCs/>
                <w:color w:val="C00000"/>
                <w:sz w:val="16"/>
                <w:szCs w:val="16"/>
                <w:lang w:val="sq-AL"/>
              </w:rPr>
            </w:pPr>
            <w:r>
              <w:rPr>
                <w:rFonts w:ascii="Garamond" w:hAnsi="Garamond"/>
                <w:b/>
                <w:bCs/>
                <w:color w:val="C00000"/>
                <w:sz w:val="16"/>
                <w:szCs w:val="16"/>
                <w:lang w:val="sq-AL"/>
              </w:rPr>
              <w:t xml:space="preserve">Objektivi specifik 5. </w:t>
            </w:r>
            <w:r>
              <w:rPr>
                <w:rFonts w:ascii="Garamond" w:hAnsi="Garamond"/>
                <w:b/>
                <w:bCs/>
                <w:color w:val="FF0000"/>
                <w:sz w:val="16"/>
                <w:szCs w:val="16"/>
                <w:lang w:val="sq-AL"/>
              </w:rPr>
              <w:t>Garantimi i një kuadri institucional që nxit dhe lehtëson edukimin, rehabilitimin dhe riintegrimin e të miturve  në institucionet e paraburgimit dhe burgimit</w:t>
            </w:r>
          </w:p>
        </w:tc>
      </w:tr>
      <w:tr w:rsidR="00493B51" w:rsidTr="00493B51">
        <w:trPr>
          <w:trHeight w:val="465"/>
          <w:jc w:val="center"/>
        </w:trPr>
        <w:tc>
          <w:tcPr>
            <w:tcW w:w="661" w:type="pct"/>
            <w:tcBorders>
              <w:top w:val="single" w:sz="4" w:space="0" w:color="auto"/>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5.1 Krijimi i kuadrit infrastrukturor për zbatimin e masave të kufizimit të lirisë.</w:t>
            </w:r>
          </w:p>
        </w:tc>
        <w:tc>
          <w:tcPr>
            <w:tcW w:w="333"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4,500,000.00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4,500,000.00</w:t>
            </w:r>
          </w:p>
        </w:tc>
        <w:tc>
          <w:tcPr>
            <w:tcW w:w="356"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9,000,000.00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9,000,000.00</w:t>
            </w:r>
          </w:p>
        </w:tc>
        <w:tc>
          <w:tcPr>
            <w:tcW w:w="360"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7,200,000.00</w:t>
            </w:r>
          </w:p>
        </w:tc>
        <w:tc>
          <w:tcPr>
            <w:tcW w:w="337"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1,800,000.00</w:t>
            </w:r>
          </w:p>
        </w:tc>
        <w:tc>
          <w:tcPr>
            <w:tcW w:w="337" w:type="pct"/>
            <w:tcBorders>
              <w:top w:val="single" w:sz="4" w:space="0" w:color="auto"/>
              <w:left w:val="single" w:sz="4" w:space="0" w:color="auto"/>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487"/>
          <w:jc w:val="center"/>
        </w:trPr>
        <w:tc>
          <w:tcPr>
            <w:tcW w:w="661" w:type="pct"/>
            <w:tcBorders>
              <w:top w:val="single" w:sz="4" w:space="0" w:color="auto"/>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5.2 Përmirësimi i praktikës në zbatimin e masave të dënimit me burgim.</w:t>
            </w:r>
          </w:p>
        </w:tc>
        <w:tc>
          <w:tcPr>
            <w:tcW w:w="333"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2,607,328.00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2,607,328.00</w:t>
            </w:r>
          </w:p>
        </w:tc>
        <w:tc>
          <w:tcPr>
            <w:tcW w:w="356"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2,607,328.00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7,821,984.00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7,821,984.00</w:t>
            </w:r>
          </w:p>
        </w:tc>
        <w:tc>
          <w:tcPr>
            <w:tcW w:w="360"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7,821,984.00</w:t>
            </w:r>
          </w:p>
        </w:tc>
        <w:tc>
          <w:tcPr>
            <w:tcW w:w="337" w:type="pct"/>
            <w:tcBorders>
              <w:top w:val="single" w:sz="4" w:space="0" w:color="auto"/>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43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5.3 Përmirësimi i programeve që lidhen me arsimimin, formimin profesional, sportin,  argëtimin dhe programe të tjera.</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4,800,000.00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4,800,000.00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4,800,000.00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14,400,000.00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14,400,000.00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14,400,000.00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470"/>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5.4 Përgatitja e materialeve informuese për të drejtat e të miturve në institucionet e kufizimit të lirisë.</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156,000.00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156,000.00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156,000.00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156,000.00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624,000.00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624,000.00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624,000.00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624,000.00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435"/>
          <w:jc w:val="center"/>
        </w:trPr>
        <w:tc>
          <w:tcPr>
            <w:tcW w:w="661" w:type="pct"/>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(5)</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156,000.00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12,063,328.00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12,063,328.00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7,563,328.00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31,845,984.00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624,000.00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624,000.00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31,221,984.00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7,200,000.00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24,645,984.00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435"/>
          <w:jc w:val="center"/>
        </w:trPr>
        <w:tc>
          <w:tcPr>
            <w:tcW w:w="661" w:type="pct"/>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lastRenderedPageBreak/>
              <w:t>Totali: Objektivi 4</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30,227,901.00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48,442,749.00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48,442,749.00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43,535,229.00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170,648,628.00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120,911,604.00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120,911,604.00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49,737,024.00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164,210,123.20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83,838,504.80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279"/>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auto" w:fill="FDE9D9"/>
            <w:vAlign w:val="bottom"/>
            <w:hideMark/>
          </w:tcPr>
          <w:p w:rsidR="00493B51" w:rsidRDefault="00493B51">
            <w:pPr>
              <w:widowControl w:val="0"/>
              <w:spacing w:after="0" w:line="240" w:lineRule="auto"/>
              <w:ind w:firstLine="0"/>
              <w:jc w:val="center"/>
              <w:rPr>
                <w:rFonts w:ascii="Garamond" w:hAnsi="Garamond"/>
                <w:b/>
                <w:bCs/>
                <w:color w:val="FF0000"/>
                <w:sz w:val="16"/>
                <w:szCs w:val="16"/>
                <w:lang w:val="sq-AL"/>
              </w:rPr>
            </w:pPr>
            <w:r>
              <w:rPr>
                <w:rFonts w:ascii="Garamond" w:hAnsi="Garamond"/>
                <w:b/>
                <w:bCs/>
                <w:color w:val="C00000"/>
                <w:sz w:val="16"/>
                <w:szCs w:val="16"/>
                <w:lang w:val="sq-AL"/>
              </w:rPr>
              <w:t xml:space="preserve">Objektivi 5. </w:t>
            </w:r>
            <w:r>
              <w:rPr>
                <w:rFonts w:ascii="Garamond" w:hAnsi="Garamond"/>
                <w:b/>
                <w:bCs/>
                <w:color w:val="FF0000"/>
                <w:sz w:val="16"/>
                <w:szCs w:val="16"/>
                <w:lang w:val="sq-AL"/>
              </w:rPr>
              <w:t>Forcimi i bashkëpunimit të institucioneve të sistemit të drejtësisë për të mitur</w:t>
            </w:r>
          </w:p>
        </w:tc>
      </w:tr>
      <w:tr w:rsidR="00493B51" w:rsidTr="00493B51">
        <w:trPr>
          <w:trHeight w:val="270"/>
          <w:jc w:val="center"/>
        </w:trPr>
        <w:tc>
          <w:tcPr>
            <w:tcW w:w="5000" w:type="pct"/>
            <w:gridSpan w:val="13"/>
            <w:tcBorders>
              <w:top w:val="single" w:sz="4" w:space="0" w:color="auto"/>
              <w:left w:val="single" w:sz="4" w:space="0" w:color="auto"/>
              <w:bottom w:val="single" w:sz="4" w:space="0" w:color="auto"/>
              <w:right w:val="single" w:sz="4" w:space="0" w:color="000000"/>
            </w:tcBorders>
            <w:shd w:val="clear" w:color="auto" w:fill="FDE9D9"/>
            <w:vAlign w:val="bottom"/>
            <w:hideMark/>
          </w:tcPr>
          <w:p w:rsidR="00493B51" w:rsidRDefault="00493B51">
            <w:pPr>
              <w:widowControl w:val="0"/>
              <w:spacing w:after="0" w:line="240" w:lineRule="auto"/>
              <w:ind w:firstLine="0"/>
              <w:jc w:val="center"/>
              <w:rPr>
                <w:rFonts w:ascii="Garamond" w:hAnsi="Garamond"/>
                <w:b/>
                <w:bCs/>
                <w:color w:val="C00000"/>
                <w:sz w:val="16"/>
                <w:szCs w:val="16"/>
                <w:lang w:val="sq-AL"/>
              </w:rPr>
            </w:pPr>
            <w:r>
              <w:rPr>
                <w:rFonts w:ascii="Garamond" w:hAnsi="Garamond"/>
                <w:b/>
                <w:bCs/>
                <w:color w:val="C00000"/>
                <w:sz w:val="16"/>
                <w:szCs w:val="16"/>
                <w:lang w:val="sq-AL"/>
              </w:rPr>
              <w:t xml:space="preserve">Objektivi specifik 1. </w:t>
            </w:r>
            <w:r>
              <w:rPr>
                <w:rFonts w:ascii="Garamond" w:hAnsi="Garamond"/>
                <w:b/>
                <w:bCs/>
                <w:color w:val="FF0000"/>
                <w:sz w:val="16"/>
                <w:szCs w:val="16"/>
                <w:lang w:val="sq-AL"/>
              </w:rPr>
              <w:t>Forcimi i bashkëpunimit ndërinstitucional</w:t>
            </w:r>
          </w:p>
        </w:tc>
      </w:tr>
      <w:tr w:rsidR="00493B51" w:rsidTr="00493B51">
        <w:trPr>
          <w:trHeight w:val="705"/>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1.1 Ngritja dhe funksionimi i rrjetit ndërinstitucional në nivel qendror për çështjet e drejtësisë për të miturit.</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222,840.00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222,840.00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222,840.00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222,840.00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891,360.00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891,360.00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891,360.00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713,088.00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178,272.00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510"/>
          <w:jc w:val="center"/>
        </w:trPr>
        <w:tc>
          <w:tcPr>
            <w:tcW w:w="661" w:type="pct"/>
            <w:tcBorders>
              <w:top w:val="nil"/>
              <w:left w:val="single" w:sz="4" w:space="0" w:color="auto"/>
              <w:bottom w:val="single" w:sz="4" w:space="0" w:color="auto"/>
              <w:right w:val="single" w:sz="4" w:space="0" w:color="auto"/>
            </w:tcBorders>
            <w:vAlign w:val="bottom"/>
            <w:hideMark/>
          </w:tcPr>
          <w:p w:rsidR="00493B51" w:rsidRDefault="00493B51">
            <w:pPr>
              <w:widowControl w:val="0"/>
              <w:spacing w:after="0" w:line="240" w:lineRule="auto"/>
              <w:ind w:firstLine="0"/>
              <w:rPr>
                <w:rFonts w:ascii="Garamond" w:hAnsi="Garamond"/>
                <w:i/>
                <w:iCs/>
                <w:sz w:val="16"/>
                <w:szCs w:val="16"/>
                <w:lang w:val="sq-AL"/>
              </w:rPr>
            </w:pPr>
            <w:r>
              <w:rPr>
                <w:rFonts w:ascii="Garamond" w:hAnsi="Garamond"/>
                <w:i/>
                <w:iCs/>
                <w:sz w:val="16"/>
                <w:szCs w:val="16"/>
                <w:lang w:val="sq-AL"/>
              </w:rPr>
              <w:t>1.2 Ngritja e  komunitetit të praktikantëve në nivel vendor.</w:t>
            </w:r>
          </w:p>
        </w:tc>
        <w:tc>
          <w:tcPr>
            <w:tcW w:w="333"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965,640.00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965,640.00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965,640.00</w:t>
            </w:r>
          </w:p>
        </w:tc>
        <w:tc>
          <w:tcPr>
            <w:tcW w:w="356"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965,640.00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3,862,560.00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3,862,560.00</w:t>
            </w:r>
          </w:p>
        </w:tc>
        <w:tc>
          <w:tcPr>
            <w:tcW w:w="395"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3,862,560.00</w:t>
            </w:r>
          </w:p>
        </w:tc>
        <w:tc>
          <w:tcPr>
            <w:tcW w:w="424"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60"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3,862,560.00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c>
          <w:tcPr>
            <w:tcW w:w="337" w:type="pct"/>
            <w:tcBorders>
              <w:top w:val="nil"/>
              <w:left w:val="nil"/>
              <w:bottom w:val="single" w:sz="4" w:space="0" w:color="auto"/>
              <w:right w:val="single" w:sz="4" w:space="0" w:color="auto"/>
            </w:tcBorders>
            <w:noWrap/>
            <w:vAlign w:val="bottom"/>
            <w:hideMark/>
          </w:tcPr>
          <w:p w:rsidR="00493B51" w:rsidRDefault="00493B51">
            <w:pPr>
              <w:widowControl w:val="0"/>
              <w:spacing w:after="0" w:line="240" w:lineRule="auto"/>
              <w:ind w:firstLine="0"/>
              <w:jc w:val="center"/>
              <w:rPr>
                <w:rFonts w:ascii="Garamond" w:hAnsi="Garamond"/>
                <w:sz w:val="16"/>
                <w:szCs w:val="16"/>
                <w:lang w:val="sq-AL"/>
              </w:rPr>
            </w:pPr>
            <w:r>
              <w:rPr>
                <w:rFonts w:ascii="Garamond" w:hAnsi="Garamond"/>
                <w:sz w:val="16"/>
                <w:szCs w:val="16"/>
                <w:lang w:val="sq-AL"/>
              </w:rPr>
              <w:t>0.00</w:t>
            </w:r>
          </w:p>
        </w:tc>
      </w:tr>
      <w:tr w:rsidR="00493B51" w:rsidTr="00493B51">
        <w:trPr>
          <w:trHeight w:val="276"/>
          <w:jc w:val="center"/>
        </w:trPr>
        <w:tc>
          <w:tcPr>
            <w:tcW w:w="661" w:type="pct"/>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specifik (1)</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4,753,920.00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4,753,920.00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4,753,920.00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4,575,648.00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178,272.00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266"/>
          <w:jc w:val="center"/>
        </w:trPr>
        <w:tc>
          <w:tcPr>
            <w:tcW w:w="661" w:type="pct"/>
            <w:tcBorders>
              <w:top w:val="nil"/>
              <w:left w:val="single" w:sz="4" w:space="0" w:color="auto"/>
              <w:bottom w:val="single" w:sz="4" w:space="0" w:color="auto"/>
              <w:right w:val="single" w:sz="4" w:space="0" w:color="auto"/>
            </w:tcBorders>
            <w:shd w:val="clear" w:color="auto" w:fill="FCD5B4"/>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Totali: Objektivi 5</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1,188,480.00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4,753,920.00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4,753,920.00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4,753,920.00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4,575,648.00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178,272.00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0.00</w:t>
            </w:r>
          </w:p>
        </w:tc>
      </w:tr>
      <w:tr w:rsidR="00493B51" w:rsidTr="00493B51">
        <w:trPr>
          <w:trHeight w:val="283"/>
          <w:jc w:val="center"/>
        </w:trPr>
        <w:tc>
          <w:tcPr>
            <w:tcW w:w="661" w:type="pct"/>
            <w:tcBorders>
              <w:top w:val="nil"/>
              <w:left w:val="single" w:sz="4" w:space="0" w:color="auto"/>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TOTAL (1+2+3+4+5)</w:t>
            </w:r>
          </w:p>
        </w:tc>
        <w:tc>
          <w:tcPr>
            <w:tcW w:w="333"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41,392,639.00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184,554,270.50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230,870,280.50</w:t>
            </w:r>
          </w:p>
        </w:tc>
        <w:tc>
          <w:tcPr>
            <w:tcW w:w="356"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224,518,773.00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681,335,963.00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598,235,047.00</w:t>
            </w:r>
          </w:p>
        </w:tc>
        <w:tc>
          <w:tcPr>
            <w:tcW w:w="395"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1,107,000.00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599,342,047.00</w:t>
            </w:r>
          </w:p>
        </w:tc>
        <w:tc>
          <w:tcPr>
            <w:tcW w:w="424"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81,993,916.00</w:t>
            </w:r>
          </w:p>
        </w:tc>
        <w:tc>
          <w:tcPr>
            <w:tcW w:w="360"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639,718,999.80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96,663,063.20</w:t>
            </w:r>
          </w:p>
        </w:tc>
        <w:tc>
          <w:tcPr>
            <w:tcW w:w="337" w:type="pct"/>
            <w:tcBorders>
              <w:top w:val="nil"/>
              <w:left w:val="nil"/>
              <w:bottom w:val="single" w:sz="4" w:space="0" w:color="auto"/>
              <w:right w:val="single" w:sz="4" w:space="0" w:color="auto"/>
            </w:tcBorders>
            <w:shd w:val="clear" w:color="auto" w:fill="FCD5B4"/>
            <w:noWrap/>
            <w:vAlign w:val="bottom"/>
            <w:hideMark/>
          </w:tcPr>
          <w:p w:rsidR="00493B51" w:rsidRDefault="00493B51">
            <w:pPr>
              <w:widowControl w:val="0"/>
              <w:spacing w:after="0" w:line="240" w:lineRule="auto"/>
              <w:ind w:firstLine="0"/>
              <w:jc w:val="center"/>
              <w:rPr>
                <w:rFonts w:ascii="Garamond" w:hAnsi="Garamond"/>
                <w:b/>
                <w:bCs/>
                <w:sz w:val="16"/>
                <w:szCs w:val="16"/>
                <w:lang w:val="sq-AL"/>
              </w:rPr>
            </w:pPr>
            <w:r>
              <w:rPr>
                <w:rFonts w:ascii="Garamond" w:hAnsi="Garamond"/>
                <w:b/>
                <w:bCs/>
                <w:sz w:val="16"/>
                <w:szCs w:val="16"/>
                <w:lang w:val="sq-AL"/>
              </w:rPr>
              <w:t>22,353,900.00</w:t>
            </w:r>
          </w:p>
        </w:tc>
      </w:tr>
    </w:tbl>
    <w:p w:rsidR="00493B51" w:rsidRDefault="00493B51" w:rsidP="00493B51">
      <w:pPr>
        <w:pStyle w:val="Paragraf02"/>
        <w:rPr>
          <w:lang w:val="sq-AL"/>
        </w:rPr>
      </w:pPr>
    </w:p>
    <w:p w:rsidR="00493B51" w:rsidRDefault="00493B51" w:rsidP="00493B51">
      <w:pPr>
        <w:spacing w:after="0" w:line="240" w:lineRule="auto"/>
        <w:ind w:firstLine="0"/>
        <w:jc w:val="left"/>
        <w:rPr>
          <w:rFonts w:ascii="Garamond" w:eastAsia="MS Mincho" w:hAnsi="Garamond" w:cs="CG Times"/>
          <w:spacing w:val="-4"/>
          <w:sz w:val="24"/>
          <w:lang w:val="sq-AL"/>
        </w:rPr>
        <w:sectPr w:rsidR="00493B51" w:rsidSect="00493B51">
          <w:pgSz w:w="16840" w:h="11907" w:orient="landscape"/>
          <w:pgMar w:top="1134" w:right="720" w:bottom="1134" w:left="720" w:header="851" w:footer="851" w:gutter="0"/>
          <w:cols w:space="720"/>
        </w:sectPr>
      </w:pPr>
    </w:p>
    <w:p w:rsidR="00711337" w:rsidRDefault="00711337" w:rsidP="00493B51">
      <w:bookmarkStart w:id="23" w:name="_GoBack"/>
      <w:bookmarkEnd w:id="23"/>
    </w:p>
    <w:sectPr w:rsidR="00711337" w:rsidSect="00493B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3431" w:rsidRDefault="00FF3431" w:rsidP="00493B51">
      <w:pPr>
        <w:spacing w:after="0" w:line="240" w:lineRule="auto"/>
      </w:pPr>
      <w:r>
        <w:separator/>
      </w:r>
    </w:p>
  </w:endnote>
  <w:endnote w:type="continuationSeparator" w:id="0">
    <w:p w:rsidR="00FF3431" w:rsidRDefault="00FF3431" w:rsidP="00493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altName w:val="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3431" w:rsidRDefault="00FF3431" w:rsidP="00493B51">
      <w:pPr>
        <w:spacing w:after="0" w:line="240" w:lineRule="auto"/>
      </w:pPr>
      <w:r>
        <w:separator/>
      </w:r>
    </w:p>
  </w:footnote>
  <w:footnote w:type="continuationSeparator" w:id="0">
    <w:p w:rsidR="00FF3431" w:rsidRDefault="00FF3431" w:rsidP="00493B51">
      <w:pPr>
        <w:spacing w:after="0" w:line="240" w:lineRule="auto"/>
      </w:pPr>
      <w:r>
        <w:continuationSeparator/>
      </w:r>
    </w:p>
  </w:footnote>
  <w:footnote w:id="1">
    <w:p w:rsidR="00493B51" w:rsidRDefault="00493B51" w:rsidP="00493B51">
      <w:pPr>
        <w:pStyle w:val="FootnoteText"/>
        <w:ind w:firstLine="0"/>
        <w:rPr>
          <w:rFonts w:ascii="Garamond" w:hAnsi="Garamond"/>
          <w:sz w:val="18"/>
          <w:szCs w:val="18"/>
          <w:lang w:val="de-CH"/>
        </w:rPr>
      </w:pPr>
      <w:r>
        <w:rPr>
          <w:rStyle w:val="FootnoteReference"/>
          <w:rFonts w:ascii="Garamond" w:hAnsi="Garamond"/>
          <w:sz w:val="18"/>
          <w:szCs w:val="18"/>
        </w:rPr>
        <w:footnoteRef/>
      </w:r>
      <w:r>
        <w:rPr>
          <w:rFonts w:ascii="Garamond" w:hAnsi="Garamond"/>
          <w:bCs/>
          <w:color w:val="000000"/>
          <w:sz w:val="18"/>
          <w:szCs w:val="18"/>
        </w:rPr>
        <w:t xml:space="preserve"> Përmbledhje e Raportit, f. 73.</w:t>
      </w:r>
    </w:p>
  </w:footnote>
  <w:footnote w:id="2">
    <w:p w:rsidR="00493B51" w:rsidRDefault="00493B51" w:rsidP="00493B51">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Direktiva 2011/93 EU, datë 13.12.2011, Fletore Zyrtare nr. 335, datë 17.12.2011, si dhe standardet dhe rregullat për drejtësinë për të mitur në nivelin e OKB-së dhe Këshillit të Evropës.</w:t>
      </w:r>
    </w:p>
  </w:footnote>
  <w:footnote w:id="3">
    <w:p w:rsidR="00493B51" w:rsidRDefault="00493B51" w:rsidP="00493B51">
      <w:pPr>
        <w:pStyle w:val="FootnoteText"/>
        <w:ind w:firstLine="0"/>
        <w:rPr>
          <w:rFonts w:ascii="Garamond" w:hAnsi="Garamond"/>
          <w:sz w:val="18"/>
          <w:szCs w:val="18"/>
        </w:rPr>
      </w:pPr>
      <w:r>
        <w:rPr>
          <w:rStyle w:val="FootnoteReference"/>
          <w:rFonts w:ascii="Garamond" w:hAnsi="Garamond"/>
        </w:rPr>
        <w:footnoteRef/>
      </w:r>
      <w:hyperlink r:id="rId1" w:history="1">
        <w:r>
          <w:rPr>
            <w:rStyle w:val="Hyperlink"/>
            <w:rFonts w:ascii="Garamond" w:hAnsi="Garamond"/>
            <w:sz w:val="18"/>
            <w:szCs w:val="18"/>
          </w:rPr>
          <w:t>http://reformanedrejtesi.al/sites/default/files/draft_strategjia_versioni_shqip.pdf</w:t>
        </w:r>
      </w:hyperlink>
      <w:r>
        <w:rPr>
          <w:rFonts w:ascii="Garamond" w:hAnsi="Garamond"/>
          <w:sz w:val="18"/>
          <w:szCs w:val="18"/>
        </w:rPr>
        <w:t xml:space="preserve"> </w:t>
      </w:r>
    </w:p>
  </w:footnote>
  <w:footnote w:id="4">
    <w:p w:rsidR="00493B51" w:rsidRDefault="00493B51" w:rsidP="00493B51">
      <w:pPr>
        <w:spacing w:after="0" w:line="240" w:lineRule="auto"/>
        <w:ind w:firstLine="0"/>
        <w:jc w:val="left"/>
        <w:rPr>
          <w:rFonts w:ascii="Garamond" w:hAnsi="Garamond"/>
          <w:sz w:val="18"/>
          <w:szCs w:val="18"/>
          <w:lang w:val="sq-AL"/>
        </w:rPr>
      </w:pPr>
      <w:r>
        <w:rPr>
          <w:rFonts w:ascii="Garamond" w:hAnsi="Garamond"/>
          <w:sz w:val="18"/>
          <w:szCs w:val="18"/>
          <w:vertAlign w:val="superscript"/>
          <w:lang w:val="sq-AL"/>
        </w:rPr>
        <w:footnoteRef/>
      </w:r>
      <w:r>
        <w:rPr>
          <w:rFonts w:ascii="Garamond" w:hAnsi="Garamond"/>
          <w:sz w:val="18"/>
          <w:szCs w:val="18"/>
          <w:vertAlign w:val="superscript"/>
          <w:lang w:val="sq-AL"/>
        </w:rPr>
        <w:t xml:space="preserve"> </w:t>
      </w:r>
      <w:r>
        <w:rPr>
          <w:rFonts w:ascii="Garamond" w:hAnsi="Garamond"/>
          <w:sz w:val="18"/>
          <w:szCs w:val="18"/>
          <w:lang w:val="sq-AL"/>
        </w:rPr>
        <w:t xml:space="preserve">Shkalla e burgimit/paraburgimit për fëmijët u llogarit në bazë të formulës së mëposhtme: </w:t>
      </w:r>
    </w:p>
    <w:p w:rsidR="00493B51" w:rsidRDefault="00493B51" w:rsidP="00493B51">
      <w:pPr>
        <w:spacing w:after="0" w:line="240" w:lineRule="auto"/>
        <w:ind w:firstLine="0"/>
        <w:jc w:val="left"/>
        <w:rPr>
          <w:rFonts w:ascii="Garamond" w:hAnsi="Garamond"/>
          <w:sz w:val="18"/>
          <w:szCs w:val="18"/>
          <w:lang w:val="sq-AL"/>
        </w:rPr>
      </w:pPr>
      <m:oMathPara>
        <m:oMathParaPr>
          <m:jc m:val="left"/>
        </m:oMathParaPr>
        <m:oMath>
          <m:r>
            <w:rPr>
              <w:rFonts w:ascii="Cambria Math" w:hAnsi="Cambria Math"/>
              <w:sz w:val="18"/>
              <w:szCs w:val="18"/>
              <w:lang w:val="sq-AL"/>
            </w:rPr>
            <m:t>ShBF</m:t>
          </m:r>
          <m:r>
            <m:rPr>
              <m:sty m:val="p"/>
            </m:rPr>
            <w:rPr>
              <w:rFonts w:ascii="Cambria Math" w:hAnsi="Cambria Math"/>
              <w:sz w:val="18"/>
              <w:szCs w:val="18"/>
              <w:lang w:val="sq-AL"/>
            </w:rPr>
            <m:t>=</m:t>
          </m:r>
          <m:f>
            <m:fPr>
              <m:ctrlPr>
                <w:rPr>
                  <w:rFonts w:ascii="Cambria Math" w:hAnsi="Cambria Math"/>
                  <w:sz w:val="18"/>
                  <w:szCs w:val="18"/>
                  <w:lang w:val="sq-AL"/>
                </w:rPr>
              </m:ctrlPr>
            </m:fPr>
            <m:num>
              <m:r>
                <m:rPr>
                  <m:sty m:val="p"/>
                </m:rPr>
                <w:rPr>
                  <w:rFonts w:ascii="Cambria Math" w:hAnsi="Cambria Math"/>
                  <w:sz w:val="18"/>
                  <w:szCs w:val="18"/>
                  <w:lang w:val="sq-AL"/>
                </w:rPr>
                <m:t>Numri i fëmijëve në burg/paraburgim në një periudhë të caktuar të vitit (tetor 2016)</m:t>
              </m:r>
            </m:num>
            <m:den>
              <m:r>
                <m:rPr>
                  <m:sty m:val="p"/>
                </m:rPr>
                <w:rPr>
                  <w:rFonts w:ascii="Cambria Math" w:hAnsi="Cambria Math"/>
                  <w:sz w:val="18"/>
                  <w:szCs w:val="18"/>
                  <w:lang w:val="sq-AL"/>
                </w:rPr>
                <m:t>Numri i popullsisë së fëmijëve në Shqipëri, 2016</m:t>
              </m:r>
            </m:den>
          </m:f>
          <m:r>
            <w:rPr>
              <w:rFonts w:ascii="Cambria Math" w:hAnsi="Cambria Math"/>
              <w:sz w:val="18"/>
              <w:szCs w:val="18"/>
              <w:lang w:val="sq-AL"/>
            </w:rPr>
            <m:t xml:space="preserve"> x 100 000</m:t>
          </m:r>
        </m:oMath>
      </m:oMathPara>
    </w:p>
  </w:footnote>
  <w:footnote w:id="5">
    <w:p w:rsidR="00493B51" w:rsidRDefault="00493B51" w:rsidP="00493B51">
      <w:pPr>
        <w:pStyle w:val="FootnoteText"/>
        <w:ind w:firstLine="0"/>
        <w:jc w:val="left"/>
        <w:rPr>
          <w:rFonts w:ascii="Garamond" w:hAnsi="Garamond"/>
          <w:sz w:val="18"/>
          <w:szCs w:val="18"/>
          <w:lang w:val="de-CH"/>
        </w:rPr>
      </w:pPr>
      <w:r>
        <w:rPr>
          <w:rStyle w:val="FootnoteReference"/>
          <w:rFonts w:ascii="Garamond" w:hAnsi="Garamond"/>
          <w:sz w:val="18"/>
          <w:szCs w:val="18"/>
        </w:rPr>
        <w:footnoteRef/>
      </w:r>
      <w:r>
        <w:rPr>
          <w:rFonts w:ascii="Garamond" w:hAnsi="Garamond"/>
          <w:bCs/>
          <w:color w:val="000000"/>
          <w:sz w:val="18"/>
          <w:szCs w:val="18"/>
        </w:rPr>
        <w:t xml:space="preserve"> Sipas Rezolutës së Këshillit të Sigurisë të Kombeve të Bashkuara 1244.</w:t>
      </w:r>
    </w:p>
  </w:footnote>
  <w:footnote w:id="6">
    <w:p w:rsidR="00493B51" w:rsidRDefault="00493B51" w:rsidP="00493B51">
      <w:pPr>
        <w:spacing w:after="0" w:line="240" w:lineRule="auto"/>
        <w:ind w:firstLine="0"/>
        <w:rPr>
          <w:rFonts w:ascii="Garamond" w:hAnsi="Garamond"/>
          <w:sz w:val="18"/>
          <w:szCs w:val="18"/>
          <w:highlight w:val="cyan"/>
          <w:shd w:val="clear" w:color="auto" w:fill="FFFFFF"/>
          <w:lang w:val="sq-AL"/>
        </w:rPr>
      </w:pPr>
      <w:r>
        <w:rPr>
          <w:rStyle w:val="FootnoteReference"/>
          <w:rFonts w:ascii="Garamond" w:hAnsi="Garamond"/>
          <w:sz w:val="18"/>
          <w:szCs w:val="18"/>
        </w:rPr>
        <w:footnoteRef/>
      </w:r>
      <w:r>
        <w:rPr>
          <w:rFonts w:ascii="Garamond" w:hAnsi="Garamond"/>
          <w:bCs/>
          <w:color w:val="000000"/>
          <w:sz w:val="18"/>
          <w:szCs w:val="18"/>
          <w:lang w:val="sq-AL"/>
        </w:rPr>
        <w:t xml:space="preserve"> UNICEF “Children’s Equitable Access to Justice: Central and Eastern Europe and Central Asia”. E mundshme në: </w:t>
      </w:r>
      <w:hyperlink r:id="rId2" w:history="1">
        <w:r>
          <w:rPr>
            <w:rStyle w:val="Hyperlink"/>
            <w:rFonts w:ascii="Garamond" w:hAnsi="Garamond"/>
            <w:bCs/>
            <w:sz w:val="18"/>
            <w:szCs w:val="18"/>
            <w:lang w:val="sq-AL"/>
          </w:rPr>
          <w:t>https://www.unicef.org/ceecis/Equitable_access_to_justice_for_children_in_Central_and_Eastern_Europe_and_Central_Asia_-_v2_1.pdf</w:t>
        </w:r>
      </w:hyperlink>
      <w:r>
        <w:rPr>
          <w:rFonts w:ascii="Garamond" w:hAnsi="Garamond"/>
          <w:bCs/>
          <w:color w:val="000000"/>
          <w:sz w:val="18"/>
          <w:szCs w:val="18"/>
          <w:lang w:val="sq-AL"/>
        </w:rPr>
        <w:t>, aksesuar dhjetor 2016, f. 52.</w:t>
      </w:r>
    </w:p>
  </w:footnote>
  <w:footnote w:id="7">
    <w:p w:rsidR="00493B51" w:rsidRDefault="00493B51" w:rsidP="00493B51">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Progresraporti i KE-së të 2014-ës dhe ai i 2016-ës.</w:t>
      </w:r>
    </w:p>
  </w:footnote>
  <w:footnote w:id="8">
    <w:p w:rsidR="00493B51" w:rsidRDefault="00493B51" w:rsidP="00493B51">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rPr>
        <w:t xml:space="preserve"> Raport i Prokurorisë së Përgjithshme mbi gjendjen e kriminalitetit për vitin 2015 i mundshëm në: </w:t>
      </w:r>
      <w:hyperlink r:id="rId3" w:history="1">
        <w:r>
          <w:rPr>
            <w:rStyle w:val="Hyperlink"/>
            <w:rFonts w:ascii="Garamond" w:hAnsi="Garamond"/>
            <w:sz w:val="18"/>
            <w:szCs w:val="18"/>
            <w:lang w:val="it-IT"/>
          </w:rPr>
          <w:t>https://www.parlament.al/wp-content/uploads/2016/03/Raporti-PP-2015-FINAL.pdf</w:t>
        </w:r>
      </w:hyperlink>
      <w:r>
        <w:rPr>
          <w:rFonts w:ascii="Garamond" w:hAnsi="Garamond"/>
          <w:sz w:val="18"/>
          <w:szCs w:val="18"/>
          <w:lang w:val="it-IT"/>
        </w:rPr>
        <w:t xml:space="preserve"> aksesuar në dhjetor 2016.</w:t>
      </w:r>
    </w:p>
  </w:footnote>
  <w:footnote w:id="9">
    <w:p w:rsidR="00493B51" w:rsidRDefault="00493B51" w:rsidP="00493B51">
      <w:pPr>
        <w:spacing w:after="0" w:line="240" w:lineRule="auto"/>
        <w:ind w:firstLine="0"/>
        <w:rPr>
          <w:rFonts w:ascii="Garamond" w:hAnsi="Garamond"/>
          <w:b/>
          <w:sz w:val="18"/>
          <w:szCs w:val="18"/>
          <w:highlight w:val="cyan"/>
          <w:lang w:val="it-IT"/>
        </w:rPr>
      </w:pPr>
      <w:r>
        <w:rPr>
          <w:rStyle w:val="FootnoteReference"/>
          <w:rFonts w:ascii="Garamond" w:hAnsi="Garamond"/>
          <w:sz w:val="18"/>
          <w:szCs w:val="18"/>
        </w:rPr>
        <w:footnoteRef/>
      </w:r>
      <w:r>
        <w:rPr>
          <w:rFonts w:ascii="Garamond" w:hAnsi="Garamond"/>
          <w:sz w:val="18"/>
          <w:szCs w:val="18"/>
          <w:lang w:val="sq-AL"/>
        </w:rPr>
        <w:t xml:space="preserve"> Konventa për Integrimin Evropian, Vlerësime dhe Rekomandime 2015–2016, “Lëvizja Evropiane në Shqipëri “Gjyqësori dhe të drejtat themelore”, kapitulli 23, f. 27–29.</w:t>
      </w:r>
    </w:p>
  </w:footnote>
  <w:footnote w:id="10">
    <w:p w:rsidR="00493B51" w:rsidRDefault="00493B51" w:rsidP="00493B51">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rPr>
        <w:t xml:space="preserve"> Raporti “Me zërin e të miturve të privuar nga liria-vlerësimi i kushteve dhe trajtimit në institucionet e ndalimit, paraburgimit dhe burgimit”. Avokati i Popullit dhe Observatori për të drejtat e fëmijëve, me mbështetjen e UNICEF-it, dhjetor 2016, f. 22.</w:t>
      </w:r>
    </w:p>
  </w:footnote>
  <w:footnote w:id="11">
    <w:p w:rsidR="00493B51" w:rsidRDefault="00493B51" w:rsidP="00493B51">
      <w:pPr>
        <w:spacing w:after="0" w:line="240" w:lineRule="auto"/>
        <w:ind w:firstLine="0"/>
        <w:rPr>
          <w:rFonts w:ascii="Garamond" w:hAnsi="Garamond"/>
          <w:b/>
          <w:sz w:val="18"/>
          <w:szCs w:val="18"/>
          <w:highlight w:val="cyan"/>
          <w:lang w:val="it-IT"/>
        </w:rPr>
      </w:pPr>
      <w:r>
        <w:rPr>
          <w:rStyle w:val="FootnoteReference"/>
          <w:rFonts w:ascii="Garamond" w:hAnsi="Garamond"/>
          <w:sz w:val="18"/>
          <w:szCs w:val="18"/>
        </w:rPr>
        <w:footnoteRef/>
      </w:r>
      <w:r>
        <w:rPr>
          <w:rFonts w:ascii="Garamond" w:hAnsi="Garamond"/>
          <w:sz w:val="18"/>
          <w:szCs w:val="18"/>
          <w:lang w:val="sq-AL"/>
        </w:rPr>
        <w:t>Konventa për Integrimin Evropian, Vlerësime dhe Rekomandime 2015–2016, “Lëvizja Evropiane në Shqipëri “Gjyqësori dhe të drejtat themelore”, kapitulli 23, f. 27–29.</w:t>
      </w:r>
    </w:p>
  </w:footnote>
  <w:footnote w:id="12">
    <w:p w:rsidR="00493B51" w:rsidRDefault="00493B51" w:rsidP="00493B51">
      <w:pPr>
        <w:spacing w:after="0" w:line="240" w:lineRule="auto"/>
        <w:ind w:firstLine="0"/>
        <w:rPr>
          <w:rFonts w:ascii="Garamond" w:hAnsi="Garamond"/>
          <w:b/>
          <w:sz w:val="18"/>
          <w:szCs w:val="18"/>
          <w:highlight w:val="cyan"/>
          <w:lang w:val="it-IT"/>
        </w:rPr>
      </w:pPr>
      <w:r>
        <w:rPr>
          <w:rStyle w:val="FootnoteReference"/>
          <w:rFonts w:ascii="Garamond" w:hAnsi="Garamond"/>
          <w:sz w:val="18"/>
          <w:szCs w:val="18"/>
        </w:rPr>
        <w:footnoteRef/>
      </w:r>
      <w:r>
        <w:rPr>
          <w:rFonts w:ascii="Garamond" w:hAnsi="Garamond"/>
          <w:sz w:val="18"/>
          <w:szCs w:val="18"/>
          <w:lang w:val="sq-AL"/>
        </w:rPr>
        <w:t xml:space="preserve"> Konventa për Integrimin Evropian, Vlerësime dhe rekomandime 2015–2016, “Lëvizja Evropiane në Shqipëri “Gjyqësori dhe të drejtat themelore”, kapitulli 23, f. 27.</w:t>
      </w:r>
    </w:p>
  </w:footnote>
  <w:footnote w:id="13">
    <w:p w:rsidR="00493B51" w:rsidRDefault="00493B51" w:rsidP="00493B51">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rPr>
        <w:t xml:space="preserve"> Raporti “Me zërin e të miturve të privuar nga liria-vlerësimi i kushteve dhe trajtimit në institucionet e ndalimit, paraburgimit dhe burgimit”, Avokati i Popullit, observatori për të drejtat e fëmijëve, me mbështetjen e UNICEF-it, dhjetor 2016, f. 22.</w:t>
      </w:r>
    </w:p>
  </w:footnote>
  <w:footnote w:id="14">
    <w:p w:rsidR="00493B51" w:rsidRDefault="00493B51" w:rsidP="00493B51">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rPr>
        <w:t xml:space="preserve"> Raport “</w:t>
      </w:r>
      <w:r>
        <w:rPr>
          <w:rFonts w:ascii="Garamond" w:hAnsi="Garamond"/>
          <w:i/>
          <w:sz w:val="18"/>
          <w:szCs w:val="18"/>
        </w:rPr>
        <w:t>Mbi situatën e të drejtave të njeriut të personave të privuar nga liria në komisariatet e policisë së shtetit, në institucionet e paraburgimit dhe të ekzekutimit të vendimeve penale dhe në spitalet psikiatrike</w:t>
      </w:r>
      <w:r>
        <w:rPr>
          <w:rFonts w:ascii="Garamond" w:hAnsi="Garamond"/>
          <w:sz w:val="18"/>
          <w:szCs w:val="18"/>
        </w:rPr>
        <w:t>”, korrik 2015–janar 2016, Komiteti Shqiptar i Helsinkit.</w:t>
      </w:r>
    </w:p>
  </w:footnote>
  <w:footnote w:id="15">
    <w:p w:rsidR="00493B51" w:rsidRDefault="00493B51" w:rsidP="00493B51">
      <w:pPr>
        <w:spacing w:after="0" w:line="240" w:lineRule="auto"/>
        <w:ind w:firstLine="0"/>
        <w:rPr>
          <w:rFonts w:ascii="Garamond" w:hAnsi="Garamond"/>
          <w:b/>
          <w:sz w:val="18"/>
          <w:szCs w:val="18"/>
          <w:highlight w:val="cyan"/>
          <w:lang w:val="it-IT"/>
        </w:rPr>
      </w:pPr>
      <w:r>
        <w:rPr>
          <w:rStyle w:val="FootnoteReference"/>
          <w:rFonts w:ascii="Garamond" w:hAnsi="Garamond"/>
          <w:sz w:val="18"/>
          <w:szCs w:val="18"/>
        </w:rPr>
        <w:footnoteRef/>
      </w:r>
      <w:r>
        <w:rPr>
          <w:rFonts w:ascii="Garamond" w:hAnsi="Garamond"/>
          <w:sz w:val="18"/>
          <w:szCs w:val="18"/>
          <w:lang w:val="sq-AL"/>
        </w:rPr>
        <w:t xml:space="preserve"> Konventa për Integrimin Evropian, Vlerësime dhe Rekomandime 2015–2016, “Lëvizja Evropiane në Shqipëri ‘Gjyqësori dhe të drejtat themelore’”, kapitulli 23, f. 27–29.</w:t>
      </w:r>
    </w:p>
  </w:footnote>
  <w:footnote w:id="16">
    <w:p w:rsidR="00493B51" w:rsidRDefault="00493B51" w:rsidP="00493B51">
      <w:pPr>
        <w:spacing w:after="0" w:line="240" w:lineRule="auto"/>
        <w:ind w:firstLine="0"/>
        <w:jc w:val="left"/>
        <w:rPr>
          <w:rFonts w:ascii="Garamond" w:hAnsi="Garamond"/>
          <w:b/>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E disponueshme në adresën: </w:t>
      </w:r>
      <w:hyperlink r:id="rId4" w:history="1">
        <w:r>
          <w:rPr>
            <w:rStyle w:val="Hyperlink"/>
            <w:rFonts w:ascii="Garamond" w:hAnsi="Garamond"/>
            <w:sz w:val="18"/>
            <w:szCs w:val="18"/>
            <w:lang w:val="it-IT"/>
          </w:rPr>
          <w:t>https://www.crin.org/en/access-justice-children-global-ranking</w:t>
        </w:r>
      </w:hyperlink>
      <w:r>
        <w:rPr>
          <w:rFonts w:ascii="Garamond" w:hAnsi="Garamond"/>
          <w:sz w:val="18"/>
          <w:szCs w:val="18"/>
          <w:lang w:val="it-IT"/>
        </w:rPr>
        <w:t>, e aksesuar në dhjetor 2016.</w:t>
      </w:r>
    </w:p>
  </w:footnote>
  <w:footnote w:id="17">
    <w:p w:rsidR="00493B51" w:rsidRDefault="00493B51" w:rsidP="00493B51">
      <w:pPr>
        <w:pStyle w:val="FootnoteText"/>
        <w:ind w:firstLine="0"/>
        <w:jc w:val="left"/>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UNICEF-i, aksesi i barabartë i fëmijëve në drejtësi: Evropa Qendrore dhe Lindore dhe Azia Qendrore, e disponueshme në adresën: </w:t>
      </w:r>
      <w:hyperlink r:id="rId5" w:history="1">
        <w:r>
          <w:rPr>
            <w:rStyle w:val="Hyperlink"/>
            <w:rFonts w:ascii="Garamond" w:hAnsi="Garamond"/>
            <w:sz w:val="18"/>
            <w:szCs w:val="18"/>
            <w:lang w:val="it-IT"/>
          </w:rPr>
          <w:t>https://www.unicef.org/ceecis/Equitable_access_to_justice_for_children_in_Central_and_Eastern_Europe_and_Central_Asia_-_v2_1.pdf</w:t>
        </w:r>
      </w:hyperlink>
      <w:r>
        <w:rPr>
          <w:rStyle w:val="Hyperlink"/>
          <w:rFonts w:ascii="Garamond" w:hAnsi="Garamond"/>
          <w:sz w:val="18"/>
          <w:szCs w:val="18"/>
          <w:lang w:val="it-IT"/>
        </w:rPr>
        <w:t xml:space="preserve"> </w:t>
      </w:r>
      <w:r>
        <w:rPr>
          <w:rFonts w:ascii="Garamond" w:hAnsi="Garamond"/>
          <w:sz w:val="18"/>
          <w:szCs w:val="18"/>
          <w:lang w:val="it-IT"/>
        </w:rPr>
        <w:t>, December 2016.</w:t>
      </w:r>
    </w:p>
  </w:footnote>
  <w:footnote w:id="18">
    <w:p w:rsidR="00493B51" w:rsidRDefault="00493B51" w:rsidP="00493B51">
      <w:pPr>
        <w:pStyle w:val="FootnoteText"/>
        <w:ind w:firstLine="0"/>
        <w:rPr>
          <w:rFonts w:ascii="Garamond" w:hAnsi="Garamond"/>
          <w:sz w:val="18"/>
          <w:szCs w:val="18"/>
          <w:lang w:val="it-IT"/>
        </w:rPr>
      </w:pPr>
      <w:r>
        <w:rPr>
          <w:rStyle w:val="FootnoteReference"/>
          <w:rFonts w:ascii="Garamond" w:hAnsi="Garamond"/>
          <w:sz w:val="18"/>
          <w:szCs w:val="18"/>
        </w:rPr>
        <w:footnoteRef/>
      </w:r>
      <w:r>
        <w:rPr>
          <w:rFonts w:ascii="Garamond" w:hAnsi="Garamond"/>
          <w:sz w:val="18"/>
          <w:szCs w:val="18"/>
          <w:lang w:val="it-IT"/>
        </w:rPr>
        <w:t xml:space="preserve"> Raporti i progresit i BE-së për vitin 2016.</w:t>
      </w:r>
    </w:p>
  </w:footnote>
  <w:footnote w:id="19">
    <w:p w:rsidR="00493B51" w:rsidRDefault="00493B51" w:rsidP="00493B51">
      <w:pPr>
        <w:pStyle w:val="ListParagraph"/>
        <w:spacing w:after="0" w:line="240" w:lineRule="auto"/>
        <w:ind w:left="0"/>
        <w:rPr>
          <w:rFonts w:ascii="Garamond" w:hAnsi="Garamond"/>
          <w:color w:val="000000" w:themeColor="text1"/>
          <w:sz w:val="18"/>
          <w:szCs w:val="18"/>
          <w:lang w:val="sq-AL"/>
        </w:rPr>
      </w:pPr>
      <w:r>
        <w:rPr>
          <w:rStyle w:val="FootnoteReference"/>
          <w:rFonts w:ascii="Garamond" w:eastAsia="Calibri" w:hAnsi="Garamond"/>
          <w:color w:val="000000" w:themeColor="text1"/>
          <w:sz w:val="18"/>
          <w:szCs w:val="18"/>
        </w:rPr>
        <w:footnoteRef/>
      </w:r>
      <w:r>
        <w:rPr>
          <w:rFonts w:ascii="Garamond" w:hAnsi="Garamond"/>
          <w:color w:val="000000" w:themeColor="text1"/>
          <w:sz w:val="18"/>
          <w:szCs w:val="18"/>
        </w:rPr>
        <w:t xml:space="preserve"> Penal Reform International, </w:t>
      </w:r>
      <w:r>
        <w:rPr>
          <w:rFonts w:ascii="Garamond" w:hAnsi="Garamond"/>
          <w:i/>
          <w:color w:val="000000" w:themeColor="text1"/>
          <w:sz w:val="18"/>
          <w:szCs w:val="18"/>
        </w:rPr>
        <w:t>Protecting children’s rights in criminal justice systems</w:t>
      </w:r>
      <w:r>
        <w:rPr>
          <w:rFonts w:ascii="Garamond" w:hAnsi="Garamond"/>
          <w:color w:val="000000" w:themeColor="text1"/>
          <w:sz w:val="18"/>
          <w:szCs w:val="18"/>
        </w:rPr>
        <w:t xml:space="preserve">, Chapter 2, e mundshme në: </w:t>
      </w:r>
      <w:hyperlink r:id="rId6" w:history="1">
        <w:r>
          <w:rPr>
            <w:rStyle w:val="Hyperlink"/>
            <w:rFonts w:ascii="Garamond" w:eastAsia="MS Mincho" w:hAnsi="Garamond"/>
            <w:color w:val="000000" w:themeColor="text1"/>
            <w:sz w:val="18"/>
            <w:szCs w:val="18"/>
            <w:lang w:val="sq-AL"/>
          </w:rPr>
          <w:t>https://www.penalreform.org/wp-content/uploads/2013/11/Childrens-rights-training-manual-Final%C2%ADHR.pdf</w:t>
        </w:r>
      </w:hyperlink>
      <w:r>
        <w:rPr>
          <w:rFonts w:ascii="Garamond" w:hAnsi="Garamond"/>
          <w:color w:val="000000" w:themeColor="text1"/>
          <w:sz w:val="18"/>
          <w:szCs w:val="18"/>
          <w:lang w:val="sq-AL"/>
        </w:rPr>
        <w:t>, aksesuar në dhjetor 2016.</w:t>
      </w:r>
    </w:p>
  </w:footnote>
  <w:footnote w:id="20">
    <w:p w:rsidR="00493B51" w:rsidRDefault="00493B51" w:rsidP="00493B51">
      <w:pPr>
        <w:pStyle w:val="FootnoteText"/>
        <w:ind w:firstLine="0"/>
        <w:jc w:val="left"/>
        <w:rPr>
          <w:rFonts w:ascii="Garamond" w:hAnsi="Garamond"/>
          <w:color w:val="000000" w:themeColor="text1"/>
          <w:sz w:val="18"/>
          <w:szCs w:val="18"/>
        </w:rPr>
      </w:pPr>
      <w:r>
        <w:rPr>
          <w:rStyle w:val="FootnoteReference"/>
          <w:rFonts w:ascii="Garamond" w:hAnsi="Garamond"/>
          <w:color w:val="000000" w:themeColor="text1"/>
          <w:sz w:val="18"/>
          <w:szCs w:val="18"/>
        </w:rPr>
        <w:footnoteRef/>
      </w:r>
      <w:r>
        <w:rPr>
          <w:rFonts w:ascii="Garamond" w:hAnsi="Garamond"/>
          <w:color w:val="000000" w:themeColor="text1"/>
          <w:sz w:val="18"/>
          <w:szCs w:val="18"/>
        </w:rPr>
        <w:t xml:space="preserve"> The Committee on the Rights of the Child’s General Comment No. 10, gjendet në: </w:t>
      </w:r>
      <w:hyperlink r:id="rId7" w:history="1">
        <w:r>
          <w:rPr>
            <w:rStyle w:val="Hyperlink"/>
            <w:rFonts w:ascii="Garamond" w:hAnsi="Garamond"/>
            <w:color w:val="000000" w:themeColor="text1"/>
            <w:sz w:val="18"/>
            <w:szCs w:val="18"/>
          </w:rPr>
          <w:t>http://www.2.ohchr.org/english/bodies/crc/docs/CRC.C.GC.10.pdf</w:t>
        </w:r>
      </w:hyperlink>
      <w:r>
        <w:rPr>
          <w:rFonts w:ascii="Garamond" w:hAnsi="Garamond"/>
          <w:color w:val="000000" w:themeColor="text1"/>
          <w:sz w:val="18"/>
          <w:szCs w:val="18"/>
        </w:rPr>
        <w:t>, aksesuar në dhjetor 2016.</w:t>
      </w:r>
    </w:p>
  </w:footnote>
  <w:footnote w:id="21">
    <w:p w:rsidR="00493B51" w:rsidRDefault="00493B51" w:rsidP="00493B51">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Për të dhëna të detajuara shih aneksin 2 dhe shtojcën në </w:t>
      </w:r>
      <w:r>
        <w:rPr>
          <w:rFonts w:ascii="Garamond" w:hAnsi="Garamond"/>
          <w:i/>
          <w:sz w:val="18"/>
          <w:szCs w:val="18"/>
        </w:rPr>
        <w:t>Excel</w:t>
      </w:r>
      <w:r>
        <w:rPr>
          <w:rFonts w:ascii="Garamond" w:hAnsi="Garamond"/>
          <w:sz w:val="18"/>
          <w:szCs w:val="18"/>
        </w:rPr>
        <w:t>.</w:t>
      </w:r>
    </w:p>
  </w:footnote>
  <w:footnote w:id="22">
    <w:p w:rsidR="00493B51" w:rsidRDefault="00493B51" w:rsidP="00493B51">
      <w:pPr>
        <w:pStyle w:val="FootnoteText"/>
        <w:ind w:firstLine="0"/>
        <w:rPr>
          <w:rFonts w:ascii="Garamond" w:hAnsi="Garamond"/>
          <w:sz w:val="18"/>
          <w:szCs w:val="18"/>
        </w:rPr>
      </w:pPr>
      <w:r>
        <w:rPr>
          <w:rStyle w:val="FootnoteReference"/>
          <w:rFonts w:ascii="Garamond" w:hAnsi="Garamond"/>
          <w:sz w:val="18"/>
          <w:szCs w:val="18"/>
        </w:rPr>
        <w:footnoteRef/>
      </w:r>
      <w:r>
        <w:rPr>
          <w:rFonts w:ascii="Garamond" w:hAnsi="Garamond"/>
          <w:sz w:val="18"/>
          <w:szCs w:val="18"/>
        </w:rPr>
        <w:t xml:space="preserve"> Kursi i këmbimit 1 euro = 137.3 lekë.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B9B4318"/>
    <w:multiLevelType w:val="hybridMultilevel"/>
    <w:tmpl w:val="B48A9D88"/>
    <w:lvl w:ilvl="0" w:tplc="16AE9668">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lvlOverride w:ilvl="2"/>
    <w:lvlOverride w:ilvl="3"/>
    <w:lvlOverride w:ilvl="4"/>
    <w:lvlOverride w:ilvl="5"/>
    <w:lvlOverride w:ilvl="6"/>
    <w:lvlOverride w:ilvl="7"/>
    <w:lvlOverride w:ilvl="8"/>
  </w:num>
  <w:num w:numId="19">
    <w:abstractNumId w:val="12"/>
  </w:num>
  <w:num w:numId="20">
    <w:abstractNumId w:val="15"/>
  </w:num>
  <w:num w:numId="21">
    <w:abstractNumId w:val="17"/>
  </w:num>
  <w:num w:numId="22">
    <w:abstractNumId w:val="19"/>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E86"/>
    <w:rsid w:val="00493B51"/>
    <w:rsid w:val="00711337"/>
    <w:rsid w:val="00AC0E86"/>
    <w:rsid w:val="00FF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65AD0-FAC6-4D6C-BB77-699A5809F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B5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493B51"/>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493B51"/>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493B51"/>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493B51"/>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493B51"/>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493B51"/>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493B51"/>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493B51"/>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93B5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493B5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493B5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493B5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493B5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493B5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493B5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493B5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493B5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93B5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493B51"/>
    <w:rPr>
      <w:color w:val="0000FF"/>
      <w:u w:val="single"/>
    </w:rPr>
  </w:style>
  <w:style w:type="character" w:styleId="FollowedHyperlink">
    <w:name w:val="FollowedHyperlink"/>
    <w:uiPriority w:val="99"/>
    <w:semiHidden/>
    <w:unhideWhenUsed/>
    <w:rsid w:val="00493B51"/>
    <w:rPr>
      <w:color w:val="800080"/>
      <w:u w:val="single"/>
    </w:rPr>
  </w:style>
  <w:style w:type="paragraph" w:styleId="HTMLAddress">
    <w:name w:val="HTML Address"/>
    <w:basedOn w:val="Normal"/>
    <w:link w:val="HTMLAddressChar"/>
    <w:semiHidden/>
    <w:unhideWhenUsed/>
    <w:rsid w:val="00493B5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493B51"/>
    <w:rPr>
      <w:rFonts w:ascii="Tahoma" w:eastAsia="Times New Roman" w:hAnsi="Tahoma" w:cs="Times New Roman"/>
      <w:i/>
      <w:iCs/>
      <w:lang w:val="de-AT" w:eastAsia="de-DE"/>
    </w:rPr>
  </w:style>
  <w:style w:type="character" w:styleId="HTMLCode">
    <w:name w:val="HTML Code"/>
    <w:semiHidden/>
    <w:unhideWhenUsed/>
    <w:rsid w:val="00493B5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493B5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493B5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493B5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493B51"/>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493B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493B51"/>
    <w:rPr>
      <w:rFonts w:ascii="Courier New" w:eastAsia="Times New Roman" w:hAnsi="Courier New" w:cs="Times New Roman"/>
      <w:sz w:val="20"/>
      <w:lang w:val="de-AT" w:eastAsia="de-DE"/>
    </w:rPr>
  </w:style>
  <w:style w:type="character" w:styleId="HTMLSample">
    <w:name w:val="HTML Sample"/>
    <w:semiHidden/>
    <w:unhideWhenUsed/>
    <w:rsid w:val="00493B51"/>
    <w:rPr>
      <w:rFonts w:ascii="Courier New" w:eastAsia="Times New Roman" w:hAnsi="Courier New" w:cs="Courier New" w:hint="default"/>
    </w:rPr>
  </w:style>
  <w:style w:type="character" w:styleId="HTMLTypewriter">
    <w:name w:val="HTML Typewriter"/>
    <w:semiHidden/>
    <w:unhideWhenUsed/>
    <w:rsid w:val="00493B5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493B51"/>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493B5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493B51"/>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493B51"/>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493B51"/>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493B51"/>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493B5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493B5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493B5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493B51"/>
    <w:rPr>
      <w:b/>
      <w:bCs/>
      <w:lang w:val="en-AU" w:eastAsia="en-US" w:bidi="ar-SA"/>
    </w:rPr>
  </w:style>
  <w:style w:type="character" w:customStyle="1" w:styleId="HeaderChar">
    <w:name w:val="Header Char"/>
    <w:basedOn w:val="DefaultParagraphFont"/>
    <w:link w:val="Header"/>
    <w:uiPriority w:val="99"/>
    <w:semiHidden/>
    <w:locked/>
    <w:rsid w:val="00493B51"/>
    <w:rPr>
      <w:rFonts w:ascii="Calibri" w:eastAsia="Calibri" w:hAnsi="Calibri" w:cs="Times New Roman"/>
    </w:rPr>
  </w:style>
  <w:style w:type="character" w:customStyle="1" w:styleId="FooterChar">
    <w:name w:val="Footer Char"/>
    <w:basedOn w:val="DefaultParagraphFont"/>
    <w:link w:val="Footer"/>
    <w:uiPriority w:val="99"/>
    <w:semiHidden/>
    <w:locked/>
    <w:rsid w:val="00493B51"/>
    <w:rPr>
      <w:rFonts w:ascii="Calibri" w:eastAsia="Calibri" w:hAnsi="Calibri" w:cs="Times New Roman"/>
    </w:rPr>
  </w:style>
  <w:style w:type="paragraph" w:styleId="Index1">
    <w:name w:val="index 1"/>
    <w:basedOn w:val="Normal"/>
    <w:next w:val="Normal"/>
    <w:autoRedefine/>
    <w:semiHidden/>
    <w:unhideWhenUsed/>
    <w:rsid w:val="00493B51"/>
    <w:pPr>
      <w:spacing w:after="0" w:line="240" w:lineRule="auto"/>
      <w:ind w:left="220" w:hanging="220"/>
    </w:pPr>
  </w:style>
  <w:style w:type="character" w:customStyle="1" w:styleId="CaptionChar">
    <w:name w:val="Caption Char"/>
    <w:link w:val="Caption"/>
    <w:semiHidden/>
    <w:locked/>
    <w:rsid w:val="00493B51"/>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493B51"/>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493B5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493B5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493B5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493B5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493B5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493B51"/>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493B5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493B51"/>
    <w:rPr>
      <w:rFonts w:ascii="Calibri" w:eastAsia="Calibri" w:hAnsi="Calibri" w:cs="Times New Roman"/>
    </w:rPr>
  </w:style>
  <w:style w:type="character" w:customStyle="1" w:styleId="MessageHeaderChar">
    <w:name w:val="Message Header Char"/>
    <w:basedOn w:val="DefaultParagraphFont"/>
    <w:link w:val="MessageHeader"/>
    <w:semiHidden/>
    <w:locked/>
    <w:rsid w:val="00493B5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493B5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493B5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493B51"/>
    <w:rPr>
      <w:rFonts w:ascii="Tahoma" w:eastAsia="Times New Roman" w:hAnsi="Tahoma" w:cs="Times New Roman"/>
      <w:lang w:val="de-AT" w:eastAsia="de-DE"/>
    </w:rPr>
  </w:style>
  <w:style w:type="paragraph" w:styleId="BodyText">
    <w:name w:val="Body Text"/>
    <w:basedOn w:val="Normal"/>
    <w:link w:val="BodyTextChar"/>
    <w:semiHidden/>
    <w:unhideWhenUsed/>
    <w:qFormat/>
    <w:rsid w:val="00493B5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493B5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493B5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493B51"/>
    <w:pPr>
      <w:spacing w:after="120"/>
      <w:ind w:left="360"/>
    </w:pPr>
  </w:style>
  <w:style w:type="character" w:customStyle="1" w:styleId="BodyTextIndentChar1">
    <w:name w:val="Body Text Indent Char1"/>
    <w:basedOn w:val="DefaultParagraphFont"/>
    <w:semiHidden/>
    <w:rsid w:val="00493B5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493B5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493B5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493B51"/>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493B5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493B5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493B5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493B51"/>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493B5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493B51"/>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493B5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493B5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Dot pt Char,F5 List Paragraph Char,List Paragraph Char Char Char Char,Indicator Text Char"/>
    <w:link w:val="ListParagraph"/>
    <w:uiPriority w:val="34"/>
    <w:locked/>
    <w:rsid w:val="00493B51"/>
    <w:rPr>
      <w:rFonts w:ascii="Calibri" w:eastAsia="Times New Roman" w:hAnsi="Calibri" w:cs="Times New Roman"/>
    </w:rPr>
  </w:style>
  <w:style w:type="paragraph" w:styleId="ListParagraph">
    <w:name w:val="List Paragraph"/>
    <w:aliases w:val="List Paragraph2,List Paragraph (numbered (a)),Normal 1,List Paragraph 1,Akapit z listą BS,Bullets,Bullet1,Dot pt,F5 List Paragraph,List Paragraph Char Char Char,Indicator Text,Numbered Para 1,Bullet 1,Bullet Points,MAIN CONTENT"/>
    <w:basedOn w:val="Normal"/>
    <w:link w:val="ListParagraphChar"/>
    <w:uiPriority w:val="34"/>
    <w:qFormat/>
    <w:rsid w:val="00493B51"/>
    <w:pPr>
      <w:ind w:left="720" w:firstLine="0"/>
      <w:contextualSpacing/>
      <w:jc w:val="left"/>
    </w:pPr>
    <w:rPr>
      <w:rFonts w:eastAsia="Times New Roman"/>
    </w:rPr>
  </w:style>
  <w:style w:type="character" w:customStyle="1" w:styleId="AktiChar">
    <w:name w:val="Akti Char"/>
    <w:basedOn w:val="DefaultParagraphFont"/>
    <w:link w:val="Akti"/>
    <w:locked/>
    <w:rsid w:val="00493B51"/>
    <w:rPr>
      <w:rFonts w:ascii="Garamond" w:eastAsia="MS Mincho" w:hAnsi="Garamond" w:cs="CG Times"/>
      <w:b/>
      <w:bCs/>
      <w:caps/>
      <w:color w:val="000000"/>
      <w:sz w:val="24"/>
      <w:lang w:val="en-GB"/>
    </w:rPr>
  </w:style>
  <w:style w:type="paragraph" w:customStyle="1" w:styleId="Akti">
    <w:name w:val="Akti"/>
    <w:link w:val="AktiChar"/>
    <w:qFormat/>
    <w:rsid w:val="00493B5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493B51"/>
    <w:rPr>
      <w:rFonts w:ascii="Garamond" w:eastAsia="MS Mincho" w:hAnsi="Garamond" w:cs="CG Times"/>
      <w:b/>
      <w:bCs/>
      <w:sz w:val="24"/>
      <w:lang w:val="en-GB"/>
    </w:rPr>
  </w:style>
  <w:style w:type="paragraph" w:customStyle="1" w:styleId="NumriData">
    <w:name w:val="Numri_Data"/>
    <w:next w:val="Normal"/>
    <w:link w:val="NumriDataChar"/>
    <w:qFormat/>
    <w:rsid w:val="00493B5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uiPriority w:val="99"/>
    <w:locked/>
    <w:rsid w:val="00493B51"/>
    <w:rPr>
      <w:rFonts w:ascii="Garamond" w:eastAsia="MS Mincho" w:hAnsi="Garamond" w:cs="CG Times"/>
      <w:sz w:val="24"/>
    </w:rPr>
  </w:style>
  <w:style w:type="paragraph" w:customStyle="1" w:styleId="Paragrafi">
    <w:name w:val="Paragrafi"/>
    <w:link w:val="ParagrafiChar"/>
    <w:uiPriority w:val="99"/>
    <w:qFormat/>
    <w:rsid w:val="00493B5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493B51"/>
    <w:rPr>
      <w:rFonts w:ascii="Garamond" w:eastAsia="MS Mincho" w:hAnsi="Garamond" w:cs="CG Times"/>
      <w:b/>
      <w:bCs/>
      <w:caps/>
      <w:sz w:val="24"/>
      <w:lang w:val="en-GB"/>
    </w:rPr>
  </w:style>
  <w:style w:type="paragraph" w:customStyle="1" w:styleId="Titulli">
    <w:name w:val="Titulli"/>
    <w:next w:val="Normal"/>
    <w:link w:val="TitulliChar"/>
    <w:uiPriority w:val="99"/>
    <w:qFormat/>
    <w:rsid w:val="00493B5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493B51"/>
    <w:rPr>
      <w:rFonts w:ascii="Garamond" w:eastAsia="MS Mincho" w:hAnsi="Garamond" w:cs="CG Times"/>
      <w:sz w:val="24"/>
      <w:lang w:val="en-GB"/>
    </w:rPr>
  </w:style>
  <w:style w:type="paragraph" w:customStyle="1" w:styleId="NeniNr">
    <w:name w:val="Neni_Nr"/>
    <w:next w:val="Normal"/>
    <w:link w:val="NeniNrChar"/>
    <w:qFormat/>
    <w:rsid w:val="00493B5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493B51"/>
    <w:rPr>
      <w:rFonts w:ascii="Garamond" w:eastAsia="MS Mincho" w:hAnsi="Garamond" w:cs="CG Times"/>
      <w:b/>
      <w:bCs/>
      <w:sz w:val="24"/>
      <w:lang w:val="en-GB"/>
    </w:rPr>
  </w:style>
  <w:style w:type="paragraph" w:customStyle="1" w:styleId="NeniTitull">
    <w:name w:val="Neni_Titull"/>
    <w:next w:val="Normal"/>
    <w:link w:val="NeniTitullChar"/>
    <w:qFormat/>
    <w:rsid w:val="00493B5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493B51"/>
    <w:rPr>
      <w:rFonts w:ascii="Garamond" w:eastAsia="MS Mincho" w:hAnsi="Garamond" w:cs="CG Times"/>
      <w:caps/>
      <w:sz w:val="24"/>
      <w:lang w:val="en-GB"/>
    </w:rPr>
  </w:style>
  <w:style w:type="paragraph" w:customStyle="1" w:styleId="Autoriteti">
    <w:name w:val="Autoriteti"/>
    <w:next w:val="Normal"/>
    <w:link w:val="AutoritetiChar"/>
    <w:qFormat/>
    <w:rsid w:val="00493B5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493B5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493B5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493B51"/>
    <w:pPr>
      <w:ind w:firstLine="0"/>
      <w:jc w:val="center"/>
    </w:pPr>
    <w:rPr>
      <w:caps/>
      <w:szCs w:val="24"/>
    </w:rPr>
  </w:style>
  <w:style w:type="paragraph" w:customStyle="1" w:styleId="Vendosi">
    <w:name w:val="Vendosi"/>
    <w:basedOn w:val="Titull-Titull"/>
    <w:uiPriority w:val="99"/>
    <w:qFormat/>
    <w:rsid w:val="00493B51"/>
  </w:style>
  <w:style w:type="paragraph" w:customStyle="1" w:styleId="Hapesira7">
    <w:name w:val="Hapesira 7"/>
    <w:basedOn w:val="Paragrafi"/>
    <w:uiPriority w:val="99"/>
    <w:qFormat/>
    <w:rsid w:val="00493B51"/>
    <w:rPr>
      <w:sz w:val="14"/>
      <w:szCs w:val="24"/>
    </w:rPr>
  </w:style>
  <w:style w:type="character" w:customStyle="1" w:styleId="Style1Char">
    <w:name w:val="Style1 Char"/>
    <w:link w:val="Style1"/>
    <w:locked/>
    <w:rsid w:val="00493B51"/>
    <w:rPr>
      <w:rFonts w:ascii="CG Times" w:eastAsia="MS Mincho" w:hAnsi="CG Times" w:cs="CG Times"/>
      <w:b/>
      <w:bCs/>
      <w:caps/>
      <w:color w:val="000000"/>
      <w:sz w:val="21"/>
      <w:lang w:val="en-GB"/>
    </w:rPr>
  </w:style>
  <w:style w:type="paragraph" w:customStyle="1" w:styleId="Style1">
    <w:name w:val="Style1"/>
    <w:basedOn w:val="Akti"/>
    <w:link w:val="Style1Char"/>
    <w:qFormat/>
    <w:rsid w:val="00493B51"/>
    <w:rPr>
      <w:rFonts w:ascii="CG Times" w:hAnsi="CG Times"/>
      <w:sz w:val="21"/>
    </w:rPr>
  </w:style>
  <w:style w:type="paragraph" w:customStyle="1" w:styleId="ADDRESS">
    <w:name w:val="ADDRESS"/>
    <w:basedOn w:val="Normal"/>
    <w:uiPriority w:val="99"/>
    <w:qFormat/>
    <w:rsid w:val="00493B5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493B5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493B5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493B5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493B5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493B5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493B5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493B5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493B5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493B5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493B5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493B5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493B5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493B5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493B5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493B5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493B5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493B5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493B5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493B5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493B5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493B5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493B5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493B5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493B5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493B5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493B5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493B5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493B5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493B5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493B5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493B5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493B5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493B5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493B5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493B5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493B5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493B51"/>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493B5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493B5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493B5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493B5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493B5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493B5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493B5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493B5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493B5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493B5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493B5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493B5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493B5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493B5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493B5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493B5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493B5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493B5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493B5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493B5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493B5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493B5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493B5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493B5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493B5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493B5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493B5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493B5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493B5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493B5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493B5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493B5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493B5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493B5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493B5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493B5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493B5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493B5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493B5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493B5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493B5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493B5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493B5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493B5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493B5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493B5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493B5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493B5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493B51"/>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493B51"/>
    <w:rPr>
      <w:rFonts w:ascii="Times New Roman" w:eastAsia="Calibri" w:hAnsi="Times New Roman" w:cs="Times New Roman"/>
      <w:color w:val="000000"/>
      <w:sz w:val="24"/>
      <w:szCs w:val="24"/>
    </w:rPr>
  </w:style>
  <w:style w:type="paragraph" w:customStyle="1" w:styleId="Default">
    <w:name w:val="Default"/>
    <w:link w:val="DefaultChar"/>
    <w:qFormat/>
    <w:rsid w:val="00493B5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493B5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493B51"/>
    <w:rPr>
      <w:sz w:val="24"/>
      <w:lang w:val="en-GB" w:eastAsia="fr-FR"/>
    </w:rPr>
  </w:style>
  <w:style w:type="paragraph" w:customStyle="1" w:styleId="JuPara">
    <w:name w:val="Ju_Para"/>
    <w:aliases w:val="Left,First line:  0 cm,ECHR_Para,Para"/>
    <w:basedOn w:val="Normal"/>
    <w:link w:val="JuParaCar"/>
    <w:qFormat/>
    <w:rsid w:val="00493B51"/>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493B51"/>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493B5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493B5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493B5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493B5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493B5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493B5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493B5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493B5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493B5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character" w:customStyle="1" w:styleId="NormalChar">
    <w:name w:val="[Normal] Char"/>
    <w:basedOn w:val="DefaultParagraphFont"/>
    <w:link w:val="Normal0"/>
    <w:locked/>
    <w:rsid w:val="00493B51"/>
    <w:rPr>
      <w:rFonts w:ascii="Arial" w:eastAsia="MS Mincho" w:hAnsi="Arial" w:cs="Arial"/>
      <w:sz w:val="24"/>
      <w:szCs w:val="24"/>
    </w:rPr>
  </w:style>
  <w:style w:type="paragraph" w:customStyle="1" w:styleId="Normal0">
    <w:name w:val="[Normal]"/>
    <w:link w:val="NormalChar"/>
    <w:qFormat/>
    <w:rsid w:val="00493B5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493B5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493B5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493B51"/>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493B5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493B51"/>
    <w:rPr>
      <w:b w:val="0"/>
    </w:rPr>
  </w:style>
  <w:style w:type="paragraph" w:customStyle="1" w:styleId="StyleStyle1Bold">
    <w:name w:val="Style Style1 + Bold"/>
    <w:basedOn w:val="Style1"/>
    <w:uiPriority w:val="99"/>
    <w:qFormat/>
    <w:rsid w:val="00493B5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493B51"/>
    <w:rPr>
      <w:rFonts w:ascii="EUAlbertina" w:hAnsi="EUAlbertina"/>
      <w:color w:val="auto"/>
    </w:rPr>
  </w:style>
  <w:style w:type="paragraph" w:customStyle="1" w:styleId="CM4">
    <w:name w:val="CM4"/>
    <w:basedOn w:val="Normal"/>
    <w:next w:val="Normal"/>
    <w:uiPriority w:val="99"/>
    <w:qFormat/>
    <w:rsid w:val="00493B5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493B5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493B5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493B5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493B5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493B5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493B5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493B5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493B5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493B5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493B51"/>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493B5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493B51"/>
  </w:style>
  <w:style w:type="paragraph" w:customStyle="1" w:styleId="Point0">
    <w:name w:val="Point 0"/>
    <w:basedOn w:val="Normal"/>
    <w:uiPriority w:val="99"/>
    <w:qFormat/>
    <w:rsid w:val="00493B5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493B5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493B51"/>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493B51"/>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493B51"/>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493B51"/>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493B5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493B5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493B5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493B5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493B5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493B5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493B5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493B5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493B5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493B51"/>
    <w:rPr>
      <w:rFonts w:ascii="CG Times" w:eastAsia="Times New Roman" w:hAnsi="CG Times" w:cs="Times New Roman"/>
      <w:b/>
      <w:szCs w:val="24"/>
    </w:rPr>
  </w:style>
  <w:style w:type="paragraph" w:customStyle="1" w:styleId="ParagrafiCharCharChar">
    <w:name w:val="Paragrafi Char Char Char"/>
    <w:link w:val="ParagrafiCharCharCharChar"/>
    <w:qFormat/>
    <w:rsid w:val="00493B5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493B5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493B5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493B5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493B5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493B5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493B5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493B5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493B5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493B5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493B5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493B5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493B5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493B5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493B5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493B5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493B5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493B5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493B51"/>
    <w:pPr>
      <w:tabs>
        <w:tab w:val="left" w:pos="6575"/>
      </w:tabs>
    </w:pPr>
    <w:rPr>
      <w:spacing w:val="-4"/>
    </w:rPr>
  </w:style>
  <w:style w:type="paragraph" w:customStyle="1" w:styleId="Cover1">
    <w:name w:val="Cover1"/>
    <w:basedOn w:val="Normal"/>
    <w:next w:val="Normal"/>
    <w:uiPriority w:val="99"/>
    <w:qFormat/>
    <w:rsid w:val="00493B5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493B5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493B5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493B5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493B5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493B5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493B5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493B5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493B5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493B5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493B5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493B5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493B5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493B5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93B5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493B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493B51"/>
    <w:rPr>
      <w:vertAlign w:val="superscript"/>
    </w:rPr>
  </w:style>
  <w:style w:type="paragraph" w:customStyle="1" w:styleId="Char2">
    <w:name w:val="Char2"/>
    <w:basedOn w:val="Normal"/>
    <w:link w:val="FootnoteReference"/>
    <w:uiPriority w:val="99"/>
    <w:qFormat/>
    <w:rsid w:val="00493B5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493B51"/>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493B5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493B51"/>
    <w:rPr>
      <w:sz w:val="24"/>
    </w:rPr>
  </w:style>
  <w:style w:type="paragraph" w:customStyle="1" w:styleId="xl160">
    <w:name w:val="xl160"/>
    <w:basedOn w:val="Normal"/>
    <w:uiPriority w:val="99"/>
    <w:qFormat/>
    <w:rsid w:val="00493B5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493B5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493B5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493B5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493B5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493B5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493B5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493B5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493B5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493B5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493B5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493B5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493B5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493B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493B5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493B5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493B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493B5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493B5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493B5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493B5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493B5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493B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493B5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493B5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493B5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493B5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493B5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493B5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493B5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493B5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493B5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493B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493B5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493B5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493B5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493B5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493B5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493B5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493B5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493B5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493B5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493B5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493B5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493B5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493B5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493B5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493B5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493B5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493B5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493B5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493B5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493B5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493B5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493B5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493B5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493B5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493B5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493B5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493B5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493B5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493B5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493B5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493B5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493B5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493B5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493B5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493B5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493B5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493B5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493B5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493B5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493B5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493B5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493B5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493B5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493B5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493B5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493B5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493B5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493B5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493B5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493B5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493B5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493B5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493B5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493B5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493B5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493B5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493B5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493B5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493B5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493B5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493B5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493B5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493B5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493B5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493B5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493B5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493B5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493B5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493B5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493B5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493B5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493B5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493B5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493B5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493B5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493B5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493B5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493B5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493B5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493B5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493B5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493B5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493B5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493B5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493B5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493B5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493B5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493B5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493B5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493B5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493B5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493B5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493B5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493B5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493B5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493B5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493B5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493B5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493B5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493B5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493B5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493B5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493B5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493B5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493B5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493B5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493B5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493B5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493B5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493B5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493B5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493B5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493B5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493B5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493B5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493B5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493B5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493B5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493B5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493B5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493B5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493B5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493B5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493B5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493B5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493B5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493B5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493B5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493B5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493B5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493B5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493B5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493B5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493B5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493B5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493B5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493B5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493B5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493B5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493B5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493B5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493B5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493B5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493B5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493B5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493B5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493B5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493B5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493B5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493B5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493B5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493B5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493B5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493B5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493B5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493B5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493B5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493B5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493B5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493B5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493B5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493B5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493B5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493B5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493B5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493B5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493B5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493B5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493B5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493B5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493B5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493B5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493B5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493B51"/>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493B51"/>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493B51"/>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493B51"/>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493B51"/>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493B51"/>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493B51"/>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493B51"/>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493B51"/>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493B5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493B5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493B5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493B5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493B5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493B5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493B5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493B5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493B5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493B51"/>
    <w:pPr>
      <w:spacing w:before="0"/>
    </w:pPr>
  </w:style>
  <w:style w:type="paragraph" w:customStyle="1" w:styleId="Definition1a">
    <w:name w:val="Definition 1a"/>
    <w:basedOn w:val="Definition"/>
    <w:next w:val="Definition1b"/>
    <w:uiPriority w:val="99"/>
    <w:qFormat/>
    <w:rsid w:val="00493B51"/>
    <w:pPr>
      <w:keepNext/>
    </w:pPr>
  </w:style>
  <w:style w:type="character" w:customStyle="1" w:styleId="Paragraph1Char">
    <w:name w:val="Paragraph (1) Char"/>
    <w:link w:val="Paragraph1"/>
    <w:locked/>
    <w:rsid w:val="00493B5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493B5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493B5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493B5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493B51"/>
    <w:pPr>
      <w:tabs>
        <w:tab w:val="clear" w:pos="2835"/>
      </w:tabs>
      <w:ind w:firstLine="0"/>
    </w:pPr>
  </w:style>
  <w:style w:type="paragraph" w:customStyle="1" w:styleId="Definition3">
    <w:name w:val="Definition 3"/>
    <w:basedOn w:val="Definition2"/>
    <w:uiPriority w:val="99"/>
    <w:qFormat/>
    <w:rsid w:val="00493B51"/>
    <w:pPr>
      <w:tabs>
        <w:tab w:val="clear" w:pos="3402"/>
      </w:tabs>
      <w:ind w:left="3402"/>
    </w:pPr>
  </w:style>
  <w:style w:type="paragraph" w:customStyle="1" w:styleId="Definition4">
    <w:name w:val="Definition 4"/>
    <w:basedOn w:val="Definition3"/>
    <w:uiPriority w:val="99"/>
    <w:qFormat/>
    <w:rsid w:val="00493B51"/>
    <w:pPr>
      <w:tabs>
        <w:tab w:val="clear" w:pos="3969"/>
      </w:tabs>
      <w:ind w:left="3969"/>
    </w:pPr>
  </w:style>
  <w:style w:type="paragraph" w:customStyle="1" w:styleId="Paragraphi">
    <w:name w:val="Paragraph (i)"/>
    <w:basedOn w:val="Normal"/>
    <w:uiPriority w:val="99"/>
    <w:qFormat/>
    <w:rsid w:val="00493B5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493B5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493B5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493B5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493B5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493B5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493B5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493B5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493B5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493B51"/>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493B51"/>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493B5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493B51"/>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493B5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493B5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493B51"/>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493B51"/>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493B51"/>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493B51"/>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493B51"/>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493B5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493B5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493B51"/>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493B51"/>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493B5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493B51"/>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493B51"/>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493B51"/>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493B51"/>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493B5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493B51"/>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493B51"/>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493B51"/>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34"/>
    <w:qFormat/>
    <w:rsid w:val="00493B51"/>
    <w:pPr>
      <w:ind w:left="720" w:firstLine="0"/>
      <w:contextualSpacing/>
      <w:jc w:val="left"/>
    </w:pPr>
    <w:rPr>
      <w:rFonts w:eastAsia="Times New Roman" w:hAnsi="Times New Roman"/>
      <w:lang w:val="sq-AL"/>
    </w:rPr>
  </w:style>
  <w:style w:type="paragraph" w:customStyle="1" w:styleId="Body">
    <w:name w:val="Body"/>
    <w:uiPriority w:val="99"/>
    <w:qFormat/>
    <w:rsid w:val="00493B51"/>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493B51"/>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493B51"/>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493B51"/>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493B51"/>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493B51"/>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493B51"/>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493B51"/>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493B51"/>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493B51"/>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493B51"/>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493B51"/>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493B51"/>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493B51"/>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493B51"/>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493B51"/>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493B51"/>
    <w:rPr>
      <w:spacing w:val="10"/>
      <w:sz w:val="15"/>
      <w:szCs w:val="15"/>
      <w:shd w:val="clear" w:color="auto" w:fill="FFFFFF"/>
    </w:rPr>
  </w:style>
  <w:style w:type="paragraph" w:customStyle="1" w:styleId="Bodytext350">
    <w:name w:val="Body text (35)"/>
    <w:basedOn w:val="Normal"/>
    <w:link w:val="Bodytext35"/>
    <w:qFormat/>
    <w:rsid w:val="00493B51"/>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493B51"/>
    <w:rPr>
      <w:sz w:val="18"/>
      <w:szCs w:val="18"/>
      <w:shd w:val="clear" w:color="auto" w:fill="FFFFFF"/>
    </w:rPr>
  </w:style>
  <w:style w:type="paragraph" w:customStyle="1" w:styleId="Bodytext370">
    <w:name w:val="Body text (37)"/>
    <w:basedOn w:val="Normal"/>
    <w:link w:val="Bodytext37"/>
    <w:qFormat/>
    <w:rsid w:val="00493B51"/>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493B51"/>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493B51"/>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493B51"/>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493B51"/>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493B51"/>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493B51"/>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493B51"/>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493B51"/>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493B51"/>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493B51"/>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493B51"/>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493B51"/>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493B51"/>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493B51"/>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493B51"/>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493B51"/>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493B51"/>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493B51"/>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493B51"/>
    <w:pPr>
      <w:numPr>
        <w:ilvl w:val="1"/>
      </w:numPr>
    </w:pPr>
  </w:style>
  <w:style w:type="paragraph" w:customStyle="1" w:styleId="AODocTxtL2">
    <w:name w:val="AODocTxtL2"/>
    <w:basedOn w:val="AODocTxt"/>
    <w:uiPriority w:val="99"/>
    <w:qFormat/>
    <w:rsid w:val="00493B51"/>
    <w:pPr>
      <w:numPr>
        <w:ilvl w:val="2"/>
      </w:numPr>
    </w:pPr>
  </w:style>
  <w:style w:type="paragraph" w:customStyle="1" w:styleId="AODocTxtL3">
    <w:name w:val="AODocTxtL3"/>
    <w:basedOn w:val="AODocTxt"/>
    <w:uiPriority w:val="99"/>
    <w:qFormat/>
    <w:rsid w:val="00493B51"/>
    <w:pPr>
      <w:numPr>
        <w:ilvl w:val="3"/>
      </w:numPr>
    </w:pPr>
  </w:style>
  <w:style w:type="paragraph" w:customStyle="1" w:styleId="AODocTxtL4">
    <w:name w:val="AODocTxtL4"/>
    <w:basedOn w:val="AODocTxt"/>
    <w:uiPriority w:val="99"/>
    <w:qFormat/>
    <w:rsid w:val="00493B51"/>
    <w:pPr>
      <w:numPr>
        <w:ilvl w:val="4"/>
      </w:numPr>
    </w:pPr>
  </w:style>
  <w:style w:type="paragraph" w:customStyle="1" w:styleId="AODocTxtL5">
    <w:name w:val="AODocTxtL5"/>
    <w:basedOn w:val="AODocTxt"/>
    <w:uiPriority w:val="99"/>
    <w:qFormat/>
    <w:rsid w:val="00493B51"/>
    <w:pPr>
      <w:numPr>
        <w:ilvl w:val="5"/>
      </w:numPr>
    </w:pPr>
  </w:style>
  <w:style w:type="paragraph" w:customStyle="1" w:styleId="AODocTxtL6">
    <w:name w:val="AODocTxtL6"/>
    <w:basedOn w:val="AODocTxt"/>
    <w:uiPriority w:val="99"/>
    <w:qFormat/>
    <w:rsid w:val="00493B51"/>
    <w:pPr>
      <w:numPr>
        <w:ilvl w:val="6"/>
      </w:numPr>
    </w:pPr>
  </w:style>
  <w:style w:type="paragraph" w:customStyle="1" w:styleId="AODocTxtL7">
    <w:name w:val="AODocTxtL7"/>
    <w:basedOn w:val="AODocTxt"/>
    <w:uiPriority w:val="99"/>
    <w:qFormat/>
    <w:rsid w:val="00493B51"/>
    <w:pPr>
      <w:numPr>
        <w:ilvl w:val="7"/>
      </w:numPr>
    </w:pPr>
  </w:style>
  <w:style w:type="paragraph" w:customStyle="1" w:styleId="AODocTxtL8">
    <w:name w:val="AODocTxtL8"/>
    <w:basedOn w:val="AODocTxt"/>
    <w:uiPriority w:val="99"/>
    <w:qFormat/>
    <w:rsid w:val="00493B51"/>
    <w:pPr>
      <w:numPr>
        <w:ilvl w:val="8"/>
      </w:numPr>
    </w:pPr>
  </w:style>
  <w:style w:type="paragraph" w:customStyle="1" w:styleId="Char">
    <w:name w:val="Знак Знак Char Знак Знак"/>
    <w:basedOn w:val="Normal"/>
    <w:uiPriority w:val="99"/>
    <w:qFormat/>
    <w:rsid w:val="00493B51"/>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ReturnAddress">
    <w:name w:val="Return Address"/>
    <w:basedOn w:val="Normal"/>
    <w:uiPriority w:val="99"/>
    <w:qFormat/>
    <w:rsid w:val="00493B5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493B5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493B5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493B5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493B5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493B5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493B51"/>
  </w:style>
  <w:style w:type="paragraph" w:customStyle="1" w:styleId="CharCharCharCharCharCharCharCharCharCharChar1">
    <w:name w:val="Char Char Char Char Char Char Char Char Char Char Char1"/>
    <w:basedOn w:val="Normal"/>
    <w:uiPriority w:val="99"/>
    <w:qFormat/>
    <w:rsid w:val="00493B5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493B5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493B5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493B51"/>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uiPriority w:val="99"/>
    <w:qFormat/>
    <w:rsid w:val="00493B5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493B51"/>
    <w:pPr>
      <w:ind w:left="720" w:firstLine="0"/>
      <w:contextualSpacing/>
      <w:jc w:val="left"/>
    </w:pPr>
    <w:rPr>
      <w:rFonts w:eastAsia="MS Mincho"/>
    </w:rPr>
  </w:style>
  <w:style w:type="paragraph" w:customStyle="1" w:styleId="Style54">
    <w:name w:val="Style54"/>
    <w:basedOn w:val="Normal"/>
    <w:uiPriority w:val="99"/>
    <w:qFormat/>
    <w:rsid w:val="00493B5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493B5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493B5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493B51"/>
    <w:pPr>
      <w:ind w:firstLine="0"/>
    </w:pPr>
    <w:rPr>
      <w:u w:val="single"/>
    </w:rPr>
  </w:style>
  <w:style w:type="paragraph" w:customStyle="1" w:styleId="Indenta">
    <w:name w:val="Indent (a)"/>
    <w:basedOn w:val="Normal"/>
    <w:uiPriority w:val="99"/>
    <w:qFormat/>
    <w:rsid w:val="00493B5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493B5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493B5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493B51"/>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493B51"/>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493B51"/>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493B51"/>
    <w:pPr>
      <w:numPr>
        <w:numId w:val="17"/>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bl">
    <w:name w:val="ti-tb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uiPriority w:val="99"/>
    <w:qFormat/>
    <w:rsid w:val="00493B51"/>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493B5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493B51"/>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493B5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493B51"/>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493B5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493B5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493B5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493B51"/>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493B51"/>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493B51"/>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493B5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493B51"/>
    <w:pPr>
      <w:autoSpaceDE w:val="0"/>
      <w:autoSpaceDN w:val="0"/>
      <w:spacing w:after="0" w:line="240" w:lineRule="auto"/>
      <w:ind w:firstLine="0"/>
      <w:jc w:val="left"/>
    </w:pPr>
    <w:rPr>
      <w:rFonts w:ascii="Arial" w:hAnsi="Arial" w:cs="Arial"/>
      <w:sz w:val="24"/>
      <w:szCs w:val="24"/>
    </w:rPr>
  </w:style>
  <w:style w:type="character" w:styleId="CommentReference">
    <w:name w:val="annotation reference"/>
    <w:uiPriority w:val="99"/>
    <w:semiHidden/>
    <w:unhideWhenUsed/>
    <w:rsid w:val="00493B51"/>
    <w:rPr>
      <w:sz w:val="16"/>
      <w:szCs w:val="16"/>
    </w:rPr>
  </w:style>
  <w:style w:type="character" w:styleId="LineNumber">
    <w:name w:val="line number"/>
    <w:semiHidden/>
    <w:unhideWhenUsed/>
    <w:rsid w:val="00493B51"/>
    <w:rPr>
      <w:rFonts w:ascii="Tahoma" w:hAnsi="Tahoma" w:cs="Tahoma" w:hint="default"/>
      <w:sz w:val="22"/>
    </w:rPr>
  </w:style>
  <w:style w:type="character" w:styleId="EndnoteReference">
    <w:name w:val="endnote reference"/>
    <w:semiHidden/>
    <w:unhideWhenUsed/>
    <w:rsid w:val="00493B51"/>
    <w:rPr>
      <w:vertAlign w:val="superscript"/>
    </w:rPr>
  </w:style>
  <w:style w:type="character" w:styleId="PlaceholderText">
    <w:name w:val="Placeholder Text"/>
    <w:uiPriority w:val="99"/>
    <w:semiHidden/>
    <w:rsid w:val="00493B51"/>
    <w:rPr>
      <w:rFonts w:ascii="Times New Roman" w:hAnsi="Times New Roman" w:cs="Times New Roman" w:hint="default"/>
      <w:color w:val="808080"/>
    </w:rPr>
  </w:style>
  <w:style w:type="character" w:styleId="SubtleEmphasis">
    <w:name w:val="Subtle Emphasis"/>
    <w:uiPriority w:val="19"/>
    <w:qFormat/>
    <w:rsid w:val="00493B51"/>
    <w:rPr>
      <w:i/>
      <w:iCs/>
      <w:color w:val="404040"/>
    </w:rPr>
  </w:style>
  <w:style w:type="character" w:styleId="IntenseEmphasis">
    <w:name w:val="Intense Emphasis"/>
    <w:uiPriority w:val="21"/>
    <w:qFormat/>
    <w:rsid w:val="00493B51"/>
    <w:rPr>
      <w:b/>
      <w:bCs/>
      <w:i/>
      <w:iCs/>
      <w:color w:val="4F81BD"/>
      <w:sz w:val="24"/>
    </w:rPr>
  </w:style>
  <w:style w:type="character" w:styleId="IntenseReference">
    <w:name w:val="Intense Reference"/>
    <w:basedOn w:val="DefaultParagraphFont"/>
    <w:uiPriority w:val="32"/>
    <w:qFormat/>
    <w:rsid w:val="00493B51"/>
    <w:rPr>
      <w:b/>
      <w:bCs/>
      <w:smallCaps/>
      <w:color w:val="5B9BD5" w:themeColor="accent1"/>
      <w:spacing w:val="5"/>
    </w:rPr>
  </w:style>
  <w:style w:type="character" w:styleId="BookTitle">
    <w:name w:val="Book Title"/>
    <w:uiPriority w:val="33"/>
    <w:qFormat/>
    <w:rsid w:val="00493B51"/>
    <w:rPr>
      <w:b/>
      <w:bCs/>
      <w:smallCaps/>
      <w:spacing w:val="5"/>
    </w:rPr>
  </w:style>
  <w:style w:type="character" w:customStyle="1" w:styleId="Heading9Char1">
    <w:name w:val="Heading 9 Char1"/>
    <w:basedOn w:val="DefaultParagraphFont"/>
    <w:semiHidden/>
    <w:rsid w:val="00493B5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493B5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493B51"/>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493B51"/>
    <w:rPr>
      <w:rFonts w:ascii="Segoe UI" w:eastAsia="Calibri" w:hAnsi="Segoe UI" w:cs="Segoe UI"/>
      <w:sz w:val="18"/>
      <w:szCs w:val="18"/>
    </w:rPr>
  </w:style>
  <w:style w:type="paragraph" w:styleId="Header">
    <w:name w:val="header"/>
    <w:basedOn w:val="Normal"/>
    <w:link w:val="HeaderChar"/>
    <w:uiPriority w:val="99"/>
    <w:semiHidden/>
    <w:unhideWhenUsed/>
    <w:rsid w:val="00493B51"/>
    <w:pPr>
      <w:tabs>
        <w:tab w:val="center" w:pos="4680"/>
        <w:tab w:val="right" w:pos="9360"/>
      </w:tabs>
      <w:spacing w:after="0" w:line="240" w:lineRule="auto"/>
    </w:pPr>
  </w:style>
  <w:style w:type="character" w:customStyle="1" w:styleId="HeaderChar1">
    <w:name w:val="Header Char1"/>
    <w:basedOn w:val="DefaultParagraphFont"/>
    <w:uiPriority w:val="99"/>
    <w:semiHidden/>
    <w:rsid w:val="00493B51"/>
    <w:rPr>
      <w:rFonts w:ascii="Calibri" w:eastAsia="Calibri" w:hAnsi="Calibri" w:cs="Times New Roman"/>
    </w:rPr>
  </w:style>
  <w:style w:type="paragraph" w:styleId="Footer">
    <w:name w:val="footer"/>
    <w:basedOn w:val="Normal"/>
    <w:link w:val="FooterChar"/>
    <w:uiPriority w:val="99"/>
    <w:semiHidden/>
    <w:unhideWhenUsed/>
    <w:rsid w:val="00493B51"/>
    <w:pPr>
      <w:tabs>
        <w:tab w:val="center" w:pos="4680"/>
        <w:tab w:val="right" w:pos="9360"/>
      </w:tabs>
      <w:spacing w:after="0" w:line="240" w:lineRule="auto"/>
    </w:pPr>
  </w:style>
  <w:style w:type="character" w:customStyle="1" w:styleId="FooterChar1">
    <w:name w:val="Footer Char1"/>
    <w:basedOn w:val="DefaultParagraphFont"/>
    <w:uiPriority w:val="99"/>
    <w:semiHidden/>
    <w:rsid w:val="00493B51"/>
    <w:rPr>
      <w:rFonts w:ascii="Calibri" w:eastAsia="Calibri" w:hAnsi="Calibri" w:cs="Times New Roman"/>
    </w:rPr>
  </w:style>
  <w:style w:type="paragraph" w:styleId="Subtitle">
    <w:name w:val="Subtitle"/>
    <w:basedOn w:val="Normal"/>
    <w:next w:val="Normal"/>
    <w:link w:val="SubtitleChar"/>
    <w:qFormat/>
    <w:rsid w:val="00493B5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493B51"/>
    <w:rPr>
      <w:rFonts w:eastAsiaTheme="minorEastAsia"/>
      <w:color w:val="5A5A5A" w:themeColor="text1" w:themeTint="A5"/>
      <w:spacing w:val="15"/>
    </w:rPr>
  </w:style>
  <w:style w:type="character" w:customStyle="1" w:styleId="apple-converted-space">
    <w:name w:val="apple-converted-space"/>
    <w:rsid w:val="00493B51"/>
  </w:style>
  <w:style w:type="paragraph" w:styleId="BodyText3">
    <w:name w:val="Body Text 3"/>
    <w:basedOn w:val="Normal"/>
    <w:link w:val="BodyText3Char"/>
    <w:semiHidden/>
    <w:unhideWhenUsed/>
    <w:rsid w:val="00493B5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493B51"/>
    <w:rPr>
      <w:rFonts w:ascii="Calibri" w:eastAsia="Calibri" w:hAnsi="Calibri" w:cs="Times New Roman"/>
      <w:sz w:val="16"/>
      <w:szCs w:val="16"/>
    </w:rPr>
  </w:style>
  <w:style w:type="character" w:customStyle="1" w:styleId="sb8d990e2">
    <w:name w:val="sb8d990e2"/>
    <w:basedOn w:val="DefaultParagraphFont"/>
    <w:rsid w:val="00493B51"/>
  </w:style>
  <w:style w:type="character" w:customStyle="1" w:styleId="normal--char">
    <w:name w:val="normal--char"/>
    <w:basedOn w:val="DefaultParagraphFont"/>
    <w:rsid w:val="00493B51"/>
  </w:style>
  <w:style w:type="character" w:customStyle="1" w:styleId="s7d2086b4">
    <w:name w:val="s7d2086b4"/>
    <w:basedOn w:val="DefaultParagraphFont"/>
    <w:uiPriority w:val="99"/>
    <w:rsid w:val="00493B51"/>
  </w:style>
  <w:style w:type="character" w:customStyle="1" w:styleId="hps">
    <w:name w:val="hps"/>
    <w:basedOn w:val="DefaultParagraphFont"/>
    <w:rsid w:val="00493B51"/>
  </w:style>
  <w:style w:type="character" w:customStyle="1" w:styleId="grame">
    <w:name w:val="grame"/>
    <w:rsid w:val="00493B51"/>
    <w:rPr>
      <w:rFonts w:ascii="Times New Roman" w:hAnsi="Times New Roman" w:cs="Times New Roman" w:hint="default"/>
    </w:rPr>
  </w:style>
  <w:style w:type="character" w:customStyle="1" w:styleId="atn">
    <w:name w:val="atn"/>
    <w:basedOn w:val="DefaultParagraphFont"/>
    <w:rsid w:val="00493B51"/>
  </w:style>
  <w:style w:type="paragraph" w:styleId="PlainText">
    <w:name w:val="Plain Text"/>
    <w:basedOn w:val="Normal"/>
    <w:link w:val="PlainTextChar"/>
    <w:uiPriority w:val="99"/>
    <w:semiHidden/>
    <w:unhideWhenUsed/>
    <w:rsid w:val="00493B51"/>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493B51"/>
    <w:rPr>
      <w:rFonts w:ascii="Consolas" w:eastAsia="Calibri" w:hAnsi="Consolas" w:cs="Times New Roman"/>
      <w:sz w:val="21"/>
      <w:szCs w:val="21"/>
    </w:rPr>
  </w:style>
  <w:style w:type="paragraph" w:styleId="DocumentMap">
    <w:name w:val="Document Map"/>
    <w:basedOn w:val="Normal"/>
    <w:link w:val="DocumentMapChar"/>
    <w:semiHidden/>
    <w:unhideWhenUsed/>
    <w:rsid w:val="00493B5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493B51"/>
    <w:rPr>
      <w:rFonts w:ascii="Segoe UI" w:eastAsia="Calibri" w:hAnsi="Segoe UI" w:cs="Segoe UI"/>
      <w:sz w:val="16"/>
      <w:szCs w:val="16"/>
    </w:rPr>
  </w:style>
  <w:style w:type="character" w:customStyle="1" w:styleId="longtext">
    <w:name w:val="long_text"/>
    <w:rsid w:val="00493B51"/>
    <w:rPr>
      <w:rFonts w:ascii="Comic Sans MS" w:hAnsi="Comic Sans MS" w:hint="default"/>
      <w:b/>
      <w:bCs w:val="0"/>
      <w:sz w:val="96"/>
      <w:szCs w:val="24"/>
      <w:lang w:val="pl-PL" w:eastAsia="pl-PL" w:bidi="ar-SA"/>
    </w:rPr>
  </w:style>
  <w:style w:type="character" w:customStyle="1" w:styleId="Point1CharChar">
    <w:name w:val="Point 1 Char Char"/>
    <w:rsid w:val="00493B51"/>
    <w:rPr>
      <w:sz w:val="24"/>
      <w:szCs w:val="24"/>
      <w:lang w:val="en-GB" w:eastAsia="en-GB" w:bidi="ar-SA"/>
    </w:rPr>
  </w:style>
  <w:style w:type="character" w:customStyle="1" w:styleId="ParagrafiCharChar">
    <w:name w:val="Paragrafi Char Char"/>
    <w:rsid w:val="00493B51"/>
    <w:rPr>
      <w:rFonts w:ascii="CG Times" w:hAnsi="CG Times" w:hint="default"/>
      <w:sz w:val="22"/>
      <w:lang w:val="en-US" w:eastAsia="en-US" w:bidi="ar-SA"/>
    </w:rPr>
  </w:style>
  <w:style w:type="character" w:customStyle="1" w:styleId="apple-style-span">
    <w:name w:val="apple-style-span"/>
    <w:rsid w:val="00493B51"/>
  </w:style>
  <w:style w:type="character" w:customStyle="1" w:styleId="CommentTextChar">
    <w:name w:val="Comment Text Char"/>
    <w:basedOn w:val="DefaultParagraphFont"/>
    <w:uiPriority w:val="99"/>
    <w:semiHidden/>
    <w:rsid w:val="00493B51"/>
    <w:rPr>
      <w:rFonts w:ascii="Calibri" w:eastAsia="Calibri" w:hAnsi="Calibri" w:cs="Times New Roman"/>
    </w:rPr>
  </w:style>
  <w:style w:type="character" w:customStyle="1" w:styleId="CommentTextChar1">
    <w:name w:val="Comment Text Char1"/>
    <w:basedOn w:val="DefaultParagraphFont"/>
    <w:uiPriority w:val="99"/>
    <w:rsid w:val="00493B5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493B51"/>
    <w:pPr>
      <w:spacing w:line="240" w:lineRule="auto"/>
    </w:pPr>
    <w:rPr>
      <w:sz w:val="20"/>
      <w:szCs w:val="20"/>
    </w:rPr>
  </w:style>
  <w:style w:type="character" w:customStyle="1" w:styleId="CommentTextChar2">
    <w:name w:val="Comment Text Char2"/>
    <w:basedOn w:val="DefaultParagraphFont"/>
    <w:link w:val="CommentText"/>
    <w:uiPriority w:val="99"/>
    <w:semiHidden/>
    <w:rsid w:val="00493B5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93B51"/>
    <w:rPr>
      <w:b/>
      <w:bCs/>
    </w:rPr>
  </w:style>
  <w:style w:type="character" w:customStyle="1" w:styleId="CommentSubjectChar">
    <w:name w:val="Comment Subject Char"/>
    <w:basedOn w:val="CommentTextChar2"/>
    <w:link w:val="CommentSubject"/>
    <w:uiPriority w:val="99"/>
    <w:semiHidden/>
    <w:rsid w:val="00493B51"/>
    <w:rPr>
      <w:rFonts w:ascii="Calibri" w:eastAsia="Calibri" w:hAnsi="Calibri" w:cs="Times New Roman"/>
      <w:b/>
      <w:bCs/>
      <w:sz w:val="20"/>
      <w:szCs w:val="20"/>
    </w:rPr>
  </w:style>
  <w:style w:type="paragraph" w:styleId="MacroText">
    <w:name w:val="macro"/>
    <w:link w:val="MacroTextChar"/>
    <w:semiHidden/>
    <w:unhideWhenUsed/>
    <w:rsid w:val="00493B5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493B51"/>
    <w:rPr>
      <w:rFonts w:ascii="Consolas" w:eastAsia="Calibri" w:hAnsi="Consolas" w:cs="Times New Roman"/>
      <w:sz w:val="20"/>
      <w:szCs w:val="20"/>
    </w:rPr>
  </w:style>
  <w:style w:type="paragraph" w:styleId="Date">
    <w:name w:val="Date"/>
    <w:basedOn w:val="Normal"/>
    <w:next w:val="Normal"/>
    <w:link w:val="DateChar"/>
    <w:semiHidden/>
    <w:unhideWhenUsed/>
    <w:rsid w:val="00493B51"/>
    <w:rPr>
      <w:rFonts w:ascii="Tahoma" w:eastAsia="Times New Roman" w:hAnsi="Tahoma"/>
      <w:lang w:val="de-AT" w:eastAsia="de-DE"/>
    </w:rPr>
  </w:style>
  <w:style w:type="character" w:customStyle="1" w:styleId="DateChar1">
    <w:name w:val="Date Char1"/>
    <w:basedOn w:val="DefaultParagraphFont"/>
    <w:semiHidden/>
    <w:rsid w:val="00493B51"/>
    <w:rPr>
      <w:rFonts w:ascii="Calibri" w:eastAsia="Calibri" w:hAnsi="Calibri" w:cs="Times New Roman"/>
    </w:rPr>
  </w:style>
  <w:style w:type="character" w:customStyle="1" w:styleId="Emphasis1">
    <w:name w:val="Emphasis1"/>
    <w:semiHidden/>
    <w:rsid w:val="00493B51"/>
  </w:style>
  <w:style w:type="paragraph" w:styleId="NoteHeading">
    <w:name w:val="Note Heading"/>
    <w:basedOn w:val="Normal"/>
    <w:next w:val="Normal"/>
    <w:link w:val="NoteHeadingChar"/>
    <w:semiHidden/>
    <w:unhideWhenUsed/>
    <w:rsid w:val="00493B5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493B5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493B5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493B51"/>
    <w:rPr>
      <w:rFonts w:ascii="Calibri" w:eastAsia="Calibri" w:hAnsi="Calibri" w:cs="Times New Roman"/>
    </w:rPr>
  </w:style>
  <w:style w:type="paragraph" w:styleId="Salutation">
    <w:name w:val="Salutation"/>
    <w:basedOn w:val="Normal"/>
    <w:next w:val="Normal"/>
    <w:link w:val="SalutationChar"/>
    <w:semiHidden/>
    <w:unhideWhenUsed/>
    <w:rsid w:val="00493B51"/>
    <w:rPr>
      <w:rFonts w:ascii="Tahoma" w:eastAsia="Times New Roman" w:hAnsi="Tahoma"/>
      <w:lang w:val="de-AT" w:eastAsia="de-DE"/>
    </w:rPr>
  </w:style>
  <w:style w:type="character" w:customStyle="1" w:styleId="SalutationChar1">
    <w:name w:val="Salutation Char1"/>
    <w:basedOn w:val="DefaultParagraphFont"/>
    <w:semiHidden/>
    <w:rsid w:val="00493B51"/>
    <w:rPr>
      <w:rFonts w:ascii="Calibri" w:eastAsia="Calibri" w:hAnsi="Calibri" w:cs="Times New Roman"/>
    </w:rPr>
  </w:style>
  <w:style w:type="paragraph" w:styleId="Closing">
    <w:name w:val="Closing"/>
    <w:basedOn w:val="Normal"/>
    <w:link w:val="ClosingChar"/>
    <w:semiHidden/>
    <w:unhideWhenUsed/>
    <w:rsid w:val="00493B5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493B51"/>
    <w:rPr>
      <w:rFonts w:ascii="Calibri" w:eastAsia="Calibri" w:hAnsi="Calibri" w:cs="Times New Roman"/>
    </w:rPr>
  </w:style>
  <w:style w:type="paragraph" w:styleId="Signature">
    <w:name w:val="Signature"/>
    <w:basedOn w:val="Normal"/>
    <w:link w:val="SignatureChar"/>
    <w:semiHidden/>
    <w:unhideWhenUsed/>
    <w:rsid w:val="00493B5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493B51"/>
    <w:rPr>
      <w:rFonts w:ascii="Calibri" w:eastAsia="Calibri" w:hAnsi="Calibri" w:cs="Times New Roman"/>
    </w:rPr>
  </w:style>
  <w:style w:type="paragraph" w:styleId="E-mailSignature">
    <w:name w:val="E-mail Signature"/>
    <w:basedOn w:val="Normal"/>
    <w:link w:val="E-mailSignatureChar"/>
    <w:semiHidden/>
    <w:unhideWhenUsed/>
    <w:rsid w:val="00493B5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493B51"/>
    <w:rPr>
      <w:rFonts w:ascii="Calibri" w:eastAsia="Calibri" w:hAnsi="Calibri" w:cs="Times New Roman"/>
    </w:rPr>
  </w:style>
  <w:style w:type="paragraph" w:styleId="BodyText2">
    <w:name w:val="Body Text 2"/>
    <w:basedOn w:val="Normal"/>
    <w:link w:val="BodyText2Char"/>
    <w:semiHidden/>
    <w:unhideWhenUsed/>
    <w:rsid w:val="00493B5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493B51"/>
    <w:rPr>
      <w:rFonts w:ascii="Calibri" w:eastAsia="Calibri" w:hAnsi="Calibri" w:cs="Times New Roman"/>
    </w:rPr>
  </w:style>
  <w:style w:type="paragraph" w:styleId="BodyTextIndent2">
    <w:name w:val="Body Text Indent 2"/>
    <w:basedOn w:val="Normal"/>
    <w:link w:val="BodyTextIndent2Char"/>
    <w:semiHidden/>
    <w:unhideWhenUsed/>
    <w:rsid w:val="00493B5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493B51"/>
    <w:rPr>
      <w:rFonts w:ascii="Calibri" w:eastAsia="Calibri" w:hAnsi="Calibri" w:cs="Times New Roman"/>
    </w:rPr>
  </w:style>
  <w:style w:type="paragraph" w:styleId="BodyTextIndent3">
    <w:name w:val="Body Text Indent 3"/>
    <w:basedOn w:val="Normal"/>
    <w:link w:val="BodyTextIndent3Char"/>
    <w:semiHidden/>
    <w:unhideWhenUsed/>
    <w:rsid w:val="00493B5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493B5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493B5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493B51"/>
    <w:rPr>
      <w:rFonts w:ascii="Calibri" w:eastAsia="Calibri" w:hAnsi="Calibri" w:cs="Times New Roman"/>
    </w:rPr>
  </w:style>
  <w:style w:type="character" w:customStyle="1" w:styleId="CharChar11">
    <w:name w:val="Char Char11"/>
    <w:semiHidden/>
    <w:locked/>
    <w:rsid w:val="00493B51"/>
    <w:rPr>
      <w:rFonts w:ascii="Tahoma" w:hAnsi="Tahoma" w:cs="Tahoma" w:hint="default"/>
      <w:i/>
      <w:iCs/>
      <w:sz w:val="22"/>
      <w:szCs w:val="22"/>
      <w:lang w:val="de-AT" w:eastAsia="de-DE" w:bidi="ar-SA"/>
    </w:rPr>
  </w:style>
  <w:style w:type="character" w:customStyle="1" w:styleId="CharChar36">
    <w:name w:val="Char Char36"/>
    <w:locked/>
    <w:rsid w:val="00493B51"/>
    <w:rPr>
      <w:rFonts w:ascii="Arial" w:hAnsi="Arial" w:cs="Arial" w:hint="default"/>
      <w:b/>
      <w:bCs/>
      <w:kern w:val="32"/>
      <w:sz w:val="32"/>
      <w:szCs w:val="32"/>
      <w:lang w:val="sq-AL" w:eastAsia="en-US" w:bidi="ar-SA"/>
    </w:rPr>
  </w:style>
  <w:style w:type="character" w:customStyle="1" w:styleId="CharChar35">
    <w:name w:val="Char Char35"/>
    <w:locked/>
    <w:rsid w:val="00493B51"/>
    <w:rPr>
      <w:rFonts w:ascii="Arial" w:hAnsi="Arial" w:cs="Arial" w:hint="default"/>
      <w:b/>
      <w:bCs/>
      <w:i/>
      <w:iCs/>
      <w:sz w:val="28"/>
      <w:szCs w:val="28"/>
      <w:lang w:val="sq-AL" w:eastAsia="en-US" w:bidi="ar-SA"/>
    </w:rPr>
  </w:style>
  <w:style w:type="character" w:customStyle="1" w:styleId="CharChar34">
    <w:name w:val="Char Char34"/>
    <w:locked/>
    <w:rsid w:val="00493B51"/>
    <w:rPr>
      <w:rFonts w:ascii="Tahoma" w:hAnsi="Tahoma" w:cs="Tahoma" w:hint="default"/>
      <w:b/>
      <w:bCs w:val="0"/>
      <w:kern w:val="28"/>
      <w:sz w:val="24"/>
      <w:szCs w:val="28"/>
      <w:lang w:val="de-AT" w:eastAsia="de-DE" w:bidi="ar-SA"/>
    </w:rPr>
  </w:style>
  <w:style w:type="character" w:customStyle="1" w:styleId="CharChar33">
    <w:name w:val="Char Char33"/>
    <w:locked/>
    <w:rsid w:val="00493B51"/>
    <w:rPr>
      <w:rFonts w:ascii="Tahoma" w:hAnsi="Tahoma" w:cs="Tahoma" w:hint="default"/>
      <w:b/>
      <w:bCs w:val="0"/>
      <w:i/>
      <w:iCs w:val="0"/>
      <w:kern w:val="28"/>
      <w:sz w:val="22"/>
      <w:szCs w:val="22"/>
      <w:lang w:val="de-AT" w:eastAsia="de-DE" w:bidi="ar-SA"/>
    </w:rPr>
  </w:style>
  <w:style w:type="character" w:customStyle="1" w:styleId="CharChar32">
    <w:name w:val="Char Char32"/>
    <w:locked/>
    <w:rsid w:val="00493B51"/>
    <w:rPr>
      <w:rFonts w:ascii="Tahoma" w:hAnsi="Tahoma" w:cs="Tahoma" w:hint="default"/>
      <w:b/>
      <w:bCs w:val="0"/>
      <w:i/>
      <w:iCs w:val="0"/>
      <w:kern w:val="28"/>
      <w:sz w:val="22"/>
      <w:szCs w:val="22"/>
      <w:lang w:val="de-AT" w:eastAsia="de-DE" w:bidi="ar-SA"/>
    </w:rPr>
  </w:style>
  <w:style w:type="character" w:customStyle="1" w:styleId="CharChar31">
    <w:name w:val="Char Char31"/>
    <w:locked/>
    <w:rsid w:val="00493B5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493B51"/>
    <w:rPr>
      <w:rFonts w:ascii="Courier New" w:hAnsi="Courier New" w:cs="Courier New" w:hint="default"/>
      <w:szCs w:val="22"/>
      <w:lang w:val="de-AT" w:eastAsia="de-DE" w:bidi="ar-SA"/>
    </w:rPr>
  </w:style>
  <w:style w:type="character" w:customStyle="1" w:styleId="CharChar30">
    <w:name w:val="Char Char30"/>
    <w:locked/>
    <w:rsid w:val="00493B51"/>
    <w:rPr>
      <w:rFonts w:ascii="Tahoma" w:hAnsi="Tahoma" w:cs="Tahoma" w:hint="default"/>
      <w:b/>
      <w:bCs w:val="0"/>
      <w:i/>
      <w:iCs w:val="0"/>
      <w:kern w:val="28"/>
      <w:sz w:val="22"/>
      <w:szCs w:val="22"/>
      <w:lang w:val="de-AT" w:eastAsia="de-DE" w:bidi="ar-SA"/>
    </w:rPr>
  </w:style>
  <w:style w:type="character" w:customStyle="1" w:styleId="CharChar29">
    <w:name w:val="Char Char29"/>
    <w:locked/>
    <w:rsid w:val="00493B51"/>
    <w:rPr>
      <w:rFonts w:ascii="Tahoma" w:hAnsi="Tahoma" w:cs="Tahoma" w:hint="default"/>
      <w:b/>
      <w:bCs w:val="0"/>
      <w:i/>
      <w:iCs w:val="0"/>
      <w:kern w:val="28"/>
      <w:sz w:val="22"/>
      <w:szCs w:val="22"/>
      <w:lang w:val="de-AT" w:eastAsia="de-DE" w:bidi="ar-SA"/>
    </w:rPr>
  </w:style>
  <w:style w:type="character" w:customStyle="1" w:styleId="CharChar28">
    <w:name w:val="Char Char28"/>
    <w:locked/>
    <w:rsid w:val="00493B51"/>
    <w:rPr>
      <w:rFonts w:ascii="Tahoma" w:hAnsi="Tahoma" w:cs="Tahoma" w:hint="default"/>
      <w:b/>
      <w:bCs w:val="0"/>
      <w:i/>
      <w:iCs w:val="0"/>
      <w:kern w:val="28"/>
      <w:sz w:val="22"/>
      <w:szCs w:val="22"/>
      <w:lang w:val="de-AT" w:eastAsia="de-DE" w:bidi="ar-SA"/>
    </w:rPr>
  </w:style>
  <w:style w:type="character" w:customStyle="1" w:styleId="CharChar27">
    <w:name w:val="Char Char27"/>
    <w:locked/>
    <w:rsid w:val="00493B51"/>
    <w:rPr>
      <w:rFonts w:ascii="Calibri" w:eastAsia="Calibri" w:hAnsi="Calibri" w:hint="default"/>
      <w:lang w:val="sq-AL" w:eastAsia="en-US" w:bidi="ar-SA"/>
    </w:rPr>
  </w:style>
  <w:style w:type="character" w:customStyle="1" w:styleId="CharChar24">
    <w:name w:val="Char Char24"/>
    <w:locked/>
    <w:rsid w:val="00493B51"/>
    <w:rPr>
      <w:rFonts w:ascii="Tahoma" w:hAnsi="Tahoma" w:cs="Tahoma" w:hint="default"/>
      <w:sz w:val="22"/>
      <w:szCs w:val="22"/>
      <w:lang w:val="de-AT" w:eastAsia="de-DE" w:bidi="ar-SA"/>
    </w:rPr>
  </w:style>
  <w:style w:type="character" w:customStyle="1" w:styleId="CharChar23">
    <w:name w:val="Char Char23"/>
    <w:locked/>
    <w:rsid w:val="00493B51"/>
    <w:rPr>
      <w:rFonts w:ascii="Tahoma" w:hAnsi="Tahoma" w:cs="Tahoma" w:hint="default"/>
      <w:sz w:val="22"/>
      <w:szCs w:val="22"/>
      <w:lang w:val="de-AT" w:eastAsia="de-DE" w:bidi="ar-SA"/>
    </w:rPr>
  </w:style>
  <w:style w:type="character" w:customStyle="1" w:styleId="CharChar22">
    <w:name w:val="Char Char22"/>
    <w:semiHidden/>
    <w:locked/>
    <w:rsid w:val="00493B51"/>
    <w:rPr>
      <w:rFonts w:ascii="Courier New" w:hAnsi="Courier New" w:cs="Courier New" w:hint="default"/>
      <w:sz w:val="22"/>
      <w:szCs w:val="22"/>
      <w:lang w:val="de-DE" w:eastAsia="de-DE" w:bidi="ar-SA"/>
    </w:rPr>
  </w:style>
  <w:style w:type="character" w:customStyle="1" w:styleId="CharChar21">
    <w:name w:val="Char Char21"/>
    <w:locked/>
    <w:rsid w:val="00493B51"/>
    <w:rPr>
      <w:rFonts w:ascii="Tahoma" w:hAnsi="Tahoma" w:cs="Tahoma" w:hint="default"/>
      <w:b/>
      <w:bCs w:val="0"/>
      <w:kern w:val="28"/>
      <w:sz w:val="36"/>
      <w:szCs w:val="36"/>
      <w:lang w:val="de-AT" w:eastAsia="de-DE" w:bidi="ar-SA"/>
    </w:rPr>
  </w:style>
  <w:style w:type="character" w:customStyle="1" w:styleId="CharChar12">
    <w:name w:val="Char Char12"/>
    <w:semiHidden/>
    <w:locked/>
    <w:rsid w:val="00493B51"/>
    <w:rPr>
      <w:rFonts w:ascii="Tahoma" w:hAnsi="Tahoma" w:cs="Tahoma" w:hint="default"/>
      <w:sz w:val="22"/>
      <w:szCs w:val="22"/>
      <w:lang w:val="de-AT" w:eastAsia="de-DE" w:bidi="ar-SA"/>
    </w:rPr>
  </w:style>
  <w:style w:type="character" w:customStyle="1" w:styleId="CharChar9">
    <w:name w:val="Char Char9"/>
    <w:semiHidden/>
    <w:locked/>
    <w:rsid w:val="00493B51"/>
    <w:rPr>
      <w:rFonts w:ascii="Tahoma" w:hAnsi="Tahoma" w:cs="Tahoma" w:hint="default"/>
      <w:sz w:val="22"/>
      <w:szCs w:val="22"/>
      <w:lang w:val="de-AT" w:eastAsia="de-DE" w:bidi="ar-SA"/>
    </w:rPr>
  </w:style>
  <w:style w:type="character" w:customStyle="1" w:styleId="CharChar25">
    <w:name w:val="Char Char25"/>
    <w:semiHidden/>
    <w:locked/>
    <w:rsid w:val="00493B51"/>
    <w:rPr>
      <w:rFonts w:ascii="Tahoma" w:hAnsi="Tahoma" w:cs="Tahoma" w:hint="default"/>
      <w:sz w:val="22"/>
      <w:szCs w:val="22"/>
      <w:lang w:val="de-AT" w:eastAsia="de-DE" w:bidi="ar-SA"/>
    </w:rPr>
  </w:style>
  <w:style w:type="character" w:customStyle="1" w:styleId="CharChar15">
    <w:name w:val="Char Char15"/>
    <w:semiHidden/>
    <w:locked/>
    <w:rsid w:val="00493B51"/>
    <w:rPr>
      <w:rFonts w:ascii="Tahoma" w:hAnsi="Tahoma" w:cs="Tahoma" w:hint="default"/>
      <w:sz w:val="22"/>
      <w:szCs w:val="22"/>
      <w:lang w:val="de-AT" w:eastAsia="de-DE" w:bidi="ar-SA"/>
    </w:rPr>
  </w:style>
  <w:style w:type="character" w:customStyle="1" w:styleId="CharChar16">
    <w:name w:val="Char Char16"/>
    <w:semiHidden/>
    <w:locked/>
    <w:rsid w:val="00493B51"/>
    <w:rPr>
      <w:rFonts w:ascii="Tahoma" w:hAnsi="Tahoma" w:cs="Arial" w:hint="default"/>
      <w:sz w:val="24"/>
      <w:szCs w:val="24"/>
      <w:lang w:val="de-AT" w:eastAsia="de-DE" w:bidi="ar-SA"/>
    </w:rPr>
  </w:style>
  <w:style w:type="character" w:customStyle="1" w:styleId="CharChar20">
    <w:name w:val="Char Char20"/>
    <w:locked/>
    <w:rsid w:val="00493B51"/>
    <w:rPr>
      <w:rFonts w:ascii="Tahoma" w:hAnsi="Tahoma" w:cs="Tahoma" w:hint="default"/>
      <w:b/>
      <w:bCs w:val="0"/>
      <w:kern w:val="28"/>
      <w:sz w:val="32"/>
      <w:szCs w:val="36"/>
      <w:lang w:val="de-AT" w:eastAsia="de-DE" w:bidi="ar-SA"/>
    </w:rPr>
  </w:style>
  <w:style w:type="character" w:customStyle="1" w:styleId="CharChar13">
    <w:name w:val="Char Char13"/>
    <w:semiHidden/>
    <w:locked/>
    <w:rsid w:val="00493B51"/>
    <w:rPr>
      <w:rFonts w:ascii="Tahoma" w:hAnsi="Tahoma" w:cs="Tahoma" w:hint="default"/>
      <w:sz w:val="22"/>
      <w:szCs w:val="22"/>
      <w:lang w:val="de-AT" w:eastAsia="de-DE" w:bidi="ar-SA"/>
    </w:rPr>
  </w:style>
  <w:style w:type="character" w:customStyle="1" w:styleId="CharChar19">
    <w:name w:val="Char Char19"/>
    <w:semiHidden/>
    <w:locked/>
    <w:rsid w:val="00493B51"/>
    <w:rPr>
      <w:rFonts w:ascii="Tahoma" w:hAnsi="Tahoma" w:cs="Tahoma" w:hint="default"/>
      <w:sz w:val="22"/>
      <w:szCs w:val="22"/>
      <w:lang w:val="de-AT" w:eastAsia="de-DE" w:bidi="ar-SA"/>
    </w:rPr>
  </w:style>
  <w:style w:type="character" w:customStyle="1" w:styleId="CharChar3">
    <w:name w:val="Char Char3"/>
    <w:semiHidden/>
    <w:locked/>
    <w:rsid w:val="00493B51"/>
  </w:style>
  <w:style w:type="character" w:customStyle="1" w:styleId="CharChar14">
    <w:name w:val="Char Char14"/>
    <w:semiHidden/>
    <w:locked/>
    <w:rsid w:val="00493B51"/>
  </w:style>
  <w:style w:type="character" w:customStyle="1" w:styleId="CharChar17">
    <w:name w:val="Char Char17"/>
    <w:locked/>
    <w:rsid w:val="00493B51"/>
    <w:rPr>
      <w:rFonts w:ascii="Tahoma" w:hAnsi="Tahoma" w:cs="Tahoma" w:hint="default"/>
      <w:sz w:val="22"/>
      <w:szCs w:val="22"/>
      <w:lang w:val="de-AT" w:eastAsia="de-DE" w:bidi="ar-SA"/>
    </w:rPr>
  </w:style>
  <w:style w:type="character" w:customStyle="1" w:styleId="CharChar7">
    <w:name w:val="Char Char7"/>
    <w:semiHidden/>
    <w:locked/>
    <w:rsid w:val="00493B51"/>
    <w:rPr>
      <w:rFonts w:ascii="Tahoma" w:hAnsi="Tahoma" w:cs="Tahoma" w:hint="default"/>
      <w:sz w:val="22"/>
      <w:szCs w:val="22"/>
      <w:lang w:val="de-AT" w:eastAsia="de-DE" w:bidi="ar-SA"/>
    </w:rPr>
  </w:style>
  <w:style w:type="character" w:customStyle="1" w:styleId="CharChar6">
    <w:name w:val="Char Char6"/>
    <w:semiHidden/>
    <w:locked/>
    <w:rsid w:val="00493B51"/>
    <w:rPr>
      <w:rFonts w:ascii="Tahoma" w:hAnsi="Tahoma" w:cs="Tahoma" w:hint="default"/>
      <w:sz w:val="16"/>
      <w:szCs w:val="16"/>
      <w:lang w:val="de-AT" w:eastAsia="de-DE" w:bidi="ar-SA"/>
    </w:rPr>
  </w:style>
  <w:style w:type="character" w:customStyle="1" w:styleId="CharChar5">
    <w:name w:val="Char Char5"/>
    <w:semiHidden/>
    <w:locked/>
    <w:rsid w:val="00493B51"/>
    <w:rPr>
      <w:rFonts w:ascii="Tahoma" w:hAnsi="Tahoma" w:cs="Tahoma" w:hint="default"/>
      <w:sz w:val="22"/>
      <w:szCs w:val="22"/>
      <w:lang w:val="de-AT" w:eastAsia="de-DE" w:bidi="ar-SA"/>
    </w:rPr>
  </w:style>
  <w:style w:type="character" w:customStyle="1" w:styleId="CharChar4">
    <w:name w:val="Char Char4"/>
    <w:semiHidden/>
    <w:locked/>
    <w:rsid w:val="00493B51"/>
    <w:rPr>
      <w:rFonts w:ascii="Tahoma" w:hAnsi="Tahoma" w:cs="Tahoma" w:hint="default"/>
      <w:sz w:val="16"/>
      <w:szCs w:val="16"/>
      <w:lang w:val="de-AT" w:eastAsia="de-DE" w:bidi="ar-SA"/>
    </w:rPr>
  </w:style>
  <w:style w:type="character" w:customStyle="1" w:styleId="CharChar18">
    <w:name w:val="Char Char18"/>
    <w:semiHidden/>
    <w:locked/>
    <w:rsid w:val="00493B51"/>
    <w:rPr>
      <w:rFonts w:ascii="Tahoma" w:hAnsi="Tahoma" w:cs="Tahoma" w:hint="default"/>
      <w:sz w:val="22"/>
      <w:szCs w:val="22"/>
      <w:lang w:val="de-AT" w:eastAsia="de-DE" w:bidi="ar-SA"/>
    </w:rPr>
  </w:style>
  <w:style w:type="character" w:customStyle="1" w:styleId="CharChar8">
    <w:name w:val="Char Char8"/>
    <w:locked/>
    <w:rsid w:val="00493B51"/>
    <w:rPr>
      <w:rFonts w:ascii="Tahoma" w:hAnsi="Tahoma" w:cs="Tahoma" w:hint="default"/>
      <w:sz w:val="22"/>
      <w:szCs w:val="22"/>
      <w:lang w:val="de-AT" w:eastAsia="de-DE" w:bidi="ar-SA"/>
    </w:rPr>
  </w:style>
  <w:style w:type="character" w:customStyle="1" w:styleId="CharChar2">
    <w:name w:val="Char Char2"/>
    <w:locked/>
    <w:rsid w:val="00493B5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493B5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493B51"/>
    <w:rPr>
      <w:rFonts w:ascii="Calibri" w:hAnsi="Calibri" w:hint="default"/>
      <w:lang w:val="sq-AL"/>
    </w:rPr>
  </w:style>
  <w:style w:type="character" w:customStyle="1" w:styleId="DeltaViewInsertion">
    <w:name w:val="DeltaView Insertion"/>
    <w:uiPriority w:val="99"/>
    <w:rsid w:val="00493B51"/>
    <w:rPr>
      <w:color w:val="0000FF"/>
      <w:spacing w:val="0"/>
      <w:u w:val="double"/>
    </w:rPr>
  </w:style>
  <w:style w:type="character" w:customStyle="1" w:styleId="az12">
    <w:name w:val="az12"/>
    <w:uiPriority w:val="99"/>
    <w:rsid w:val="00493B51"/>
    <w:rPr>
      <w:rFonts w:ascii="Times New Roman" w:hAnsi="Times New Roman" w:cs="Times New Roman" w:hint="default"/>
      <w:sz w:val="24"/>
    </w:rPr>
  </w:style>
  <w:style w:type="character" w:customStyle="1" w:styleId="Style26">
    <w:name w:val="Style2"/>
    <w:basedOn w:val="Point1Char"/>
    <w:uiPriority w:val="1"/>
    <w:qFormat/>
    <w:rsid w:val="00493B51"/>
    <w:rPr>
      <w:rFonts w:ascii="Calibri" w:eastAsia="Times New Roman" w:hAnsi="Calibri" w:cs="Times New Roman"/>
      <w:sz w:val="24"/>
      <w:szCs w:val="24"/>
      <w:lang w:val="en-GB" w:eastAsia="en-GB"/>
    </w:rPr>
  </w:style>
  <w:style w:type="character" w:customStyle="1" w:styleId="Style2Char">
    <w:name w:val="Style2 Char"/>
    <w:locked/>
    <w:rsid w:val="00493B51"/>
    <w:rPr>
      <w:rFonts w:ascii="Times New Roman" w:eastAsia="Times New Roman" w:hAnsi="Times New Roman" w:cs="Times New Roman" w:hint="default"/>
      <w:color w:val="0070C0"/>
      <w:sz w:val="28"/>
      <w:szCs w:val="24"/>
      <w:lang w:val="sq-AL"/>
    </w:rPr>
  </w:style>
  <w:style w:type="character" w:customStyle="1" w:styleId="longtext1">
    <w:name w:val="long_text1"/>
    <w:rsid w:val="00493B51"/>
    <w:rPr>
      <w:sz w:val="20"/>
      <w:szCs w:val="20"/>
    </w:rPr>
  </w:style>
  <w:style w:type="character" w:customStyle="1" w:styleId="En-tteoupieddepage0">
    <w:name w:val="En-tête ou pied de page"/>
    <w:basedOn w:val="En-tteoupieddepage"/>
    <w:uiPriority w:val="99"/>
    <w:rsid w:val="00493B51"/>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493B51"/>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493B51"/>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493B51"/>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493B51"/>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493B51"/>
    <w:rPr>
      <w:rFonts w:ascii="Times New Roman" w:hAnsi="Times New Roman" w:cs="Times New Roman"/>
      <w:u w:val="single"/>
      <w:shd w:val="clear" w:color="auto" w:fill="FFFFFF"/>
    </w:rPr>
  </w:style>
  <w:style w:type="character" w:customStyle="1" w:styleId="super">
    <w:name w:val="super"/>
    <w:basedOn w:val="DefaultParagraphFont"/>
    <w:rsid w:val="00493B51"/>
  </w:style>
  <w:style w:type="character" w:customStyle="1" w:styleId="italic">
    <w:name w:val="italic"/>
    <w:basedOn w:val="DefaultParagraphFont"/>
    <w:rsid w:val="00493B51"/>
  </w:style>
  <w:style w:type="character" w:customStyle="1" w:styleId="shorttext">
    <w:name w:val="short_text"/>
    <w:basedOn w:val="DefaultParagraphFont"/>
    <w:rsid w:val="00493B51"/>
  </w:style>
  <w:style w:type="character" w:customStyle="1" w:styleId="boldface">
    <w:name w:val="boldface"/>
    <w:basedOn w:val="DefaultParagraphFont"/>
    <w:rsid w:val="00493B51"/>
  </w:style>
  <w:style w:type="character" w:customStyle="1" w:styleId="italics">
    <w:name w:val="italics"/>
    <w:basedOn w:val="DefaultParagraphFont"/>
    <w:rsid w:val="00493B51"/>
  </w:style>
  <w:style w:type="character" w:customStyle="1" w:styleId="superscript">
    <w:name w:val="superscript"/>
    <w:basedOn w:val="DefaultParagraphFont"/>
    <w:rsid w:val="00493B51"/>
  </w:style>
  <w:style w:type="paragraph" w:styleId="Caption">
    <w:name w:val="caption"/>
    <w:basedOn w:val="Normal"/>
    <w:next w:val="Normal"/>
    <w:link w:val="CaptionChar"/>
    <w:semiHidden/>
    <w:unhideWhenUsed/>
    <w:qFormat/>
    <w:rsid w:val="00493B51"/>
    <w:pPr>
      <w:spacing w:line="240" w:lineRule="auto"/>
    </w:pPr>
    <w:rPr>
      <w:rFonts w:ascii="Tahoma" w:eastAsia="Times New Roman" w:hAnsi="Tahoma"/>
      <w:sz w:val="16"/>
      <w:lang w:val="de-AT" w:eastAsia="de-DE"/>
    </w:rPr>
  </w:style>
  <w:style w:type="character" w:customStyle="1" w:styleId="MessageHeaderLabel">
    <w:name w:val="Message Header Label"/>
    <w:rsid w:val="00493B51"/>
    <w:rPr>
      <w:rFonts w:ascii="Arial" w:hAnsi="Arial" w:cs="Arial" w:hint="default"/>
      <w:b/>
      <w:bCs/>
      <w:spacing w:val="-4"/>
      <w:sz w:val="18"/>
      <w:szCs w:val="18"/>
      <w:vertAlign w:val="baseline"/>
    </w:rPr>
  </w:style>
  <w:style w:type="character" w:customStyle="1" w:styleId="bold">
    <w:name w:val="bold"/>
    <w:rsid w:val="00493B51"/>
    <w:rPr>
      <w:b/>
      <w:bCs/>
    </w:rPr>
  </w:style>
  <w:style w:type="character" w:customStyle="1" w:styleId="st">
    <w:name w:val="st"/>
    <w:rsid w:val="00493B51"/>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493B51"/>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493B51"/>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493B51"/>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493B51"/>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493B51"/>
    <w:rPr>
      <w:i/>
      <w:iCs/>
      <w:color w:val="000000"/>
      <w:spacing w:val="0"/>
      <w:w w:val="100"/>
      <w:position w:val="0"/>
      <w:sz w:val="16"/>
      <w:szCs w:val="16"/>
      <w:shd w:val="clear" w:color="auto" w:fill="FFFFFF"/>
      <w:lang w:val="sq-AL" w:eastAsia="sq-AL" w:bidi="sq-AL"/>
    </w:rPr>
  </w:style>
  <w:style w:type="character" w:customStyle="1" w:styleId="text10">
    <w:name w:val="text1"/>
    <w:rsid w:val="00493B51"/>
    <w:rPr>
      <w:rFonts w:ascii="Verdana" w:hAnsi="Verdana" w:hint="default"/>
      <w:color w:val="000000"/>
      <w:sz w:val="18"/>
      <w:szCs w:val="18"/>
    </w:rPr>
  </w:style>
  <w:style w:type="character" w:customStyle="1" w:styleId="TitleChar2">
    <w:name w:val="Title Char2"/>
    <w:uiPriority w:val="99"/>
    <w:locked/>
    <w:rsid w:val="00493B51"/>
    <w:rPr>
      <w:rFonts w:ascii="Arrus BT" w:eastAsia="MS Mincho" w:hAnsi="Arrus BT" w:cs="Arrus BT" w:hint="default"/>
      <w:b/>
      <w:bCs/>
      <w:sz w:val="32"/>
      <w:szCs w:val="32"/>
      <w:lang w:val="en-US" w:eastAsia="en-US"/>
    </w:rPr>
  </w:style>
  <w:style w:type="character" w:customStyle="1" w:styleId="FontStyle85">
    <w:name w:val="Font Style85"/>
    <w:basedOn w:val="DefaultParagraphFont"/>
    <w:uiPriority w:val="99"/>
    <w:rsid w:val="00493B51"/>
    <w:rPr>
      <w:rFonts w:ascii="Garamond" w:hAnsi="Garamond" w:cs="Garamond" w:hint="default"/>
      <w:sz w:val="22"/>
      <w:szCs w:val="22"/>
    </w:rPr>
  </w:style>
  <w:style w:type="character" w:customStyle="1" w:styleId="arial14">
    <w:name w:val="arial14"/>
    <w:rsid w:val="00493B51"/>
  </w:style>
  <w:style w:type="character" w:customStyle="1" w:styleId="ju-005fpara--char">
    <w:name w:val="ju-005fpara--char"/>
    <w:basedOn w:val="DefaultParagraphFont"/>
    <w:rsid w:val="00493B51"/>
  </w:style>
  <w:style w:type="character" w:customStyle="1" w:styleId="eheadnotes">
    <w:name w:val="eheadnotes"/>
    <w:rsid w:val="00493B51"/>
    <w:rPr>
      <w:rFonts w:ascii="Times New Roman" w:hAnsi="Times New Roman" w:cs="Times New Roman" w:hint="default"/>
    </w:rPr>
  </w:style>
  <w:style w:type="character" w:customStyle="1" w:styleId="edate">
    <w:name w:val="edate"/>
    <w:rsid w:val="00493B51"/>
    <w:rPr>
      <w:rFonts w:ascii="Times New Roman" w:hAnsi="Times New Roman" w:cs="Times New Roman" w:hint="default"/>
    </w:rPr>
  </w:style>
  <w:style w:type="character" w:customStyle="1" w:styleId="enumber">
    <w:name w:val="enumber"/>
    <w:rsid w:val="00493B51"/>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493B51"/>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493B51"/>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493B51"/>
  </w:style>
  <w:style w:type="character" w:customStyle="1" w:styleId="bumpedfont15">
    <w:name w:val="bumpedfont15"/>
    <w:rsid w:val="00493B51"/>
  </w:style>
  <w:style w:type="character" w:customStyle="1" w:styleId="sub">
    <w:name w:val="sub"/>
    <w:basedOn w:val="DefaultParagraphFont"/>
    <w:rsid w:val="00493B51"/>
  </w:style>
  <w:style w:type="character" w:customStyle="1" w:styleId="yshortcuts">
    <w:name w:val="yshortcuts"/>
    <w:basedOn w:val="DefaultParagraphFont"/>
    <w:rsid w:val="00493B51"/>
  </w:style>
  <w:style w:type="character" w:customStyle="1" w:styleId="css-9sn2pa">
    <w:name w:val="css-9sn2pa"/>
    <w:rsid w:val="00493B51"/>
  </w:style>
  <w:style w:type="character" w:customStyle="1" w:styleId="FontStyle26">
    <w:name w:val="Font Style26"/>
    <w:rsid w:val="00493B51"/>
    <w:rPr>
      <w:rFonts w:ascii="Book Antiqua" w:hAnsi="Book Antiqua" w:cs="Book Antiqua" w:hint="default"/>
      <w:b/>
      <w:bCs/>
      <w:sz w:val="18"/>
      <w:szCs w:val="18"/>
    </w:rPr>
  </w:style>
  <w:style w:type="character" w:customStyle="1" w:styleId="FontStyle27">
    <w:name w:val="Font Style27"/>
    <w:rsid w:val="00493B51"/>
    <w:rPr>
      <w:rFonts w:ascii="Book Antiqua" w:hAnsi="Book Antiqua" w:cs="Book Antiqua" w:hint="default"/>
      <w:sz w:val="18"/>
      <w:szCs w:val="18"/>
    </w:rPr>
  </w:style>
  <w:style w:type="character" w:customStyle="1" w:styleId="FontStyle28">
    <w:name w:val="Font Style28"/>
    <w:rsid w:val="00493B51"/>
    <w:rPr>
      <w:rFonts w:ascii="Book Antiqua" w:hAnsi="Book Antiqua" w:cs="Book Antiqua" w:hint="default"/>
      <w:sz w:val="18"/>
      <w:szCs w:val="18"/>
    </w:rPr>
  </w:style>
  <w:style w:type="character" w:customStyle="1" w:styleId="FontStyle31">
    <w:name w:val="Font Style31"/>
    <w:rsid w:val="00493B51"/>
    <w:rPr>
      <w:rFonts w:ascii="Bookman Old Style" w:hAnsi="Bookman Old Style" w:cs="Bookman Old Style" w:hint="default"/>
      <w:b/>
      <w:bCs/>
      <w:sz w:val="18"/>
      <w:szCs w:val="18"/>
    </w:rPr>
  </w:style>
  <w:style w:type="character" w:customStyle="1" w:styleId="FontStyle32">
    <w:name w:val="Font Style32"/>
    <w:rsid w:val="00493B51"/>
    <w:rPr>
      <w:rFonts w:ascii="Times New Roman" w:hAnsi="Times New Roman" w:cs="Times New Roman" w:hint="default"/>
      <w:sz w:val="20"/>
      <w:szCs w:val="20"/>
    </w:rPr>
  </w:style>
  <w:style w:type="character" w:customStyle="1" w:styleId="FontStyle33">
    <w:name w:val="Font Style33"/>
    <w:rsid w:val="00493B51"/>
    <w:rPr>
      <w:rFonts w:ascii="Times New Roman" w:hAnsi="Times New Roman" w:cs="Times New Roman" w:hint="default"/>
      <w:sz w:val="24"/>
      <w:szCs w:val="24"/>
    </w:rPr>
  </w:style>
  <w:style w:type="character" w:customStyle="1" w:styleId="FontStyle34">
    <w:name w:val="Font Style34"/>
    <w:rsid w:val="00493B51"/>
    <w:rPr>
      <w:rFonts w:ascii="Times New Roman" w:hAnsi="Times New Roman" w:cs="Times New Roman" w:hint="default"/>
      <w:sz w:val="22"/>
      <w:szCs w:val="22"/>
    </w:rPr>
  </w:style>
  <w:style w:type="character" w:customStyle="1" w:styleId="FontStyle35">
    <w:name w:val="Font Style35"/>
    <w:rsid w:val="00493B51"/>
    <w:rPr>
      <w:rFonts w:ascii="Times New Roman" w:hAnsi="Times New Roman" w:cs="Times New Roman" w:hint="default"/>
      <w:b/>
      <w:bCs/>
      <w:sz w:val="22"/>
      <w:szCs w:val="22"/>
    </w:rPr>
  </w:style>
  <w:style w:type="character" w:customStyle="1" w:styleId="FontStyle37">
    <w:name w:val="Font Style37"/>
    <w:rsid w:val="00493B51"/>
    <w:rPr>
      <w:rFonts w:ascii="Times New Roman" w:hAnsi="Times New Roman" w:cs="Times New Roman" w:hint="default"/>
      <w:sz w:val="22"/>
      <w:szCs w:val="22"/>
    </w:rPr>
  </w:style>
  <w:style w:type="character" w:customStyle="1" w:styleId="FontStyle38">
    <w:name w:val="Font Style38"/>
    <w:rsid w:val="00493B51"/>
    <w:rPr>
      <w:rFonts w:ascii="Times New Roman" w:hAnsi="Times New Roman" w:cs="Times New Roman" w:hint="default"/>
      <w:sz w:val="22"/>
      <w:szCs w:val="22"/>
    </w:rPr>
  </w:style>
  <w:style w:type="character" w:customStyle="1" w:styleId="FontStyle36">
    <w:name w:val="Font Style36"/>
    <w:rsid w:val="00493B51"/>
    <w:rPr>
      <w:rFonts w:ascii="Garamond" w:hAnsi="Garamond" w:cs="Garamond" w:hint="default"/>
      <w:i/>
      <w:iCs/>
      <w:sz w:val="24"/>
      <w:szCs w:val="24"/>
    </w:rPr>
  </w:style>
  <w:style w:type="character" w:customStyle="1" w:styleId="FontStyle39">
    <w:name w:val="Font Style39"/>
    <w:rsid w:val="00493B51"/>
    <w:rPr>
      <w:rFonts w:ascii="Times New Roman" w:hAnsi="Times New Roman" w:cs="Times New Roman" w:hint="default"/>
      <w:sz w:val="22"/>
      <w:szCs w:val="22"/>
    </w:rPr>
  </w:style>
  <w:style w:type="character" w:customStyle="1" w:styleId="FontStyle40">
    <w:name w:val="Font Style40"/>
    <w:rsid w:val="00493B51"/>
    <w:rPr>
      <w:rFonts w:ascii="Franklin Gothic Medium Cond" w:hAnsi="Franklin Gothic Medium Cond" w:cs="Franklin Gothic Medium Cond" w:hint="default"/>
      <w:b/>
      <w:bCs/>
      <w:sz w:val="24"/>
      <w:szCs w:val="24"/>
    </w:rPr>
  </w:style>
  <w:style w:type="character" w:customStyle="1" w:styleId="FontStyle41">
    <w:name w:val="Font Style41"/>
    <w:rsid w:val="00493B51"/>
    <w:rPr>
      <w:rFonts w:ascii="Times New Roman" w:hAnsi="Times New Roman" w:cs="Times New Roman" w:hint="default"/>
      <w:b/>
      <w:bCs/>
      <w:sz w:val="22"/>
      <w:szCs w:val="22"/>
    </w:rPr>
  </w:style>
  <w:style w:type="character" w:customStyle="1" w:styleId="FontStyle42">
    <w:name w:val="Font Style42"/>
    <w:rsid w:val="00493B51"/>
    <w:rPr>
      <w:rFonts w:ascii="Georgia" w:hAnsi="Georgia" w:cs="Georgia" w:hint="default"/>
      <w:sz w:val="18"/>
      <w:szCs w:val="18"/>
    </w:rPr>
  </w:style>
  <w:style w:type="character" w:customStyle="1" w:styleId="FontStyle43">
    <w:name w:val="Font Style43"/>
    <w:rsid w:val="00493B51"/>
    <w:rPr>
      <w:rFonts w:ascii="Times New Roman" w:hAnsi="Times New Roman" w:cs="Times New Roman" w:hint="default"/>
      <w:sz w:val="34"/>
      <w:szCs w:val="34"/>
    </w:rPr>
  </w:style>
  <w:style w:type="character" w:customStyle="1" w:styleId="FontStyle44">
    <w:name w:val="Font Style44"/>
    <w:rsid w:val="00493B51"/>
    <w:rPr>
      <w:rFonts w:ascii="Georgia" w:hAnsi="Georgia" w:cs="Georgia" w:hint="default"/>
      <w:b/>
      <w:bCs/>
      <w:sz w:val="20"/>
      <w:szCs w:val="20"/>
    </w:rPr>
  </w:style>
  <w:style w:type="character" w:customStyle="1" w:styleId="FontStyle45">
    <w:name w:val="Font Style45"/>
    <w:rsid w:val="00493B51"/>
    <w:rPr>
      <w:rFonts w:ascii="Times New Roman" w:hAnsi="Times New Roman" w:cs="Times New Roman" w:hint="default"/>
      <w:sz w:val="22"/>
      <w:szCs w:val="22"/>
    </w:rPr>
  </w:style>
  <w:style w:type="character" w:customStyle="1" w:styleId="FontStyle46">
    <w:name w:val="Font Style46"/>
    <w:rsid w:val="00493B51"/>
    <w:rPr>
      <w:rFonts w:ascii="Times New Roman" w:hAnsi="Times New Roman" w:cs="Times New Roman" w:hint="default"/>
      <w:sz w:val="22"/>
      <w:szCs w:val="22"/>
    </w:rPr>
  </w:style>
  <w:style w:type="character" w:customStyle="1" w:styleId="FontStyle29">
    <w:name w:val="Font Style29"/>
    <w:rsid w:val="00493B51"/>
    <w:rPr>
      <w:rFonts w:ascii="Palatino Linotype" w:hAnsi="Palatino Linotype" w:cs="Palatino Linotype" w:hint="default"/>
      <w:sz w:val="16"/>
      <w:szCs w:val="16"/>
    </w:rPr>
  </w:style>
  <w:style w:type="character" w:customStyle="1" w:styleId="FontStyle30">
    <w:name w:val="Font Style30"/>
    <w:rsid w:val="00493B51"/>
    <w:rPr>
      <w:rFonts w:ascii="Book Antiqua" w:hAnsi="Book Antiqua" w:cs="Book Antiqua" w:hint="default"/>
      <w:sz w:val="18"/>
      <w:szCs w:val="18"/>
    </w:rPr>
  </w:style>
  <w:style w:type="character" w:customStyle="1" w:styleId="FontStyle24">
    <w:name w:val="Font Style24"/>
    <w:rsid w:val="00493B51"/>
    <w:rPr>
      <w:rFonts w:ascii="Book Antiqua" w:hAnsi="Book Antiqua" w:cs="Book Antiqua" w:hint="default"/>
      <w:sz w:val="16"/>
      <w:szCs w:val="16"/>
    </w:rPr>
  </w:style>
  <w:style w:type="character" w:customStyle="1" w:styleId="FontStyle12">
    <w:name w:val="Font Style12"/>
    <w:rsid w:val="00493B51"/>
    <w:rPr>
      <w:rFonts w:ascii="Century Gothic" w:hAnsi="Century Gothic" w:cs="Century Gothic" w:hint="default"/>
      <w:b/>
      <w:bCs/>
      <w:sz w:val="16"/>
      <w:szCs w:val="16"/>
    </w:rPr>
  </w:style>
  <w:style w:type="character" w:customStyle="1" w:styleId="FontStyle14">
    <w:name w:val="Font Style14"/>
    <w:rsid w:val="00493B51"/>
    <w:rPr>
      <w:rFonts w:ascii="Book Antiqua" w:hAnsi="Book Antiqua" w:cs="Book Antiqua" w:hint="default"/>
      <w:sz w:val="20"/>
      <w:szCs w:val="20"/>
    </w:rPr>
  </w:style>
  <w:style w:type="character" w:customStyle="1" w:styleId="FontStyle15">
    <w:name w:val="Font Style15"/>
    <w:rsid w:val="00493B51"/>
    <w:rPr>
      <w:rFonts w:ascii="Book Antiqua" w:hAnsi="Book Antiqua" w:cs="Book Antiqua" w:hint="default"/>
      <w:b/>
      <w:bCs/>
      <w:sz w:val="20"/>
      <w:szCs w:val="20"/>
    </w:rPr>
  </w:style>
  <w:style w:type="character" w:customStyle="1" w:styleId="FontStyle16">
    <w:name w:val="Font Style16"/>
    <w:rsid w:val="00493B51"/>
    <w:rPr>
      <w:rFonts w:ascii="Palatino Linotype" w:hAnsi="Palatino Linotype" w:cs="Palatino Linotype" w:hint="default"/>
      <w:sz w:val="20"/>
      <w:szCs w:val="20"/>
    </w:rPr>
  </w:style>
  <w:style w:type="character" w:customStyle="1" w:styleId="FontStyle17">
    <w:name w:val="Font Style17"/>
    <w:rsid w:val="00493B51"/>
    <w:rPr>
      <w:rFonts w:ascii="Book Antiqua" w:hAnsi="Book Antiqua" w:cs="Book Antiqua" w:hint="default"/>
      <w:sz w:val="22"/>
      <w:szCs w:val="22"/>
    </w:rPr>
  </w:style>
  <w:style w:type="character" w:customStyle="1" w:styleId="FontStyle18">
    <w:name w:val="Font Style18"/>
    <w:rsid w:val="00493B51"/>
    <w:rPr>
      <w:rFonts w:ascii="MS Reference Sans Serif" w:hAnsi="MS Reference Sans Serif" w:cs="MS Reference Sans Serif" w:hint="default"/>
      <w:sz w:val="20"/>
      <w:szCs w:val="20"/>
    </w:rPr>
  </w:style>
  <w:style w:type="character" w:customStyle="1" w:styleId="CommentSubjectChar1">
    <w:name w:val="Comment Subject Char1"/>
    <w:uiPriority w:val="99"/>
    <w:rsid w:val="00493B51"/>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493B51"/>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customStyle="1" w:styleId="MediumGrid2Char">
    <w:name w:val="Medium Grid 2 Char"/>
    <w:link w:val="MediumGrid2"/>
    <w:uiPriority w:val="1"/>
    <w:semiHidden/>
    <w:locked/>
    <w:rsid w:val="00493B51"/>
    <w:rPr>
      <w:rFonts w:ascii="Book Antiqua" w:hAnsi="Book Antiqua" w:hint="default"/>
      <w:sz w:val="24"/>
      <w:szCs w:val="24"/>
      <w:lang w:val="sq-AL"/>
    </w:rPr>
  </w:style>
  <w:style w:type="table" w:styleId="TableSimple1">
    <w:name w:val="Table Simple 1"/>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493B51"/>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493B51"/>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493B51"/>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493B51"/>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493B51"/>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493B51"/>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493B51"/>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493B51"/>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493B51"/>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493B51"/>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493B51"/>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493B51"/>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493B51"/>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493B51"/>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493B51"/>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493B5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uiPriority w:val="59"/>
    <w:rsid w:val="00493B5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493B51"/>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493B5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493B51"/>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11">
    <w:name w:val="Table Grid11"/>
    <w:basedOn w:val="TableNormal"/>
    <w:uiPriority w:val="59"/>
    <w:rsid w:val="00493B5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493B51"/>
    <w:pPr>
      <w:spacing w:after="0" w:line="240" w:lineRule="auto"/>
    </w:pPr>
    <w:rPr>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493B51"/>
    <w:pPr>
      <w:numPr>
        <w:numId w:val="1"/>
      </w:numPr>
      <w:contextualSpacing/>
    </w:pPr>
  </w:style>
  <w:style w:type="paragraph" w:styleId="ListBullet">
    <w:name w:val="List Bullet"/>
    <w:basedOn w:val="Normal"/>
    <w:semiHidden/>
    <w:unhideWhenUsed/>
    <w:rsid w:val="00493B51"/>
    <w:pPr>
      <w:numPr>
        <w:numId w:val="3"/>
      </w:numPr>
      <w:contextualSpacing/>
    </w:pPr>
  </w:style>
  <w:style w:type="paragraph" w:styleId="ListBullet2">
    <w:name w:val="List Bullet 2"/>
    <w:basedOn w:val="Normal"/>
    <w:semiHidden/>
    <w:unhideWhenUsed/>
    <w:rsid w:val="00493B51"/>
    <w:pPr>
      <w:numPr>
        <w:numId w:val="5"/>
      </w:numPr>
      <w:contextualSpacing/>
    </w:pPr>
  </w:style>
  <w:style w:type="paragraph" w:styleId="ListBullet3">
    <w:name w:val="List Bullet 3"/>
    <w:basedOn w:val="Normal"/>
    <w:semiHidden/>
    <w:unhideWhenUsed/>
    <w:rsid w:val="00493B51"/>
    <w:pPr>
      <w:numPr>
        <w:numId w:val="6"/>
      </w:numPr>
      <w:contextualSpacing/>
    </w:pPr>
  </w:style>
  <w:style w:type="paragraph" w:styleId="ListBullet4">
    <w:name w:val="List Bullet 4"/>
    <w:basedOn w:val="Normal"/>
    <w:semiHidden/>
    <w:unhideWhenUsed/>
    <w:rsid w:val="00493B51"/>
    <w:pPr>
      <w:numPr>
        <w:numId w:val="7"/>
      </w:numPr>
      <w:contextualSpacing/>
    </w:pPr>
  </w:style>
  <w:style w:type="paragraph" w:styleId="ListBullet5">
    <w:name w:val="List Bullet 5"/>
    <w:basedOn w:val="Normal"/>
    <w:semiHidden/>
    <w:unhideWhenUsed/>
    <w:rsid w:val="00493B51"/>
    <w:pPr>
      <w:numPr>
        <w:numId w:val="8"/>
      </w:numPr>
      <w:contextualSpacing/>
    </w:pPr>
  </w:style>
  <w:style w:type="paragraph" w:styleId="ListNumber2">
    <w:name w:val="List Number 2"/>
    <w:basedOn w:val="Normal"/>
    <w:semiHidden/>
    <w:unhideWhenUsed/>
    <w:rsid w:val="00493B51"/>
    <w:pPr>
      <w:numPr>
        <w:numId w:val="9"/>
      </w:numPr>
      <w:contextualSpacing/>
    </w:pPr>
  </w:style>
  <w:style w:type="paragraph" w:styleId="ListNumber3">
    <w:name w:val="List Number 3"/>
    <w:basedOn w:val="Normal"/>
    <w:semiHidden/>
    <w:unhideWhenUsed/>
    <w:rsid w:val="00493B51"/>
    <w:pPr>
      <w:numPr>
        <w:numId w:val="10"/>
      </w:numPr>
      <w:contextualSpacing/>
    </w:pPr>
  </w:style>
  <w:style w:type="paragraph" w:styleId="ListNumber4">
    <w:name w:val="List Number 4"/>
    <w:basedOn w:val="Normal"/>
    <w:semiHidden/>
    <w:unhideWhenUsed/>
    <w:rsid w:val="00493B51"/>
    <w:pPr>
      <w:numPr>
        <w:numId w:val="11"/>
      </w:numPr>
      <w:contextualSpacing/>
    </w:pPr>
  </w:style>
  <w:style w:type="numbering" w:styleId="111111">
    <w:name w:val="Outline List 2"/>
    <w:basedOn w:val="NoList"/>
    <w:semiHidden/>
    <w:unhideWhenUsed/>
    <w:rsid w:val="00493B51"/>
    <w:pPr>
      <w:numPr>
        <w:numId w:val="19"/>
      </w:numPr>
    </w:pPr>
  </w:style>
  <w:style w:type="numbering" w:customStyle="1" w:styleId="aAhs">
    <w:name w:val="aAhs"/>
    <w:uiPriority w:val="99"/>
    <w:rsid w:val="00493B51"/>
    <w:pPr>
      <w:numPr>
        <w:numId w:val="20"/>
      </w:numPr>
    </w:pPr>
  </w:style>
  <w:style w:type="numbering" w:customStyle="1" w:styleId="Style3">
    <w:name w:val="Style3"/>
    <w:rsid w:val="00493B51"/>
    <w:pPr>
      <w:numPr>
        <w:numId w:val="21"/>
      </w:numPr>
    </w:pPr>
  </w:style>
  <w:style w:type="numbering" w:styleId="ArticleSection">
    <w:name w:val="Outline List 3"/>
    <w:basedOn w:val="NoList"/>
    <w:semiHidden/>
    <w:unhideWhenUsed/>
    <w:rsid w:val="00493B51"/>
    <w:pPr>
      <w:numPr>
        <w:numId w:val="22"/>
      </w:numPr>
    </w:pPr>
  </w:style>
  <w:style w:type="numbering" w:styleId="1ai">
    <w:name w:val="Outline List 1"/>
    <w:basedOn w:val="NoList"/>
    <w:semiHidden/>
    <w:unhideWhenUsed/>
    <w:rsid w:val="00493B51"/>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16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parlament.al/wp-content/uploads/2016/03/Raporti-PP-2015-FINAL.pdf" TargetMode="External"/><Relationship Id="rId7" Type="http://schemas.openxmlformats.org/officeDocument/2006/relationships/hyperlink" Target="http://www.2.ohchr.org/english/bodies/crc/docs/CRC.C.GC.10.pdf" TargetMode="External"/><Relationship Id="rId2" Type="http://schemas.openxmlformats.org/officeDocument/2006/relationships/hyperlink" Target="https://www.unicef.org/ceecis/Equitable_access_to_justice_for_children_in_Central_and_Eastern_Europe_and_Central_Asia_-_v2_1.pdf" TargetMode="External"/><Relationship Id="rId1" Type="http://schemas.openxmlformats.org/officeDocument/2006/relationships/hyperlink" Target="http://reformanedrejtesi.al/sites/default/files/draft_strategjia_versioni_shqip.pdf" TargetMode="External"/><Relationship Id="rId6" Type="http://schemas.openxmlformats.org/officeDocument/2006/relationships/hyperlink" Target="https://www.penalreform.org/wp-content/uploads/2013/11/Childrens-rights-training-manual-Final%C2%ADHR.pdf" TargetMode="External"/><Relationship Id="rId5" Type="http://schemas.openxmlformats.org/officeDocument/2006/relationships/hyperlink" Target="https://www.unicef.org/ceecis/Equitable_access_to_justice_for_children_in_Central_and_Eastern_Europe_and_Central_Asia_-_v2_1.pdf" TargetMode="External"/><Relationship Id="rId4" Type="http://schemas.openxmlformats.org/officeDocument/2006/relationships/hyperlink" Target="https://www.crin.org/en/access-justice-children-global-ranking"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'table 1'!$A$32</c:f>
              <c:strCache>
                <c:ptCount val="1"/>
                <c:pt idx="0">
                  <c:v>Albania</c:v>
                </c:pt>
              </c:strCache>
            </c:strRef>
          </c:tx>
          <c:spPr>
            <a:ln w="28530" cap="rnd">
              <a:solidFill>
                <a:srgbClr val="C00000"/>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1'!$B$32:$H$32</c:f>
              <c:numCache>
                <c:formatCode>0.0%</c:formatCode>
                <c:ptCount val="7"/>
                <c:pt idx="0">
                  <c:v>0.88400000000000001</c:v>
                </c:pt>
                <c:pt idx="1">
                  <c:v>0.877</c:v>
                </c:pt>
                <c:pt idx="2">
                  <c:v>0.88700000000000001</c:v>
                </c:pt>
                <c:pt idx="3">
                  <c:v>0.61599999999999999</c:v>
                </c:pt>
                <c:pt idx="4">
                  <c:v>0.46500000000000002</c:v>
                </c:pt>
                <c:pt idx="5">
                  <c:v>0.54800000000000004</c:v>
                </c:pt>
                <c:pt idx="6">
                  <c:v>0.307</c:v>
                </c:pt>
              </c:numCache>
            </c:numRef>
          </c:val>
          <c:smooth val="0"/>
        </c:ser>
        <c:ser>
          <c:idx val="1"/>
          <c:order val="1"/>
          <c:tx>
            <c:strRef>
              <c:f>'table 1'!$A$33</c:f>
              <c:strCache>
                <c:ptCount val="1"/>
                <c:pt idx="0">
                  <c:v>Armenia</c:v>
                </c:pt>
              </c:strCache>
            </c:strRef>
          </c:tx>
          <c:spPr>
            <a:ln w="28530" cap="rnd">
              <a:solidFill>
                <a:schemeClr val="accent6">
                  <a:lumMod val="60000"/>
                  <a:lumOff val="40000"/>
                </a:schemeClr>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1'!$B$33:$H$33</c:f>
              <c:numCache>
                <c:formatCode>0.0%</c:formatCode>
                <c:ptCount val="7"/>
                <c:pt idx="0">
                  <c:v>0.13690476190476192</c:v>
                </c:pt>
                <c:pt idx="1">
                  <c:v>0.17318435754189945</c:v>
                </c:pt>
                <c:pt idx="2">
                  <c:v>0.21348314606741572</c:v>
                </c:pt>
                <c:pt idx="3">
                  <c:v>9.6385542168674704E-2</c:v>
                </c:pt>
                <c:pt idx="4">
                  <c:v>0.125</c:v>
                </c:pt>
                <c:pt idx="5">
                  <c:v>0.14545454545454545</c:v>
                </c:pt>
                <c:pt idx="6">
                  <c:v>0.17948717948717949</c:v>
                </c:pt>
              </c:numCache>
            </c:numRef>
          </c:val>
          <c:smooth val="0"/>
        </c:ser>
        <c:ser>
          <c:idx val="2"/>
          <c:order val="2"/>
          <c:tx>
            <c:strRef>
              <c:f>'table 1'!$A$34</c:f>
              <c:strCache>
                <c:ptCount val="1"/>
                <c:pt idx="0">
                  <c:v>Azerbaijan</c:v>
                </c:pt>
              </c:strCache>
            </c:strRef>
          </c:tx>
          <c:spPr>
            <a:ln w="28530" cap="rnd">
              <a:solidFill>
                <a:srgbClr val="FFC000"/>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1'!$B$34:$H$34</c:f>
              <c:numCache>
                <c:formatCode>0.0%</c:formatCode>
                <c:ptCount val="7"/>
                <c:pt idx="1">
                  <c:v>0.27213114754098361</c:v>
                </c:pt>
                <c:pt idx="2">
                  <c:v>0.14232209737827714</c:v>
                </c:pt>
                <c:pt idx="3">
                  <c:v>0.14864864864864866</c:v>
                </c:pt>
                <c:pt idx="4">
                  <c:v>0.13865546218487396</c:v>
                </c:pt>
                <c:pt idx="5">
                  <c:v>0.16182572614107885</c:v>
                </c:pt>
                <c:pt idx="6">
                  <c:v>0.15319148936170213</c:v>
                </c:pt>
              </c:numCache>
            </c:numRef>
          </c:val>
          <c:smooth val="0"/>
        </c:ser>
        <c:ser>
          <c:idx val="3"/>
          <c:order val="3"/>
          <c:tx>
            <c:strRef>
              <c:f>'table 1'!$A$35</c:f>
              <c:strCache>
                <c:ptCount val="1"/>
                <c:pt idx="0">
                  <c:v>Georgia</c:v>
                </c:pt>
              </c:strCache>
            </c:strRef>
          </c:tx>
          <c:spPr>
            <a:ln w="28530" cap="rnd">
              <a:solidFill>
                <a:srgbClr val="00B050"/>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1'!$B$35:$H$35</c:f>
              <c:numCache>
                <c:formatCode>0.0%</c:formatCode>
                <c:ptCount val="7"/>
                <c:pt idx="0">
                  <c:v>0.1347305389221557</c:v>
                </c:pt>
                <c:pt idx="1">
                  <c:v>0.20660377358490567</c:v>
                </c:pt>
                <c:pt idx="2">
                  <c:v>0.17495711835334476</c:v>
                </c:pt>
                <c:pt idx="3">
                  <c:v>0.11332503113325031</c:v>
                </c:pt>
                <c:pt idx="4">
                  <c:v>0.15741789354473387</c:v>
                </c:pt>
                <c:pt idx="6">
                  <c:v>0.12631578947368421</c:v>
                </c:pt>
              </c:numCache>
            </c:numRef>
          </c:val>
          <c:smooth val="0"/>
        </c:ser>
        <c:ser>
          <c:idx val="4"/>
          <c:order val="4"/>
          <c:tx>
            <c:strRef>
              <c:f>'table 1'!$A$36</c:f>
              <c:strCache>
                <c:ptCount val="1"/>
                <c:pt idx="0">
                  <c:v>Kazakhstan</c:v>
                </c:pt>
              </c:strCache>
            </c:strRef>
          </c:tx>
          <c:spPr>
            <a:ln w="28530" cap="rnd">
              <a:solidFill>
                <a:srgbClr val="00B0F0"/>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1'!$B$36:$H$36</c:f>
              <c:numCache>
                <c:formatCode>0.0%</c:formatCode>
                <c:ptCount val="7"/>
                <c:pt idx="0">
                  <c:v>0.19118869492934332</c:v>
                </c:pt>
                <c:pt idx="1">
                  <c:v>0.15932835820895522</c:v>
                </c:pt>
                <c:pt idx="2">
                  <c:v>0.15737819838766212</c:v>
                </c:pt>
                <c:pt idx="3">
                  <c:v>0.16088922381311227</c:v>
                </c:pt>
                <c:pt idx="4">
                  <c:v>0.12371134020618557</c:v>
                </c:pt>
                <c:pt idx="5">
                  <c:v>0.11808118081180811</c:v>
                </c:pt>
                <c:pt idx="6">
                  <c:v>0.10069444444444445</c:v>
                </c:pt>
              </c:numCache>
            </c:numRef>
          </c:val>
          <c:smooth val="0"/>
        </c:ser>
        <c:ser>
          <c:idx val="5"/>
          <c:order val="5"/>
          <c:tx>
            <c:strRef>
              <c:f>'table 1'!$A$37</c:f>
              <c:strCache>
                <c:ptCount val="1"/>
                <c:pt idx="0">
                  <c:v>Kyrgysztan</c:v>
                </c:pt>
              </c:strCache>
            </c:strRef>
          </c:tx>
          <c:spPr>
            <a:ln w="28530" cap="rnd">
              <a:solidFill>
                <a:schemeClr val="tx2">
                  <a:lumMod val="60000"/>
                  <a:lumOff val="40000"/>
                </a:schemeClr>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1'!$B$37:$H$37</c:f>
              <c:numCache>
                <c:formatCode>0.0%</c:formatCode>
                <c:ptCount val="7"/>
                <c:pt idx="0">
                  <c:v>9.3928980526918671E-2</c:v>
                </c:pt>
                <c:pt idx="1">
                  <c:v>0.11098654708520179</c:v>
                </c:pt>
                <c:pt idx="2">
                  <c:v>9.166666666666666E-2</c:v>
                </c:pt>
                <c:pt idx="3">
                  <c:v>0.11943793911007025</c:v>
                </c:pt>
                <c:pt idx="4">
                  <c:v>0.11316397228637413</c:v>
                </c:pt>
                <c:pt idx="5">
                  <c:v>8.2159624413145546E-2</c:v>
                </c:pt>
                <c:pt idx="6">
                  <c:v>9.6153846153846159E-2</c:v>
                </c:pt>
              </c:numCache>
            </c:numRef>
          </c:val>
          <c:smooth val="0"/>
        </c:ser>
        <c:ser>
          <c:idx val="6"/>
          <c:order val="6"/>
          <c:tx>
            <c:strRef>
              <c:f>'table 1'!$A$38</c:f>
              <c:strCache>
                <c:ptCount val="1"/>
                <c:pt idx="0">
                  <c:v>Moldova</c:v>
                </c:pt>
              </c:strCache>
            </c:strRef>
          </c:tx>
          <c:spPr>
            <a:ln w="28530" cap="rnd">
              <a:solidFill>
                <a:srgbClr val="92D050"/>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1'!$B$38:$H$38</c:f>
              <c:numCache>
                <c:formatCode>0.0%</c:formatCode>
                <c:ptCount val="7"/>
                <c:pt idx="0">
                  <c:v>0.10486322188449848</c:v>
                </c:pt>
                <c:pt idx="1">
                  <c:v>0.13897280966767372</c:v>
                </c:pt>
                <c:pt idx="2">
                  <c:v>5.3932584269662923E-2</c:v>
                </c:pt>
                <c:pt idx="3">
                  <c:v>6.9182389937106917E-2</c:v>
                </c:pt>
                <c:pt idx="4">
                  <c:v>8.5365853658536592E-2</c:v>
                </c:pt>
                <c:pt idx="5">
                  <c:v>9.7264437689969604E-2</c:v>
                </c:pt>
              </c:numCache>
            </c:numRef>
          </c:val>
          <c:smooth val="0"/>
        </c:ser>
        <c:ser>
          <c:idx val="7"/>
          <c:order val="7"/>
          <c:tx>
            <c:strRef>
              <c:f>'table 1'!$A$39</c:f>
              <c:strCache>
                <c:ptCount val="1"/>
                <c:pt idx="0">
                  <c:v>Montenegro</c:v>
                </c:pt>
              </c:strCache>
            </c:strRef>
          </c:tx>
          <c:spPr>
            <a:ln w="28530" cap="rnd">
              <a:solidFill>
                <a:srgbClr val="7030A0"/>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1'!$B$39:$H$39</c:f>
              <c:numCache>
                <c:formatCode>0.0%</c:formatCode>
                <c:ptCount val="7"/>
                <c:pt idx="0">
                  <c:v>6.25E-2</c:v>
                </c:pt>
                <c:pt idx="1">
                  <c:v>7.4324324324324328E-2</c:v>
                </c:pt>
                <c:pt idx="2">
                  <c:v>2.6041666666666668E-2</c:v>
                </c:pt>
                <c:pt idx="3">
                  <c:v>2.7559055118110236E-2</c:v>
                </c:pt>
                <c:pt idx="4">
                  <c:v>3.954802259887006E-2</c:v>
                </c:pt>
                <c:pt idx="5">
                  <c:v>2.5974025974025976E-2</c:v>
                </c:pt>
                <c:pt idx="6">
                  <c:v>5.0847457627118647E-2</c:v>
                </c:pt>
              </c:numCache>
            </c:numRef>
          </c:val>
          <c:smooth val="0"/>
        </c:ser>
        <c:ser>
          <c:idx val="8"/>
          <c:order val="8"/>
          <c:tx>
            <c:strRef>
              <c:f>'table 1'!$A$40</c:f>
              <c:strCache>
                <c:ptCount val="1"/>
                <c:pt idx="0">
                  <c:v>Tajikistan</c:v>
                </c:pt>
              </c:strCache>
            </c:strRef>
          </c:tx>
          <c:spPr>
            <a:ln w="28530" cap="rnd">
              <a:solidFill>
                <a:schemeClr val="accent2">
                  <a:lumMod val="50000"/>
                </a:schemeClr>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1'!$B$40:$H$40</c:f>
              <c:numCache>
                <c:formatCode>0.0%</c:formatCode>
                <c:ptCount val="7"/>
                <c:pt idx="0">
                  <c:v>0.55309734513274333</c:v>
                </c:pt>
                <c:pt idx="1">
                  <c:v>0.68831168831168832</c:v>
                </c:pt>
                <c:pt idx="2">
                  <c:v>0.67877094972067042</c:v>
                </c:pt>
                <c:pt idx="3">
                  <c:v>0.42964824120603012</c:v>
                </c:pt>
                <c:pt idx="4">
                  <c:v>0.42822966507177035</c:v>
                </c:pt>
                <c:pt idx="5">
                  <c:v>0.30890052356020942</c:v>
                </c:pt>
                <c:pt idx="6">
                  <c:v>0.22420634920634921</c:v>
                </c:pt>
              </c:numCache>
            </c:numRef>
          </c:val>
          <c:smooth val="0"/>
        </c:ser>
        <c:ser>
          <c:idx val="9"/>
          <c:order val="9"/>
          <c:tx>
            <c:strRef>
              <c:f>'table 1'!$A$41</c:f>
              <c:strCache>
                <c:ptCount val="1"/>
                <c:pt idx="0">
                  <c:v>Ukraine</c:v>
                </c:pt>
              </c:strCache>
            </c:strRef>
          </c:tx>
          <c:spPr>
            <a:ln w="28530" cap="rnd">
              <a:solidFill>
                <a:schemeClr val="accent3">
                  <a:lumMod val="75000"/>
                </a:schemeClr>
              </a:solidFill>
              <a:round/>
            </a:ln>
            <a:effectLst/>
          </c:spPr>
          <c:marker>
            <c:symbol val="none"/>
          </c:marker>
          <c:cat>
            <c:numRef>
              <c:f>'table 1'!$B$31:$H$31</c:f>
              <c:numCache>
                <c:formatCode>General</c:formatCode>
                <c:ptCount val="7"/>
                <c:pt idx="0">
                  <c:v>2006</c:v>
                </c:pt>
                <c:pt idx="1">
                  <c:v>2007</c:v>
                </c:pt>
                <c:pt idx="2">
                  <c:v>2008</c:v>
                </c:pt>
                <c:pt idx="3">
                  <c:v>2009</c:v>
                </c:pt>
                <c:pt idx="4">
                  <c:v>2010</c:v>
                </c:pt>
                <c:pt idx="5">
                  <c:v>2011</c:v>
                </c:pt>
                <c:pt idx="6">
                  <c:v>2012</c:v>
                </c:pt>
              </c:numCache>
            </c:numRef>
          </c:cat>
          <c:val>
            <c:numRef>
              <c:f>'table 1'!$B$41:$H$41</c:f>
              <c:numCache>
                <c:formatCode>0%</c:formatCode>
                <c:ptCount val="7"/>
                <c:pt idx="0">
                  <c:v>0.11772724011765549</c:v>
                </c:pt>
                <c:pt idx="1">
                  <c:v>0.11244404655326769</c:v>
                </c:pt>
                <c:pt idx="2">
                  <c:v>0.10448501686842628</c:v>
                </c:pt>
                <c:pt idx="3">
                  <c:v>0.10835768556399766</c:v>
                </c:pt>
                <c:pt idx="4">
                  <c:v>8.5086832674813928E-2</c:v>
                </c:pt>
                <c:pt idx="5">
                  <c:v>9.9930923324890633E-2</c:v>
                </c:pt>
                <c:pt idx="6">
                  <c:v>8.3351831298557152E-2</c:v>
                </c:pt>
              </c:numCache>
            </c:numRef>
          </c:val>
          <c:smooth val="0"/>
        </c:ser>
        <c:dLbls>
          <c:showLegendKey val="0"/>
          <c:showVal val="0"/>
          <c:showCatName val="0"/>
          <c:showSerName val="0"/>
          <c:showPercent val="0"/>
          <c:showBubbleSize val="0"/>
        </c:dLbls>
        <c:smooth val="0"/>
        <c:axId val="540359984"/>
        <c:axId val="540369776"/>
      </c:lineChart>
      <c:catAx>
        <c:axId val="540359984"/>
        <c:scaling>
          <c:orientation val="minMax"/>
        </c:scaling>
        <c:delete val="0"/>
        <c:axPos val="b"/>
        <c:numFmt formatCode="General" sourceLinked="1"/>
        <c:majorTickMark val="none"/>
        <c:minorTickMark val="none"/>
        <c:tickLblPos val="nextTo"/>
        <c:spPr>
          <a:noFill/>
          <a:ln w="9510"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899" b="0" i="0" u="none" strike="noStrike" kern="1200" baseline="0">
                <a:solidFill>
                  <a:sysClr val="windowText" lastClr="000000"/>
                </a:solidFill>
                <a:latin typeface="+mn-lt"/>
                <a:ea typeface="+mn-ea"/>
                <a:cs typeface="+mn-cs"/>
              </a:defRPr>
            </a:pPr>
            <a:endParaRPr lang="en-US"/>
          </a:p>
        </c:txPr>
        <c:crossAx val="540369776"/>
        <c:crosses val="autoZero"/>
        <c:auto val="1"/>
        <c:lblAlgn val="ctr"/>
        <c:lblOffset val="100"/>
        <c:noMultiLvlLbl val="0"/>
      </c:catAx>
      <c:valAx>
        <c:axId val="540369776"/>
        <c:scaling>
          <c:orientation val="minMax"/>
          <c:max val="1"/>
          <c:min val="0"/>
        </c:scaling>
        <c:delete val="0"/>
        <c:axPos val="l"/>
        <c:majorGridlines>
          <c:spPr>
            <a:ln w="9510" cap="flat" cmpd="sng" algn="ctr">
              <a:solidFill>
                <a:schemeClr val="tx1">
                  <a:lumMod val="15000"/>
                  <a:lumOff val="85000"/>
                </a:schemeClr>
              </a:solidFill>
              <a:round/>
            </a:ln>
            <a:effectLst/>
          </c:spPr>
        </c:majorGridlines>
        <c:numFmt formatCode="0%" sourceLinked="0"/>
        <c:majorTickMark val="none"/>
        <c:minorTickMark val="none"/>
        <c:tickLblPos val="nextTo"/>
        <c:spPr>
          <a:ln w="9510">
            <a:noFill/>
          </a:ln>
        </c:spPr>
        <c:txPr>
          <a:bodyPr rot="-60000000" spcFirstLastPara="1" vertOverflow="ellipsis" vert="horz" wrap="square" anchor="ctr" anchorCtr="1"/>
          <a:lstStyle/>
          <a:p>
            <a:pPr>
              <a:defRPr lang="en-US" sz="899" b="0" i="0" u="none" strike="noStrike" kern="1200" baseline="0">
                <a:solidFill>
                  <a:sysClr val="windowText" lastClr="000000"/>
                </a:solidFill>
                <a:latin typeface="+mn-lt"/>
                <a:ea typeface="+mn-ea"/>
                <a:cs typeface="+mn-cs"/>
              </a:defRPr>
            </a:pPr>
            <a:endParaRPr lang="en-US"/>
          </a:p>
        </c:txPr>
        <c:crossAx val="540359984"/>
        <c:crosses val="autoZero"/>
        <c:crossBetween val="between"/>
      </c:valAx>
      <c:dTable>
        <c:showHorzBorder val="1"/>
        <c:showVertBorder val="1"/>
        <c:showOutline val="1"/>
        <c:showKeys val="1"/>
        <c:spPr>
          <a:noFill/>
          <a:ln w="9510" cap="flat" cmpd="sng" algn="ctr">
            <a:solidFill>
              <a:schemeClr val="tx1">
                <a:lumMod val="15000"/>
                <a:lumOff val="85000"/>
              </a:schemeClr>
            </a:solidFill>
            <a:round/>
          </a:ln>
          <a:effectLst/>
        </c:spPr>
        <c:txPr>
          <a:bodyPr rot="0" spcFirstLastPara="1" vertOverflow="ellipsis" vert="horz" wrap="square" anchor="ctr" anchorCtr="1"/>
          <a:lstStyle/>
          <a:p>
            <a:pPr rtl="0">
              <a:defRPr lang="en-US" sz="899" b="0" i="0" u="none" strike="noStrike" kern="1200" baseline="0">
                <a:solidFill>
                  <a:sysClr val="windowText" lastClr="000000"/>
                </a:solidFill>
                <a:latin typeface="+mn-lt"/>
                <a:ea typeface="+mn-ea"/>
                <a:cs typeface="+mn-cs"/>
              </a:defRPr>
            </a:pPr>
            <a:endParaRPr lang="en-US"/>
          </a:p>
        </c:txPr>
      </c:dTable>
      <c:spPr>
        <a:noFill/>
        <a:ln w="25403">
          <a:noFill/>
        </a:ln>
      </c:spPr>
    </c:plotArea>
    <c:plotVisOnly val="1"/>
    <c:dispBlanksAs val="gap"/>
    <c:showDLblsOverMax val="0"/>
  </c:chart>
  <c:spPr>
    <a:solidFill>
      <a:schemeClr val="bg1"/>
    </a:solidFill>
    <a:ln w="9510"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3</TotalTime>
  <Pages>26</Pages>
  <Words>12187</Words>
  <Characters>69468</Characters>
  <Application>Microsoft Office Word</Application>
  <DocSecurity>0</DocSecurity>
  <Lines>578</Lines>
  <Paragraphs>162</Paragraphs>
  <ScaleCrop>false</ScaleCrop>
  <Company/>
  <LinksUpToDate>false</LinksUpToDate>
  <CharactersWithSpaces>81493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2018-09-26T14:11:00Z</dcterms:created>
  <dcterms:modified xsi:type="dcterms:W3CDTF">2018-09-26T14:14:00Z</dcterms:modified>
</cp:coreProperties>
</file>