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932" w:rsidRPr="0060294B" w:rsidRDefault="00D66932" w:rsidP="00D66932">
      <w:pPr>
        <w:pStyle w:val="NeniTitull"/>
        <w:rPr>
          <w:szCs w:val="24"/>
          <w:lang w:val="sq-AL"/>
        </w:rPr>
      </w:pPr>
      <w:bookmarkStart w:id="0" w:name="_Toc526847759"/>
      <w:r w:rsidRPr="0060294B">
        <w:rPr>
          <w:szCs w:val="24"/>
          <w:lang w:val="sq-AL"/>
        </w:rPr>
        <w:t>VENDIM</w:t>
      </w:r>
      <w:bookmarkEnd w:id="0"/>
    </w:p>
    <w:p w:rsidR="00D66932" w:rsidRPr="0060294B" w:rsidRDefault="00D66932" w:rsidP="00D66932">
      <w:pPr>
        <w:pStyle w:val="NeniTitull"/>
        <w:rPr>
          <w:szCs w:val="24"/>
          <w:lang w:val="sq-AL"/>
        </w:rPr>
      </w:pPr>
      <w:bookmarkStart w:id="1" w:name="_Toc526847760"/>
      <w:r w:rsidRPr="0060294B">
        <w:rPr>
          <w:szCs w:val="24"/>
          <w:lang w:val="sq-AL"/>
        </w:rPr>
        <w:t>Nr. 570, datë 3.10.2018</w:t>
      </w:r>
      <w:bookmarkEnd w:id="1"/>
    </w:p>
    <w:p w:rsidR="00D66932" w:rsidRPr="0060294B" w:rsidRDefault="00D66932" w:rsidP="00D66932">
      <w:pPr>
        <w:pStyle w:val="NeniTitull"/>
        <w:rPr>
          <w:szCs w:val="24"/>
          <w:lang w:val="sq-AL"/>
        </w:rPr>
      </w:pPr>
    </w:p>
    <w:p w:rsidR="00472094" w:rsidRPr="0060294B" w:rsidRDefault="00D66932" w:rsidP="00472094">
      <w:pPr>
        <w:pStyle w:val="NeniTitull"/>
        <w:rPr>
          <w:i/>
          <w:szCs w:val="24"/>
          <w:lang w:val="sq-AL"/>
        </w:rPr>
      </w:pPr>
      <w:bookmarkStart w:id="2" w:name="_Toc526847761"/>
      <w:r w:rsidRPr="0060294B">
        <w:rPr>
          <w:szCs w:val="24"/>
          <w:lang w:val="sq-AL"/>
        </w:rPr>
        <w:t xml:space="preserve">PËR KËSHILLAT MBIKËQYRËS TË </w:t>
      </w:r>
      <w:bookmarkEnd w:id="2"/>
      <w:r w:rsidR="00472094" w:rsidRPr="0060294B">
        <w:rPr>
          <w:i/>
          <w:szCs w:val="24"/>
        </w:rPr>
        <w:t>SHOQËRIVE TREGTARE SHTETËRORE</w:t>
      </w:r>
    </w:p>
    <w:p w:rsidR="00472094" w:rsidRPr="0060294B" w:rsidRDefault="00472094" w:rsidP="0060294B">
      <w:pPr>
        <w:spacing w:after="0" w:line="240" w:lineRule="auto"/>
        <w:ind w:firstLine="284"/>
        <w:jc w:val="center"/>
        <w:rPr>
          <w:rFonts w:ascii="Garamond" w:eastAsia="Times New Roman" w:hAnsi="Garamond" w:cs="Times New Roman"/>
          <w:bCs/>
          <w:sz w:val="24"/>
          <w:szCs w:val="24"/>
          <w:lang w:val="sq-AL"/>
        </w:rPr>
      </w:pPr>
      <w:r w:rsidRPr="0060294B">
        <w:rPr>
          <w:rFonts w:ascii="Garamond" w:hAnsi="Garamond"/>
          <w:i/>
          <w:sz w:val="24"/>
          <w:szCs w:val="24"/>
          <w:lang w:val="sq-AL"/>
        </w:rPr>
        <w:t>(Ndryshuar me VKM nr. 363</w:t>
      </w:r>
      <w:r w:rsidR="008A32ED" w:rsidRPr="0060294B">
        <w:rPr>
          <w:rStyle w:val="FootnoteReference"/>
          <w:rFonts w:ascii="Garamond" w:hAnsi="Garamond"/>
          <w:i/>
          <w:sz w:val="24"/>
          <w:szCs w:val="24"/>
          <w:lang w:val="sq-AL"/>
        </w:rPr>
        <w:footnoteReference w:id="1"/>
      </w:r>
      <w:r w:rsidRPr="0060294B">
        <w:rPr>
          <w:rFonts w:ascii="Garamond" w:hAnsi="Garamond"/>
          <w:i/>
          <w:sz w:val="24"/>
          <w:szCs w:val="24"/>
          <w:lang w:val="sq-AL"/>
        </w:rPr>
        <w:t>, datë 30.6.2025</w:t>
      </w:r>
      <w:r w:rsidR="0060294B" w:rsidRPr="0060294B">
        <w:rPr>
          <w:rFonts w:ascii="Garamond" w:hAnsi="Garamond"/>
          <w:i/>
          <w:sz w:val="24"/>
          <w:szCs w:val="24"/>
          <w:lang w:val="sq-AL"/>
        </w:rPr>
        <w:t>;</w:t>
      </w:r>
      <w:r w:rsidR="0060294B" w:rsidRPr="0060294B">
        <w:rPr>
          <w:rFonts w:ascii="Garamond" w:eastAsia="Times New Roman" w:hAnsi="Garamond" w:cs="Times New Roman"/>
          <w:bCs/>
          <w:sz w:val="24"/>
          <w:szCs w:val="24"/>
          <w:lang w:val="sq-AL"/>
        </w:rPr>
        <w:t xml:space="preserve"> </w:t>
      </w:r>
      <w:r w:rsidR="0060294B" w:rsidRPr="0060294B">
        <w:rPr>
          <w:rFonts w:ascii="Garamond" w:eastAsia="Times New Roman" w:hAnsi="Garamond" w:cs="Times New Roman"/>
          <w:bCs/>
          <w:sz w:val="24"/>
          <w:szCs w:val="24"/>
          <w:lang w:val="sq-AL"/>
        </w:rPr>
        <w:t>Nr. 498, datë 26.6.2026</w:t>
      </w:r>
      <w:r w:rsidRPr="0060294B">
        <w:rPr>
          <w:rFonts w:ascii="Garamond" w:hAnsi="Garamond"/>
          <w:i/>
          <w:sz w:val="24"/>
          <w:szCs w:val="24"/>
          <w:lang w:val="sq-AL"/>
        </w:rPr>
        <w:t>)</w:t>
      </w:r>
    </w:p>
    <w:p w:rsidR="00D66932" w:rsidRPr="0060294B" w:rsidRDefault="00472094" w:rsidP="00472094">
      <w:pPr>
        <w:pStyle w:val="NeniTitull"/>
        <w:jc w:val="right"/>
        <w:rPr>
          <w:b w:val="0"/>
          <w:bCs w:val="0"/>
          <w:i/>
          <w:szCs w:val="24"/>
          <w:lang w:val="sq-AL"/>
        </w:rPr>
      </w:pPr>
      <w:r w:rsidRPr="0060294B">
        <w:rPr>
          <w:b w:val="0"/>
          <w:bCs w:val="0"/>
          <w:i/>
          <w:szCs w:val="24"/>
          <w:lang w:val="sq-AL"/>
        </w:rPr>
        <w:t>(i përditësuar)</w:t>
      </w:r>
      <w:r w:rsidR="00D66932" w:rsidRPr="0060294B">
        <w:rPr>
          <w:b w:val="0"/>
          <w:bCs w:val="0"/>
          <w:i/>
          <w:szCs w:val="24"/>
          <w:lang w:val="sq-AL"/>
        </w:rPr>
        <w:br/>
      </w:r>
    </w:p>
    <w:p w:rsidR="00D66932" w:rsidRPr="0060294B" w:rsidRDefault="00D66932" w:rsidP="00D66932">
      <w:pPr>
        <w:pStyle w:val="Paragrafi"/>
        <w:rPr>
          <w:szCs w:val="24"/>
          <w:lang w:val="sq-AL"/>
        </w:rPr>
      </w:pPr>
      <w:r w:rsidRPr="0060294B">
        <w:rPr>
          <w:szCs w:val="24"/>
          <w:lang w:val="sq-AL"/>
        </w:rPr>
        <w:t>Në mbështetje të nenit 100 të Kushtetutës, të nenit 8, të ligjit nr. 7926, datë 20.4.1995, “Për transformimin e ndërmarrjeve shtetërore në shoqëri tregtare”, të ndryshuar, dhe të kreut III, të ligjit nr. 9901, datë 14.4.2008, “Për tregtarët dhe shoqëritë tregtare”, të ndryshuar, me propozimin e ministrit të Financave dhe Ekonomisë, Këshilli i Ministrave</w:t>
      </w:r>
    </w:p>
    <w:p w:rsidR="00D66932" w:rsidRPr="0060294B" w:rsidRDefault="00D66932" w:rsidP="00D66932">
      <w:pPr>
        <w:pStyle w:val="NeniNr"/>
        <w:rPr>
          <w:szCs w:val="24"/>
          <w:lang w:val="sq-AL"/>
        </w:rPr>
      </w:pPr>
    </w:p>
    <w:p w:rsidR="00D66932" w:rsidRPr="0060294B" w:rsidRDefault="00D66932" w:rsidP="00D66932">
      <w:pPr>
        <w:pStyle w:val="NeniNr"/>
        <w:rPr>
          <w:szCs w:val="24"/>
          <w:lang w:val="sq-AL"/>
        </w:rPr>
      </w:pPr>
      <w:r w:rsidRPr="0060294B">
        <w:rPr>
          <w:szCs w:val="24"/>
          <w:lang w:val="sq-AL"/>
        </w:rPr>
        <w:t>VENDOSI:</w:t>
      </w:r>
    </w:p>
    <w:p w:rsidR="00D66932" w:rsidRPr="0060294B" w:rsidRDefault="00D66932" w:rsidP="00D66932">
      <w:pPr>
        <w:pStyle w:val="Paragrafi"/>
        <w:rPr>
          <w:szCs w:val="24"/>
          <w:lang w:val="sq-AL"/>
        </w:rPr>
      </w:pP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1. Ky vendim përcakton rregullat për përbërjen, përzgjedhjen, emërimin, funksionimin, vlerësimin dhe mbikëqyrjen e këshillave mbikëqyrës të shoqërive aksionare shtetërore, si dhe organizimin e funksionimin e komisioneve të përhershme të emërimit.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Dispozitat e këtij vendimi zbatohen për të gjitha shoqëritë aksionare me kapital shtetëror në pronësi të institucioneve qendrore dhe vendore, për aq sa nuk bien ndesh me aktet ligjore dhe nënligjore të posaçme që rregullojnë veprimtarinë, organizimin dhe funksionimin e tyre.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Numri i anëtarëve të këshillave mbikëqyrës të shoqërive aksionare shtetërore është sipas parashikimeve të ligjit nr. 7926, datë 20.4.1995, “Për transformimin e ndërmarrjeve shtetërore në shoqëri tregtare”, të ndryshuar, ndërsa numri konkret i anëtarëve për secilën shoqëri parashikohet në statutin përkatës.</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2. Kandidatët për anëtarë të këshillave mbikëqyrës duhet të përmbushin këto kërkesa:</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a) Të kenë përvojë në drejtim dhe menaxhim ekzekutiv;</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b) Të kenë njohuri në financë, qeverisje korporative, menaxhim risku dhe pajtueshmëri;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c) Të kenë kompetenca teknike dhe sektoriale, sipas fushës së veprimtarisë së shoqërisë;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ç) Të kenë integritet, etikë të lartë profesionale dhe aftësi për të ushtruar funksionin në mënyrë të pavarur dhe në interesin më të mirë të shoqërisë;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d) Të mos ushtrojnë funksione politike aktive;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dh) Të deklarojnë konfliktin e interesit para dhe gjatë ushtrimit të funksionit;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e) Të kenë aftësinë për të kontribuar në arritjen e objektivave të shoqërisë, siç parashikohet në letrën e pritshmërive të përfaqësuesit të pronarit të pronës shtetërore.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Letra e pritshmërive përcakton objektivat kryesorë të shoqërisë, pritshmëritë e pronarit në lidhje me performancën dhe rezultatet e dëshiruara të qeverisjes, si dhe publikohet në faqen zyrtare të komisionit përkatës të emërimit dhe në faqen zyrtare të shoqërisë aksionare shtetërore.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 xml:space="preserve">Anëtarët e këshillit mbikëqyrës emërohen në përputhje me nenin 8, të ligjit nr. 7926, datë 20.4.1995, “Për transformimin e ndërmarrjeve shtetërore në shoqëri tregtare”, të ndryshuar. Kandidatët e propozuar nga përfaqësuesi i pronarit të pronës shtetërore dhe nga ministri i linjës ose organi i vetëqeverisjes vendore, sipas rastit, vlerësohen nga </w:t>
      </w:r>
      <w:r w:rsidRPr="0060294B">
        <w:rPr>
          <w:rFonts w:ascii="Garamond" w:eastAsia="MS Mincho" w:hAnsi="Garamond" w:cs="Times New Roman"/>
          <w:i/>
          <w:color w:val="000000"/>
          <w:sz w:val="24"/>
          <w:szCs w:val="24"/>
          <w:lang w:val="sq-AL"/>
        </w:rPr>
        <w:lastRenderedPageBreak/>
        <w:t>Komisioni i Përhershëm i Emërimit për verifikimin e përshtatshmërisë së tyre dhe përputhshmërisë me kërkesat e përcaktuara në këtë vendim.</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Anëtarët e pavarur përzgjidhen përmes një procedure të hapur aplikimi dhe vlerësohen nga Komisioni i Përhershëm i Emërimit. Kryetari i këshillit mbikëqyrës zgjidhet nga radhët e anëtarëve të pavarur.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 xml:space="preserve">Komisioni i Përhershëm i Emërimit vlerëson të gjithë kandidatët dhe i propozon Asamblesë së Përgjithshme listën përfundimtare të kandidatëve për emërim, me justifikimin përkatës, duke siguruar që shumica e anëtarëve të emëruar të jenë anëtarë të pavarur. Përbërja e këshillit mbikëqyrës respekton parimin e barazisë gjinore. </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 xml:space="preserve">Asambleja e Përgjithshme emëron anëtarët e këshillit mbikëqyrës nga kandidatët e propozuar nga Komisioni i Përhershëm i Emërimit. Refuzimi i një kandidature mund të bëhet vetëm për mosplotësim të kritereve ligjore ose për konflikt interesi dhe duhet të jetë i arsyetuar. </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Në rast refuzimi, Komisioni i Përhershëm i Emërimit paraqet një kandidaturë tjetër brenda 30 (tridhjete) ditëve. Mosshqyrtimi ose refuzimi i kandidaturës së dytë për shkaqe të tjera nga ato të përcaktuara në këtë pikë nuk pengon emërimin e saj.</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Anëtar i pavarur konsiderohet çdo person që: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a) nuk ka marrëdhënie pune ose kontraktuale me shoqërinë në 3 (tre) vjetët e fundit;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b) nuk është i lidhur me aksionarët apo administratorët;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c) nuk ka interes financiar apo personal që cenon pavarësinë e tij;</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ç) nuk ka ushtruar funksione politike në 3 (tre) vjetët e fundit;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d) përmbush kriteret e integritetit dhe profesionalizmit, të përcaktuara në legjislacionin në fuqi;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rPr>
      </w:pPr>
      <w:r w:rsidRPr="0060294B">
        <w:rPr>
          <w:rFonts w:ascii="Garamond" w:eastAsia="MS Mincho" w:hAnsi="Garamond" w:cs="Times New Roman"/>
          <w:i/>
          <w:color w:val="000000"/>
          <w:sz w:val="24"/>
          <w:szCs w:val="24"/>
          <w:lang w:val="sq-AL"/>
        </w:rPr>
        <w:t>dh) nuk është nëpunës i administratës publike.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3. Anëtarët e këshillit mbikëqyrës përfitojnë shpërblim për pjesëmarrje në këshillat mbikëqyrës, si më poshtë vijon:</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Shpërblimi i kryetarit të këshillit mbikëqyrës është afërsisht 20 (njëzet) për qind e pagës mujore të administratorit të shoqërisë, por jo më shumë se 100 000 (njëqind mijë) lekë për shoqëritë aksionare shtetërore strategjike dhe jo më shumë se 60 000 (gjashtëdhjetë mijë) lekë për shoqëritë aksionare shtetërore jostrategjike;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Shpërblimi i anëtarëve të pavarur është afërsisht 70 (shtatëdhjetë) për qind e shpërblimit të kryetarit të këshillit mbikëqyrës;</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Shpërblimi i anëtarëve jo të pavarur është afërsisht 50 (pesëdhjetë) për qind e shpërblimit të kryetarit të këshillit mbikëqyrës.</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Shpërblimi i anëtarëve të këshillit mbikëqyrës është mujor dhe jepet nga mbledhja e parë e këshillit. Efektet financiare përballohen nga vetë shoqëria aksionare shtetërore.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Këshilli mbikëqyrës mblidhet jo më pak se 4 (katër) herë në vit dhe raporton për veprimtarinë ekonomike e financiare të shoqërisë pranë përfaqësuesit të pronarit, jo më pak se 4 (katër) herë në vit. Këshilli mbikëqyrës kryen vetëvlerësim vjetor dhe vlerësim të jashtëm çdo 3 (tre) vjet për shoqëritë strategjike.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4. Anëtarët e këshillave mbikëqyrës paraqesin deklarim me shkrim për mungesën e konfliktit të interesit dhe paanshmërinë e tyre, status i cili verifikohet gjatë gjithë mandatit. Deklarimi dhe verifikimi i konflikteve të interesit kryhet nga komisioni përkatës i emërimit para emërimit dhe monitorohet gjatë gjithë mandatit nga Asambleja e Përgjithshme, në përputhje me legjislacionin në fuqi. Në rast konflikti interesi, anëtari përjashtohet nga vendimmarrja përkatëse dhe, në rast përsëritjeje apo shkeljeje të rëndë, shkarkohet.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Këshilli mbikëqyrës harton një raport vjetor, për: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performancën e shoqërisë;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arritjen e objektivave;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veprimtarinë e këshillit;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ç) shpërblimet e anëtarëve.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Raporti publikohet në faqen zyrtare të shoqërisë aksionare shtetërore dhe në faqen zyrtare të Komisionit të Përhershëm të Emërimit.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 xml:space="preserve">5. Pranë ministrisë përgjegjëse për ekonominë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w:t>
      </w:r>
      <w:r w:rsidRPr="0060294B">
        <w:rPr>
          <w:rFonts w:ascii="Garamond" w:eastAsia="MS Mincho" w:hAnsi="Garamond" w:cs="Calibri"/>
          <w:i/>
          <w:color w:val="000000"/>
          <w:sz w:val="24"/>
          <w:szCs w:val="24"/>
          <w:lang w:val="sq-AL"/>
        </w:rPr>
        <w:lastRenderedPageBreak/>
        <w:t>në pronësi shtetërore të të gjitha institucioneve, me përjashtim të shoqërive që janë në pronësi të ministrisë përgjegjëse për infrastrukturën dhe energjinë, si dhe të shoqërive që janë në pronësi të organeve të vetëqeverisjes vendore.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Anëtarët e Komisionit të Përhershëm të Emërimit në ministrinë përgjegjëse për ekonominë emërohen me urdhër të titullarit të institucionit, me këtë përbërje: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4 (katër) anëtarë të pavarur, ekspertë me përvojë të dëshmuar në fusha si qeverisja korporative, financat, auditimi, e drejta tregtare, menaxhimi i riskut ose fusha të ngjashme, të cilët përzgjidhen nëpërmjet një procedure të hapur aplikimi, bazuar në shpalljen e publikuar në faqen zyrtare të institucionit. Këta anëtarë kanë mandat 3-vjeçar;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1 (një) përfaqësues i nivelit të lartë drejtues, me rotacion, nga ministria që zhvillon politikat sektoriale;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1 (një) përfaqësues i nivelit të lartë drejtues nga ministria përgjegjëse për ekonominë.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Me shumicë të thjeshtë votash, komisioni zgjedh kryetarin nga radhët e anëtarëve të pavarur.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Pranë ministrisë përgjegjëse për infrastrukturën dhe energjinë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shtetërore në pronësi të ministrisë përgjegjëse për infrastrukturën dhe energjinë.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Anëtarët e Komisionit të Përhershëm të Emërimit në ministrinë përgjegjëse për infrastrukturën dhe energjinë emërohen me urdhër të titullarit të institucionit, si më poshtë vijon:</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4 (katër) anëtarë të pavarur, ekspertë me përvojë të dëshmuar në fusha si qeverisja korporative, financat, auditimi, e drejta tregtare, menaxhimi i riskut ose fusha të ngjashme, të cilët përzgjidhen nëpërmjet një procedure të hapur aplikimi, bazuar në shpalljen e publikuar në faqen zyrtare të institucionit. Këta anëtarë kanë mandat 3-vjeçar;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1 (një) përfaqësues i nivelit të lartë drejtues nga ministria përgjegjëse për infrastrukturën dhe energjinë;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1 (një) përfaqësues i nivelit të lartë drejtues nga ministria përgjegjëse për ekonominë.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Me shumicë të thjeshtë votash, komisioni zgjedh kryetarin nga radhët e anëtarëve të pavarur.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Pranë agjencisë përgjegjëse për mbështetjen e vetëqeverisjes vendore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në pronësi të organeve të vetëqeverisjes vendore.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Anëtarët e Komisionit të Përhershëm të Emërimit pranë agjencisë përgjegjëse për mbështetjen e vetëqeverisjes vendore emërohen me urdhër të titullarit të institucionit, si më poshtë vijon:</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4 (katër) anëtarë të pavarur, ekspertë me përvojë të dëshmuar në fusha si qeverisja korporative, financat, auditimi, e drejta tregtare, menaxhimi i riskut ose fusha të ngjashme, të cilët përzgjidhen nëpërmjet një procedure të hapur aplikimi, bazuar në shpalljen e publikuar në faqen zyrtare të institucionit. Këta anëtarë kanë mandat 3-vjeçar;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1 (një) përfaqësues i nivelit të lartë drejtues nga ministria përgjegjëse për ekonominë;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1 (një) përfaqësues me rotacion nga bashkia që ushtron tagrin e pronarit për shoqërinë përkatëse.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Me shumicë të thjeshtë votash, komisioni zgjedh kryetarin nga radhët e anëtarëve të pavarur.</w:t>
      </w:r>
    </w:p>
    <w:p w:rsidR="00CB6AB8" w:rsidRPr="0060294B" w:rsidRDefault="00CB6AB8" w:rsidP="00D66932">
      <w:pPr>
        <w:pStyle w:val="Paragrafi"/>
        <w:rPr>
          <w:i/>
          <w:szCs w:val="24"/>
          <w:lang w:val="sq-AL"/>
        </w:rPr>
      </w:pPr>
      <w:r w:rsidRPr="0060294B">
        <w:rPr>
          <w:i/>
          <w:szCs w:val="24"/>
        </w:rPr>
        <w:t>5/1.</w:t>
      </w:r>
      <w:r w:rsidR="0060294B" w:rsidRPr="0060294B">
        <w:rPr>
          <w:i/>
          <w:szCs w:val="24"/>
        </w:rPr>
        <w:t>Shfuqizuar</w:t>
      </w:r>
      <w:r w:rsidRPr="0060294B">
        <w:rPr>
          <w:i/>
          <w:szCs w:val="24"/>
        </w:rPr>
        <w: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6. Anëtarët e komisionit duhet të plotësojnë këto kërkesa:</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Të kenë integritet të lartë profesional dhe etik;</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Të jenë ekspertë të spikatur në fushën e menaxhimit dhe biznesit;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Të mos jenë në konflikt interesi me shoqëritë objekt vlerësimi;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ç) Të mos ushtrojnë funksione politike aktive;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d) Të plotësojnë kriteret e pavarësisë, të përcaktuara në këtë vendim;</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dh) Të ruajnë konfidencialitetin mbi të dhënat që shqyrtojnë.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Komisioni ka këto përgjegjësi: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Përcaktimin e kritereve për çdo pozicion vakant në këshillat mbikëqyrës;</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Organizimin dhe administrimin e thirrjeve të hapura për aplikime;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Shqyrtimin, vlerësimin dhe intervistimin e kandidatëve;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ç) Propozimin e kandidatëve për emërim;</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lastRenderedPageBreak/>
        <w:t>d) Vlerësimin e anëtarëve të emëruar të këshillave mbikëqyrës dhe propozimin pranë Asamblesë së Përgjithshme për largimin e tyre, në rastet kur anëtarët e këshillave mbikëqyrës nuk veprojnë në përputhje me legjislacionin në fuqi;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dh) Mbajtjen dhe përditësimin e një regjistri të kandidatëve të kualifikuar;</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e) Monitorimin e përbërjes së këshillave mbikëqyrës në nivel portofoli.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Komisioni mbështetet nga sekretariati teknik pranë institucionit përkatës që ngre komisionin. Sekretariati teknik mbështet dhe dokumenton punën e Komisionit, duke përfshirë administrimin e procedurave të përzgjedhjes, mirëmbajtjen e dokumentacionit përkatës dhe funksionimin e faqes zyrtare të komisionit përkatës të emërimit. Sekretariati teknik publikon vendet e lira, letrat e pritshmërive, raportet vjetore dhe informacione të tjera relevante, në lidhje me veprimtarinë e këshillave mbikëqyrës dhe procedurat e emërimit. Përbërja dhe funksionimi i detajuar i sekretariatit teknik përcaktohet në rregulloren e brendshme të Komisionit përkatës.</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 xml:space="preserve">Kryetari i Komisionit të Përhershëm të Emërimit përfiton shpërblim mujor në masën 100 000 (njëqind mijë) lekë, ndërsa anëtarët e Komisionit të Përhershëm të Emërimit përfitojnë shpërblim mujor në masën 70 000 (shtatëdhjetë mijë) lekë. Sekretariati teknik përfiton shpërblim mujor në masën 25 000 (njëzet e pesë mijë) lekë. </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Shpërblimi mujor i kryetarit, anëtarëve dhe sekretariatit teknik të Komisionit të Përhershëm të Emërimit përballohet nga buxheti i institucionit përkatës që ngre Komisionin.</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7. Nuk mund të emërohen anëtarë të këshillave mbikëqyrës dhe të komisioneve të përhershme të emërimit: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funksionarët politikë;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drejtorët e ndërmarrjeve shtetërore dhe administratorët e shoqërive tregtare;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personat që kanë konflikt interesi, në kuptim të ligjit nr. 23/2026, “Për parandalimin e konfliktit të interesave në ushtrimin e funksioneve publike”;</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ç) punonjësit e organeve qendrore apo vendore që kryejnë funksione auditimi.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 xml:space="preserve">Funksionarë politikë konsiderohen ministrat, zëvendësministrat, deputetët, drejtuesit e lartë të partive politike, anëtarët e organeve drejtuese të tyre, si dhe këshilltarët politikë të kabineteve ministrore. </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Këta persona nuk mund të emërohen si anëtarë të këshillave mbikëqyrës. Emërimi i tyre lejohet vetëm pas përfundimit të një periudhe prej 3 (tre) vjetësh nga ushtrimi i funksionit.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8. Brenda 6 (gjashtë) muajve nga ngritja e komisioneve të përhershme të emërimit, këto komisione kryejnë vlerësimin e anëtarëve ekzistues të këshillave mbikëqyrës. Në rast se anëtarët ekzistues nuk plotësojnë kriteret e përcaktuara në këtë vendim, Komisioni i Përhershëm i Emërimit fillon procedurën për zëvendësimin e tyre. Anëtarët ekzistues, që plotësojnë kriteret e përcaktuara në këtë vendim, vazhdojnë të jenë anëtarë të këshillave mbikëqyrës deri në përfundimin e mandatit të tyre. Emërimet e reja bëhen sipas rregullave të përcaktuara në këtë vendim.</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Ministri përgjegjës për ekonominë miraton me urdhër rregullat që rregullojnë:</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a) organizimin dhe funksionimin e komisioneve të përhershme të emërimit;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b) procedurat për përzgjedhjen, vlerësimin dhe emërimin e anëtarëve të komisioneve të përhershme të emërimit;</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c) funksionimin e sekretariateve teknike dhe çështjet e tjera procedurale, të nevojshme për zbatimin e këtij vendimi.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Ministria përgjegjëse për ekonominë vlerëso</w:t>
      </w:r>
      <w:bookmarkStart w:id="3" w:name="_GoBack"/>
      <w:bookmarkEnd w:id="3"/>
      <w:r w:rsidRPr="0060294B">
        <w:rPr>
          <w:rFonts w:ascii="Garamond" w:eastAsia="MS Mincho" w:hAnsi="Garamond" w:cs="Calibri"/>
          <w:i/>
          <w:color w:val="000000"/>
          <w:sz w:val="24"/>
          <w:szCs w:val="24"/>
          <w:lang w:val="sq-AL"/>
        </w:rPr>
        <w:t>n performancën e komisioneve të përhershme të emërimit dhe të anëtarëve të këshillave mbikëqyrës çdo 3 (tre) vjet nga hyrja në fuqi e këtij vendimi.</w:t>
      </w:r>
    </w:p>
    <w:p w:rsidR="0060294B" w:rsidRPr="0060294B" w:rsidRDefault="0060294B"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eastAsia="MS Mincho" w:hAnsi="Garamond" w:cs="Calibri"/>
          <w:i/>
          <w:color w:val="000000"/>
          <w:sz w:val="24"/>
          <w:szCs w:val="24"/>
          <w:lang w:val="sq-AL"/>
        </w:rPr>
        <w:t>9. Këtij vendimi i nënshtrohen edhe shoqëritë aksionare të ujësjellës-kanalizimeve, energjisë elektrike dhe gazit natyror, si dhe të gjitha shoqëritë me kapital shtetëror, në pronësi të institucioneve qendrore dhe vendore.</w:t>
      </w:r>
    </w:p>
    <w:p w:rsidR="0060294B" w:rsidRPr="0060294B" w:rsidRDefault="00D66932" w:rsidP="00D66932">
      <w:pPr>
        <w:pStyle w:val="Paragrafi"/>
        <w:rPr>
          <w:i/>
          <w:szCs w:val="24"/>
          <w:lang w:val="sq-AL"/>
        </w:rPr>
      </w:pPr>
      <w:r w:rsidRPr="0060294B">
        <w:rPr>
          <w:i/>
          <w:szCs w:val="24"/>
          <w:lang w:val="sq-AL"/>
        </w:rPr>
        <w:t xml:space="preserve">10. </w:t>
      </w:r>
      <w:r w:rsidR="0060294B" w:rsidRPr="0060294B">
        <w:rPr>
          <w:i/>
          <w:szCs w:val="24"/>
          <w:lang w:val="sq-AL"/>
        </w:rPr>
        <w:t>Shfuqizuar.</w:t>
      </w:r>
    </w:p>
    <w:p w:rsidR="00D66932" w:rsidRPr="0060294B" w:rsidRDefault="00D66932" w:rsidP="00D66932">
      <w:pPr>
        <w:pStyle w:val="Paragrafi"/>
        <w:rPr>
          <w:szCs w:val="24"/>
          <w:lang w:val="sq-AL"/>
        </w:rPr>
      </w:pPr>
      <w:r w:rsidRPr="0060294B">
        <w:rPr>
          <w:szCs w:val="24"/>
          <w:lang w:val="sq-AL"/>
        </w:rPr>
        <w:t xml:space="preserve">11. Vendimi nr. 642, datë 11.10.2005, i Këshillit të Ministrave, “Për këshillat mbikëqyrës të shoqërive anonime shtetërore”, si dhe udhëzimi nr. 318, datë 8.4.2009, i ministrit të Ekonomisë, Tregtisë dhe Energjetikës, “Për emërimin, funksionimin dhe shpërblimin e këshillit mbikëqyrës në shoqëritë anonime shtetërore”, shfuqizohen. </w:t>
      </w:r>
    </w:p>
    <w:p w:rsidR="0060294B" w:rsidRPr="0060294B" w:rsidRDefault="00D66932" w:rsidP="0060294B">
      <w:pPr>
        <w:autoSpaceDE w:val="0"/>
        <w:autoSpaceDN w:val="0"/>
        <w:adjustRightInd w:val="0"/>
        <w:spacing w:after="0" w:line="240" w:lineRule="auto"/>
        <w:ind w:firstLine="284"/>
        <w:jc w:val="both"/>
        <w:rPr>
          <w:rFonts w:ascii="Garamond" w:eastAsia="MS Mincho" w:hAnsi="Garamond" w:cs="Calibri"/>
          <w:i/>
          <w:color w:val="000000"/>
          <w:sz w:val="24"/>
          <w:szCs w:val="24"/>
          <w:lang w:val="sq-AL"/>
        </w:rPr>
      </w:pPr>
      <w:r w:rsidRPr="0060294B">
        <w:rPr>
          <w:rFonts w:ascii="Garamond" w:hAnsi="Garamond"/>
          <w:i/>
          <w:sz w:val="24"/>
          <w:szCs w:val="24"/>
          <w:lang w:val="sq-AL"/>
        </w:rPr>
        <w:t xml:space="preserve">12. </w:t>
      </w:r>
      <w:r w:rsidR="0060294B" w:rsidRPr="0060294B">
        <w:rPr>
          <w:rFonts w:ascii="Garamond" w:eastAsia="MS Mincho" w:hAnsi="Garamond" w:cs="Calibri"/>
          <w:i/>
          <w:color w:val="000000"/>
          <w:sz w:val="24"/>
          <w:szCs w:val="24"/>
          <w:lang w:val="sq-AL"/>
        </w:rPr>
        <w:t>Ngarkohen ministria përgjegjëse për ekonominë, ministria përgjegjëse për infrastrukturën dhe energjinë, ministritë e linjës, Agjencia për Mbështetjen e Vetëqeverisjes Vendore, organet e njësive të vetëqeverisjes vendore dhe shoqëritë aksionare shtetërore për zbatimin e këtij vendimi.</w:t>
      </w:r>
    </w:p>
    <w:p w:rsidR="00D66932" w:rsidRPr="0060294B" w:rsidRDefault="00D66932" w:rsidP="00D66932">
      <w:pPr>
        <w:pStyle w:val="Paragrafi"/>
        <w:rPr>
          <w:szCs w:val="24"/>
          <w:lang w:val="sq-AL"/>
        </w:rPr>
      </w:pPr>
      <w:r w:rsidRPr="0060294B">
        <w:rPr>
          <w:szCs w:val="24"/>
          <w:lang w:val="sq-AL"/>
        </w:rPr>
        <w:t>Ky vendim hyn në fuqi pas botimit në Fletoren Zyrtare.</w:t>
      </w:r>
    </w:p>
    <w:p w:rsidR="00D66932" w:rsidRPr="0060294B" w:rsidRDefault="00D66932" w:rsidP="00D66932">
      <w:pPr>
        <w:pStyle w:val="Paragrafi"/>
        <w:rPr>
          <w:szCs w:val="24"/>
          <w:lang w:val="sq-AL"/>
        </w:rPr>
      </w:pPr>
    </w:p>
    <w:p w:rsidR="00D66932" w:rsidRPr="0060294B" w:rsidRDefault="00D66932" w:rsidP="00D66932">
      <w:pPr>
        <w:pStyle w:val="NeniTitull"/>
        <w:jc w:val="right"/>
        <w:rPr>
          <w:b w:val="0"/>
          <w:szCs w:val="24"/>
          <w:lang w:val="sq-AL"/>
        </w:rPr>
      </w:pPr>
      <w:bookmarkStart w:id="4" w:name="_Toc526847762"/>
      <w:r w:rsidRPr="0060294B">
        <w:rPr>
          <w:b w:val="0"/>
          <w:szCs w:val="24"/>
          <w:lang w:val="sq-AL"/>
        </w:rPr>
        <w:lastRenderedPageBreak/>
        <w:t>KRYEMINISTRI</w:t>
      </w:r>
      <w:bookmarkEnd w:id="4"/>
    </w:p>
    <w:p w:rsidR="00D66932" w:rsidRPr="0060294B" w:rsidRDefault="00D66932" w:rsidP="00D66932">
      <w:pPr>
        <w:pStyle w:val="Paragrafi"/>
        <w:jc w:val="right"/>
        <w:rPr>
          <w:b/>
          <w:szCs w:val="24"/>
          <w:lang w:val="sq-AL"/>
        </w:rPr>
      </w:pPr>
      <w:r w:rsidRPr="0060294B">
        <w:rPr>
          <w:b/>
          <w:szCs w:val="24"/>
          <w:lang w:val="sq-AL"/>
        </w:rPr>
        <w:t>Edi Rama</w:t>
      </w:r>
    </w:p>
    <w:p w:rsidR="002D59EB" w:rsidRPr="0060294B" w:rsidRDefault="002D59EB" w:rsidP="00D66932">
      <w:pPr>
        <w:rPr>
          <w:rFonts w:ascii="Garamond" w:hAnsi="Garamond"/>
          <w:sz w:val="24"/>
          <w:szCs w:val="24"/>
        </w:rPr>
      </w:pPr>
    </w:p>
    <w:sectPr w:rsidR="002D59EB" w:rsidRPr="006029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DC0" w:rsidRDefault="00F24DC0" w:rsidP="008A32ED">
      <w:pPr>
        <w:spacing w:after="0" w:line="240" w:lineRule="auto"/>
      </w:pPr>
      <w:r>
        <w:separator/>
      </w:r>
    </w:p>
  </w:endnote>
  <w:endnote w:type="continuationSeparator" w:id="0">
    <w:p w:rsidR="00F24DC0" w:rsidRDefault="00F24DC0" w:rsidP="008A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DC0" w:rsidRDefault="00F24DC0" w:rsidP="008A32ED">
      <w:pPr>
        <w:spacing w:after="0" w:line="240" w:lineRule="auto"/>
      </w:pPr>
      <w:r>
        <w:separator/>
      </w:r>
    </w:p>
  </w:footnote>
  <w:footnote w:type="continuationSeparator" w:id="0">
    <w:p w:rsidR="00F24DC0" w:rsidRDefault="00F24DC0" w:rsidP="008A32ED">
      <w:pPr>
        <w:spacing w:after="0" w:line="240" w:lineRule="auto"/>
      </w:pPr>
      <w:r>
        <w:continuationSeparator/>
      </w:r>
    </w:p>
  </w:footnote>
  <w:footnote w:id="1">
    <w:p w:rsidR="008A32ED" w:rsidRPr="008A32ED" w:rsidRDefault="008A32ED" w:rsidP="008A32ED">
      <w:pPr>
        <w:pStyle w:val="NeniTitull"/>
        <w:jc w:val="left"/>
        <w:rPr>
          <w:b w:val="0"/>
          <w:i/>
          <w:sz w:val="20"/>
          <w:szCs w:val="20"/>
          <w:lang w:val="sq-AL"/>
        </w:rPr>
      </w:pPr>
      <w:r>
        <w:rPr>
          <w:rStyle w:val="FootnoteReference"/>
        </w:rPr>
        <w:footnoteRef/>
      </w:r>
      <w:r>
        <w:t xml:space="preserve"> </w:t>
      </w:r>
      <w:r w:rsidRPr="008A32ED">
        <w:rPr>
          <w:b w:val="0"/>
          <w:i/>
          <w:sz w:val="20"/>
          <w:szCs w:val="20"/>
          <w:lang w:val="sq-AL"/>
        </w:rPr>
        <w:t>VKM nr. 363, datë 30.6.2025 në kreun II shprehet:</w:t>
      </w:r>
    </w:p>
    <w:p w:rsidR="008A32ED" w:rsidRPr="008A32ED" w:rsidRDefault="008A32ED" w:rsidP="008A32ED">
      <w:pPr>
        <w:pStyle w:val="ListParagraph"/>
        <w:spacing w:after="0" w:line="240" w:lineRule="auto"/>
        <w:ind w:left="0" w:firstLine="284"/>
        <w:contextualSpacing w:val="0"/>
        <w:jc w:val="both"/>
        <w:rPr>
          <w:rFonts w:ascii="Garamond" w:hAnsi="Garamond"/>
          <w:i/>
          <w:sz w:val="20"/>
          <w:szCs w:val="20"/>
        </w:rPr>
      </w:pPr>
      <w:r w:rsidRPr="008A32ED">
        <w:rPr>
          <w:rFonts w:ascii="Garamond" w:hAnsi="Garamond"/>
          <w:i/>
          <w:sz w:val="20"/>
          <w:szCs w:val="20"/>
        </w:rPr>
        <w:t>II. Mandatet e anëtarëve të këshillave mbikëqyrës, të emëruar përpara hyrjes në fuqi të këtij vendimi, nuk ndërpriten. Këta persona ushtrojnë funksionin e anëtarit të këshillit mbikëqyrës deri në përfundimin e mandatit, sipas afatit të parashikuar në përputhje me aktin e emërimit të tyre.</w:t>
      </w:r>
    </w:p>
    <w:p w:rsidR="008A32ED" w:rsidRPr="008A32ED" w:rsidRDefault="008A32ED" w:rsidP="008A32ED">
      <w:pPr>
        <w:rPr>
          <w:i/>
          <w:lang w:val="sq-AL"/>
        </w:rPr>
      </w:pPr>
    </w:p>
    <w:p w:rsidR="008A32ED" w:rsidRPr="008A32ED" w:rsidRDefault="008A32ED">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CD6"/>
    <w:rsid w:val="001E132B"/>
    <w:rsid w:val="002B29C0"/>
    <w:rsid w:val="002D59EB"/>
    <w:rsid w:val="004645A8"/>
    <w:rsid w:val="00472094"/>
    <w:rsid w:val="0060294B"/>
    <w:rsid w:val="006E2CD6"/>
    <w:rsid w:val="008A32ED"/>
    <w:rsid w:val="00CB6AB8"/>
    <w:rsid w:val="00D10E32"/>
    <w:rsid w:val="00D66932"/>
    <w:rsid w:val="00EB5718"/>
    <w:rsid w:val="00F24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4EB7"/>
  <w15:chartTrackingRefBased/>
  <w15:docId w15:val="{91C67805-4FF6-44C1-998D-4904709D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10E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472094"/>
    <w:pPr>
      <w:keepNext/>
      <w:keepLines/>
      <w:spacing w:before="80" w:after="40" w:line="278" w:lineRule="auto"/>
      <w:outlineLvl w:val="4"/>
    </w:pPr>
    <w:rPr>
      <w:rFonts w:eastAsiaTheme="majorEastAsia" w:cstheme="majorBidi"/>
      <w:color w:val="2E74B5" w:themeColor="accent1" w:themeShade="BF"/>
      <w:kern w:val="2"/>
      <w:sz w:val="24"/>
      <w:szCs w:val="24"/>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B29C0"/>
    <w:rPr>
      <w:rFonts w:ascii="Garamond" w:eastAsia="MS Mincho" w:hAnsi="Garamond" w:cs="CG Times"/>
      <w:sz w:val="24"/>
    </w:rPr>
  </w:style>
  <w:style w:type="paragraph" w:customStyle="1" w:styleId="Paragrafi">
    <w:name w:val="Paragrafi"/>
    <w:link w:val="ParagrafiChar"/>
    <w:rsid w:val="002B29C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29C0"/>
    <w:rPr>
      <w:rFonts w:ascii="Garamond" w:eastAsia="MS Mincho" w:hAnsi="Garamond" w:cs="CG Times"/>
      <w:sz w:val="24"/>
      <w:lang w:val="en-GB"/>
    </w:rPr>
  </w:style>
  <w:style w:type="paragraph" w:customStyle="1" w:styleId="NeniNr">
    <w:name w:val="Neni_Nr"/>
    <w:next w:val="Normal"/>
    <w:link w:val="NeniNrChar"/>
    <w:rsid w:val="002B29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29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5Char">
    <w:name w:val="Heading 5 Char"/>
    <w:basedOn w:val="DefaultParagraphFont"/>
    <w:link w:val="Heading5"/>
    <w:uiPriority w:val="9"/>
    <w:semiHidden/>
    <w:rsid w:val="00472094"/>
    <w:rPr>
      <w:rFonts w:eastAsiaTheme="majorEastAsia" w:cstheme="majorBidi"/>
      <w:color w:val="2E74B5" w:themeColor="accent1" w:themeShade="BF"/>
      <w:kern w:val="2"/>
      <w:sz w:val="24"/>
      <w:szCs w:val="24"/>
      <w:lang w:val="sq-AL"/>
      <w14:ligatures w14:val="standardContextual"/>
    </w:rPr>
  </w:style>
  <w:style w:type="character" w:customStyle="1" w:styleId="Heading2Char">
    <w:name w:val="Heading 2 Char"/>
    <w:basedOn w:val="DefaultParagraphFont"/>
    <w:link w:val="Heading2"/>
    <w:uiPriority w:val="9"/>
    <w:semiHidden/>
    <w:rsid w:val="00D10E3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10E32"/>
    <w:pPr>
      <w:spacing w:line="278" w:lineRule="auto"/>
      <w:ind w:left="720"/>
      <w:contextualSpacing/>
    </w:pPr>
    <w:rPr>
      <w:kern w:val="2"/>
      <w:sz w:val="24"/>
      <w:szCs w:val="24"/>
      <w:lang w:val="sq-AL"/>
      <w14:ligatures w14:val="standardContextual"/>
    </w:rPr>
  </w:style>
  <w:style w:type="paragraph" w:styleId="FootnoteText">
    <w:name w:val="footnote text"/>
    <w:basedOn w:val="Normal"/>
    <w:link w:val="FootnoteTextChar"/>
    <w:uiPriority w:val="99"/>
    <w:semiHidden/>
    <w:unhideWhenUsed/>
    <w:rsid w:val="008A32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2ED"/>
    <w:rPr>
      <w:sz w:val="20"/>
      <w:szCs w:val="20"/>
    </w:rPr>
  </w:style>
  <w:style w:type="character" w:styleId="FootnoteReference">
    <w:name w:val="footnote reference"/>
    <w:basedOn w:val="DefaultParagraphFont"/>
    <w:uiPriority w:val="99"/>
    <w:semiHidden/>
    <w:unhideWhenUsed/>
    <w:rsid w:val="008A3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946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F1A60-132A-4411-99AF-848BA7CCE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2</cp:revision>
  <dcterms:created xsi:type="dcterms:W3CDTF">2026-07-02T10:05:00Z</dcterms:created>
  <dcterms:modified xsi:type="dcterms:W3CDTF">2026-07-02T10:05:00Z</dcterms:modified>
</cp:coreProperties>
</file>