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66A" w:rsidRPr="00394561" w:rsidRDefault="00C4366A" w:rsidP="00C4366A">
      <w:pPr>
        <w:pStyle w:val="NeniTitull"/>
        <w:rPr>
          <w:lang w:val="sq-AL"/>
        </w:rPr>
      </w:pPr>
      <w:r w:rsidRPr="00394561">
        <w:rPr>
          <w:lang w:val="sq-AL"/>
        </w:rPr>
        <w:t>VENDIM</w:t>
      </w:r>
    </w:p>
    <w:p w:rsidR="00C4366A" w:rsidRPr="00394561" w:rsidRDefault="00C4366A" w:rsidP="00C4366A">
      <w:pPr>
        <w:pStyle w:val="NeniTitull"/>
        <w:rPr>
          <w:lang w:val="sq-AL"/>
        </w:rPr>
      </w:pPr>
      <w:r w:rsidRPr="00394561">
        <w:rPr>
          <w:lang w:val="sq-AL"/>
        </w:rPr>
        <w:t>Nr. 676, datë 7.11.2018</w:t>
      </w:r>
    </w:p>
    <w:p w:rsidR="00C4366A" w:rsidRPr="00394561" w:rsidRDefault="00C4366A" w:rsidP="00C4366A">
      <w:pPr>
        <w:pStyle w:val="Hapesira7"/>
        <w:rPr>
          <w:lang w:val="sq-AL"/>
        </w:rPr>
      </w:pPr>
    </w:p>
    <w:p w:rsidR="00C4366A" w:rsidRPr="00394561" w:rsidRDefault="00C4366A" w:rsidP="00C4366A">
      <w:pPr>
        <w:pStyle w:val="NeniTitull"/>
        <w:rPr>
          <w:lang w:val="sq-AL"/>
        </w:rPr>
      </w:pPr>
      <w:r w:rsidRPr="00394561">
        <w:rPr>
          <w:lang w:val="sq-AL"/>
        </w:rPr>
        <w:t>PËR MIRATIMIN E NDRYSHIMIT TË STATUSIT NGA KATEGORIA E RESURSIT “TOKË BUJQËSORE” NË “TOKË URBANE” (TRUALL), TË PASURIVE ME NUMËR 265/40, ZONA KADASTRALE 2702, BASHKIA VAU I DEJËS, NUMËR 121/12, ZONA KADASTRALE 2375, BASHKIA DURRËS, DHE NUMËR 355/47 E 355/51, ZONA KADASTRALE 3196, BASHKIA ROSKOVEC</w:t>
      </w:r>
    </w:p>
    <w:p w:rsidR="00C4366A" w:rsidRPr="00394561" w:rsidRDefault="00C4366A" w:rsidP="00C4366A">
      <w:pPr>
        <w:pStyle w:val="Hapesira7"/>
        <w:rPr>
          <w:lang w:val="sq-AL"/>
        </w:rPr>
      </w:pP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lang w:val="sq-AL"/>
        </w:rPr>
        <w:t>Në mbështetje të nenit 100 të Kushtetutës, të pikës 5/2, të nenit 11/1, të ligjit nr. 8752, datë 26.3.2001, “Për krijimin dhe funksionimin e strukturave për administrimin dhe mbrojtjen e tokës”, të ndryshuar, me propozimin e ministrit të Bujqësisë dhe Zhvillimit Rural, Këshilli i Ministrave</w:t>
      </w:r>
    </w:p>
    <w:p w:rsidR="00C4366A" w:rsidRPr="00394561" w:rsidRDefault="00C4366A" w:rsidP="00C4366A">
      <w:pPr>
        <w:pStyle w:val="Hapesira7"/>
        <w:rPr>
          <w:lang w:val="sq-AL"/>
        </w:rPr>
      </w:pPr>
      <w:r w:rsidRPr="00394561">
        <w:rPr>
          <w:lang w:val="sq-AL"/>
        </w:rPr>
        <w:t> </w:t>
      </w:r>
    </w:p>
    <w:p w:rsidR="00C4366A" w:rsidRPr="00394561" w:rsidRDefault="00C4366A" w:rsidP="00C4366A">
      <w:pPr>
        <w:pStyle w:val="NeniNr"/>
        <w:rPr>
          <w:lang w:val="sq-AL"/>
        </w:rPr>
      </w:pPr>
      <w:r w:rsidRPr="00394561">
        <w:rPr>
          <w:lang w:val="sq-AL"/>
        </w:rPr>
        <w:t>VENDOSI:</w:t>
      </w:r>
    </w:p>
    <w:p w:rsidR="00C4366A" w:rsidRPr="00394561" w:rsidRDefault="00C4366A" w:rsidP="00C4366A">
      <w:pPr>
        <w:pStyle w:val="Hapesira7"/>
        <w:rPr>
          <w:lang w:val="sq-AL"/>
        </w:rPr>
      </w:pPr>
      <w:r w:rsidRPr="00394561">
        <w:rPr>
          <w:lang w:val="sq-AL"/>
        </w:rPr>
        <w:t> </w:t>
      </w: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lang w:val="sq-AL"/>
        </w:rPr>
        <w:t>1. Miratimin e ndryshimit të statusit nga kategoria e resursit “tokë bujqësore” në “tokë urbane” (truall), të pasurive me numër 265/40, zona kadastrale 2702, Bashkia Vau i Dejës, numër 121/12, zona kadastrale 2375, Bashkia Durrës, dhe numër 355/47 e 355/51, zona kadastrale 3196, Bashkia Roskovec, sipas lidhjes nr. 1, certifikatave të pasurisë dhe hartave treguese, që i bashkëlidhen këtij vendimi.</w:t>
      </w: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lang w:val="sq-AL"/>
        </w:rPr>
        <w:t>2. Drejtoria e Administrimit dhe e Mbrojtjes së Tokës, përkatësisht në qarqet Shkodër, Durrës dhe Fier, të pasqyrojnë në dokumentacionin kadastral (LN) ndryshimin e resursit, nga “tokë bujqësore” në “tokë urbane” (truall), të pasurive me numër 265/40, zona kadastrale 2702, Bashkia Vau i Dejës, numër 121/12, zona kadastrale 2375, Bashkia Durrës, dhe numër 355/47 e 355/51, zona kadastrale 3196, Bashkia Roskovec.</w:t>
      </w: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lang w:val="sq-AL"/>
        </w:rPr>
        <w:t>3. Ngarkohen Ministria e Bujqësisë dhe Zhvillimit Rural, Këshilli i Qarkut Shkodër, Këshilli i Qarkut Durrës, Këshilli i Qarkut Fier, Zyra Vendore e Regjistrimit të Pasurive të Paluajtshme Shkodër, Zyra Vendore e Regjistrimit të Pasurive të Paluajtshme Durrës dhe Zyra Vendore e Regjistrimit të Pasurive të Paluajtshme Fier për zbatimin e këtij vendimi.</w:t>
      </w: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lang w:val="sq-AL"/>
        </w:rPr>
        <w:t>Ky vendim hyn në fuqi pas botimit në Fletoren Zyrtare.</w:t>
      </w:r>
    </w:p>
    <w:p w:rsidR="00C4366A" w:rsidRPr="00394561" w:rsidRDefault="00C4366A" w:rsidP="00C4366A">
      <w:pPr>
        <w:pStyle w:val="Hapesira7"/>
        <w:rPr>
          <w:lang w:val="sq-AL"/>
        </w:rPr>
      </w:pPr>
    </w:p>
    <w:p w:rsidR="00C4366A" w:rsidRPr="00394561" w:rsidRDefault="00C4366A" w:rsidP="00C4366A">
      <w:pPr>
        <w:pStyle w:val="Paragrafi"/>
        <w:jc w:val="right"/>
        <w:rPr>
          <w:lang w:val="sq-AL"/>
        </w:rPr>
      </w:pPr>
      <w:r w:rsidRPr="00394561">
        <w:rPr>
          <w:lang w:val="sq-AL"/>
        </w:rPr>
        <w:t>KRYEMINISTRI</w:t>
      </w:r>
    </w:p>
    <w:p w:rsidR="00C4366A" w:rsidRPr="00394561" w:rsidRDefault="00C4366A" w:rsidP="00C4366A">
      <w:pPr>
        <w:pStyle w:val="Paragrafi"/>
        <w:jc w:val="right"/>
        <w:rPr>
          <w:b/>
          <w:lang w:val="sq-AL"/>
        </w:rPr>
      </w:pPr>
      <w:r w:rsidRPr="00394561">
        <w:rPr>
          <w:b/>
          <w:lang w:val="sq-AL"/>
        </w:rPr>
        <w:t>Edi Rama</w:t>
      </w:r>
    </w:p>
    <w:p w:rsidR="00C4366A" w:rsidRPr="00394561" w:rsidRDefault="00C4366A" w:rsidP="00C4366A">
      <w:pPr>
        <w:pStyle w:val="Paragrafi"/>
        <w:jc w:val="right"/>
        <w:rPr>
          <w:b/>
          <w:sz w:val="14"/>
          <w:szCs w:val="14"/>
          <w:lang w:val="sq-AL"/>
        </w:rPr>
        <w:sectPr w:rsidR="00C4366A" w:rsidRPr="00394561" w:rsidSect="00C4366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4366A" w:rsidRPr="00394561" w:rsidRDefault="00C4366A" w:rsidP="00C4366A">
      <w:pPr>
        <w:pStyle w:val="Paragrafi"/>
        <w:jc w:val="right"/>
        <w:rPr>
          <w:b/>
          <w:sz w:val="14"/>
          <w:szCs w:val="14"/>
          <w:lang w:val="sq-AL"/>
        </w:rPr>
      </w:pPr>
    </w:p>
    <w:p w:rsidR="00C4366A" w:rsidRPr="00394561" w:rsidRDefault="00C4366A" w:rsidP="00C4366A">
      <w:pPr>
        <w:pStyle w:val="Paragrafi"/>
        <w:jc w:val="right"/>
        <w:rPr>
          <w:b/>
          <w:sz w:val="20"/>
          <w:szCs w:val="20"/>
          <w:lang w:val="sq-AL"/>
        </w:rPr>
      </w:pPr>
      <w:r w:rsidRPr="00394561">
        <w:rPr>
          <w:b/>
          <w:sz w:val="20"/>
          <w:szCs w:val="20"/>
          <w:lang w:val="sq-AL"/>
        </w:rPr>
        <w:t>Lidhja nr.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7"/>
        <w:gridCol w:w="796"/>
        <w:gridCol w:w="897"/>
        <w:gridCol w:w="995"/>
        <w:gridCol w:w="941"/>
        <w:gridCol w:w="939"/>
        <w:gridCol w:w="978"/>
        <w:gridCol w:w="1074"/>
        <w:gridCol w:w="2292"/>
      </w:tblGrid>
      <w:tr w:rsidR="00C4366A" w:rsidRPr="00394561" w:rsidTr="00E55551">
        <w:tc>
          <w:tcPr>
            <w:tcW w:w="364" w:type="pct"/>
            <w:vAlign w:val="center"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>Nr. rendor</w:t>
            </w:r>
          </w:p>
        </w:tc>
        <w:tc>
          <w:tcPr>
            <w:tcW w:w="404" w:type="pct"/>
            <w:vAlign w:val="center"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>Qarku</w:t>
            </w:r>
          </w:p>
        </w:tc>
        <w:tc>
          <w:tcPr>
            <w:tcW w:w="455" w:type="pct"/>
            <w:vAlign w:val="center"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>Bashkia</w:t>
            </w:r>
          </w:p>
        </w:tc>
        <w:tc>
          <w:tcPr>
            <w:tcW w:w="505" w:type="pct"/>
            <w:tcBorders>
              <w:right w:val="single" w:sz="4" w:space="0" w:color="auto"/>
            </w:tcBorders>
            <w:vAlign w:val="center"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501" w:type="pct"/>
            <w:tcBorders>
              <w:left w:val="single" w:sz="4" w:space="0" w:color="auto"/>
            </w:tcBorders>
            <w:vAlign w:val="center"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>Adresa e pasurisë</w:t>
            </w:r>
          </w:p>
        </w:tc>
        <w:tc>
          <w:tcPr>
            <w:tcW w:w="500" w:type="pct"/>
            <w:vAlign w:val="center"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>Numri i pasurisë</w:t>
            </w:r>
          </w:p>
        </w:tc>
        <w:tc>
          <w:tcPr>
            <w:tcW w:w="498" w:type="pct"/>
            <w:vAlign w:val="center"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Sipërfaqja totale </w:t>
            </w: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br/>
              <w:t>(m</w:t>
            </w:r>
            <w:r w:rsidRPr="00394561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570" w:type="pct"/>
            <w:vAlign w:val="center"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Sipërfaqja ndërtimore </w:t>
            </w: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br/>
              <w:t>(m</w:t>
            </w:r>
            <w:r w:rsidRPr="00394561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1202" w:type="pct"/>
            <w:vAlign w:val="center"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b/>
                <w:sz w:val="18"/>
                <w:szCs w:val="18"/>
                <w:lang w:val="sq-AL"/>
              </w:rPr>
              <w:t>Pronari</w:t>
            </w:r>
          </w:p>
        </w:tc>
      </w:tr>
      <w:tr w:rsidR="00C4366A" w:rsidRPr="00394561" w:rsidTr="00E55551">
        <w:tc>
          <w:tcPr>
            <w:tcW w:w="364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04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55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Vau i Dejës</w:t>
            </w:r>
          </w:p>
        </w:tc>
        <w:tc>
          <w:tcPr>
            <w:tcW w:w="505" w:type="pct"/>
            <w:tcBorders>
              <w:right w:val="single" w:sz="4" w:space="0" w:color="auto"/>
            </w:tcBorders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2702</w:t>
            </w:r>
          </w:p>
        </w:tc>
        <w:tc>
          <w:tcPr>
            <w:tcW w:w="501" w:type="pct"/>
            <w:tcBorders>
              <w:left w:val="single" w:sz="4" w:space="0" w:color="auto"/>
            </w:tcBorders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Mjedë</w:t>
            </w:r>
          </w:p>
        </w:tc>
        <w:tc>
          <w:tcPr>
            <w:tcW w:w="500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265/40</w:t>
            </w:r>
          </w:p>
        </w:tc>
        <w:tc>
          <w:tcPr>
            <w:tcW w:w="498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7574</w:t>
            </w:r>
          </w:p>
        </w:tc>
        <w:tc>
          <w:tcPr>
            <w:tcW w:w="570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908</w:t>
            </w:r>
          </w:p>
        </w:tc>
        <w:tc>
          <w:tcPr>
            <w:tcW w:w="1202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Hysni Brahimi</w:t>
            </w:r>
          </w:p>
        </w:tc>
      </w:tr>
      <w:tr w:rsidR="00C4366A" w:rsidRPr="00394561" w:rsidTr="00E55551">
        <w:trPr>
          <w:trHeight w:val="352"/>
        </w:trPr>
        <w:tc>
          <w:tcPr>
            <w:tcW w:w="364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04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 w:cs="Arial"/>
                <w:sz w:val="18"/>
                <w:szCs w:val="18"/>
                <w:lang w:val="sq-AL" w:eastAsia="ja-JP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55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505" w:type="pct"/>
            <w:tcBorders>
              <w:right w:val="single" w:sz="4" w:space="0" w:color="auto"/>
            </w:tcBorders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2375</w:t>
            </w:r>
          </w:p>
        </w:tc>
        <w:tc>
          <w:tcPr>
            <w:tcW w:w="501" w:type="pct"/>
            <w:tcBorders>
              <w:left w:val="single" w:sz="4" w:space="0" w:color="auto"/>
            </w:tcBorders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Lalëz</w:t>
            </w:r>
          </w:p>
        </w:tc>
        <w:tc>
          <w:tcPr>
            <w:tcW w:w="500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121/12</w:t>
            </w:r>
          </w:p>
        </w:tc>
        <w:tc>
          <w:tcPr>
            <w:tcW w:w="498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3375</w:t>
            </w:r>
          </w:p>
        </w:tc>
        <w:tc>
          <w:tcPr>
            <w:tcW w:w="570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248</w:t>
            </w:r>
          </w:p>
        </w:tc>
        <w:tc>
          <w:tcPr>
            <w:tcW w:w="1202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Arben Keta</w:t>
            </w:r>
          </w:p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Pranvera Keta</w:t>
            </w:r>
          </w:p>
        </w:tc>
      </w:tr>
      <w:tr w:rsidR="00C4366A" w:rsidRPr="00394561" w:rsidTr="00E55551">
        <w:tc>
          <w:tcPr>
            <w:tcW w:w="364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404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Fier</w:t>
            </w:r>
          </w:p>
        </w:tc>
        <w:tc>
          <w:tcPr>
            <w:tcW w:w="455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Roskovec</w:t>
            </w:r>
          </w:p>
        </w:tc>
        <w:tc>
          <w:tcPr>
            <w:tcW w:w="505" w:type="pct"/>
            <w:tcBorders>
              <w:right w:val="single" w:sz="4" w:space="0" w:color="auto"/>
            </w:tcBorders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3196</w:t>
            </w:r>
          </w:p>
        </w:tc>
        <w:tc>
          <w:tcPr>
            <w:tcW w:w="501" w:type="pct"/>
            <w:tcBorders>
              <w:left w:val="single" w:sz="4" w:space="0" w:color="auto"/>
            </w:tcBorders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Roskovec</w:t>
            </w:r>
          </w:p>
        </w:tc>
        <w:tc>
          <w:tcPr>
            <w:tcW w:w="500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355/47</w:t>
            </w:r>
          </w:p>
        </w:tc>
        <w:tc>
          <w:tcPr>
            <w:tcW w:w="498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2000</w:t>
            </w:r>
          </w:p>
        </w:tc>
        <w:tc>
          <w:tcPr>
            <w:tcW w:w="570" w:type="pct"/>
            <w:vMerge w:val="restar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1185</w:t>
            </w:r>
          </w:p>
        </w:tc>
        <w:tc>
          <w:tcPr>
            <w:tcW w:w="1202" w:type="pct"/>
            <w:vMerge w:val="restar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Fatmir Sopiku</w:t>
            </w:r>
          </w:p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Ervin Sopiku</w:t>
            </w:r>
          </w:p>
        </w:tc>
      </w:tr>
      <w:tr w:rsidR="00C4366A" w:rsidRPr="00394561" w:rsidTr="00E55551">
        <w:tc>
          <w:tcPr>
            <w:tcW w:w="364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404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Fier</w:t>
            </w:r>
          </w:p>
        </w:tc>
        <w:tc>
          <w:tcPr>
            <w:tcW w:w="455" w:type="pct"/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Roskovec</w:t>
            </w:r>
          </w:p>
        </w:tc>
        <w:tc>
          <w:tcPr>
            <w:tcW w:w="505" w:type="pct"/>
            <w:tcBorders>
              <w:right w:val="single" w:sz="4" w:space="0" w:color="auto"/>
            </w:tcBorders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3196</w:t>
            </w:r>
          </w:p>
        </w:tc>
        <w:tc>
          <w:tcPr>
            <w:tcW w:w="501" w:type="pct"/>
            <w:tcBorders>
              <w:left w:val="single" w:sz="4" w:space="0" w:color="auto"/>
            </w:tcBorders>
          </w:tcPr>
          <w:p w:rsidR="00C4366A" w:rsidRPr="00394561" w:rsidRDefault="00C4366A" w:rsidP="00E55551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Roskovec</w:t>
            </w:r>
          </w:p>
        </w:tc>
        <w:tc>
          <w:tcPr>
            <w:tcW w:w="500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355/51</w:t>
            </w:r>
          </w:p>
        </w:tc>
        <w:tc>
          <w:tcPr>
            <w:tcW w:w="498" w:type="pct"/>
          </w:tcPr>
          <w:p w:rsidR="00C4366A" w:rsidRPr="00394561" w:rsidRDefault="00C4366A" w:rsidP="00E55551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94561">
              <w:rPr>
                <w:rFonts w:ascii="Garamond" w:hAnsi="Garamond"/>
                <w:sz w:val="18"/>
                <w:szCs w:val="18"/>
                <w:lang w:val="sq-AL"/>
              </w:rPr>
              <w:t>3700</w:t>
            </w:r>
          </w:p>
        </w:tc>
        <w:tc>
          <w:tcPr>
            <w:tcW w:w="570" w:type="pct"/>
            <w:vMerge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202" w:type="pct"/>
            <w:vMerge/>
          </w:tcPr>
          <w:p w:rsidR="00C4366A" w:rsidRPr="00394561" w:rsidRDefault="00C4366A" w:rsidP="00E55551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</w:tbl>
    <w:p w:rsidR="00C4366A" w:rsidRPr="00394561" w:rsidRDefault="00C4366A" w:rsidP="00C4366A">
      <w:pPr>
        <w:pStyle w:val="Paragrafi"/>
        <w:rPr>
          <w:lang w:val="sq-AL"/>
        </w:rPr>
      </w:pPr>
    </w:p>
    <w:p w:rsidR="00C4366A" w:rsidRPr="00394561" w:rsidRDefault="00C4366A" w:rsidP="00C4366A">
      <w:pPr>
        <w:pStyle w:val="Paragrafi"/>
        <w:rPr>
          <w:lang w:val="sq-AL"/>
        </w:rPr>
      </w:pPr>
    </w:p>
    <w:p w:rsidR="00C4366A" w:rsidRPr="00394561" w:rsidRDefault="00C4366A" w:rsidP="00C4366A">
      <w:pPr>
        <w:pStyle w:val="Paragrafi"/>
        <w:rPr>
          <w:lang w:val="sq-AL"/>
        </w:rPr>
      </w:pP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noProof/>
        </w:rPr>
        <w:lastRenderedPageBreak/>
        <w:drawing>
          <wp:inline distT="0" distB="0" distL="0" distR="0" wp14:anchorId="3046914B" wp14:editId="1E40AFB5">
            <wp:extent cx="6120765" cy="8565873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6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noProof/>
        </w:rPr>
        <w:lastRenderedPageBreak/>
        <w:drawing>
          <wp:inline distT="0" distB="0" distL="0" distR="0" wp14:anchorId="32A174D8" wp14:editId="770C3DE2">
            <wp:extent cx="6120765" cy="853470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3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noProof/>
        </w:rPr>
        <w:lastRenderedPageBreak/>
        <w:drawing>
          <wp:inline distT="0" distB="0" distL="0" distR="0" wp14:anchorId="2BAF08E1" wp14:editId="74F46A4A">
            <wp:extent cx="6119589" cy="8452237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5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66A" w:rsidRPr="00394561" w:rsidRDefault="00C4366A" w:rsidP="00C4366A">
      <w:pPr>
        <w:pStyle w:val="Paragrafi"/>
        <w:ind w:firstLine="0"/>
        <w:jc w:val="center"/>
        <w:rPr>
          <w:lang w:val="sq-AL"/>
        </w:rPr>
      </w:pPr>
      <w:r w:rsidRPr="00394561">
        <w:rPr>
          <w:noProof/>
        </w:rPr>
        <w:drawing>
          <wp:inline distT="0" distB="0" distL="0" distR="0" wp14:anchorId="5F9E8ED1" wp14:editId="60D9E488">
            <wp:extent cx="6120765" cy="856114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6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noProof/>
        </w:rPr>
        <w:drawing>
          <wp:inline distT="0" distB="0" distL="0" distR="0" wp14:anchorId="222111DF" wp14:editId="69B75108">
            <wp:extent cx="6119683" cy="840452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06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noProof/>
        </w:rPr>
        <w:drawing>
          <wp:inline distT="0" distB="0" distL="0" distR="0" wp14:anchorId="38AC8283" wp14:editId="4D17B6ED">
            <wp:extent cx="6120765" cy="8286339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66A" w:rsidRPr="00394561" w:rsidRDefault="00C4366A" w:rsidP="00C4366A">
      <w:pPr>
        <w:pStyle w:val="Paragrafi"/>
        <w:rPr>
          <w:lang w:val="sq-AL"/>
        </w:rPr>
      </w:pPr>
    </w:p>
    <w:p w:rsidR="00C4366A" w:rsidRPr="00394561" w:rsidRDefault="00C4366A" w:rsidP="00C4366A">
      <w:pPr>
        <w:pStyle w:val="Paragrafi"/>
        <w:rPr>
          <w:lang w:val="sq-AL"/>
        </w:rPr>
      </w:pP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noProof/>
        </w:rPr>
        <w:drawing>
          <wp:inline distT="0" distB="0" distL="0" distR="0" wp14:anchorId="21D18C0C" wp14:editId="7EF67C0D">
            <wp:extent cx="5963479" cy="841248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221" cy="841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66A" w:rsidRPr="00394561" w:rsidRDefault="00C4366A" w:rsidP="00C4366A">
      <w:pPr>
        <w:pStyle w:val="Paragrafi"/>
        <w:rPr>
          <w:lang w:val="sq-AL"/>
        </w:rPr>
      </w:pPr>
      <w:r w:rsidRPr="00394561">
        <w:rPr>
          <w:noProof/>
        </w:rPr>
        <w:drawing>
          <wp:inline distT="0" distB="0" distL="0" distR="0" wp14:anchorId="5101FACE" wp14:editId="53FF82E2">
            <wp:extent cx="6120765" cy="8404913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04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66A" w:rsidRPr="00394561" w:rsidRDefault="00C4366A" w:rsidP="00C4366A">
      <w:pPr>
        <w:pStyle w:val="Paragrafi"/>
        <w:rPr>
          <w:lang w:val="sq-AL"/>
        </w:rPr>
      </w:pPr>
    </w:p>
    <w:p w:rsidR="00C4366A" w:rsidRPr="00394561" w:rsidRDefault="00C4366A" w:rsidP="00C4366A">
      <w:pPr>
        <w:pStyle w:val="NeniTitull"/>
        <w:rPr>
          <w:lang w:val="sq-AL"/>
        </w:rPr>
        <w:sectPr w:rsidR="00C4366A" w:rsidRPr="00394561" w:rsidSect="00C4366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D7F65" w:rsidRDefault="004D7F65" w:rsidP="000F7F7E">
      <w:bookmarkStart w:id="0" w:name="_GoBack"/>
      <w:bookmarkEnd w:id="0"/>
    </w:p>
    <w:sectPr w:rsidR="004D7F65" w:rsidSect="00C43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F7F7E">
      <w:pPr>
        <w:spacing w:after="0" w:line="240" w:lineRule="auto"/>
      </w:pPr>
      <w:r>
        <w:separator/>
      </w:r>
    </w:p>
  </w:endnote>
  <w:endnote w:type="continuationSeparator" w:id="0">
    <w:p w:rsidR="00000000" w:rsidRDefault="000F7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699716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0821B8" w:rsidRPr="00B4283E" w:rsidRDefault="00C4366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11130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1B8" w:rsidRPr="005B4361" w:rsidRDefault="000F7F7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133951068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0821B8" w:rsidRPr="00833610" w:rsidRDefault="00C4366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0821B8" w:rsidRDefault="000F7F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F7F7E">
      <w:pPr>
        <w:spacing w:after="0" w:line="240" w:lineRule="auto"/>
      </w:pPr>
      <w:r>
        <w:separator/>
      </w:r>
    </w:p>
  </w:footnote>
  <w:footnote w:type="continuationSeparator" w:id="0">
    <w:p w:rsidR="00000000" w:rsidRDefault="000F7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0821B8" w:rsidRPr="00EB260B" w:rsidTr="00C34BAA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0821B8" w:rsidRPr="00EB260B" w:rsidRDefault="00C4366A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0821B8" w:rsidRPr="00EB260B" w:rsidRDefault="00C4366A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56CF9F5" wp14:editId="40BDEF37">
                <wp:extent cx="304524" cy="427512"/>
                <wp:effectExtent l="0" t="0" r="635" b="0"/>
                <wp:docPr id="26" name="Picture 2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0821B8" w:rsidRPr="00EB260B" w:rsidRDefault="00C4366A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164</w:t>
          </w:r>
        </w:p>
      </w:tc>
    </w:tr>
  </w:tbl>
  <w:p w:rsidR="000821B8" w:rsidRPr="00385E2C" w:rsidRDefault="000F7F7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1B8" w:rsidRDefault="000F7F7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1B8" w:rsidRDefault="000F7F7E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512"/>
    <w:rsid w:val="000F7F7E"/>
    <w:rsid w:val="004D7F65"/>
    <w:rsid w:val="00750512"/>
    <w:rsid w:val="00C4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5E9331-1CF4-48F4-B593-B8197491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66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43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4366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43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66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43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6A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C436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366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436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C436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436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4366A"/>
    <w:rPr>
      <w:sz w:val="14"/>
      <w:szCs w:val="24"/>
    </w:rPr>
  </w:style>
  <w:style w:type="table" w:styleId="TableGrid">
    <w:name w:val="Table Grid"/>
    <w:basedOn w:val="TableNormal"/>
    <w:rsid w:val="00C4366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TitullChar">
    <w:name w:val="Neni_Titull Char"/>
    <w:link w:val="NeniTitull"/>
    <w:locked/>
    <w:rsid w:val="00C4366A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eader" Target="header3.xml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2018-11-16T13:03:00Z</dcterms:created>
  <dcterms:modified xsi:type="dcterms:W3CDTF">2018-11-19T08:21:00Z</dcterms:modified>
</cp:coreProperties>
</file>