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4CA" w:rsidRPr="00F014E5" w:rsidRDefault="001A34CA" w:rsidP="001A34CA">
      <w:pPr>
        <w:pStyle w:val="NeniTitull"/>
        <w:keepNext w:val="0"/>
        <w:rPr>
          <w:lang w:val="sq-AL"/>
        </w:rPr>
      </w:pPr>
      <w:r w:rsidRPr="00F014E5">
        <w:rPr>
          <w:lang w:val="sq-AL"/>
        </w:rPr>
        <w:t>VENDIM</w:t>
      </w:r>
    </w:p>
    <w:p w:rsidR="001A34CA" w:rsidRPr="00F014E5" w:rsidRDefault="001A34CA" w:rsidP="001A34CA">
      <w:pPr>
        <w:pStyle w:val="NeniTitull"/>
        <w:keepNext w:val="0"/>
        <w:rPr>
          <w:lang w:val="sq-AL"/>
        </w:rPr>
      </w:pPr>
      <w:r w:rsidRPr="00F014E5">
        <w:rPr>
          <w:lang w:val="sq-AL"/>
        </w:rPr>
        <w:t xml:space="preserve">Nr. </w:t>
      </w:r>
      <w:bookmarkStart w:id="0" w:name="_GoBack"/>
      <w:r w:rsidRPr="00F014E5">
        <w:rPr>
          <w:lang w:val="sq-AL"/>
        </w:rPr>
        <w:t>685, datë 14.11.2018</w:t>
      </w:r>
    </w:p>
    <w:bookmarkEnd w:id="0"/>
    <w:p w:rsidR="001A34CA" w:rsidRPr="00F014E5" w:rsidRDefault="001A34CA" w:rsidP="001A34CA">
      <w:pPr>
        <w:pStyle w:val="NeniTitull"/>
        <w:keepNext w:val="0"/>
        <w:jc w:val="both"/>
        <w:rPr>
          <w:strike/>
          <w:sz w:val="14"/>
          <w:lang w:val="sq-AL"/>
        </w:rPr>
      </w:pPr>
    </w:p>
    <w:p w:rsidR="001A34CA" w:rsidRPr="00F014E5" w:rsidRDefault="001A34CA" w:rsidP="001A34CA">
      <w:pPr>
        <w:pStyle w:val="NeniTitull"/>
        <w:keepNext w:val="0"/>
        <w:rPr>
          <w:lang w:val="sq-AL"/>
        </w:rPr>
      </w:pPr>
      <w:r w:rsidRPr="00F014E5">
        <w:rPr>
          <w:lang w:val="sq-AL"/>
        </w:rPr>
        <w:t>PËR MIRATIMIN E PRAKTIKAVE PËR PROMOVIMIN E INVESTIMEVE TË PËRBASHKËTA, RAJONALE, NË INFRASTRUKTURËN E SEKTORIT TË ENERGJISË</w:t>
      </w:r>
      <w:r w:rsidRPr="00F014E5">
        <w:rPr>
          <w:rStyle w:val="FootnoteReference"/>
          <w:lang w:val="sq-AL"/>
        </w:rPr>
        <w:footnoteReference w:customMarkFollows="1" w:id="1"/>
        <w:t>*</w:t>
      </w:r>
    </w:p>
    <w:p w:rsidR="001A34CA" w:rsidRPr="00F014E5" w:rsidRDefault="001A34CA" w:rsidP="001A34CA">
      <w:pPr>
        <w:pStyle w:val="Paragrafi"/>
        <w:rPr>
          <w:sz w:val="14"/>
          <w:lang w:val="sq-AL"/>
        </w:rPr>
      </w:pPr>
    </w:p>
    <w:p w:rsidR="001A34CA" w:rsidRPr="00F014E5" w:rsidRDefault="001A34CA" w:rsidP="001A34CA">
      <w:pPr>
        <w:pStyle w:val="Paragrafi"/>
        <w:rPr>
          <w:lang w:val="sq-AL"/>
        </w:rPr>
      </w:pPr>
      <w:r w:rsidRPr="00F014E5">
        <w:rPr>
          <w:lang w:val="sq-AL"/>
        </w:rPr>
        <w:t xml:space="preserve">Në mbështetje të nenit 100 të Kushtetutës, të neneve </w:t>
      </w:r>
      <w:r w:rsidRPr="00F014E5">
        <w:rPr>
          <w:spacing w:val="-13"/>
          <w:lang w:val="sq-AL"/>
        </w:rPr>
        <w:t xml:space="preserve">5, </w:t>
      </w:r>
      <w:r w:rsidRPr="00F014E5">
        <w:rPr>
          <w:lang w:val="sq-AL"/>
        </w:rPr>
        <w:t xml:space="preserve">pika </w:t>
      </w:r>
      <w:r w:rsidRPr="00F014E5">
        <w:rPr>
          <w:spacing w:val="-13"/>
          <w:lang w:val="sq-AL"/>
        </w:rPr>
        <w:t>4;</w:t>
      </w:r>
      <w:r w:rsidRPr="00F014E5">
        <w:rPr>
          <w:spacing w:val="-6"/>
          <w:lang w:val="sq-AL"/>
        </w:rPr>
        <w:t xml:space="preserve"> 9</w:t>
      </w:r>
      <w:r w:rsidRPr="00F014E5">
        <w:rPr>
          <w:bCs/>
          <w:spacing w:val="-6"/>
          <w:lang w:val="sq-AL"/>
        </w:rPr>
        <w:t xml:space="preserve">, 11, </w:t>
      </w:r>
      <w:r w:rsidRPr="00F014E5">
        <w:rPr>
          <w:spacing w:val="-7"/>
          <w:lang w:val="sq-AL"/>
        </w:rPr>
        <w:t xml:space="preserve">16, </w:t>
      </w:r>
      <w:r w:rsidRPr="00F014E5">
        <w:rPr>
          <w:bCs/>
          <w:spacing w:val="-6"/>
          <w:lang w:val="sq-AL"/>
        </w:rPr>
        <w:t xml:space="preserve">pikat </w:t>
      </w:r>
      <w:r w:rsidRPr="00F014E5">
        <w:rPr>
          <w:bCs/>
          <w:spacing w:val="-4"/>
          <w:lang w:val="sq-AL"/>
        </w:rPr>
        <w:t xml:space="preserve">1, 4, 5, 13 e 25; dhe </w:t>
      </w:r>
      <w:r w:rsidRPr="00F014E5">
        <w:rPr>
          <w:spacing w:val="-7"/>
          <w:lang w:val="sq-AL"/>
        </w:rPr>
        <w:t xml:space="preserve">49 e </w:t>
      </w:r>
      <w:r w:rsidRPr="00F014E5">
        <w:rPr>
          <w:spacing w:val="-8"/>
          <w:lang w:val="sq-AL"/>
        </w:rPr>
        <w:t>108</w:t>
      </w:r>
      <w:r w:rsidRPr="00F014E5">
        <w:rPr>
          <w:bCs/>
          <w:lang w:val="sq-AL"/>
        </w:rPr>
        <w:t>,</w:t>
      </w:r>
      <w:r w:rsidRPr="00F014E5">
        <w:rPr>
          <w:lang w:val="sq-AL"/>
        </w:rPr>
        <w:t xml:space="preserve"> të ligjit nr. 102/2015, “Për sektorin e gazit natyror”, të neneve 4, p</w:t>
      </w:r>
      <w:r w:rsidRPr="00F014E5">
        <w:rPr>
          <w:rFonts w:eastAsiaTheme="minorHAnsi"/>
          <w:bCs/>
          <w:lang w:val="sq-AL"/>
        </w:rPr>
        <w:t xml:space="preserve">ika 2, </w:t>
      </w:r>
      <w:r w:rsidRPr="00F014E5">
        <w:rPr>
          <w:lang w:val="sq-AL"/>
        </w:rPr>
        <w:t>shkronjat “</w:t>
      </w:r>
      <w:r w:rsidRPr="00F014E5">
        <w:rPr>
          <w:rFonts w:eastAsiaTheme="minorHAnsi"/>
          <w:bCs/>
          <w:lang w:val="sq-AL"/>
        </w:rPr>
        <w:t xml:space="preserve">c” e “ç”; 18, 23, </w:t>
      </w:r>
      <w:r w:rsidRPr="00F014E5">
        <w:rPr>
          <w:rFonts w:eastAsiaTheme="minorHAnsi"/>
          <w:lang w:val="sq-AL"/>
        </w:rPr>
        <w:t xml:space="preserve">30 dhe </w:t>
      </w:r>
      <w:r w:rsidRPr="00F014E5">
        <w:rPr>
          <w:rFonts w:eastAsiaTheme="minorHAnsi"/>
          <w:bCs/>
          <w:lang w:val="sq-AL"/>
        </w:rPr>
        <w:t xml:space="preserve">31, </w:t>
      </w:r>
      <w:r w:rsidRPr="00F014E5">
        <w:rPr>
          <w:lang w:val="sq-AL"/>
        </w:rPr>
        <w:t xml:space="preserve">të ligjit nr. 43/2015, “Për sektorin e energjisë elektrike”, të ndryshuar, dhe të neneve 9, 10, 100, pika “ii”, dhe të pikës 7, të aneksit I, të Traktatit të Krijimit të Komunitetit të Energjisë, të ratifikuar me ligjin nr. 9501, datë 3.4.2006, me propozimin e ministrit të Infrastrukturës dhe Energjisë, Këshilli i Ministrave </w:t>
      </w:r>
    </w:p>
    <w:p w:rsidR="001A34CA" w:rsidRPr="00F014E5" w:rsidRDefault="001A34CA" w:rsidP="001A34CA">
      <w:pPr>
        <w:pStyle w:val="Paragrafi"/>
        <w:rPr>
          <w:sz w:val="14"/>
          <w:lang w:val="sq-AL"/>
        </w:rPr>
      </w:pPr>
    </w:p>
    <w:p w:rsidR="001A34CA" w:rsidRPr="00F014E5" w:rsidRDefault="001A34CA" w:rsidP="001A34CA">
      <w:pPr>
        <w:pStyle w:val="NeniNr"/>
        <w:keepNext w:val="0"/>
        <w:rPr>
          <w:lang w:val="sq-AL"/>
        </w:rPr>
      </w:pPr>
      <w:r w:rsidRPr="00F014E5">
        <w:rPr>
          <w:lang w:val="sq-AL"/>
        </w:rPr>
        <w:t>VENDOSI:</w:t>
      </w:r>
    </w:p>
    <w:p w:rsidR="001A34CA" w:rsidRPr="00F014E5" w:rsidRDefault="001A34CA" w:rsidP="001A34CA">
      <w:pPr>
        <w:pStyle w:val="Paragrafi"/>
        <w:rPr>
          <w:bCs/>
          <w:sz w:val="14"/>
          <w:lang w:val="sq-AL"/>
        </w:rPr>
      </w:pPr>
    </w:p>
    <w:p w:rsidR="001A34CA" w:rsidRPr="00F014E5" w:rsidRDefault="001A34CA" w:rsidP="001A34CA">
      <w:pPr>
        <w:pStyle w:val="Paragrafi"/>
        <w:rPr>
          <w:b/>
          <w:bCs/>
          <w:lang w:val="sq-AL"/>
        </w:rPr>
      </w:pPr>
      <w:r w:rsidRPr="00F014E5">
        <w:rPr>
          <w:b/>
          <w:bCs/>
          <w:lang w:val="sq-AL"/>
        </w:rPr>
        <w:t xml:space="preserve">I. Qëllimi </w:t>
      </w:r>
    </w:p>
    <w:p w:rsidR="001A34CA" w:rsidRPr="00F014E5" w:rsidRDefault="001A34CA" w:rsidP="001A34CA">
      <w:pPr>
        <w:pStyle w:val="Paragrafi"/>
        <w:rPr>
          <w:bCs/>
          <w:lang w:val="sq-AL"/>
        </w:rPr>
      </w:pPr>
      <w:r w:rsidRPr="00F014E5">
        <w:rPr>
          <w:bCs/>
          <w:lang w:val="sq-AL"/>
        </w:rPr>
        <w:t>1. Qëllimi i këtij vendimi është promovimi i investimeve të përbashkëta, rajonale në infrastrukturën e sektorit të energjisë, identifikimin e projekteve me interes për Komunitetin e Energjisë e të projekteve me interes të ndërsjellë të palëve kontraktuese të Komunitetit të Energjisë dhe/ose vendeve anëtare të Bashkimit Evropian, në lidhje me infrastrukturën rajonale të energjisë elektrike, gazit natyror dhe naftës bruto, si dhe të bashkërendojë aktivitetet në lëshimin e lejeve.</w:t>
      </w:r>
    </w:p>
    <w:p w:rsidR="001A34CA" w:rsidRPr="00F014E5" w:rsidRDefault="001A34CA" w:rsidP="001A34CA">
      <w:pPr>
        <w:pStyle w:val="Paragrafi"/>
        <w:rPr>
          <w:b/>
          <w:bCs/>
          <w:lang w:val="sq-AL"/>
        </w:rPr>
      </w:pPr>
      <w:r w:rsidRPr="00F014E5">
        <w:rPr>
          <w:b/>
          <w:bCs/>
          <w:lang w:val="sq-AL"/>
        </w:rPr>
        <w:t>II. Fusha e zbatimit</w:t>
      </w:r>
    </w:p>
    <w:p w:rsidR="001A34CA" w:rsidRPr="00F014E5" w:rsidRDefault="001A34CA" w:rsidP="001A34CA">
      <w:pPr>
        <w:pStyle w:val="Paragrafi"/>
        <w:rPr>
          <w:bCs/>
          <w:lang w:val="sq-AL"/>
        </w:rPr>
      </w:pPr>
      <w:r w:rsidRPr="00F014E5">
        <w:rPr>
          <w:bCs/>
          <w:lang w:val="sq-AL"/>
        </w:rPr>
        <w:t>2. Dispozitat e këtij vendimi vlejnë për të gjitha projektet në kategoritë e infrastrukturës rajonale të energjisë elektrike, gazit natyror dhe naftës bruto, të cilat janë projekte me interes për Komunitetin e Energjisë dhe projekte me interes të ndërsjellë të palëve kontraktuese të Komunitetit të Energjisë dhe/ose vendeve anëtare të Bashkimit Evropian.</w:t>
      </w:r>
    </w:p>
    <w:p w:rsidR="001A34CA" w:rsidRPr="00F014E5" w:rsidRDefault="001A34CA" w:rsidP="001A34CA">
      <w:pPr>
        <w:pStyle w:val="Paragrafi"/>
        <w:rPr>
          <w:b/>
          <w:bCs/>
          <w:lang w:val="sq-AL"/>
        </w:rPr>
      </w:pPr>
      <w:r w:rsidRPr="00F014E5">
        <w:rPr>
          <w:b/>
          <w:bCs/>
          <w:lang w:val="sq-AL"/>
        </w:rPr>
        <w:t>III. Përkufizime</w:t>
      </w:r>
    </w:p>
    <w:p w:rsidR="001A34CA" w:rsidRPr="00F014E5" w:rsidRDefault="001A34CA" w:rsidP="001A34CA">
      <w:pPr>
        <w:pStyle w:val="Paragrafi"/>
        <w:rPr>
          <w:bCs/>
          <w:lang w:val="sq-AL"/>
        </w:rPr>
      </w:pPr>
      <w:r w:rsidRPr="00F014E5">
        <w:rPr>
          <w:bCs/>
          <w:lang w:val="sq-AL"/>
        </w:rPr>
        <w:t>3. Termat e përdorur në këtë vendim kanë këto kuptime:</w:t>
      </w:r>
    </w:p>
    <w:p w:rsidR="001A34CA" w:rsidRPr="00F014E5" w:rsidRDefault="001A34CA" w:rsidP="001A34CA">
      <w:pPr>
        <w:pStyle w:val="Paragrafi"/>
        <w:rPr>
          <w:bCs/>
          <w:lang w:val="sq-AL"/>
        </w:rPr>
      </w:pPr>
      <w:r w:rsidRPr="00F014E5">
        <w:rPr>
          <w:bCs/>
          <w:lang w:val="sq-AL"/>
        </w:rPr>
        <w:t xml:space="preserve">a) “Infrastrukturë energjetike”, çdo pajisje apo impiant fizik, brenda kategorive të infrastrukturës energjetike rajonale, që vendoset brenda territoreve të palëve kontraktuese apo që lidh palët kontraktuese të Komunitetit të Energjisë ose palët kontraktuese dhe shtetet anëtare të Bashkimit Evropian; </w:t>
      </w:r>
    </w:p>
    <w:p w:rsidR="001A34CA" w:rsidRPr="00F014E5" w:rsidRDefault="001A34CA" w:rsidP="001A34CA">
      <w:pPr>
        <w:pStyle w:val="Paragrafi"/>
        <w:rPr>
          <w:bCs/>
          <w:lang w:val="sq-AL"/>
        </w:rPr>
      </w:pPr>
      <w:r w:rsidRPr="00F014E5">
        <w:rPr>
          <w:bCs/>
          <w:lang w:val="sq-AL"/>
        </w:rPr>
        <w:t xml:space="preserve">b) “Vendim gjithëpërfshirës”, një vendim apo tërësi vendimesh, që merren nga autoriteti apo autoritetet e një pale kontraktuese, që nuk përfshijnë gjykatat apo kolegjet gjyqësore, që përcaktojnë nëse një promovues i projektit duhet të marrë ose nuk duhet të marrë autorizimin për të ndërtuar infrastrukturën e energjisë për të realizuar projektin, pa paragjykuar vendimet e marra në kontekstin e procedurës administrative në shkallë apeli; </w:t>
      </w:r>
    </w:p>
    <w:p w:rsidR="001A34CA" w:rsidRPr="00F014E5" w:rsidRDefault="001A34CA" w:rsidP="001A34CA">
      <w:pPr>
        <w:pStyle w:val="Paragrafi"/>
        <w:rPr>
          <w:bCs/>
          <w:lang w:val="sq-AL"/>
        </w:rPr>
      </w:pPr>
      <w:r w:rsidRPr="00F014E5">
        <w:rPr>
          <w:bCs/>
          <w:lang w:val="sq-AL"/>
        </w:rPr>
        <w:t xml:space="preserve">c) “Projekt”, një apo më shumë rrjete, tubacione, impiante, pajisje apo instalime që bëjnë pjesë në kategoritë e infrastrukturës së energjisë; </w:t>
      </w:r>
    </w:p>
    <w:p w:rsidR="001A34CA" w:rsidRPr="00F014E5" w:rsidRDefault="001A34CA" w:rsidP="001A34CA">
      <w:pPr>
        <w:pStyle w:val="Paragrafi"/>
        <w:rPr>
          <w:bCs/>
          <w:lang w:val="sq-AL"/>
        </w:rPr>
      </w:pPr>
      <w:r w:rsidRPr="00F014E5">
        <w:rPr>
          <w:bCs/>
          <w:lang w:val="sq-AL"/>
        </w:rPr>
        <w:t>ç) “Projekt i investimeve të përbashkëta, rajonale, në infrastrukturën energjetike me interes”:</w:t>
      </w:r>
    </w:p>
    <w:p w:rsidR="001A34CA" w:rsidRPr="00F014E5" w:rsidRDefault="001A34CA" w:rsidP="001A34CA">
      <w:pPr>
        <w:pStyle w:val="Paragrafi"/>
        <w:rPr>
          <w:bCs/>
          <w:lang w:val="sq-AL"/>
        </w:rPr>
      </w:pPr>
      <w:r w:rsidRPr="00F014E5">
        <w:rPr>
          <w:bCs/>
          <w:lang w:val="sq-AL"/>
        </w:rPr>
        <w:t xml:space="preserve">i. projekt me interes për Komunitetin e Energjisë është një projekt i nevojshëm për implementimin </w:t>
      </w:r>
      <w:r w:rsidRPr="00F014E5">
        <w:rPr>
          <w:bCs/>
          <w:lang w:val="sq-AL"/>
        </w:rPr>
        <w:lastRenderedPageBreak/>
        <w:t xml:space="preserve">e infrastrukturës rajonale energjetike, si dhe pjesë e listës së projekteve me interes për Komunitetin e Energjisë, përmendur në pikën 11, të kreut VII; </w:t>
      </w:r>
    </w:p>
    <w:p w:rsidR="001A34CA" w:rsidRPr="00F014E5" w:rsidRDefault="001A34CA" w:rsidP="001A34CA">
      <w:pPr>
        <w:pStyle w:val="Paragrafi"/>
        <w:rPr>
          <w:bCs/>
          <w:lang w:val="sq-AL"/>
        </w:rPr>
      </w:pPr>
      <w:r w:rsidRPr="00F014E5">
        <w:rPr>
          <w:bCs/>
          <w:lang w:val="sq-AL"/>
        </w:rPr>
        <w:t>ii. projekt me interes të ndërsjellë për palët kontraktuese të Komunitetit të Energjisë është një projekt i infrastrukturës energjetike në një nga kategoritë e elektricitetit, të gazit ose të naftës, që lidh një palë kontraktuese të Komunitetit të Energjisë (Shqipërinë) dhe një vend anëtar të BE-së, dhe që është pjesë e listës së projekteve me interes të ndërsjellë, të miratuar nga Këshilli Ministror i Komunitetit të Energjisë, përmendur në pikën 12, të kreut VII;</w:t>
      </w:r>
    </w:p>
    <w:p w:rsidR="001A34CA" w:rsidRPr="00F014E5" w:rsidRDefault="001A34CA" w:rsidP="001A34CA">
      <w:pPr>
        <w:pStyle w:val="Paragrafi"/>
        <w:rPr>
          <w:bCs/>
          <w:lang w:val="sq-AL"/>
        </w:rPr>
      </w:pPr>
      <w:r w:rsidRPr="00F014E5">
        <w:rPr>
          <w:bCs/>
          <w:lang w:val="sq-AL"/>
        </w:rPr>
        <w:t xml:space="preserve">d) “Ngushtim kapaciteti i infrastrukturës energjetike”, kufizimi i rrjedhave fizike në një sistem energjetik, për shkak të kapaciteteve të pamjaftueshme të transmetimit, që përfshin, ndërmjet të tjerash, mungesën e infrastrukturës; </w:t>
      </w:r>
    </w:p>
    <w:p w:rsidR="001A34CA" w:rsidRPr="00F014E5" w:rsidRDefault="001A34CA" w:rsidP="001A34CA">
      <w:pPr>
        <w:pStyle w:val="Paragrafi"/>
        <w:rPr>
          <w:bCs/>
          <w:lang w:val="sq-AL"/>
        </w:rPr>
      </w:pPr>
      <w:r w:rsidRPr="00F014E5">
        <w:rPr>
          <w:bCs/>
          <w:lang w:val="sq-AL"/>
        </w:rPr>
        <w:t xml:space="preserve">dh) “Promovues i projektit”: </w:t>
      </w:r>
    </w:p>
    <w:p w:rsidR="001A34CA" w:rsidRPr="00F014E5" w:rsidRDefault="001A34CA" w:rsidP="001A34CA">
      <w:pPr>
        <w:pStyle w:val="Paragrafi"/>
        <w:rPr>
          <w:bCs/>
          <w:lang w:val="sq-AL"/>
        </w:rPr>
      </w:pPr>
      <w:r w:rsidRPr="00F014E5">
        <w:rPr>
          <w:bCs/>
          <w:lang w:val="sq-AL"/>
        </w:rPr>
        <w:t xml:space="preserve">i. Operatori i Sistemit të Transmetimit, Operatori i Sistemit të Shpërndarjes apo ndonjë operator a investitor tjetër, që zhvillon një projekt me interes për Komunitetin e Energjisë ose një projekt me interes të ndërsjellë për palët kontraktuese të Komunitetit të Energjisë; </w:t>
      </w:r>
    </w:p>
    <w:p w:rsidR="001A34CA" w:rsidRPr="00F014E5" w:rsidRDefault="001A34CA" w:rsidP="001A34CA">
      <w:pPr>
        <w:pStyle w:val="Paragrafi"/>
        <w:rPr>
          <w:bCs/>
          <w:spacing w:val="-4"/>
          <w:lang w:val="sq-AL"/>
        </w:rPr>
      </w:pPr>
      <w:r w:rsidRPr="00F014E5">
        <w:rPr>
          <w:bCs/>
          <w:spacing w:val="-4"/>
          <w:lang w:val="sq-AL"/>
        </w:rPr>
        <w:t xml:space="preserve">ii. operatorë të sistemit të transmetimit, operatorë të sistemit të shpërndarjes, operatorë të tjerë, investitorë apo ndonjë grup i tyre, subjekte me personalitet juridik sipas ligjit të zbatueshëm vendor, që është përcaktuar me marrëveshje kontraktuale ndërmjet tyre, si dhe që kanë kapacitetin për të marrë përsipër detyrime ligjore e financiare në emër të palëve, në rregullimet e tilla kontraktuale. </w:t>
      </w:r>
    </w:p>
    <w:p w:rsidR="001A34CA" w:rsidRPr="00F014E5" w:rsidRDefault="001A34CA" w:rsidP="001A34CA">
      <w:pPr>
        <w:pStyle w:val="Paragrafi"/>
        <w:rPr>
          <w:bCs/>
          <w:lang w:val="sq-AL"/>
        </w:rPr>
      </w:pPr>
      <w:r w:rsidRPr="00F014E5">
        <w:rPr>
          <w:bCs/>
          <w:lang w:val="sq-AL"/>
        </w:rPr>
        <w:t xml:space="preserve">e) “Rrjet inteligjent”, rrjet elektrik ose rrjet gazi, që mund të integrojë, në mënyrë efektive për koston, sjelljet dhe veprimet e të gjithë përdoruesve të lidhur në të, duke përfshirë prodhuesit (gjeneruesit) e konsumatorët dhe ata që janë njëkohësisht prodhues e konsumatorë, për të siguruar një sistem energjetik ekonomikisht efikas e të qëndrueshëm, me humbje të vogla dhe nivele të larta të cilësisë, sigurisë së furnizimit dhe sigurisë e rregullit; </w:t>
      </w:r>
    </w:p>
    <w:p w:rsidR="001A34CA" w:rsidRPr="00F014E5" w:rsidRDefault="001A34CA" w:rsidP="001A34CA">
      <w:pPr>
        <w:pStyle w:val="Paragrafi"/>
        <w:rPr>
          <w:bCs/>
          <w:lang w:val="sq-AL"/>
        </w:rPr>
      </w:pPr>
      <w:r w:rsidRPr="00F014E5">
        <w:rPr>
          <w:bCs/>
          <w:lang w:val="sq-AL"/>
        </w:rPr>
        <w:t>ë) “Punime”, blerje, furnizim dhe dërgesë e pjesëve, sistemeve e shërbimeve, duke përfshirë programet kompjuterike, kryerjen e aktiviteteve të zhvillimit, ndërtimit dhe instalimit të projekteve, pranimin e instalimit dhe nisjen e projektit;</w:t>
      </w:r>
    </w:p>
    <w:p w:rsidR="001A34CA" w:rsidRPr="00F014E5" w:rsidRDefault="001A34CA" w:rsidP="001A34CA">
      <w:pPr>
        <w:pStyle w:val="Paragrafi"/>
        <w:rPr>
          <w:bCs/>
          <w:lang w:val="sq-AL"/>
        </w:rPr>
      </w:pPr>
      <w:r w:rsidRPr="00F014E5">
        <w:rPr>
          <w:bCs/>
          <w:lang w:val="sq-AL"/>
        </w:rPr>
        <w:t xml:space="preserve">f) “Studime”, aktivitete të nevojshme për përgatitjen e implementimit të projektit, siç janë studimet përgatitore, të fizibilitetit, vlerësimit, testimit e vlefshmërisë, duke përfshirë programet kompjuterike, si dhe masat e tjera të mbështetjes teknike, duke përfshirë veprimet paraprake për përcaktimin e zhvillimin e projektit, si dhe vendimmarrjen për financimin e tij, siç janë vëzhgimet në terren për vendndërtimet në fjalë dhe përgatitjen e paketës financiare; </w:t>
      </w:r>
    </w:p>
    <w:p w:rsidR="001A34CA" w:rsidRPr="00F014E5" w:rsidRDefault="001A34CA" w:rsidP="001A34CA">
      <w:pPr>
        <w:pStyle w:val="Paragrafi"/>
        <w:rPr>
          <w:bCs/>
          <w:lang w:val="sq-AL"/>
        </w:rPr>
      </w:pPr>
      <w:r w:rsidRPr="00F014E5">
        <w:rPr>
          <w:bCs/>
          <w:lang w:val="sq-AL"/>
        </w:rPr>
        <w:t>g) “Enti Rregullator i Energjisë (ERE)”, një institucion i pavarur në sektorin e energjisë, që është ngritur, organizohet dhe funksionon në bazë të ligjeve nr. 43/2015, “Për sektorin e energjisë elektrike”, të ndryshuar, dhe nr. 102/2015, “Për sektorin e gazit natyror”;</w:t>
      </w:r>
    </w:p>
    <w:p w:rsidR="001A34CA" w:rsidRPr="00F014E5" w:rsidRDefault="001A34CA" w:rsidP="001A34CA">
      <w:pPr>
        <w:pStyle w:val="Paragrafi"/>
        <w:rPr>
          <w:bCs/>
          <w:lang w:val="sq-AL"/>
        </w:rPr>
      </w:pPr>
      <w:r w:rsidRPr="00F014E5">
        <w:rPr>
          <w:bCs/>
          <w:lang w:val="sq-AL"/>
        </w:rPr>
        <w:t xml:space="preserve">gj) “Komisionimi”, procesi i futjes së një projekti në veprim, menjëherë pasi të jetë ndërtuar; </w:t>
      </w:r>
    </w:p>
    <w:p w:rsidR="001A34CA" w:rsidRPr="00F014E5" w:rsidRDefault="001A34CA" w:rsidP="001A34CA">
      <w:pPr>
        <w:pStyle w:val="Paragrafi"/>
        <w:rPr>
          <w:bCs/>
          <w:spacing w:val="-4"/>
          <w:lang w:val="sq-AL"/>
        </w:rPr>
      </w:pPr>
      <w:r w:rsidRPr="00F014E5">
        <w:rPr>
          <w:bCs/>
          <w:spacing w:val="-4"/>
          <w:lang w:val="sq-AL"/>
        </w:rPr>
        <w:t xml:space="preserve">h) “Autoritet kompetent”, ministria përgjegjëse për energjinë, institucioni shtetëror përgjegjës për lehtësimin dhe bashkërendimin e procesit të dhënies së lejeve për promovimin e investimeve të përbashkëta, rajonale, në infrastrukturën e sektorit të energjisë; </w:t>
      </w:r>
    </w:p>
    <w:p w:rsidR="001A34CA" w:rsidRPr="00F014E5" w:rsidRDefault="001A34CA" w:rsidP="001A34CA">
      <w:pPr>
        <w:pStyle w:val="Paragrafi"/>
        <w:rPr>
          <w:bCs/>
          <w:spacing w:val="-4"/>
          <w:lang w:val="sq-AL"/>
        </w:rPr>
      </w:pPr>
      <w:r w:rsidRPr="00F014E5">
        <w:rPr>
          <w:bCs/>
          <w:spacing w:val="-4"/>
          <w:lang w:val="sq-AL"/>
        </w:rPr>
        <w:t xml:space="preserve">i) “Grupi përkatës”, organ i ngritur sipas nenit 3 dhe shtojcës II.1, të rregullores 347/EC, datë 17.4.2013, miratuar me vendimin e Këshillit Ministror të Komunitetit të Energjisë nr. 2015/09/MC-EnC, datë 16 tetor 2015; </w:t>
      </w:r>
    </w:p>
    <w:p w:rsidR="001A34CA" w:rsidRPr="00F014E5" w:rsidRDefault="001A34CA" w:rsidP="001A34CA">
      <w:pPr>
        <w:pStyle w:val="Paragrafi"/>
        <w:rPr>
          <w:lang w:val="sq-AL"/>
        </w:rPr>
      </w:pPr>
      <w:r w:rsidRPr="00F014E5">
        <w:rPr>
          <w:bCs/>
          <w:spacing w:val="-4"/>
          <w:lang w:val="sq-AL"/>
        </w:rPr>
        <w:t xml:space="preserve">j) “Bordi i Rregullatorëve të Komunitetit të Energjisë”, </w:t>
      </w:r>
      <w:r w:rsidRPr="00F014E5">
        <w:rPr>
          <w:spacing w:val="-4"/>
          <w:lang w:val="sq-AL"/>
        </w:rPr>
        <w:t>institucioni koordinues i rregullatorëve kombëtarë të energjisë të palëve nënshkruese të Traktatit të Komunitetit të Energjisë. Është forumi për shkëmbimin e njohurive dhe zhvillimin e praktikave më të mira për tregjet e rregulluara të energjisë elektrike dhe të gazit në Komunitetin e Energjisë. Aktivitetet e tij përfshijnë sigurimin e qëndrimeve të koordinuara rregullatore në debatet e politikave energjetike, harmonizimin e rregullave</w:t>
      </w:r>
      <w:r w:rsidRPr="00F014E5">
        <w:rPr>
          <w:lang w:val="sq-AL"/>
        </w:rPr>
        <w:t xml:space="preserve"> rregullatore përgjatë kufijve dhe ndarjen e njohurive e të përvojës rregullatore;</w:t>
      </w:r>
    </w:p>
    <w:p w:rsidR="001A34CA" w:rsidRPr="00F014E5" w:rsidRDefault="001A34CA" w:rsidP="001A34CA">
      <w:pPr>
        <w:pStyle w:val="Paragrafi"/>
        <w:rPr>
          <w:bCs/>
          <w:lang w:val="sq-AL"/>
        </w:rPr>
      </w:pPr>
      <w:r w:rsidRPr="00F014E5">
        <w:rPr>
          <w:lang w:val="sq-AL"/>
        </w:rPr>
        <w:t>k) “</w:t>
      </w:r>
      <w:r w:rsidRPr="00F014E5">
        <w:rPr>
          <w:bCs/>
          <w:lang w:val="sq-AL"/>
        </w:rPr>
        <w:t xml:space="preserve">Palët kontraktuese të Komunitetit të Energjisë”, palët nënshkruese të Traktatit të Komunitetit </w:t>
      </w:r>
      <w:r w:rsidRPr="00F014E5">
        <w:rPr>
          <w:bCs/>
          <w:lang w:val="sq-AL"/>
        </w:rPr>
        <w:lastRenderedPageBreak/>
        <w:t>të Energjisë;</w:t>
      </w:r>
    </w:p>
    <w:p w:rsidR="001A34CA" w:rsidRPr="00F014E5" w:rsidRDefault="001A34CA" w:rsidP="001A34CA">
      <w:pPr>
        <w:pStyle w:val="Paragrafi"/>
        <w:rPr>
          <w:bCs/>
          <w:lang w:val="sq-AL"/>
        </w:rPr>
      </w:pPr>
      <w:r w:rsidRPr="00F014E5">
        <w:rPr>
          <w:bCs/>
          <w:lang w:val="sq-AL"/>
        </w:rPr>
        <w:t xml:space="preserve">l) “Lista e Projekteve me Interes për Komunitetin e Energjisë (PECI)”, lista e projekteve të miratuara me vendimin e Këshillit Ministror nr. 2015/09/MC-EnC, datë 16 tetor 2015, që do të përditësohet çdo dy vjet; </w:t>
      </w:r>
    </w:p>
    <w:p w:rsidR="001A34CA" w:rsidRPr="00F014E5" w:rsidRDefault="001A34CA" w:rsidP="001A34CA">
      <w:pPr>
        <w:pStyle w:val="Paragrafi"/>
        <w:rPr>
          <w:bCs/>
          <w:lang w:val="sq-AL"/>
        </w:rPr>
      </w:pPr>
      <w:r w:rsidRPr="00F014E5">
        <w:rPr>
          <w:bCs/>
          <w:lang w:val="sq-AL"/>
        </w:rPr>
        <w:t xml:space="preserve">ll) “Lista e Projekteve me Interes të Ndërsjellë për Palët Kontraktuese të Komunitetit të Energjisë (PMI)”, lista e projekteve të miratuara me vendimin e Këshillit Ministror nr. 2015/09/MC-EnC, datë 16 tetor 2015, që do të përditësohet çdo dy vjet; </w:t>
      </w:r>
    </w:p>
    <w:p w:rsidR="001A34CA" w:rsidRPr="00F014E5" w:rsidRDefault="001A34CA" w:rsidP="001A34CA">
      <w:pPr>
        <w:pStyle w:val="Paragrafi"/>
        <w:rPr>
          <w:rFonts w:eastAsiaTheme="minorHAnsi"/>
          <w:lang w:val="sq-AL"/>
        </w:rPr>
      </w:pPr>
      <w:r w:rsidRPr="00F014E5">
        <w:rPr>
          <w:bCs/>
          <w:lang w:val="sq-AL"/>
        </w:rPr>
        <w:t>m) “</w:t>
      </w:r>
      <w:r w:rsidRPr="00F014E5">
        <w:rPr>
          <w:rFonts w:eastAsiaTheme="minorHAnsi"/>
          <w:lang w:val="sq-AL"/>
        </w:rPr>
        <w:t xml:space="preserve">Studim parafizibiliteti”, një vlerësim paraprak, i përafërt, teknik, ekonomik, financiar dhe mjedisor i një projekti për ndërtimin e një linje/kapaciteti të ri transmetues të energjisë; </w:t>
      </w:r>
    </w:p>
    <w:p w:rsidR="001A34CA" w:rsidRPr="00F014E5" w:rsidRDefault="001A34CA" w:rsidP="001A34CA">
      <w:pPr>
        <w:pStyle w:val="Paragrafi"/>
        <w:rPr>
          <w:rFonts w:eastAsiaTheme="minorHAnsi"/>
          <w:lang w:val="sq-AL"/>
        </w:rPr>
      </w:pPr>
      <w:r w:rsidRPr="00F014E5">
        <w:rPr>
          <w:rFonts w:eastAsiaTheme="minorHAnsi"/>
          <w:lang w:val="sq-AL"/>
        </w:rPr>
        <w:t xml:space="preserve">n) “Studim fizibiliteti”, një vlerësim i plotë teknik, ekonomik, financiar dhe mjedisor i një projekti për ndërtimin e një linje/kapaciteti të ri transmetues të energjisë; </w:t>
      </w:r>
    </w:p>
    <w:p w:rsidR="001A34CA" w:rsidRPr="00F014E5" w:rsidRDefault="001A34CA" w:rsidP="001A34CA">
      <w:pPr>
        <w:pStyle w:val="Paragrafi"/>
        <w:rPr>
          <w:rFonts w:eastAsiaTheme="minorHAnsi"/>
          <w:lang w:val="sq-AL"/>
        </w:rPr>
      </w:pPr>
      <w:r w:rsidRPr="00F014E5">
        <w:rPr>
          <w:rFonts w:eastAsiaTheme="minorHAnsi"/>
          <w:lang w:val="sq-AL"/>
        </w:rPr>
        <w:t>nj) “</w:t>
      </w:r>
      <w:r w:rsidRPr="00F014E5">
        <w:rPr>
          <w:rFonts w:eastAsiaTheme="minorHAnsi"/>
          <w:bCs/>
          <w:lang w:val="sq-AL"/>
        </w:rPr>
        <w:t xml:space="preserve">Interkonektor”, </w:t>
      </w:r>
      <w:r w:rsidRPr="00F014E5">
        <w:rPr>
          <w:rFonts w:eastAsiaTheme="minorHAnsi"/>
          <w:lang w:val="sq-AL"/>
        </w:rPr>
        <w:t>linjë transmetimi, e cila kalon apo përshkon kufirin ndërmjet palëve kontraktuese dhe lidh sistemet shtetërore të transmetimit të palëve kontraktuese;</w:t>
      </w:r>
    </w:p>
    <w:p w:rsidR="001A34CA" w:rsidRPr="00F014E5" w:rsidRDefault="001A34CA" w:rsidP="001A34CA">
      <w:pPr>
        <w:pStyle w:val="Paragrafi"/>
        <w:rPr>
          <w:rFonts w:eastAsiaTheme="minorHAnsi"/>
          <w:lang w:val="sq-AL"/>
        </w:rPr>
      </w:pPr>
      <w:r w:rsidRPr="00F014E5">
        <w:rPr>
          <w:rFonts w:eastAsiaTheme="minorHAnsi"/>
          <w:lang w:val="sq-AL"/>
        </w:rPr>
        <w:t>o) “</w:t>
      </w:r>
      <w:r w:rsidRPr="00F014E5">
        <w:rPr>
          <w:rFonts w:eastAsiaTheme="minorHAnsi"/>
          <w:bCs/>
          <w:lang w:val="sq-AL"/>
        </w:rPr>
        <w:t xml:space="preserve">Tranzit”, </w:t>
      </w:r>
      <w:r w:rsidRPr="00F014E5">
        <w:rPr>
          <w:rFonts w:eastAsiaTheme="minorHAnsi"/>
          <w:lang w:val="sq-AL"/>
        </w:rPr>
        <w:t xml:space="preserve">transferim i energjisë me origjinë nga një shtet tjetër, e destinuar për një shtet të tretë, nëpër rrjetin shqiptar ose transmetimi i energjisë me origjinë nga një shtet tjetër, i destinuar po për atë shtet, nëpërmjet rrjetit të Shqipërisë; </w:t>
      </w:r>
    </w:p>
    <w:p w:rsidR="001A34CA" w:rsidRPr="00F014E5" w:rsidRDefault="001A34CA" w:rsidP="001A34CA">
      <w:pPr>
        <w:pStyle w:val="Paragrafi"/>
        <w:rPr>
          <w:bCs/>
          <w:lang w:val="sq-AL"/>
        </w:rPr>
      </w:pPr>
      <w:r w:rsidRPr="00F014E5">
        <w:rPr>
          <w:rFonts w:eastAsiaTheme="minorHAnsi"/>
          <w:lang w:val="sq-AL"/>
        </w:rPr>
        <w:t>p) “</w:t>
      </w:r>
      <w:r w:rsidRPr="00F014E5">
        <w:rPr>
          <w:bCs/>
          <w:lang w:val="sq-AL"/>
        </w:rPr>
        <w:t xml:space="preserve">Depozitim i energjisë”, </w:t>
      </w:r>
      <w:r w:rsidRPr="00F014E5">
        <w:rPr>
          <w:lang w:val="sq-AL"/>
        </w:rPr>
        <w:t xml:space="preserve">çdo proces apo gjendje e ruajtjes së energjisë, në një formë, e cila lejon që energjia të vihet në dispozicion në një formë të dobishme në një moment të mëvonshëm. </w:t>
      </w:r>
    </w:p>
    <w:p w:rsidR="001A34CA" w:rsidRPr="00F014E5" w:rsidRDefault="001A34CA" w:rsidP="001A34CA">
      <w:pPr>
        <w:pStyle w:val="Paragrafi"/>
        <w:rPr>
          <w:bCs/>
          <w:lang w:val="sq-AL"/>
        </w:rPr>
      </w:pPr>
      <w:r w:rsidRPr="00F014E5">
        <w:rPr>
          <w:bCs/>
          <w:lang w:val="sq-AL"/>
        </w:rPr>
        <w:t xml:space="preserve">4. Termat e tjerë të përdorur në këtë vendim, kanë kuptimin sipas përcaktimeve të përdorura në ligjet nr. 102/2015, “Për sektorin e gazit natyror”, nr. 43/2015, “Për sektorin e energjisë elektrike”, të ndryshuar, </w:t>
      </w:r>
      <w:r w:rsidRPr="00F014E5">
        <w:rPr>
          <w:lang w:val="sq-AL"/>
        </w:rPr>
        <w:t>dhe nr. 8450, datë 24.2.1999, “Për përpunimin, transportimin dhe tregtimin e naftës, të gazit dhe nënprodukteve të tyre”, të ndryshuar.</w:t>
      </w:r>
    </w:p>
    <w:p w:rsidR="001A34CA" w:rsidRPr="00F014E5" w:rsidRDefault="001A34CA" w:rsidP="001A34CA">
      <w:pPr>
        <w:pStyle w:val="Paragrafi"/>
        <w:rPr>
          <w:b/>
          <w:bCs/>
          <w:lang w:val="sq-AL"/>
        </w:rPr>
      </w:pPr>
      <w:r w:rsidRPr="00F014E5">
        <w:rPr>
          <w:b/>
          <w:bCs/>
          <w:lang w:val="sq-AL"/>
        </w:rPr>
        <w:t>IV. Caktimi i autoritetit kompetent shtetëror</w:t>
      </w:r>
    </w:p>
    <w:p w:rsidR="001A34CA" w:rsidRPr="00F014E5" w:rsidRDefault="001A34CA" w:rsidP="001A34CA">
      <w:pPr>
        <w:pStyle w:val="Paragrafi"/>
        <w:rPr>
          <w:bCs/>
          <w:lang w:val="sq-AL"/>
        </w:rPr>
      </w:pPr>
      <w:r w:rsidRPr="00F014E5">
        <w:rPr>
          <w:bCs/>
          <w:lang w:val="sq-AL"/>
        </w:rPr>
        <w:t xml:space="preserve">5. Autoriteti kompetent shtetëror për lehtësimin dhe bashkërendimin e procesit të dhënies së lejeve për promovimin e investimeve të përbashkëta, rajonale, në infrastrukturën e sektorit të energjisë, sipas këtij vendimi, është ministria përgjegjëse për energjinë, siç përcaktohet në pikën 4, të nenit </w:t>
      </w:r>
      <w:r w:rsidRPr="00F014E5">
        <w:rPr>
          <w:spacing w:val="-13"/>
          <w:lang w:val="sq-AL"/>
        </w:rPr>
        <w:t>5</w:t>
      </w:r>
      <w:r w:rsidRPr="00F014E5">
        <w:rPr>
          <w:bCs/>
          <w:spacing w:val="-6"/>
          <w:lang w:val="sq-AL"/>
        </w:rPr>
        <w:t xml:space="preserve">, </w:t>
      </w:r>
      <w:r w:rsidRPr="00F014E5">
        <w:rPr>
          <w:bCs/>
          <w:lang w:val="sq-AL"/>
        </w:rPr>
        <w:t>të ligjit nr. 102/2015, në pikën 2, të n</w:t>
      </w:r>
      <w:r w:rsidRPr="00F014E5">
        <w:rPr>
          <w:rFonts w:eastAsiaTheme="minorHAnsi"/>
          <w:lang w:val="sq-AL"/>
        </w:rPr>
        <w:t>enit 4</w:t>
      </w:r>
      <w:r w:rsidRPr="00F014E5">
        <w:rPr>
          <w:rFonts w:eastAsiaTheme="minorHAnsi"/>
          <w:bCs/>
          <w:lang w:val="sq-AL"/>
        </w:rPr>
        <w:t>,</w:t>
      </w:r>
      <w:r w:rsidRPr="00F014E5">
        <w:rPr>
          <w:bCs/>
          <w:lang w:val="sq-AL"/>
        </w:rPr>
        <w:t xml:space="preserve"> të ligjit nr. 43/2015, të ndryshuar, dhe në nenin 13, të </w:t>
      </w:r>
      <w:r w:rsidRPr="00F014E5">
        <w:rPr>
          <w:lang w:val="sq-AL"/>
        </w:rPr>
        <w:t>ligjit nr. 8450, datë 24.2.1999, të ndryshuar.</w:t>
      </w:r>
    </w:p>
    <w:p w:rsidR="001A34CA" w:rsidRPr="00F014E5" w:rsidRDefault="001A34CA" w:rsidP="001A34CA">
      <w:pPr>
        <w:pStyle w:val="Paragrafi"/>
        <w:rPr>
          <w:bCs/>
          <w:lang w:val="sq-AL"/>
        </w:rPr>
      </w:pPr>
      <w:r w:rsidRPr="00F014E5">
        <w:rPr>
          <w:bCs/>
          <w:lang w:val="sq-AL"/>
        </w:rPr>
        <w:t xml:space="preserve">6. Ministria përgjegjëse për energjinë përgatit dhe paraqet për miratim në Këshillin e Ministrave praktikat administrative për promovimin e çdo ndërtimi të objekteve të infrastrukturës rajonale energjetike për energjinë elektrike, gazin natyror e naftën bruto dhe këtë veprim ia komunikon Sekretariatit të Komunitetit të Energjisë. </w:t>
      </w:r>
    </w:p>
    <w:p w:rsidR="001A34CA" w:rsidRPr="00F014E5" w:rsidRDefault="001A34CA" w:rsidP="001A34CA">
      <w:pPr>
        <w:pStyle w:val="Paragrafi"/>
        <w:rPr>
          <w:bCs/>
          <w:lang w:val="sq-AL"/>
        </w:rPr>
      </w:pPr>
      <w:r w:rsidRPr="00F014E5">
        <w:rPr>
          <w:bCs/>
          <w:lang w:val="sq-AL"/>
        </w:rPr>
        <w:t>V. Detyrat dhe përgjegjësitë e autoritetit kompetent</w:t>
      </w:r>
    </w:p>
    <w:p w:rsidR="001A34CA" w:rsidRPr="00F014E5" w:rsidRDefault="001A34CA" w:rsidP="001A34CA">
      <w:pPr>
        <w:pStyle w:val="Paragrafi"/>
        <w:rPr>
          <w:bCs/>
          <w:lang w:val="sq-AL"/>
        </w:rPr>
      </w:pPr>
      <w:r w:rsidRPr="00F014E5">
        <w:rPr>
          <w:bCs/>
          <w:lang w:val="sq-AL"/>
        </w:rPr>
        <w:t xml:space="preserve">7. Autoriteti kompetent, sipas kreut IV të këtij vendimi, është përgjegjës, për: </w:t>
      </w:r>
    </w:p>
    <w:p w:rsidR="001A34CA" w:rsidRPr="00F014E5" w:rsidRDefault="001A34CA" w:rsidP="001A34CA">
      <w:pPr>
        <w:pStyle w:val="Paragrafi"/>
        <w:rPr>
          <w:bCs/>
          <w:lang w:val="sq-AL"/>
        </w:rPr>
      </w:pPr>
      <w:r w:rsidRPr="00F014E5">
        <w:rPr>
          <w:bCs/>
          <w:lang w:val="sq-AL"/>
        </w:rPr>
        <w:t xml:space="preserve">a) Lehtësimin dhe bashkërendimin e procesit të dhënies së lejeve për projektet e infra-strukturës energjetike, rajonale, me interes për Komunitetin e Energjisë dhe të projekteve me interes të ndërsjellë për palët kontraktuese të Komunitetit të Energjisë dhe/ose vendet anëtare të Bashkimit Evropian. Autoriteti kompetent bashkërendon dhënien e miratimit gjithë-përfshirës. Në konsultim me autoritetet e tjera të përfshira, si dhe pa paragjykuar afatet kohore, të përcaktuara në përputhje me kreun X, të këtij vendimi, autoriteti kompetent vendos afatet kohore të arsyeshme për secilin rast, brenda të cilave duhen të jepen miratimet individuale nga autoritetet përkatëse. Ai monitoron edhe respektimin e afateve kohore nga autoritetet në fjalë. Nëse një miratim i caktuar nga një autoritet në fjalë nuk jepet brenda afatit kohor të caktuar, autoriteti informon autoritetin kompetent pa vonesë, duke dhënë edhe arsyetimin për mosdhënien e miratimit brenda afatit kohor të caktuar. Në vijimësi, autoriteti kompetent rivendos afatin kohor brenda të cilit jepet miratimi individual derisa, ndërkohë, respektohen afatet e përgjithshme kohore, të vendosura në përputhje me kreun X të këtij vendimi; </w:t>
      </w:r>
    </w:p>
    <w:p w:rsidR="001A34CA" w:rsidRPr="00F014E5" w:rsidRDefault="001A34CA" w:rsidP="001A34CA">
      <w:pPr>
        <w:pStyle w:val="Paragrafi"/>
        <w:rPr>
          <w:bCs/>
          <w:lang w:val="sq-AL"/>
        </w:rPr>
      </w:pPr>
      <w:r>
        <w:rPr>
          <w:bCs/>
          <w:lang w:val="sq-AL"/>
        </w:rPr>
        <w:t xml:space="preserve">b) </w:t>
      </w:r>
      <w:r w:rsidRPr="00F014E5">
        <w:rPr>
          <w:bCs/>
          <w:lang w:val="sq-AL"/>
        </w:rPr>
        <w:t>Publikimin dhe përditësimin, kurdo që është e nevojshme, të manualit të procedurave, në bashkëpunim me autoritetet e tjera përkatëse që japin leje, para datës 30 dhjetor 2018;</w:t>
      </w:r>
    </w:p>
    <w:p w:rsidR="001A34CA" w:rsidRPr="00F014E5" w:rsidRDefault="001A34CA" w:rsidP="001A34CA">
      <w:pPr>
        <w:pStyle w:val="Paragrafi"/>
        <w:rPr>
          <w:bCs/>
          <w:lang w:val="sq-AL"/>
        </w:rPr>
      </w:pPr>
      <w:r w:rsidRPr="00F014E5">
        <w:rPr>
          <w:bCs/>
          <w:lang w:val="sq-AL"/>
        </w:rPr>
        <w:lastRenderedPageBreak/>
        <w:t xml:space="preserve">c) Miratimin apo kërkimin e modifikimit të konceptit të pjesëmarrjes publike, në bashkë-punim me autoritetet përkatëse, dorëzuar nga promovuesi i projektit, brenda tre muajve, nga dorëzimi i tij; </w:t>
      </w:r>
    </w:p>
    <w:p w:rsidR="001A34CA" w:rsidRPr="00F014E5" w:rsidRDefault="001A34CA" w:rsidP="001A34CA">
      <w:pPr>
        <w:pStyle w:val="Paragrafi"/>
        <w:rPr>
          <w:bCs/>
          <w:lang w:val="sq-AL"/>
        </w:rPr>
      </w:pPr>
      <w:r w:rsidRPr="00F014E5">
        <w:rPr>
          <w:bCs/>
          <w:lang w:val="sq-AL"/>
        </w:rPr>
        <w:t xml:space="preserve">ç) Përgatitjen e një skeme të hollësishme afatesh për procesin e dhënies së lejeve, në konsultim me promovuesin e projektit dhe autoritetet e tjera të përfshira; </w:t>
      </w:r>
    </w:p>
    <w:p w:rsidR="001A34CA" w:rsidRPr="00F014E5" w:rsidRDefault="001A34CA" w:rsidP="001A34CA">
      <w:pPr>
        <w:pStyle w:val="Paragrafi"/>
        <w:rPr>
          <w:bCs/>
          <w:lang w:val="sq-AL"/>
        </w:rPr>
      </w:pPr>
      <w:r w:rsidRPr="00F014E5">
        <w:rPr>
          <w:bCs/>
          <w:lang w:val="sq-AL"/>
        </w:rPr>
        <w:t>d) Bashkëpunimin me autoritetet kompetente të shteteve anëtare të Bashkimit Evropian dhe palët e tjera kontraktuese të Komunitetit të Energjisë në përgatitjen e planeve të përbashkëta, me qëllim të koordinimit të afateve;</w:t>
      </w:r>
    </w:p>
    <w:p w:rsidR="001A34CA" w:rsidRPr="00F014E5" w:rsidRDefault="001A34CA" w:rsidP="001A34CA">
      <w:pPr>
        <w:pStyle w:val="Paragrafi"/>
        <w:rPr>
          <w:bCs/>
          <w:lang w:val="sq-AL"/>
        </w:rPr>
      </w:pPr>
      <w:r w:rsidRPr="00F014E5">
        <w:rPr>
          <w:bCs/>
          <w:lang w:val="sq-AL"/>
        </w:rPr>
        <w:t>dh) Dorëzimin te grupi përkatës i Komunitetit të Energjisë të raportit vjetor mbi progresin apo vonesat në implementimin e projektit, në kuptimin e proceseve të dhënies së lejeve.</w:t>
      </w:r>
    </w:p>
    <w:p w:rsidR="001A34CA" w:rsidRPr="00F014E5" w:rsidRDefault="001A34CA" w:rsidP="001A34CA">
      <w:pPr>
        <w:pStyle w:val="Paragrafi"/>
        <w:rPr>
          <w:b/>
          <w:bCs/>
          <w:lang w:val="sq-AL"/>
        </w:rPr>
      </w:pPr>
      <w:r w:rsidRPr="00F014E5">
        <w:rPr>
          <w:b/>
          <w:bCs/>
          <w:lang w:val="sq-AL"/>
        </w:rPr>
        <w:t>VI. Masat për harmonizimin e proce-durave dhe të praktikave</w:t>
      </w:r>
    </w:p>
    <w:p w:rsidR="001A34CA" w:rsidRPr="00F014E5" w:rsidRDefault="001A34CA" w:rsidP="001A34CA">
      <w:pPr>
        <w:pStyle w:val="Paragrafi"/>
        <w:rPr>
          <w:bCs/>
          <w:spacing w:val="-4"/>
          <w:lang w:val="sq-AL"/>
        </w:rPr>
      </w:pPr>
      <w:r w:rsidRPr="00F014E5">
        <w:rPr>
          <w:bCs/>
          <w:spacing w:val="-4"/>
          <w:lang w:val="sq-AL"/>
        </w:rPr>
        <w:t xml:space="preserve">8. Ministria përgjegjëse për energjinë, në bashkërendim me ministrinë përgjegjëse për mjedisin, analizon dhe vlerëson se cilat masa janë të mundshme për harmonizimin e procedurave e të praktikave shtetërore të vlerësimit mjedisor për projektet e infrastrukturës energjetike, rajonale, me interes për Komunitetin e Energjisë dhe të projekteve me interes të ndërsjellë për palët kontraktuese të Komunitetit të Energjisë dhe/ose vendet anëtare të Bashkimit Evropian, në bazë të udhëzimeve të nxjerra nga Komisioni Evropian, si dhe informon Sekretariatin e Komunitetit të Energjisë për rezultatet. </w:t>
      </w:r>
    </w:p>
    <w:p w:rsidR="001A34CA" w:rsidRPr="00F014E5" w:rsidRDefault="001A34CA" w:rsidP="001A34CA">
      <w:pPr>
        <w:pStyle w:val="Paragrafi"/>
        <w:rPr>
          <w:bCs/>
          <w:spacing w:val="-4"/>
          <w:lang w:val="sq-AL"/>
        </w:rPr>
      </w:pPr>
      <w:r w:rsidRPr="00F014E5">
        <w:rPr>
          <w:bCs/>
          <w:spacing w:val="-4"/>
          <w:lang w:val="sq-AL"/>
        </w:rPr>
        <w:t xml:space="preserve">9. Deri më 30 dhjetor 2018, ministria përgjegjëse për energjinë, në bashkërendim me ministrinë përgjegjëse për mjedisin, ndërmarrin masat e nevojshme administrative për harmonizimin e procedurave të identifikuara, sipas pikës 8 të këtij vendimi. </w:t>
      </w:r>
    </w:p>
    <w:p w:rsidR="001A34CA" w:rsidRPr="00F014E5" w:rsidRDefault="001A34CA" w:rsidP="001A34CA">
      <w:pPr>
        <w:pStyle w:val="Paragrafi"/>
        <w:rPr>
          <w:bCs/>
          <w:spacing w:val="-4"/>
          <w:lang w:val="sq-AL"/>
        </w:rPr>
      </w:pPr>
      <w:r w:rsidRPr="00F014E5">
        <w:rPr>
          <w:bCs/>
          <w:spacing w:val="-4"/>
          <w:lang w:val="sq-AL"/>
        </w:rPr>
        <w:t>10. Duke filluar nga 30 qershori 2019, ministria përgjegjëse për energjinë, në bashkërendim me ministrinë përgjegjëse për mjedisin, duhet të ndërmarrin masat ligjore të identifikuara, sipas pikës 8 të këtij kreu. Këto masa duhen marrë pa paragjykuar detyrimet që rrjedhin nga legjislacioni i miratuar nga Komuniteti i Energjisë.</w:t>
      </w:r>
    </w:p>
    <w:p w:rsidR="001A34CA" w:rsidRPr="00F014E5" w:rsidRDefault="001A34CA" w:rsidP="001A34CA">
      <w:pPr>
        <w:pStyle w:val="Paragrafi"/>
        <w:rPr>
          <w:b/>
          <w:bCs/>
          <w:lang w:val="sq-AL"/>
        </w:rPr>
      </w:pPr>
      <w:r w:rsidRPr="00F014E5">
        <w:rPr>
          <w:b/>
          <w:bCs/>
          <w:lang w:val="sq-AL"/>
        </w:rPr>
        <w:t xml:space="preserve">VII. Statusi prioritar i projekteve rajonale të infrastrukturës energjetike </w:t>
      </w:r>
    </w:p>
    <w:p w:rsidR="001A34CA" w:rsidRPr="00F014E5" w:rsidRDefault="001A34CA" w:rsidP="001A34CA">
      <w:pPr>
        <w:pStyle w:val="Paragrafi"/>
        <w:rPr>
          <w:bCs/>
          <w:lang w:val="sq-AL"/>
        </w:rPr>
      </w:pPr>
      <w:r w:rsidRPr="00F014E5">
        <w:rPr>
          <w:bCs/>
          <w:lang w:val="sq-AL"/>
        </w:rPr>
        <w:t xml:space="preserve">11. Projektet rajonale të infrastrukturës energjetike, me interes për Komunitetin e Energjisë (PECI), duhet të marrin statusin prioritar, në mënyrën në të cilën një trajtim i tillë mundësohet me ligjin e zbatueshëm vendor për llojin përkatës të infrastrukturës energjetike. Statusi prioritar i projekteve PECI përfshin edhe dhënien e statusit më të lartë të mundshëm të një çështjeje të rëndësisë kombëtare në planifikimin e territorit, që të trajtohet si e tillë në proceset e dhënies së lejeve, për sa parashikohet në ligjin për planifikim territorial, duke përfshirë edhe ato që kanë të bëjnë me vlerësimet mjedisore. </w:t>
      </w:r>
    </w:p>
    <w:p w:rsidR="001A34CA" w:rsidRPr="00F014E5" w:rsidRDefault="001A34CA" w:rsidP="001A34CA">
      <w:pPr>
        <w:pStyle w:val="Paragrafi"/>
        <w:rPr>
          <w:bCs/>
          <w:lang w:val="sq-AL"/>
        </w:rPr>
      </w:pPr>
      <w:r w:rsidRPr="00F014E5">
        <w:rPr>
          <w:bCs/>
          <w:lang w:val="sq-AL"/>
        </w:rPr>
        <w:t xml:space="preserve">12. Projektet rajonale të infrastrukturës energjetike me interes të ndërsjellë për palët kontraktuese të Komunitetit të Energjisë dhe/ose vendet anëtare të Bashkimit Evropian (PMI), të cilat janë projekte që lidhin një ose disa palë kontraktuese të Komunitetit të Energjisë (p.sh., Shqipërinë dhe një vend anëtar të BE-së), duhet të marrin statusin prioritare, në mënyrën që një trajtim i tillë mundësohet me ligjin e zbatueshëm vendor për llojin përkatës të infrastrukturës energjetike ndërmjet palëve kontraktuese të Komunitetit të Energjisë dhe/ ose vendeve anëtare të Bashkimit Evropian. Statusi prioritar i projekteve PMI përfshin edhe dhënien e statusit të një çështjeje të rëndësisë kombëtare në planifikimin e territorit, që të trajtohet si e tillë në proceset e dhënies së lejeve, për sa parashikohet në ligjin për planifikim territorial, duke përfshirë edhe ato që kanë të bëjnë me vlerësimet mjedisore. </w:t>
      </w:r>
    </w:p>
    <w:p w:rsidR="001A34CA" w:rsidRPr="00F014E5" w:rsidRDefault="001A34CA" w:rsidP="001A34CA">
      <w:pPr>
        <w:pStyle w:val="Paragrafi"/>
        <w:rPr>
          <w:b/>
          <w:bCs/>
          <w:lang w:val="sq-AL"/>
        </w:rPr>
      </w:pPr>
      <w:r w:rsidRPr="00F014E5">
        <w:rPr>
          <w:b/>
          <w:bCs/>
          <w:lang w:val="sq-AL"/>
        </w:rPr>
        <w:t>VIII. Implementimi dhe monitorimi</w:t>
      </w:r>
    </w:p>
    <w:p w:rsidR="001A34CA" w:rsidRPr="00F014E5" w:rsidRDefault="001A34CA" w:rsidP="001A34CA">
      <w:pPr>
        <w:pStyle w:val="Paragrafi"/>
        <w:rPr>
          <w:bCs/>
          <w:lang w:val="sq-AL"/>
        </w:rPr>
      </w:pPr>
      <w:r w:rsidRPr="00F014E5">
        <w:rPr>
          <w:bCs/>
          <w:lang w:val="sq-AL"/>
        </w:rPr>
        <w:t xml:space="preserve">13. Promovuesit e projekteve të infra-strukturës energjetike rajonale detyrohen të zhvillojnë planet e zbatimit për projektet me interes për Komunitetin e Energjisë dhe projektet me interes të ndërsjellë për palët kontraktuese të Komunitetit të Energjisë dhe/ ose vendet anëtare të Bashkimit Evropian, duke përfshirë tabelën e afateve kohore për secilën prej këtyre çështjeve, që janë: </w:t>
      </w:r>
    </w:p>
    <w:p w:rsidR="001A34CA" w:rsidRPr="00F014E5" w:rsidRDefault="001A34CA" w:rsidP="001A34CA">
      <w:pPr>
        <w:pStyle w:val="Paragrafi"/>
        <w:rPr>
          <w:bCs/>
          <w:lang w:val="sq-AL"/>
        </w:rPr>
      </w:pPr>
      <w:r w:rsidRPr="00F014E5">
        <w:rPr>
          <w:bCs/>
          <w:lang w:val="sq-AL"/>
        </w:rPr>
        <w:t xml:space="preserve">a) Studimi i fizibilitetit dhe projektimi; </w:t>
      </w:r>
    </w:p>
    <w:p w:rsidR="001A34CA" w:rsidRPr="00F014E5" w:rsidRDefault="001A34CA" w:rsidP="001A34CA">
      <w:pPr>
        <w:pStyle w:val="Paragrafi"/>
        <w:rPr>
          <w:bCs/>
          <w:lang w:val="sq-AL"/>
        </w:rPr>
      </w:pPr>
      <w:r w:rsidRPr="00F014E5">
        <w:rPr>
          <w:bCs/>
          <w:lang w:val="sq-AL"/>
        </w:rPr>
        <w:t xml:space="preserve">b) Aprovimi nga Enti Rregullator i Energjisë (ERE) dhe autoritetet e tjera që përfshihen, për rastet kur kërkohet nga legjislacioni specifik; </w:t>
      </w:r>
    </w:p>
    <w:p w:rsidR="001A34CA" w:rsidRPr="00F014E5" w:rsidRDefault="001A34CA" w:rsidP="001A34CA">
      <w:pPr>
        <w:pStyle w:val="Paragrafi"/>
        <w:rPr>
          <w:bCs/>
          <w:lang w:val="sq-AL"/>
        </w:rPr>
      </w:pPr>
      <w:r w:rsidRPr="00F014E5">
        <w:rPr>
          <w:bCs/>
          <w:lang w:val="sq-AL"/>
        </w:rPr>
        <w:t xml:space="preserve">c) Ndërtimi dhe komisionimi; </w:t>
      </w:r>
    </w:p>
    <w:p w:rsidR="001A34CA" w:rsidRPr="00F014E5" w:rsidRDefault="001A34CA" w:rsidP="001A34CA">
      <w:pPr>
        <w:pStyle w:val="Paragrafi"/>
        <w:rPr>
          <w:bCs/>
          <w:lang w:val="sq-AL"/>
        </w:rPr>
      </w:pPr>
      <w:r w:rsidRPr="00F014E5">
        <w:rPr>
          <w:bCs/>
          <w:lang w:val="sq-AL"/>
        </w:rPr>
        <w:lastRenderedPageBreak/>
        <w:t xml:space="preserve">ç) Tabela e afateve kohore limit të dhënies së lejeve, për procesin e lejeve, në pajtim me detajet e dhëna me shtojcën II.2, që i bashkëlidhet këtij vendimi. </w:t>
      </w:r>
    </w:p>
    <w:p w:rsidR="001A34CA" w:rsidRPr="00F014E5" w:rsidRDefault="001A34CA" w:rsidP="001A34CA">
      <w:pPr>
        <w:pStyle w:val="Paragrafi"/>
        <w:rPr>
          <w:bCs/>
          <w:lang w:val="sq-AL"/>
        </w:rPr>
      </w:pPr>
      <w:r w:rsidRPr="00F014E5">
        <w:rPr>
          <w:bCs/>
          <w:lang w:val="sq-AL"/>
        </w:rPr>
        <w:t xml:space="preserve">14. Operatori i Sistemit të Transmetimit, si dhe operatorët e tjerë duhet të bashkëpunojnë ndërmjet tyre për të lehtësuar zhvillimin në fushëveprimin e tyre përkatës të projekteve PECI dhe PMI. </w:t>
      </w:r>
    </w:p>
    <w:p w:rsidR="001A34CA" w:rsidRPr="00F014E5" w:rsidRDefault="001A34CA" w:rsidP="001A34CA">
      <w:pPr>
        <w:pStyle w:val="Paragrafi"/>
        <w:rPr>
          <w:bCs/>
          <w:lang w:val="sq-AL"/>
        </w:rPr>
      </w:pPr>
      <w:r w:rsidRPr="00F014E5">
        <w:rPr>
          <w:bCs/>
          <w:lang w:val="sq-AL"/>
        </w:rPr>
        <w:t>15. Çdo vit, deri më 31 mars, promovuesit e projekteve duhet të dorëzojnë një raport vjetor për secilin projekt që bie në kategoritë e renditura në shtojcën I.1 dhe 2, tek autoriteti kompetent i përmendur në kreun IX, si dhe te bordi i rregullatorit ose, për projektet, që bëjnë pjesë në kategoritë e renditura në shtojcën I.3, te grupi përkatës. Ky raport duhet të japë hollësi, për:</w:t>
      </w:r>
    </w:p>
    <w:p w:rsidR="001A34CA" w:rsidRPr="00F014E5" w:rsidRDefault="001A34CA" w:rsidP="001A34CA">
      <w:pPr>
        <w:pStyle w:val="Paragrafi"/>
        <w:rPr>
          <w:bCs/>
          <w:lang w:val="sq-AL"/>
        </w:rPr>
      </w:pPr>
      <w:r w:rsidRPr="00F014E5">
        <w:rPr>
          <w:bCs/>
          <w:lang w:val="sq-AL"/>
        </w:rPr>
        <w:t>a) Progresin e arritur në zhvillimin, ndërtimin dhe komisionimin e projekteve, sidomos në lidhje me procedurat e dhënies së lejeve e të konsultimit;</w:t>
      </w:r>
    </w:p>
    <w:p w:rsidR="001A34CA" w:rsidRPr="00F014E5" w:rsidRDefault="001A34CA" w:rsidP="001A34CA">
      <w:pPr>
        <w:pStyle w:val="Paragrafi"/>
        <w:rPr>
          <w:bCs/>
          <w:lang w:val="sq-AL"/>
        </w:rPr>
      </w:pPr>
      <w:r w:rsidRPr="00F014E5">
        <w:rPr>
          <w:bCs/>
          <w:lang w:val="sq-AL"/>
        </w:rPr>
        <w:t>b) Vonesat, nëse ka të tilla, në krahasim me planin e zbatimit, arsyet për vonesat e tilla, si dhe vështirësitë e përballura;</w:t>
      </w:r>
    </w:p>
    <w:p w:rsidR="001A34CA" w:rsidRPr="00F014E5" w:rsidRDefault="001A34CA" w:rsidP="001A34CA">
      <w:pPr>
        <w:pStyle w:val="Paragrafi"/>
        <w:rPr>
          <w:bCs/>
          <w:lang w:val="sq-AL"/>
        </w:rPr>
      </w:pPr>
      <w:r w:rsidRPr="00F014E5">
        <w:rPr>
          <w:bCs/>
          <w:lang w:val="sq-AL"/>
        </w:rPr>
        <w:t>c) Planin e rishikuar, nëse ka të tillë, me qëllim tejkalimin e vonesave.</w:t>
      </w:r>
    </w:p>
    <w:p w:rsidR="001A34CA" w:rsidRPr="00F014E5" w:rsidRDefault="001A34CA" w:rsidP="001A34CA">
      <w:pPr>
        <w:pStyle w:val="Paragrafi"/>
        <w:rPr>
          <w:bCs/>
          <w:lang w:val="sq-AL"/>
        </w:rPr>
      </w:pPr>
      <w:r w:rsidRPr="00F014E5">
        <w:rPr>
          <w:bCs/>
          <w:lang w:val="sq-AL"/>
        </w:rPr>
        <w:t xml:space="preserve">16. Brenda një muaji, nga marrja e raporteve të paraqitura nga promovuesit e projekteve, autoriteti kompetent i dorëzon ato te Sekretariati i Komunitetit të Energjisë, që përgatit dhe dorëzon raportet e konsoliduara te grupet. </w:t>
      </w:r>
    </w:p>
    <w:p w:rsidR="001A34CA" w:rsidRPr="00F014E5" w:rsidRDefault="001A34CA" w:rsidP="001A34CA">
      <w:pPr>
        <w:pStyle w:val="Paragrafi"/>
        <w:rPr>
          <w:bCs/>
          <w:lang w:val="sq-AL"/>
        </w:rPr>
      </w:pPr>
      <w:r w:rsidRPr="00F014E5">
        <w:rPr>
          <w:bCs/>
          <w:lang w:val="sq-AL"/>
        </w:rPr>
        <w:t>17. Çdo vit, autoriteti kompetent i raporton grupit përkatës për progresin dhe për elementet e tjera të rëndësishme, vonesat në zbatimin e projekteve PECI e PMI, që gjenden në territorin e tyre, në lidhje me procesin e marrjes së lejeve, si dhe arsyet për vonesa të tilla.</w:t>
      </w:r>
    </w:p>
    <w:p w:rsidR="001A34CA" w:rsidRPr="00F014E5" w:rsidRDefault="001A34CA" w:rsidP="001A34CA">
      <w:pPr>
        <w:pStyle w:val="Paragrafi"/>
        <w:rPr>
          <w:b/>
          <w:bCs/>
          <w:lang w:val="sq-AL"/>
        </w:rPr>
      </w:pPr>
      <w:r w:rsidRPr="00F014E5">
        <w:rPr>
          <w:b/>
          <w:bCs/>
          <w:lang w:val="sq-AL"/>
        </w:rPr>
        <w:t>IX. Transparenca dhe pjesëmarrja publike</w:t>
      </w:r>
    </w:p>
    <w:p w:rsidR="001A34CA" w:rsidRPr="00F014E5" w:rsidRDefault="001A34CA" w:rsidP="001A34CA">
      <w:pPr>
        <w:pStyle w:val="Paragrafi"/>
        <w:rPr>
          <w:bCs/>
          <w:lang w:val="sq-AL"/>
        </w:rPr>
      </w:pPr>
      <w:r w:rsidRPr="00F014E5">
        <w:rPr>
          <w:bCs/>
          <w:lang w:val="sq-AL"/>
        </w:rPr>
        <w:t xml:space="preserve">18. Deri më 30 dhjetor 2018, autoriteti kompetent, në bashkëpunim me autoritetet e tjera të angazhuara, duhet të publikojë një manual procedurash për procesin e dhënies së lejeve, që vlen për projektet PECI dhe PMI. Manuali duhet përditësuar sa herë që është e nevojshme dhe të vihet në dispozicion për publikun. Manuali duhet të përfshijë, së paku, informatat e specifikuara në pikën 1 të shtojcës II. </w:t>
      </w:r>
    </w:p>
    <w:p w:rsidR="001A34CA" w:rsidRPr="00F014E5" w:rsidRDefault="001A34CA" w:rsidP="001A34CA">
      <w:pPr>
        <w:pStyle w:val="Paragrafi"/>
        <w:rPr>
          <w:bCs/>
          <w:lang w:val="sq-AL"/>
        </w:rPr>
      </w:pPr>
      <w:r w:rsidRPr="00F014E5">
        <w:rPr>
          <w:bCs/>
          <w:lang w:val="sq-AL"/>
        </w:rPr>
        <w:t xml:space="preserve">19. Brenda një periudhe 3-mujore nga fillimi i procesit të dhënies së lejeve, sipas shkronjës “a”, të pikës 27, të kreut X, të këtij vendimi, promovuesi i projektit harton dhe dorëzon tek autoriteti kompetent një projekt konceptual të pjesëmarrjes publike, bazuar në kërkesat dhe procedurat e ligjit nr. 146/2014, “Për njoftimin dhe konsultimin publik”, duke respektuar procesin e përcaktuar në manualin e përmendur në pikën 18, si dhe në pajtim me udhëzimet e dhëna te shtojca II. Autoriteti kompetent mund të kërkojë modifikime apo të pajtohet me konceptin e pjesëmarrjes publike brenda dy muajve. </w:t>
      </w:r>
    </w:p>
    <w:p w:rsidR="001A34CA" w:rsidRPr="00F014E5" w:rsidRDefault="001A34CA" w:rsidP="001A34CA">
      <w:pPr>
        <w:pStyle w:val="Paragrafi"/>
        <w:rPr>
          <w:bCs/>
          <w:lang w:val="sq-AL"/>
        </w:rPr>
      </w:pPr>
      <w:r w:rsidRPr="00F014E5">
        <w:rPr>
          <w:bCs/>
          <w:lang w:val="sq-AL"/>
        </w:rPr>
        <w:t xml:space="preserve">20. Autoriteti kompetent duhet të marrë parasysh çdo formë të pjesëmarrjes dhe konsultimit publik që përdoret para procesit të dhënies së lejeve, referuar dispozitave të ligjit nr. 146/2014, deri në masën që ajo pjesëmarrje dhe konsultim publik të përmbushë kriteret e këtij neni. </w:t>
      </w:r>
    </w:p>
    <w:p w:rsidR="001A34CA" w:rsidRPr="00F014E5" w:rsidRDefault="001A34CA" w:rsidP="001A34CA">
      <w:pPr>
        <w:pStyle w:val="Paragrafi"/>
        <w:rPr>
          <w:bCs/>
          <w:lang w:val="sq-AL"/>
        </w:rPr>
      </w:pPr>
      <w:r w:rsidRPr="00F014E5">
        <w:rPr>
          <w:bCs/>
          <w:lang w:val="sq-AL"/>
        </w:rPr>
        <w:t>21. Në rastet ku promovuesi i projektit synon të bëjë ndryshime të konsiderueshme në një koncept të pjesëmarrjes publike të aprovuar, ai duhet të informojë autoritetin kompetent për këto. Në atë rast, pas konsultimit me autoritetet përkatëse, autoriteti kompetent mund të miratojë modifikimet.</w:t>
      </w:r>
    </w:p>
    <w:p w:rsidR="001A34CA" w:rsidRPr="00F014E5" w:rsidRDefault="001A34CA" w:rsidP="001A34CA">
      <w:pPr>
        <w:pStyle w:val="Paragrafi"/>
        <w:rPr>
          <w:bCs/>
          <w:lang w:val="sq-AL"/>
        </w:rPr>
      </w:pPr>
      <w:r w:rsidRPr="00F014E5">
        <w:rPr>
          <w:bCs/>
          <w:lang w:val="sq-AL"/>
        </w:rPr>
        <w:t xml:space="preserve">22. Promovuesi i projektit duhet të mbajë, së paku, një konsultim publik ose, kur kërkohet nga autoriteti kompetent, në përputhje me legjislacionin në zbatim, para dorëzimit të aplikimit përfundimtar e të plotë tek autoriteti kompetent, sipas shkronjës “a”, të pikës 27, të kreut X. Kjo duhet të bëhet pa anashkaluar konsultimet publike që duhen mbajtur pas dorëzimit të aplikimit për miratim zhvillimor, duke marrë parasysh edhe vlerësimin e ndikimit në mjedis. Gjatë konsultimeve publike, promovuesi i projektit duhet të informojë palët e interesuara, sipas përcaktimit në pikën 3.1, të shtojcës II, në lidhje me projektin në një fazë të hershme, duhet të kërkojë ndihmë në përcaktimin e vendndodhjes apo të rrugës më të mirë të mundshme, si dhe për çështjet përkatëse, që duhen adresuar në dosjen e aplikimit. Kërkesat minimale, që vlejnë për këtë konsultim publik, specifikohen në pikën 5, të shtojcës II. </w:t>
      </w:r>
    </w:p>
    <w:p w:rsidR="001A34CA" w:rsidRPr="00F014E5" w:rsidRDefault="001A34CA" w:rsidP="001A34CA">
      <w:pPr>
        <w:pStyle w:val="Paragrafi"/>
        <w:rPr>
          <w:bCs/>
          <w:lang w:val="sq-AL"/>
        </w:rPr>
      </w:pPr>
      <w:r w:rsidRPr="00F014E5">
        <w:rPr>
          <w:bCs/>
          <w:lang w:val="sq-AL"/>
        </w:rPr>
        <w:lastRenderedPageBreak/>
        <w:t>23. Promovuesi i projektit duhet të përgatisë një raport që përmbledh rezultatet e aktiviteteve në lidhje me pjesëmarrjen publike para se të dorëzojë dosjen e aplikimit, duke përfshirë aktivitetet që janë mbajtur para fillimit të procesit të dhënies së lejeve. Promovuesi i projektit duhet të dorëzojë raportin me dosjen e aplikimit tek autoriteti kompetent. Këto rezultate duhet të merren parasysh nga autoriteti kompetent kur merret vendimi gjithëpërfshirës.</w:t>
      </w:r>
    </w:p>
    <w:p w:rsidR="001A34CA" w:rsidRPr="00F014E5" w:rsidRDefault="001A34CA" w:rsidP="001A34CA">
      <w:pPr>
        <w:pStyle w:val="Paragrafi"/>
        <w:rPr>
          <w:bCs/>
          <w:lang w:val="sq-AL"/>
        </w:rPr>
      </w:pPr>
      <w:r w:rsidRPr="00F014E5">
        <w:rPr>
          <w:bCs/>
          <w:lang w:val="sq-AL"/>
        </w:rPr>
        <w:t xml:space="preserve">24. Promovuesi i projektit duhet të krijojë e të mirëmbajë rregullisht një faqe interneti, me të gjitha informacionet e duhura për projektet PECI dhe PMI, të cilat duhet të jenë të ndërlidhura me faqen e internetit të Komunitetit të Energjisë, si dhe të plotësojnë kërkesat e specifikuara në pikën 6, të shtojcës II. Informacionet e ndjeshme komerciale, që kanë të bëjnë me leverdishmërinë ekonomike të projektit, duhet të mbesin konfidenciale. </w:t>
      </w:r>
    </w:p>
    <w:p w:rsidR="001A34CA" w:rsidRPr="00F014E5" w:rsidRDefault="001A34CA" w:rsidP="001A34CA">
      <w:pPr>
        <w:pStyle w:val="Paragrafi"/>
        <w:rPr>
          <w:bCs/>
          <w:lang w:val="sq-AL"/>
        </w:rPr>
      </w:pPr>
      <w:r w:rsidRPr="00F014E5">
        <w:rPr>
          <w:bCs/>
          <w:lang w:val="sq-AL"/>
        </w:rPr>
        <w:t>25. Promovuesi i projektit duhet të publikojë edhe informacionet përkatëse në mjetet përkatëse të informimit, në të cilat publiku ka akses të gjerë.</w:t>
      </w:r>
    </w:p>
    <w:p w:rsidR="001A34CA" w:rsidRPr="00F014E5" w:rsidRDefault="001A34CA" w:rsidP="001A34CA">
      <w:pPr>
        <w:pStyle w:val="Paragrafi"/>
        <w:rPr>
          <w:b/>
          <w:bCs/>
          <w:lang w:val="sq-AL"/>
        </w:rPr>
      </w:pPr>
      <w:r>
        <w:rPr>
          <w:b/>
          <w:bCs/>
          <w:lang w:val="sq-AL"/>
        </w:rPr>
        <w:t xml:space="preserve">X. </w:t>
      </w:r>
      <w:r w:rsidRPr="00F014E5">
        <w:rPr>
          <w:b/>
          <w:bCs/>
          <w:lang w:val="sq-AL"/>
        </w:rPr>
        <w:t>Kohëzgjatja dhe implementimi i procesit të dhënies së lejeve</w:t>
      </w:r>
    </w:p>
    <w:p w:rsidR="001A34CA" w:rsidRPr="00F014E5" w:rsidRDefault="001A34CA" w:rsidP="001A34CA">
      <w:pPr>
        <w:pStyle w:val="Paragrafi"/>
        <w:rPr>
          <w:bCs/>
          <w:lang w:val="sq-AL"/>
        </w:rPr>
      </w:pPr>
      <w:r w:rsidRPr="00F014E5">
        <w:rPr>
          <w:bCs/>
          <w:lang w:val="sq-AL"/>
        </w:rPr>
        <w:t xml:space="preserve">26. Promovimi, procesi i dhënies së lejeve dhe kohëzgjatja e tij, për projektet e infrastrukturës energjetike rajonale, që konsiderohen si projekte PECI dhe PMI, do të bëhet në mbështetje dhe në zbatim të përcaktimeve të nenit 11, të ligjit nr. 102/2015, të nenit 31, të ligjit nr. 43/2015 , të ndryshuar, dhe të nenit 13, të ligjit nr. 8450, datë 24.2.1999, të ndryshuar, duke pasur në konsideratë dhe duke respektuar edhe kërkesat e legjislacionit në fuqi për planifikimin dhe zhvillimin e territorit, ligjin nr. 107/2014, “Për planifikimin dhe zhvillimin e territorit”, të ndryshuar. </w:t>
      </w:r>
    </w:p>
    <w:p w:rsidR="001A34CA" w:rsidRPr="00F014E5" w:rsidRDefault="001A34CA" w:rsidP="001A34CA">
      <w:pPr>
        <w:pStyle w:val="Paragrafi"/>
        <w:rPr>
          <w:bCs/>
          <w:lang w:val="sq-AL"/>
        </w:rPr>
      </w:pPr>
      <w:r w:rsidRPr="00F014E5">
        <w:rPr>
          <w:bCs/>
          <w:lang w:val="sq-AL"/>
        </w:rPr>
        <w:t>27. Procesi i dhënies së lejeve përbëhet nga dy procedura:</w:t>
      </w:r>
    </w:p>
    <w:p w:rsidR="001A34CA" w:rsidRPr="00F014E5" w:rsidRDefault="001A34CA" w:rsidP="001A34CA">
      <w:pPr>
        <w:pStyle w:val="Paragrafi"/>
        <w:rPr>
          <w:bCs/>
          <w:strike/>
          <w:lang w:val="sq-AL"/>
        </w:rPr>
      </w:pPr>
      <w:r w:rsidRPr="00F014E5">
        <w:rPr>
          <w:bCs/>
          <w:lang w:val="sq-AL"/>
        </w:rPr>
        <w:t xml:space="preserve">a) Procedura para aplikimit, që përfshin periudhën ndërmjet fillimit të procesit të dhënies së lejeve e miratimeve, si dhe të pranimit, nga ana e autoritetit kompetent, të aplikimit të dorëzuar, që përfshin një periudhë indikative, të përcaktuar në aktet nënligjore përkatëse për secilin aktivitet, energji elektrike, gaz natyror apo naftë bruto. </w:t>
      </w:r>
    </w:p>
    <w:p w:rsidR="001A34CA" w:rsidRPr="00F014E5" w:rsidRDefault="001A34CA" w:rsidP="001A34CA">
      <w:pPr>
        <w:pStyle w:val="Paragrafi"/>
        <w:rPr>
          <w:bCs/>
          <w:lang w:val="sq-AL"/>
        </w:rPr>
      </w:pPr>
      <w:r w:rsidRPr="00F014E5">
        <w:rPr>
          <w:bCs/>
          <w:lang w:val="sq-AL"/>
        </w:rPr>
        <w:t xml:space="preserve">Kjo procedurë përfshin edhe Raportin e Vlerësimit të Ndikimit në Mjedis (VNM), si dhe raportet e tjera relevante, që duhen siguruar nga promovuesi i projektit. </w:t>
      </w:r>
    </w:p>
    <w:p w:rsidR="001A34CA" w:rsidRPr="00F014E5" w:rsidRDefault="001A34CA" w:rsidP="001A34CA">
      <w:pPr>
        <w:pStyle w:val="Paragrafi"/>
        <w:rPr>
          <w:bCs/>
          <w:lang w:val="sq-AL"/>
        </w:rPr>
      </w:pPr>
      <w:r w:rsidRPr="00F014E5">
        <w:rPr>
          <w:bCs/>
          <w:lang w:val="sq-AL"/>
        </w:rPr>
        <w:t xml:space="preserve">Promovuesit e projekteve duhet të njoftojnë me shkrim autoritetin kompetent për projektin dhe të ofrojnë një përshkrim të hollësishëm të tij. </w:t>
      </w:r>
    </w:p>
    <w:p w:rsidR="001A34CA" w:rsidRPr="00F014E5" w:rsidRDefault="001A34CA" w:rsidP="001A34CA">
      <w:pPr>
        <w:pStyle w:val="Paragrafi"/>
        <w:rPr>
          <w:bCs/>
          <w:lang w:val="sq-AL"/>
        </w:rPr>
      </w:pPr>
      <w:r w:rsidRPr="00F014E5">
        <w:rPr>
          <w:bCs/>
          <w:lang w:val="sq-AL"/>
        </w:rPr>
        <w:t>Në rast se projekti përfshin dy apo më shumë palë kontraktuese dhe/ose palë të tjera, data e pranimit të njoftimit të fundit nga autoriteti kompetent në fjalë shërben si data e fillimit të procesit të lejeve;</w:t>
      </w:r>
    </w:p>
    <w:p w:rsidR="001A34CA" w:rsidRPr="00F014E5" w:rsidRDefault="001A34CA" w:rsidP="001A34CA">
      <w:pPr>
        <w:pStyle w:val="Paragrafi"/>
        <w:rPr>
          <w:bCs/>
          <w:spacing w:val="-4"/>
          <w:lang w:val="sq-AL"/>
        </w:rPr>
      </w:pPr>
      <w:r w:rsidRPr="00F014E5">
        <w:rPr>
          <w:bCs/>
          <w:spacing w:val="-4"/>
          <w:lang w:val="sq-AL"/>
        </w:rPr>
        <w:t xml:space="preserve">b) Procedura ligjore e dhënies së lejeve, që mbulon periudhën nga data e miratimit paraprak nga autoriteti kompetent deri në miratimin përfundimtar nga institucionet e ngarkuara me ligj për lëshimin e lejeve për punimet ndërtimore për objekte të infrastrukturës energjetike, sikurse përcaktohet në dispozitat e legjislacionit në fuqi për planifikimin dhe zhvillimin e territorit, ligji nr. 107/2014, “Për planifikimin dhe zhvillimin e territorit”, i ndryshuar. </w:t>
      </w:r>
    </w:p>
    <w:p w:rsidR="001A34CA" w:rsidRPr="00F014E5" w:rsidRDefault="001A34CA" w:rsidP="001A34CA">
      <w:pPr>
        <w:pStyle w:val="Paragrafi"/>
        <w:rPr>
          <w:bCs/>
          <w:spacing w:val="-4"/>
          <w:lang w:val="sq-AL"/>
        </w:rPr>
      </w:pPr>
      <w:r w:rsidRPr="00F014E5">
        <w:rPr>
          <w:bCs/>
          <w:spacing w:val="-4"/>
          <w:lang w:val="sq-AL"/>
        </w:rPr>
        <w:t xml:space="preserve">28. Kushtet dhe procedurat për ndërtimin e objekteve të infrastrukturës rajonale, energjetike, të sektorit të gazit natyror, për projektet PECI dhe PMI, do të bëhet në referencë të përcaktimeve të vendimit nr. 713, </w:t>
      </w:r>
      <w:r w:rsidRPr="00F014E5">
        <w:rPr>
          <w:spacing w:val="-4"/>
          <w:lang w:val="sq-AL"/>
        </w:rPr>
        <w:t>datë 25.8.2010, të Këshillit të Ministrave, “Për përcaktimin e rregullave për kushtet dhe procedurat për dhënien e lejeve për ndërtimin dhe përdorimin e tubacioneve e të infrastrukturës së sistemeve të gazit natyror”.</w:t>
      </w:r>
    </w:p>
    <w:p w:rsidR="001A34CA" w:rsidRPr="00F014E5" w:rsidRDefault="001A34CA" w:rsidP="001A34CA">
      <w:pPr>
        <w:pStyle w:val="Paragrafi"/>
        <w:rPr>
          <w:rFonts w:eastAsiaTheme="minorHAnsi"/>
          <w:spacing w:val="-4"/>
          <w:lang w:val="sq-AL"/>
        </w:rPr>
      </w:pPr>
      <w:r w:rsidRPr="00F014E5">
        <w:rPr>
          <w:bCs/>
          <w:spacing w:val="-4"/>
          <w:lang w:val="sq-AL"/>
        </w:rPr>
        <w:t xml:space="preserve">29. Kushtet dhe procedurat për ndërtimin e objekteve të infrastrukturës rajonale, energjetike, të sektorit të energjisë elektrike, për projektet PECI dhe PMI, do të bëhen në referencë të përcaktimeve të vendimit </w:t>
      </w:r>
      <w:r w:rsidRPr="00F014E5">
        <w:rPr>
          <w:rFonts w:eastAsiaTheme="minorHAnsi"/>
          <w:spacing w:val="-4"/>
          <w:lang w:val="sq-AL"/>
        </w:rPr>
        <w:t>nr. 16, datë 11.1.2017, të Këshillit të Ministrave, “Për miratimin e kushteve dhe të procedurave për ndërtimin e interkonektorëve të rinj”, të ndryshuar.</w:t>
      </w:r>
    </w:p>
    <w:p w:rsidR="001A34CA" w:rsidRPr="00F014E5" w:rsidRDefault="001A34CA" w:rsidP="001A34CA">
      <w:pPr>
        <w:pStyle w:val="Paragrafi"/>
        <w:rPr>
          <w:bCs/>
          <w:lang w:val="sq-AL"/>
        </w:rPr>
      </w:pPr>
      <w:r w:rsidRPr="00F014E5">
        <w:rPr>
          <w:bCs/>
          <w:spacing w:val="-4"/>
          <w:lang w:val="sq-AL"/>
        </w:rPr>
        <w:t xml:space="preserve">30. Kushtet dhe procedurat për ndërtimin e objekteve të infrastrukturës rajonale, energjetike, të sektorit të naftës bruto, për projektet PECI dhe PMI, do të bëhet në referencë të përcaktimeve të vendimit nr. 411, datë 13.5.2015, të </w:t>
      </w:r>
      <w:r w:rsidRPr="00F014E5">
        <w:rPr>
          <w:spacing w:val="-4"/>
          <w:lang w:val="sq-AL"/>
        </w:rPr>
        <w:t>Këshillit</w:t>
      </w:r>
      <w:r w:rsidRPr="00F014E5">
        <w:rPr>
          <w:bCs/>
          <w:spacing w:val="-4"/>
          <w:lang w:val="sq-AL"/>
        </w:rPr>
        <w:t xml:space="preserve"> të Ministrave, “Për procedurat dhe kushtet</w:t>
      </w:r>
      <w:r w:rsidRPr="00F014E5">
        <w:rPr>
          <w:spacing w:val="-4"/>
          <w:lang w:val="sq-AL"/>
        </w:rPr>
        <w:t xml:space="preserve"> </w:t>
      </w:r>
      <w:r w:rsidRPr="00F014E5">
        <w:rPr>
          <w:bCs/>
          <w:spacing w:val="-4"/>
          <w:lang w:val="sq-AL"/>
        </w:rPr>
        <w:t>për dhënien e përsëritjen e</w:t>
      </w:r>
      <w:r w:rsidRPr="00F014E5">
        <w:rPr>
          <w:spacing w:val="-4"/>
          <w:lang w:val="sq-AL"/>
        </w:rPr>
        <w:t xml:space="preserve"> </w:t>
      </w:r>
      <w:r w:rsidRPr="00F014E5">
        <w:rPr>
          <w:bCs/>
          <w:spacing w:val="-4"/>
          <w:lang w:val="sq-AL"/>
        </w:rPr>
        <w:t xml:space="preserve">licencës </w:t>
      </w:r>
      <w:r w:rsidRPr="00F014E5">
        <w:rPr>
          <w:bCs/>
          <w:spacing w:val="-4"/>
          <w:lang w:val="sq-AL"/>
        </w:rPr>
        <w:lastRenderedPageBreak/>
        <w:t>së koncesionit të</w:t>
      </w:r>
      <w:r w:rsidRPr="00F014E5">
        <w:rPr>
          <w:spacing w:val="-4"/>
          <w:lang w:val="sq-AL"/>
        </w:rPr>
        <w:t xml:space="preserve"> </w:t>
      </w:r>
      <w:r w:rsidRPr="00F014E5">
        <w:rPr>
          <w:bCs/>
          <w:spacing w:val="-4"/>
          <w:lang w:val="sq-AL"/>
        </w:rPr>
        <w:t>naftësjellësve për importimin,</w:t>
      </w:r>
      <w:r w:rsidRPr="00F014E5">
        <w:rPr>
          <w:spacing w:val="-4"/>
          <w:lang w:val="sq-AL"/>
        </w:rPr>
        <w:t xml:space="preserve"> </w:t>
      </w:r>
      <w:r w:rsidRPr="00F014E5">
        <w:rPr>
          <w:bCs/>
          <w:spacing w:val="-4"/>
          <w:lang w:val="sq-AL"/>
        </w:rPr>
        <w:t>eksportimin dhe</w:t>
      </w:r>
      <w:r w:rsidRPr="00F014E5">
        <w:rPr>
          <w:bCs/>
          <w:spacing w:val="-1"/>
          <w:lang w:val="sq-AL"/>
        </w:rPr>
        <w:t xml:space="preserve"> transportimin</w:t>
      </w:r>
      <w:r w:rsidRPr="00F014E5">
        <w:rPr>
          <w:lang w:val="sq-AL"/>
        </w:rPr>
        <w:t xml:space="preserve"> </w:t>
      </w:r>
      <w:r w:rsidRPr="00F014E5">
        <w:rPr>
          <w:bCs/>
          <w:spacing w:val="-1"/>
          <w:lang w:val="sq-AL"/>
        </w:rPr>
        <w:t>e naftës bruto”.</w:t>
      </w:r>
    </w:p>
    <w:p w:rsidR="001A34CA" w:rsidRPr="00F014E5" w:rsidRDefault="001A34CA" w:rsidP="001A34CA">
      <w:pPr>
        <w:pStyle w:val="Paragrafi"/>
        <w:rPr>
          <w:b/>
          <w:bCs/>
          <w:lang w:val="sq-AL"/>
        </w:rPr>
      </w:pPr>
      <w:r w:rsidRPr="00F014E5">
        <w:rPr>
          <w:b/>
          <w:bCs/>
          <w:lang w:val="sq-AL"/>
        </w:rPr>
        <w:t xml:space="preserve">XI. </w:t>
      </w:r>
      <w:r w:rsidRPr="00F014E5">
        <w:rPr>
          <w:b/>
          <w:bCs/>
          <w:lang w:val="sq-AL"/>
        </w:rPr>
        <w:tab/>
        <w:t>Mundësia e investimeve me ndikim ndërkufitar</w:t>
      </w:r>
    </w:p>
    <w:p w:rsidR="001A34CA" w:rsidRPr="00F014E5" w:rsidRDefault="001A34CA" w:rsidP="001A34CA">
      <w:pPr>
        <w:pStyle w:val="Paragrafi"/>
        <w:rPr>
          <w:bCs/>
          <w:lang w:val="sq-AL"/>
        </w:rPr>
      </w:pPr>
      <w:r w:rsidRPr="00F014E5">
        <w:rPr>
          <w:bCs/>
          <w:lang w:val="sq-AL"/>
        </w:rPr>
        <w:t xml:space="preserve">31. </w:t>
      </w:r>
      <w:r w:rsidRPr="00F014E5">
        <w:rPr>
          <w:bCs/>
          <w:color w:val="000000" w:themeColor="text1"/>
          <w:lang w:val="sq-AL"/>
        </w:rPr>
        <w:t>K</w:t>
      </w:r>
      <w:r w:rsidRPr="00F014E5">
        <w:rPr>
          <w:rStyle w:val="alt-edited1"/>
          <w:color w:val="000000" w:themeColor="text1"/>
          <w:szCs w:val="24"/>
          <w:lang w:val="sq-AL"/>
        </w:rPr>
        <w:t xml:space="preserve">ostot e investimeve të bëra në mënyrë efikase, </w:t>
      </w:r>
      <w:r w:rsidRPr="00F014E5">
        <w:rPr>
          <w:lang w:val="sq-AL"/>
        </w:rPr>
        <w:t xml:space="preserve">të cilat përjashtojnë </w:t>
      </w:r>
      <w:r w:rsidRPr="00F014E5">
        <w:rPr>
          <w:rStyle w:val="alt-edited1"/>
          <w:color w:val="000000" w:themeColor="text1"/>
          <w:szCs w:val="24"/>
          <w:lang w:val="sq-AL"/>
        </w:rPr>
        <w:t>kostot e mirëmbajtjes</w:t>
      </w:r>
      <w:r w:rsidRPr="00F014E5">
        <w:rPr>
          <w:bCs/>
          <w:lang w:val="sq-AL"/>
        </w:rPr>
        <w:t xml:space="preserve">, në lidhje me një projekt me interes për Komunitetin e Energjisë (PECI) ose me një projekt me interes të ndërsjellë për palët kontraktuese të Komunitetit të Energjisë dhe/ ose vendet anëtare të Bashkimit Evropian (PMI), që bën pjesë në kategoritë e përcaktuara në pikat 1 e 2, të shtojcës I, si dhe që kanë të bëjnë vetëm me palët kontraktuese, përballohen nga OST-ja përkatëse apo promovuesit e projekteve të infrastrukturës së transmetimit te pala kontraktuese, për të cilët projekti siguron ndikim neto-pozitiv, deri në masën që nuk mbulohet me qiratë e kongjestionit apo tarifa të tjera, të cilat do të paguhen nga shfrytëzuesit e rrjetit nëpërmjet tarifave për akses në rrjet brenda asaj apo atyre palëve kontraktuese. </w:t>
      </w:r>
    </w:p>
    <w:p w:rsidR="001A34CA" w:rsidRPr="00F014E5" w:rsidRDefault="001A34CA" w:rsidP="001A34CA">
      <w:pPr>
        <w:pStyle w:val="Paragrafi"/>
        <w:rPr>
          <w:bCs/>
          <w:spacing w:val="-4"/>
          <w:lang w:val="sq-AL"/>
        </w:rPr>
      </w:pPr>
      <w:r w:rsidRPr="00F014E5">
        <w:rPr>
          <w:bCs/>
          <w:spacing w:val="-4"/>
          <w:lang w:val="sq-AL"/>
        </w:rPr>
        <w:t xml:space="preserve">32. Kostot e investimeve të bëra në mënyrë efikase, të cilat përjashtojnë koston e mirëmbajtjes, të ndërlidhura me projekte PECI, që bëjnë pjesë në kategoritë e parashikuara në pikat 1 e 2, të shtojcës I, si dhe që kanë të bëjnë me shtetet anëtare të Bashkimit Evropian dhe palët kontraktuese të Komunitetit të Energjisë, mund të përballohen nga OST-ja apo promovuesit e projekteve përkatëse të infrastrukturës transmetuese të palëve kontraktuese dhe shteteve anëtare, për të cilat projekti ofron ndikim neto-pozitiv, deri në masën që nuk mbulohet me qiratë e kongjestionit apo tarifa të tjera, të cilat do të paguhen nga shfrytëzuesit e rrjetit nëpërmjet tarifave për akses në rrjet, në atë apo ato palë kontraktuese dhe shtete anëtare të prekura. </w:t>
      </w:r>
    </w:p>
    <w:p w:rsidR="001A34CA" w:rsidRPr="00F014E5" w:rsidRDefault="001A34CA" w:rsidP="001A34CA">
      <w:pPr>
        <w:pStyle w:val="Paragrafi"/>
        <w:rPr>
          <w:bCs/>
          <w:lang w:val="sq-AL"/>
        </w:rPr>
      </w:pPr>
      <w:r w:rsidRPr="00F014E5">
        <w:rPr>
          <w:bCs/>
          <w:lang w:val="sq-AL"/>
        </w:rPr>
        <w:t xml:space="preserve">33. Mundësia e investimeve me ndikim ndërkufitar realizohet: </w:t>
      </w:r>
    </w:p>
    <w:p w:rsidR="001A34CA" w:rsidRPr="00F014E5" w:rsidRDefault="001A34CA" w:rsidP="001A34CA">
      <w:pPr>
        <w:pStyle w:val="Paragrafi"/>
        <w:rPr>
          <w:bCs/>
          <w:lang w:val="sq-AL"/>
        </w:rPr>
      </w:pPr>
      <w:r w:rsidRPr="00F014E5">
        <w:rPr>
          <w:bCs/>
          <w:lang w:val="sq-AL"/>
        </w:rPr>
        <w:t xml:space="preserve">a) Për një projekt me interes për Komunitetin e Energjisë (PECI), që bën pjesë në kategoritë e përcaktuara në pikat 1, paragrafët 1.1 e 1.3, dhe 2, paragrafi 2.1, të shtojcës I, për të cilin ky kre </w:t>
      </w:r>
      <w:r w:rsidRPr="00F014E5">
        <w:rPr>
          <w:rStyle w:val="alt-edited1"/>
          <w:color w:val="000000" w:themeColor="text1"/>
          <w:szCs w:val="24"/>
          <w:lang w:val="sq-AL"/>
        </w:rPr>
        <w:t>do të zbatohet vetëm nëse, të paktën, një promovues i projektit kërkon nga autoritetet përkatëse për të aplikuar këtë</w:t>
      </w:r>
      <w:r w:rsidRPr="00F014E5">
        <w:rPr>
          <w:rStyle w:val="alt-edited1"/>
          <w:szCs w:val="24"/>
          <w:lang w:val="sq-AL"/>
        </w:rPr>
        <w:t xml:space="preserve"> </w:t>
      </w:r>
      <w:r w:rsidRPr="00F014E5">
        <w:rPr>
          <w:bCs/>
          <w:lang w:val="sq-AL"/>
        </w:rPr>
        <w:t xml:space="preserve">nen për të gjitha apo një pjesë të kostove të projektit. Për projektet PECI, që bëjnë pjesë në kategoritë e përcaktuara në paragrafin 2.1, të pikës 2, të shtojcës I, </w:t>
      </w:r>
      <w:r w:rsidRPr="001A34CA">
        <w:rPr>
          <w:rStyle w:val="alt-edited1"/>
          <w:color w:val="000000" w:themeColor="text1"/>
          <w:szCs w:val="24"/>
          <w:lang w:val="sq-AL"/>
        </w:rPr>
        <w:t>do të zbatohen vetëm</w:t>
      </w:r>
      <w:r w:rsidRPr="001A34CA">
        <w:rPr>
          <w:bCs/>
          <w:color w:val="000000" w:themeColor="text1"/>
          <w:lang w:val="sq-AL"/>
        </w:rPr>
        <w:t xml:space="preserve"> </w:t>
      </w:r>
      <w:r w:rsidRPr="00F014E5">
        <w:rPr>
          <w:bCs/>
          <w:lang w:val="sq-AL"/>
        </w:rPr>
        <w:t xml:space="preserve">në rastet kur vlerësimi i kërkesës së tregut është tashmë i kryer dhe tregon që kostot investuese efikase nuk mund të pritet të mbulohen me tarifë. </w:t>
      </w:r>
    </w:p>
    <w:p w:rsidR="001A34CA" w:rsidRPr="00F014E5" w:rsidRDefault="001A34CA" w:rsidP="001A34CA">
      <w:pPr>
        <w:pStyle w:val="Paragrafi"/>
        <w:rPr>
          <w:bCs/>
          <w:lang w:val="sq-AL"/>
        </w:rPr>
      </w:pPr>
      <w:r w:rsidRPr="00F014E5">
        <w:rPr>
          <w:bCs/>
          <w:lang w:val="sq-AL"/>
        </w:rPr>
        <w:t xml:space="preserve">b) Për një projekte me interes të ndërsjellë për palët kontraktuese të Komunitetit të Energjisë dhe/ose vendet anëtare të Bashkimit Evropian (PMI), që bën pjesë në kategoritë e përcaktuara në pikat 1, paragrafët 1.1 e 1.3, dhe 2, paragrafi 2.1, të shtojcës I, për të cilat ky kre </w:t>
      </w:r>
      <w:r w:rsidRPr="00F014E5">
        <w:rPr>
          <w:rStyle w:val="alt-edited1"/>
          <w:color w:val="000000" w:themeColor="text1"/>
          <w:szCs w:val="24"/>
          <w:lang w:val="sq-AL"/>
        </w:rPr>
        <w:t xml:space="preserve">do të zbatohet vetëm nëse, të paktën, një promovues i projektit kërkon nga autoritetet përkatëse për të aplikuar këtë </w:t>
      </w:r>
      <w:r w:rsidRPr="00F014E5">
        <w:rPr>
          <w:bCs/>
          <w:lang w:val="sq-AL"/>
        </w:rPr>
        <w:t xml:space="preserve">nen për të gjitha apo një pjesë të kostove të projektit. Për projektet PMI, që bëjnë pjesë në kategoritë e përcaktuara në paragrafin 2.1, të pikës 2, të shtojcës I, ky kre </w:t>
      </w:r>
      <w:r w:rsidRPr="001A34CA">
        <w:rPr>
          <w:rStyle w:val="alt-edited1"/>
          <w:color w:val="000000" w:themeColor="text1"/>
          <w:szCs w:val="24"/>
          <w:lang w:val="sq-AL"/>
        </w:rPr>
        <w:t>do të zbatohet vetëm</w:t>
      </w:r>
      <w:r w:rsidRPr="001A34CA">
        <w:rPr>
          <w:bCs/>
          <w:color w:val="000000" w:themeColor="text1"/>
          <w:lang w:val="sq-AL"/>
        </w:rPr>
        <w:t xml:space="preserve"> </w:t>
      </w:r>
      <w:r w:rsidRPr="00F014E5">
        <w:rPr>
          <w:bCs/>
          <w:lang w:val="sq-AL"/>
        </w:rPr>
        <w:t xml:space="preserve">në rastet kur vlerësimi i kërkesës së tregut është tashmë i kryer dhe tregon që kostot investuese efikase nuk mund të pritet të mbulohen me tarifë. </w:t>
      </w:r>
    </w:p>
    <w:p w:rsidR="001A34CA" w:rsidRPr="00F014E5" w:rsidRDefault="001A34CA" w:rsidP="001A34CA">
      <w:pPr>
        <w:pStyle w:val="Paragrafi"/>
        <w:rPr>
          <w:bCs/>
          <w:lang w:val="sq-AL"/>
        </w:rPr>
      </w:pPr>
      <w:r w:rsidRPr="00F014E5">
        <w:rPr>
          <w:bCs/>
          <w:lang w:val="sq-AL"/>
        </w:rPr>
        <w:t xml:space="preserve">34. Në rastet kur projekti ka disa promovues, autoritetet përkatëse rregullatore, shtetërore, kërkojnë nga të gjithë promovuesit e projektit që të dorëzojnë kërkesat për investime bashkërisht, në pajtim me pikën 33 të këtij kreu. </w:t>
      </w:r>
    </w:p>
    <w:p w:rsidR="001A34CA" w:rsidRPr="00F014E5" w:rsidRDefault="001A34CA" w:rsidP="001A34CA">
      <w:pPr>
        <w:pStyle w:val="Paragrafi"/>
        <w:rPr>
          <w:bCs/>
          <w:lang w:val="sq-AL"/>
        </w:rPr>
      </w:pPr>
      <w:r w:rsidRPr="00F014E5">
        <w:rPr>
          <w:bCs/>
          <w:lang w:val="sq-AL"/>
        </w:rPr>
        <w:t>35. Detyrimet e promovuesve të projekteve për informim janë si më poshtë vijon:</w:t>
      </w:r>
    </w:p>
    <w:p w:rsidR="001A34CA" w:rsidRPr="00F014E5" w:rsidRDefault="001A34CA" w:rsidP="001A34CA">
      <w:pPr>
        <w:pStyle w:val="Paragrafi"/>
        <w:rPr>
          <w:bCs/>
          <w:lang w:val="sq-AL"/>
        </w:rPr>
      </w:pPr>
      <w:r w:rsidRPr="00F014E5">
        <w:rPr>
          <w:bCs/>
          <w:lang w:val="sq-AL"/>
        </w:rPr>
        <w:t xml:space="preserve">a) Për projektet me interes për Komunitetin e Energjisë (PECI), për të cilat aplikohet pika 31, e këtij kreu, promovuesit e projekteve duhet të informojnë rregullisht Entin Rregullator të Energjisë, së paku një herë në vit, si dhe deri në komisionimin e projektit, për progresin e projektit dhe për identifikimin e kostove dhe ndikimin e tyre; </w:t>
      </w:r>
    </w:p>
    <w:p w:rsidR="001A34CA" w:rsidRPr="00F014E5" w:rsidRDefault="001A34CA" w:rsidP="001A34CA">
      <w:pPr>
        <w:pStyle w:val="Paragrafi"/>
        <w:rPr>
          <w:bCs/>
          <w:lang w:val="sq-AL"/>
        </w:rPr>
      </w:pPr>
      <w:r w:rsidRPr="00F014E5">
        <w:rPr>
          <w:bCs/>
          <w:lang w:val="sq-AL"/>
        </w:rPr>
        <w:t>b) Për projektet me interes të ndërsjellë për palët kontraktuese të Komunitetit të Energjisë dhe/ose vendet anëtare të Bashkimit Evropian (PMI), për të cilat aplikohet pika 31 e këtij kreu, promovuesit e projekteve duhet të informojnë rregullisht Entin Rregullator të Energjisë, së paku një herë në vit, si dhe deri në komisionimin e projektit, për progresin e projektit dhe për identifikimin e kostove dhe ndikimin e tyre.</w:t>
      </w:r>
    </w:p>
    <w:p w:rsidR="001A34CA" w:rsidRPr="00F014E5" w:rsidRDefault="001A34CA" w:rsidP="001A34CA">
      <w:pPr>
        <w:pStyle w:val="Paragrafi"/>
        <w:rPr>
          <w:bCs/>
          <w:lang w:val="sq-AL"/>
        </w:rPr>
      </w:pPr>
      <w:r w:rsidRPr="00F014E5">
        <w:rPr>
          <w:bCs/>
          <w:lang w:val="sq-AL"/>
        </w:rPr>
        <w:lastRenderedPageBreak/>
        <w:t xml:space="preserve">36. Pasi një projekt i tillë arrin të plotësojë kriteret e përcaktuara me rregullat sipas kreut X të këtij vendimi, promovuesit e projekteve, pas konsultimit me operatorin e sistemit të transmetimit të palës kontraktuese të Komunitetit të Energjisë dhe/ose shtetet anëtare të Bashkimit Evropian në fjalë, për të cilat projekti ofron ndikim të konsiderueshëm neto-pozitiv, duhet të dorëzojnë kërkesën për investime. Një kërkesë e tillë për investime duhet të përfshijë edhe një kërkesë për ndarjen ndërkufitare të kostos dhe duhet të dorëzohet tek Enti Rregullator i Energjisë, duke pasur, bashkëngjitur dokumentacionin, si më poshtë vijon: </w:t>
      </w:r>
    </w:p>
    <w:p w:rsidR="001A34CA" w:rsidRPr="00F014E5" w:rsidRDefault="001A34CA" w:rsidP="001A34CA">
      <w:pPr>
        <w:pStyle w:val="Paragrafi"/>
        <w:rPr>
          <w:bCs/>
          <w:lang w:val="sq-AL"/>
        </w:rPr>
      </w:pPr>
      <w:r w:rsidRPr="00F014E5">
        <w:rPr>
          <w:bCs/>
          <w:lang w:val="sq-AL"/>
        </w:rPr>
        <w:t xml:space="preserve">a) Analizën e kostos dhe të përfitimit, specifike për projektin, në pajtim me metodologjinë e zhvilluar nga ERE, sipas dispozitave përkatëse të legjislacionit për sektorin e gazit, për sektorin e energjisë elektrike dhe legjislacionin përkatës të Bashkimit Evropian, si dhe duke marrë parasysh edhe dobitë përtej kufijve të palës kontraktuese dhe shtetit anëtar në fjalë; </w:t>
      </w:r>
    </w:p>
    <w:p w:rsidR="001A34CA" w:rsidRPr="00F014E5" w:rsidRDefault="001A34CA" w:rsidP="001A34CA">
      <w:pPr>
        <w:pStyle w:val="Paragrafi"/>
        <w:rPr>
          <w:bCs/>
          <w:lang w:val="sq-AL"/>
        </w:rPr>
      </w:pPr>
      <w:r w:rsidRPr="00F014E5">
        <w:rPr>
          <w:bCs/>
          <w:lang w:val="sq-AL"/>
        </w:rPr>
        <w:t xml:space="preserve">b) Planin e biznesit, që trajton dhe vlerëson rentabilitetin financiar të projektit, duke përfshirë modelin financiar të zgjedhur dhe projektin me interes për Komunitetin e Energjisë apo projektin me interes të ndërsjellë për palët kontraktuese të Komunitetit të Energjisë dhe/ose vendet anëtare të Bashkimit Evropian, që i përket kategorisë së përcaktuar në pikën 2, të shtojcës I, duke vlerësuar, po ashtu, edhe rezultatet e testimit të tregut. </w:t>
      </w:r>
    </w:p>
    <w:p w:rsidR="001A34CA" w:rsidRPr="00F014E5" w:rsidRDefault="001A34CA" w:rsidP="001A34CA">
      <w:pPr>
        <w:pStyle w:val="Paragrafi"/>
        <w:rPr>
          <w:bCs/>
          <w:lang w:val="sq-AL"/>
        </w:rPr>
      </w:pPr>
      <w:r w:rsidRPr="00F014E5">
        <w:rPr>
          <w:bCs/>
          <w:lang w:val="sq-AL"/>
        </w:rPr>
        <w:t xml:space="preserve">37. Nëse bien dakord promovuesit e projekteve për propozimin e arsyetuar për ndarje ndërkufitare të kostos, nëse projekti promovohet nga disa promovues të projekteve, ata duhet të dorëzojnë bashkërisht kërkesën e tyre për investim. </w:t>
      </w:r>
    </w:p>
    <w:p w:rsidR="001A34CA" w:rsidRPr="00F014E5" w:rsidRDefault="001A34CA" w:rsidP="001A34CA">
      <w:pPr>
        <w:pStyle w:val="Paragrafi"/>
        <w:rPr>
          <w:bCs/>
          <w:lang w:val="sq-AL"/>
        </w:rPr>
      </w:pPr>
      <w:r w:rsidRPr="00F014E5">
        <w:rPr>
          <w:bCs/>
          <w:lang w:val="sq-AL"/>
        </w:rPr>
        <w:t xml:space="preserve">38. Enti Rregullator i Energjisë duhet të ruajë konfidencialitetin e informacioneve komerciale të ndjeshme. </w:t>
      </w:r>
    </w:p>
    <w:p w:rsidR="001A34CA" w:rsidRPr="00F014E5" w:rsidRDefault="001A34CA" w:rsidP="001A34CA">
      <w:pPr>
        <w:pStyle w:val="Paragrafi"/>
        <w:rPr>
          <w:bCs/>
          <w:spacing w:val="4"/>
          <w:lang w:val="sq-AL"/>
        </w:rPr>
      </w:pPr>
      <w:r w:rsidRPr="00F014E5">
        <w:rPr>
          <w:bCs/>
          <w:spacing w:val="4"/>
          <w:lang w:val="sq-AL"/>
        </w:rPr>
        <w:t xml:space="preserve">39. Brenda 6 muajve, nga data në të cilën është pranuar kërkesa e fundit për investime nga entet rregullatore respektive, pas konsultimit me promovuesit e projektit në fjalë, rregullatorët marrin vendime të koordinuara për ndarjen e kostove të investimit që duhen përballuar nga secili operator sistemi për atë projekt, bashkë me përfshirjen e tyre brenda tarifave. Enti Rregullator i Energjisë mund të vendosë të ndajë vetëm një pjesë të kostos ose mund të vendosë të ndajë kostot ndërmjet një pakete të disa projekteve PECI dhe PMI. </w:t>
      </w:r>
    </w:p>
    <w:p w:rsidR="001A34CA" w:rsidRPr="00F014E5" w:rsidRDefault="001A34CA" w:rsidP="001A34CA">
      <w:pPr>
        <w:pStyle w:val="Paragrafi"/>
        <w:rPr>
          <w:bCs/>
          <w:lang w:val="sq-AL"/>
        </w:rPr>
      </w:pPr>
      <w:r w:rsidRPr="00F014E5">
        <w:rPr>
          <w:bCs/>
          <w:lang w:val="sq-AL"/>
        </w:rPr>
        <w:t>40. Kur kostot e tilla të investimit ndahen, Enti Rregullator i Energjisë duhet të ketë parasysh:</w:t>
      </w:r>
    </w:p>
    <w:p w:rsidR="001A34CA" w:rsidRPr="00F014E5" w:rsidRDefault="001A34CA" w:rsidP="001A34CA">
      <w:pPr>
        <w:pStyle w:val="Paragrafi"/>
        <w:rPr>
          <w:bCs/>
          <w:lang w:val="sq-AL"/>
        </w:rPr>
      </w:pPr>
      <w:r w:rsidRPr="00F014E5">
        <w:rPr>
          <w:bCs/>
          <w:lang w:val="sq-AL"/>
        </w:rPr>
        <w:t>a) Tarifën e kongjestionit apo tarifat e tjera;</w:t>
      </w:r>
    </w:p>
    <w:p w:rsidR="001A34CA" w:rsidRPr="00F014E5" w:rsidRDefault="001A34CA" w:rsidP="001A34CA">
      <w:pPr>
        <w:pStyle w:val="Paragrafi"/>
        <w:rPr>
          <w:bCs/>
          <w:lang w:val="sq-AL"/>
        </w:rPr>
      </w:pPr>
      <w:r w:rsidRPr="00F014E5">
        <w:rPr>
          <w:bCs/>
          <w:lang w:val="sq-AL"/>
        </w:rPr>
        <w:t>b) Të ardhurat që rrjedhin nga mekanizmi i kompensimit ndërmjet operatorëve të sistemeve, të bëra sipas dispozitave përkatëse të legjislacionit për sektorin e energjisë elektrike dhe për sektorin e gazit natyror.</w:t>
      </w:r>
    </w:p>
    <w:p w:rsidR="001A34CA" w:rsidRPr="00F014E5" w:rsidRDefault="001A34CA" w:rsidP="001A34CA">
      <w:pPr>
        <w:pStyle w:val="Paragrafi"/>
        <w:rPr>
          <w:bCs/>
          <w:lang w:val="sq-AL"/>
        </w:rPr>
      </w:pPr>
      <w:r w:rsidRPr="00F014E5">
        <w:rPr>
          <w:bCs/>
          <w:lang w:val="sq-AL"/>
        </w:rPr>
        <w:t>41. Në rastet kur vendoset ndarja ndërkufitare e kostos, duhet të merren parasysh kostot dhe përfitimet e projekteve ekonomike, sociale e mjedisore te palët kontraktuese të Komunitetit të Energjisë dhe shtetet përkatëse anëtare të Bashkimit Evropian, si dhe nevojat e mundshme për mbështetje financiare.</w:t>
      </w:r>
    </w:p>
    <w:p w:rsidR="001A34CA" w:rsidRPr="00F014E5" w:rsidRDefault="001A34CA" w:rsidP="001A34CA">
      <w:pPr>
        <w:pStyle w:val="Paragrafi"/>
        <w:rPr>
          <w:bCs/>
          <w:lang w:val="sq-AL"/>
        </w:rPr>
      </w:pPr>
      <w:r w:rsidRPr="00F014E5">
        <w:rPr>
          <w:bCs/>
          <w:lang w:val="sq-AL"/>
        </w:rPr>
        <w:t>42. Në vendosjen e ndarjes ndërkufitare të kostos, rregullatorët, në konsultim me operatorët e përfshirë, kërkojnë marrëveshje të ndërsjellë, që bazohet, por pa u kufizuar tek informatat e specifikuara në shkronjat “a” dhe “b”, të pikës 36 këtij kreu.</w:t>
      </w:r>
    </w:p>
    <w:p w:rsidR="001A34CA" w:rsidRPr="00F014E5" w:rsidRDefault="001A34CA" w:rsidP="001A34CA">
      <w:pPr>
        <w:pStyle w:val="Paragrafi"/>
        <w:rPr>
          <w:bCs/>
          <w:lang w:val="sq-AL"/>
        </w:rPr>
      </w:pPr>
      <w:r w:rsidRPr="00F014E5">
        <w:rPr>
          <w:bCs/>
          <w:lang w:val="sq-AL"/>
        </w:rPr>
        <w:t xml:space="preserve">43. Nëse një projekt PECI zbut aspektet negative të ndikimeve individuale, siç janë flukset në rajon, dhe ai projekt PECI apo PMI zbatohet në palën kontraktuese të Komunitetit të Energjisë ose në një shtet anëtar të Bashkimit Evropian që është vendi i origjinës së pasojës indirekte negative, një zbutje e tillë nuk konsiderohet përfitim ndërkufitar, </w:t>
      </w:r>
      <w:r w:rsidRPr="00F014E5">
        <w:rPr>
          <w:lang w:val="sq-AL"/>
        </w:rPr>
        <w:t xml:space="preserve">domethënë nuk përbën një bazë </w:t>
      </w:r>
      <w:r w:rsidRPr="00F014E5">
        <w:rPr>
          <w:bCs/>
          <w:lang w:val="sq-AL"/>
        </w:rPr>
        <w:t xml:space="preserve">për ndarjen e kostos për operatorin për ato ndikime negative indirekte. </w:t>
      </w:r>
    </w:p>
    <w:p w:rsidR="001A34CA" w:rsidRPr="00F014E5" w:rsidRDefault="001A34CA" w:rsidP="001A34CA">
      <w:pPr>
        <w:pStyle w:val="Paragrafi"/>
        <w:rPr>
          <w:bCs/>
          <w:lang w:val="sq-AL"/>
        </w:rPr>
      </w:pPr>
      <w:r w:rsidRPr="00F014E5">
        <w:rPr>
          <w:bCs/>
          <w:lang w:val="sq-AL"/>
        </w:rPr>
        <w:t xml:space="preserve">44. Në rast se rregullatorët nuk kanë arritur një marrëveshje për kërkesën për investime brenda 6 muajve, nga data në të cilën është pranuar kërkesa prej tyre, atëherë rregullatori, duke bashkërenduar edhe me rregullatorë të tjerë, duhet të informojë Bordin Rregullator të Komunitetit të Energjisë, si dhe Sekretariatin e Komunitetit të Energjisë. </w:t>
      </w:r>
    </w:p>
    <w:p w:rsidR="001A34CA" w:rsidRPr="00F014E5" w:rsidRDefault="001A34CA" w:rsidP="001A34CA">
      <w:pPr>
        <w:pStyle w:val="Paragrafi"/>
        <w:rPr>
          <w:bCs/>
          <w:lang w:val="sq-AL"/>
        </w:rPr>
      </w:pPr>
      <w:r w:rsidRPr="00F014E5">
        <w:rPr>
          <w:bCs/>
          <w:lang w:val="sq-AL"/>
        </w:rPr>
        <w:lastRenderedPageBreak/>
        <w:t>Në këtë rast ose në rastin e kërkesës së përbashkët nga rregullatorët përkatës, vendimi për kërkesën për investime, duke përfshirë ndarjen ndërkufitare të kostos, të përmendur në pikat 33 e 34, si dhe mënyrën në të cilën do të reflektohen kostot në tarifa, duhet marrë parasysh nga Bordi Rregullator i Komunitetit të Energjisë, brenda 3 muajve nga data e dërgimit.</w:t>
      </w:r>
    </w:p>
    <w:p w:rsidR="001A34CA" w:rsidRPr="00F014E5" w:rsidRDefault="001A34CA" w:rsidP="001A34CA">
      <w:pPr>
        <w:pStyle w:val="Paragrafi"/>
        <w:rPr>
          <w:bCs/>
          <w:spacing w:val="-4"/>
          <w:lang w:val="sq-AL"/>
        </w:rPr>
      </w:pPr>
      <w:r w:rsidRPr="00F014E5">
        <w:rPr>
          <w:bCs/>
          <w:lang w:val="sq-AL"/>
        </w:rPr>
        <w:t xml:space="preserve">Para marrjes së një vendimi të tillë, Bordi Rregullator i Komunitetit të Energjisë duhet të </w:t>
      </w:r>
      <w:r w:rsidRPr="00F014E5">
        <w:rPr>
          <w:bCs/>
          <w:spacing w:val="-4"/>
          <w:lang w:val="sq-AL"/>
        </w:rPr>
        <w:t xml:space="preserve">konsultojë Sekretariatin e Komunitetit të Energjisë, rregullatorët përkatës dhe promovuesit e projektit. Periudha tremujore, siç përmendet në paragrafin më sipër, mund të zgjatet për një periudhë shtesë prej dy muajsh, nëse kërkohen informata të tjera nga Bordi Rregullator i Komunitetit të Energjisë. Kjo periudhë shtesë fillon në ditën pas marrjes së informacioneve të plota. </w:t>
      </w:r>
    </w:p>
    <w:p w:rsidR="001A34CA" w:rsidRPr="00F014E5" w:rsidRDefault="001A34CA" w:rsidP="001A34CA">
      <w:pPr>
        <w:pStyle w:val="Paragrafi"/>
        <w:rPr>
          <w:bCs/>
          <w:spacing w:val="-4"/>
          <w:lang w:val="sq-AL"/>
        </w:rPr>
      </w:pPr>
      <w:r w:rsidRPr="00F014E5">
        <w:rPr>
          <w:bCs/>
          <w:spacing w:val="-4"/>
          <w:lang w:val="sq-AL"/>
        </w:rPr>
        <w:t xml:space="preserve">45. Vendimi për ndarjen e kostove duhet të publikohet. Procedura vlen për projektet ndërkufitare, që kanë ndikim vetëm ndërmjet palëve kontraktuese të Komunitetit të Energjisë. Çështjet e ndërlidhura me ndarjen e kostove ndërmjet shteteve anëtare të Bashkimit Evropian dhe palëve kontraktuese të Komunitetit të Energjisë konsiderohet të jenë zgjidhur vetëm me marrëveshje të ndërsjellë. </w:t>
      </w:r>
    </w:p>
    <w:p w:rsidR="001A34CA" w:rsidRPr="00F014E5" w:rsidRDefault="001A34CA" w:rsidP="001A34CA">
      <w:pPr>
        <w:pStyle w:val="Paragrafi"/>
        <w:rPr>
          <w:bCs/>
          <w:spacing w:val="-4"/>
          <w:lang w:val="sq-AL"/>
        </w:rPr>
      </w:pPr>
      <w:r w:rsidRPr="00F014E5">
        <w:rPr>
          <w:bCs/>
          <w:spacing w:val="-4"/>
          <w:lang w:val="sq-AL"/>
        </w:rPr>
        <w:t xml:space="preserve">46. Kopjet e të gjitha vendimeve për ndarje të kostove, bashkë me të gjitha informacionet e duhura për to, i dërgohen Bordit Rregullator dhe Sekretariatit të Komunitetit të Energjisë. Informacionet mund të dërgohen në mënyrë të përmbledhur. Sekretariati i Komunitetit të Energjisë mbron konfidencialitetin e informacioneve komerciale të ndjeshme. </w:t>
      </w:r>
    </w:p>
    <w:p w:rsidR="001A34CA" w:rsidRPr="00F014E5" w:rsidRDefault="001A34CA" w:rsidP="001A34CA">
      <w:pPr>
        <w:pStyle w:val="Paragrafi"/>
        <w:rPr>
          <w:bCs/>
          <w:spacing w:val="-4"/>
          <w:lang w:val="sq-AL"/>
        </w:rPr>
      </w:pPr>
      <w:r w:rsidRPr="00F014E5">
        <w:rPr>
          <w:bCs/>
          <w:spacing w:val="-4"/>
          <w:lang w:val="sq-AL"/>
        </w:rPr>
        <w:t>47. Vendimi i ndarjes së kostove nuk prek të drejtën e operatorëve për të aplikuar, si dhe të drejtën e rregullatorëve përkatës për të miratuar tarifat për akses në rrjet, në pajtim me dispozitat e legjislacionit për energjinë, si dhe përshtatjet që janë bërë për Komunitetin e Energjisë.</w:t>
      </w:r>
    </w:p>
    <w:p w:rsidR="001A34CA" w:rsidRPr="00F014E5" w:rsidRDefault="001A34CA" w:rsidP="001A34CA">
      <w:pPr>
        <w:pStyle w:val="Paragrafi"/>
        <w:rPr>
          <w:b/>
          <w:bCs/>
          <w:spacing w:val="-4"/>
          <w:lang w:val="sq-AL"/>
        </w:rPr>
      </w:pPr>
      <w:r>
        <w:rPr>
          <w:b/>
          <w:bCs/>
          <w:spacing w:val="-4"/>
          <w:lang w:val="sq-AL"/>
        </w:rPr>
        <w:t xml:space="preserve">XII. </w:t>
      </w:r>
      <w:r w:rsidRPr="00F014E5">
        <w:rPr>
          <w:b/>
          <w:bCs/>
          <w:spacing w:val="-4"/>
          <w:lang w:val="sq-AL"/>
        </w:rPr>
        <w:t>Politikat nxitëse</w:t>
      </w:r>
    </w:p>
    <w:p w:rsidR="001A34CA" w:rsidRPr="00F014E5" w:rsidRDefault="001A34CA" w:rsidP="001A34CA">
      <w:pPr>
        <w:pStyle w:val="Paragrafi"/>
        <w:rPr>
          <w:bCs/>
          <w:spacing w:val="-4"/>
          <w:lang w:val="sq-AL"/>
        </w:rPr>
      </w:pPr>
      <w:r w:rsidRPr="00F014E5">
        <w:rPr>
          <w:bCs/>
          <w:spacing w:val="-4"/>
          <w:lang w:val="sq-AL"/>
        </w:rPr>
        <w:t>48. Në rastet kur promovuesi i projektit bart rreziqe më të mëdha për zhvillimin, ndërtimin, operimin dhe mirëmbajtjen e një projekti PECI apo PMI, që bën pjesë në kategoritë e përcaktuara në shtojcat I, pikat 1, paragrafët 1.1 e 1.3 dhe 2, në krahasim me rreziqet që normalisht ekzistojnë në projekte të krahasueshme infrastrukture</w:t>
      </w:r>
      <w:r w:rsidRPr="00F014E5">
        <w:rPr>
          <w:bCs/>
          <w:spacing w:val="-4"/>
          <w:lang w:val="sq-AL" w:eastAsia="sr-Latn-CS"/>
        </w:rPr>
        <w:t xml:space="preserve">, </w:t>
      </w:r>
      <w:r w:rsidRPr="00F014E5">
        <w:rPr>
          <w:bCs/>
          <w:spacing w:val="-4"/>
          <w:lang w:val="sq-AL"/>
        </w:rPr>
        <w:t xml:space="preserve">Enti Rregullator i Energjisë (ERE) </w:t>
      </w:r>
      <w:r w:rsidRPr="00F014E5">
        <w:rPr>
          <w:spacing w:val="-4"/>
          <w:lang w:val="sq-AL"/>
        </w:rPr>
        <w:t>duhet të sigurojë që operatorët e sistemit dhe përdoruesit e tij të gëzojnë politika nxitëse përkatëse, në terma afatgjatë e afatshkurtër, për të rritur efikasitetin e sistemit dhe për të mundësuar integrimin e tregut, në përputhje me dispozitat e legjislacionit të energjisë dhe legjislacionit përkatës të miratuar nga Komuniteti i Energjisë</w:t>
      </w:r>
      <w:r w:rsidRPr="00F014E5">
        <w:rPr>
          <w:bCs/>
          <w:spacing w:val="-4"/>
          <w:lang w:val="sq-AL"/>
        </w:rPr>
        <w:t>.</w:t>
      </w:r>
    </w:p>
    <w:p w:rsidR="001A34CA" w:rsidRPr="00F014E5" w:rsidRDefault="001A34CA" w:rsidP="001A34CA">
      <w:pPr>
        <w:pStyle w:val="Paragrafi"/>
        <w:rPr>
          <w:bCs/>
          <w:spacing w:val="-4"/>
          <w:lang w:val="sq-AL"/>
        </w:rPr>
      </w:pPr>
      <w:r w:rsidRPr="00F014E5">
        <w:rPr>
          <w:bCs/>
          <w:spacing w:val="-4"/>
          <w:lang w:val="sq-AL"/>
        </w:rPr>
        <w:t xml:space="preserve">49. Pas datës 31 dhjetor 2018, ERE duhet të miratojë e të publikojë metodologjinë, kriteret që përdoren në vlerësimin e investimeve në projektet rajonale të infrastrukturës së energjisë elektrike dhe gazit, si dhe risqet e mëdha me të cilat ato përballen. </w:t>
      </w:r>
    </w:p>
    <w:p w:rsidR="001A34CA" w:rsidRPr="00F014E5" w:rsidRDefault="001A34CA" w:rsidP="001A34CA">
      <w:pPr>
        <w:pStyle w:val="Paragrafi"/>
        <w:rPr>
          <w:b/>
          <w:bCs/>
          <w:spacing w:val="-4"/>
          <w:lang w:val="sq-AL"/>
        </w:rPr>
      </w:pPr>
      <w:r>
        <w:rPr>
          <w:b/>
          <w:bCs/>
          <w:spacing w:val="-4"/>
          <w:lang w:val="sq-AL"/>
        </w:rPr>
        <w:t xml:space="preserve">XIII. </w:t>
      </w:r>
      <w:r w:rsidRPr="00F014E5">
        <w:rPr>
          <w:b/>
          <w:bCs/>
          <w:spacing w:val="-4"/>
          <w:lang w:val="sq-AL"/>
        </w:rPr>
        <w:t>Kualifikimi i projekteve për ndihmë teknike dhe financiare nga BE-ja</w:t>
      </w:r>
    </w:p>
    <w:p w:rsidR="001A34CA" w:rsidRPr="00F014E5" w:rsidRDefault="001A34CA" w:rsidP="001A34CA">
      <w:pPr>
        <w:pStyle w:val="Paragrafi"/>
        <w:rPr>
          <w:bCs/>
          <w:spacing w:val="-4"/>
          <w:lang w:val="sq-AL"/>
        </w:rPr>
      </w:pPr>
      <w:r w:rsidRPr="00F014E5">
        <w:rPr>
          <w:bCs/>
          <w:spacing w:val="-4"/>
          <w:lang w:val="sq-AL"/>
        </w:rPr>
        <w:t xml:space="preserve">50. Projektet me interes për Komunitetin e Energjisë (PECI) apo projektet me interes të ndërsjellë për palët kontraktuese të Komunitetit të Energjisë dhe/ose vendet anëtare të Bashkimit Evropian (PMI), që bëjnë pjesë në kategoritë e përcaktuara në pikat 1 e 2, të shtojcës I, mund të kualifikohen për ndihmë teknike dhe financiare nga Bashkimi Evropian, në formë grantesh për studime, dhe nga instrumentet financiare: Instrumenti për Ndihmë Paraasociimit (IPA) dhe Instrument i Investimeve në Fqinjësi. </w:t>
      </w:r>
    </w:p>
    <w:p w:rsidR="001A34CA" w:rsidRPr="00F014E5" w:rsidRDefault="001A34CA" w:rsidP="001A34CA">
      <w:pPr>
        <w:pStyle w:val="Paragrafi"/>
        <w:rPr>
          <w:bCs/>
          <w:spacing w:val="-4"/>
          <w:lang w:val="sq-AL"/>
        </w:rPr>
      </w:pPr>
      <w:r w:rsidRPr="00F014E5">
        <w:rPr>
          <w:bCs/>
          <w:spacing w:val="-4"/>
          <w:lang w:val="sq-AL"/>
        </w:rPr>
        <w:t xml:space="preserve">51. Projektet PECI apo PMI, që bëjnë pjesë në kategoritë e përcaktuara në pikat 1 dhe 2, të shtojcës I, mund të kualifikohen për ndihmë financiare në formë grantesh nga Instrumenti për Ndihmë Paraasociimit (IPA) dhe Instrumenti i Investimeve në Fqinjësi, përveç projekteve që lidhen me depozitimin e energjisë elektrike me hidropompa. </w:t>
      </w:r>
    </w:p>
    <w:p w:rsidR="001A34CA" w:rsidRPr="00F014E5" w:rsidRDefault="001A34CA" w:rsidP="001A34CA">
      <w:pPr>
        <w:pStyle w:val="Paragrafi"/>
        <w:rPr>
          <w:bCs/>
          <w:spacing w:val="-4"/>
          <w:lang w:val="sq-AL"/>
        </w:rPr>
      </w:pPr>
      <w:r w:rsidRPr="00F014E5">
        <w:rPr>
          <w:bCs/>
          <w:spacing w:val="-4"/>
          <w:lang w:val="sq-AL"/>
        </w:rPr>
        <w:t xml:space="preserve">Projektet e parashikuara në këtë pikë mund të kualifikohen nëse plotësojnë këto kritere: </w:t>
      </w:r>
    </w:p>
    <w:p w:rsidR="001A34CA" w:rsidRPr="00F014E5" w:rsidRDefault="001A34CA" w:rsidP="001A34CA">
      <w:pPr>
        <w:pStyle w:val="Paragrafi"/>
        <w:rPr>
          <w:bCs/>
          <w:spacing w:val="-4"/>
          <w:lang w:val="sq-AL"/>
        </w:rPr>
      </w:pPr>
      <w:r w:rsidRPr="00F014E5">
        <w:rPr>
          <w:bCs/>
          <w:spacing w:val="-4"/>
          <w:lang w:val="sq-AL"/>
        </w:rPr>
        <w:t xml:space="preserve">a) Analiza kosto-përfitim, që është specifike për projektin, në përputhje me metodologjinë e zhvilluar e të publikuar nga rregullatori dhe legjislacionin përkatës për energjinë, </w:t>
      </w:r>
      <w:r w:rsidRPr="00F014E5">
        <w:rPr>
          <w:spacing w:val="-4"/>
          <w:lang w:val="sq-AL"/>
        </w:rPr>
        <w:t xml:space="preserve">sugjeron prova </w:t>
      </w:r>
      <w:r w:rsidRPr="00F014E5">
        <w:rPr>
          <w:rStyle w:val="alt-edited1"/>
          <w:color w:val="000000" w:themeColor="text1"/>
          <w:spacing w:val="-4"/>
          <w:szCs w:val="24"/>
          <w:lang w:val="sq-AL"/>
        </w:rPr>
        <w:t>në lidhje me ekzistencën e ndikimeve të jashtme, të rëndësishme, pozitive</w:t>
      </w:r>
      <w:r w:rsidRPr="00F014E5">
        <w:rPr>
          <w:spacing w:val="-4"/>
          <w:lang w:val="sq-AL"/>
        </w:rPr>
        <w:t>, të tilla si siguria e furnizimit, solidariteti ose inovacioni</w:t>
      </w:r>
      <w:r w:rsidRPr="00F014E5">
        <w:rPr>
          <w:bCs/>
          <w:spacing w:val="-4"/>
          <w:lang w:val="sq-AL"/>
        </w:rPr>
        <w:t>;</w:t>
      </w:r>
    </w:p>
    <w:p w:rsidR="001A34CA" w:rsidRPr="00F014E5" w:rsidRDefault="001A34CA" w:rsidP="001A34CA">
      <w:pPr>
        <w:pStyle w:val="Paragrafi"/>
        <w:rPr>
          <w:bCs/>
          <w:spacing w:val="-4"/>
          <w:lang w:val="sq-AL"/>
        </w:rPr>
      </w:pPr>
      <w:r w:rsidRPr="00F014E5">
        <w:rPr>
          <w:bCs/>
          <w:spacing w:val="-4"/>
          <w:lang w:val="sq-AL"/>
        </w:rPr>
        <w:t xml:space="preserve">b) </w:t>
      </w:r>
      <w:r w:rsidRPr="00F014E5">
        <w:rPr>
          <w:bCs/>
          <w:spacing w:val="-4"/>
          <w:lang w:val="sq-AL"/>
        </w:rPr>
        <w:tab/>
        <w:t xml:space="preserve">Kur ofrojnë shërbime nëpërmjet kufijve, duke sjellë inovacion teknologjik, garantojnë sigurinë e operimit ndërkufitar të rrjetit, synojnë ndarjen ndërkufitare të kostos së projektit ose projektet PECI e </w:t>
      </w:r>
      <w:r w:rsidRPr="00F014E5">
        <w:rPr>
          <w:bCs/>
          <w:spacing w:val="-4"/>
          <w:lang w:val="sq-AL"/>
        </w:rPr>
        <w:lastRenderedPageBreak/>
        <w:t xml:space="preserve">PMI, që bëjnë pjesë në kategoritë e parashikuara në nënpikën 1.2, të pikës 1, të shtojcës I, </w:t>
      </w:r>
      <w:r w:rsidRPr="00F014E5">
        <w:rPr>
          <w:spacing w:val="-4"/>
          <w:lang w:val="sq-AL"/>
        </w:rPr>
        <w:t>dhe të cilat nuk përfshihen në vendime për ndarjen e kostove ndërkufitare</w:t>
      </w:r>
      <w:r w:rsidRPr="00F014E5">
        <w:rPr>
          <w:bCs/>
          <w:spacing w:val="-4"/>
          <w:lang w:val="sq-AL"/>
        </w:rPr>
        <w:t>;</w:t>
      </w:r>
    </w:p>
    <w:p w:rsidR="001A34CA" w:rsidRPr="00F014E5" w:rsidRDefault="001A34CA" w:rsidP="001A34CA">
      <w:pPr>
        <w:pStyle w:val="Paragrafi"/>
        <w:rPr>
          <w:bCs/>
          <w:spacing w:val="-4"/>
          <w:lang w:val="sq-AL"/>
        </w:rPr>
      </w:pPr>
      <w:r w:rsidRPr="00F014E5">
        <w:rPr>
          <w:bCs/>
          <w:spacing w:val="-4"/>
          <w:lang w:val="sq-AL"/>
        </w:rPr>
        <w:t xml:space="preserve">c) Projekti nuk është ekonomikisht rentabël, sipas planit të biznesit dhe vlerësimeve të tjera që janë bërë, kryesisht nga investitorët, kreditorët potencialë apo vetë Enti Rregullator i Energjisë, por ka </w:t>
      </w:r>
      <w:r w:rsidRPr="00F014E5">
        <w:rPr>
          <w:rStyle w:val="alt-edited1"/>
          <w:color w:val="000000" w:themeColor="text1"/>
          <w:spacing w:val="-4"/>
          <w:szCs w:val="24"/>
          <w:lang w:val="sq-AL"/>
        </w:rPr>
        <w:t>ndikime të jashtme, të rëndësishme, pozitive</w:t>
      </w:r>
      <w:r w:rsidRPr="00F014E5">
        <w:rPr>
          <w:spacing w:val="-4"/>
          <w:lang w:val="sq-AL"/>
        </w:rPr>
        <w:t xml:space="preserve">, të tilla si siguria e furnizimit, solidariteti ose inovacioni. </w:t>
      </w:r>
    </w:p>
    <w:p w:rsidR="001A34CA" w:rsidRPr="00F014E5" w:rsidRDefault="001A34CA" w:rsidP="001A34CA">
      <w:pPr>
        <w:pStyle w:val="Paragrafi"/>
        <w:rPr>
          <w:bCs/>
          <w:spacing w:val="-4"/>
          <w:lang w:val="sq-AL"/>
        </w:rPr>
      </w:pPr>
      <w:r w:rsidRPr="00F014E5">
        <w:rPr>
          <w:bCs/>
          <w:spacing w:val="-4"/>
          <w:lang w:val="sq-AL"/>
        </w:rPr>
        <w:t xml:space="preserve">52. Vendimi për politikat nxitëse dhe arsyetimet e tij, të parashikuara në kreun XII, duhen marrë parasysh kur vlerësohet rentabiliteti ekonomik i projektit. </w:t>
      </w:r>
    </w:p>
    <w:p w:rsidR="001A34CA" w:rsidRPr="001A34CA" w:rsidRDefault="001A34CA" w:rsidP="001A34CA">
      <w:pPr>
        <w:pStyle w:val="Paragrafi"/>
        <w:rPr>
          <w:bCs/>
          <w:spacing w:val="-4"/>
          <w:lang w:val="sq-AL"/>
        </w:rPr>
      </w:pPr>
      <w:r w:rsidRPr="00F014E5">
        <w:rPr>
          <w:bCs/>
          <w:spacing w:val="-4"/>
          <w:lang w:val="sq-AL"/>
        </w:rPr>
        <w:t>53. Projektet me interes për Komunitetin e Energjisë dhe projektet me interes të ndërsjellë për palët kontraktuese të Komunitetit të Energjisë dhe/ose vendet anëtare të Bashkimit Evropian, që bëjnë pjesë në kategoritë e përcaktuara në pikat 1 dhe 2, të shtojcës I, mund të kualifikohen për ndihmë financiare nga BE-ja në formë të granteve për punë nëse plotësojnë kriteret e parashikuara në pikën 51 të këtij kreu.</w:t>
      </w:r>
    </w:p>
    <w:p w:rsidR="001A34CA" w:rsidRPr="00F014E5" w:rsidRDefault="001A34CA" w:rsidP="001A34CA">
      <w:pPr>
        <w:pStyle w:val="Paragrafi"/>
        <w:rPr>
          <w:b/>
          <w:bCs/>
          <w:spacing w:val="-4"/>
          <w:lang w:val="sq-AL"/>
        </w:rPr>
      </w:pPr>
      <w:r>
        <w:rPr>
          <w:b/>
          <w:bCs/>
          <w:spacing w:val="-4"/>
          <w:lang w:val="sq-AL"/>
        </w:rPr>
        <w:t xml:space="preserve">XIV. </w:t>
      </w:r>
      <w:r w:rsidRPr="00F014E5">
        <w:rPr>
          <w:b/>
          <w:bCs/>
          <w:spacing w:val="-4"/>
          <w:lang w:val="sq-AL"/>
        </w:rPr>
        <w:t>Raportimi</w:t>
      </w:r>
    </w:p>
    <w:p w:rsidR="001A34CA" w:rsidRPr="00F014E5" w:rsidRDefault="001A34CA" w:rsidP="001A34CA">
      <w:pPr>
        <w:pStyle w:val="Paragrafi"/>
        <w:rPr>
          <w:bCs/>
          <w:spacing w:val="-4"/>
          <w:lang w:val="sq-AL"/>
        </w:rPr>
      </w:pPr>
      <w:r w:rsidRPr="00F014E5">
        <w:rPr>
          <w:bCs/>
          <w:spacing w:val="-4"/>
          <w:lang w:val="sq-AL"/>
        </w:rPr>
        <w:t xml:space="preserve">54. Autoriteti kompetent duhet të përgatisë raportin e progresit të arritur në planifikimin dhe zhvillimin e projekteve me interes për Komunitetin e Energjisë, për projektet me interes të ndërsjellë për palët kontraktuese të Komunitetit të Energjisë dhe/ose vendet anëtare të Bashkimit Evropian </w:t>
      </w:r>
      <w:r w:rsidRPr="00F014E5">
        <w:rPr>
          <w:spacing w:val="-4"/>
          <w:lang w:val="sq-AL"/>
        </w:rPr>
        <w:t>dhe, kur është e nevojshme, t’i dorëzojë këto raporte te Sekretariati i Komunitetit të Energjisë</w:t>
      </w:r>
      <w:r w:rsidRPr="00F014E5">
        <w:rPr>
          <w:bCs/>
          <w:spacing w:val="-4"/>
          <w:lang w:val="sq-AL"/>
        </w:rPr>
        <w:t>.</w:t>
      </w:r>
    </w:p>
    <w:p w:rsidR="001A34CA" w:rsidRPr="00F014E5" w:rsidRDefault="001A34CA" w:rsidP="001A34CA">
      <w:pPr>
        <w:pStyle w:val="Paragrafi"/>
        <w:rPr>
          <w:bCs/>
          <w:spacing w:val="-4"/>
          <w:lang w:val="sq-AL"/>
        </w:rPr>
      </w:pPr>
      <w:r w:rsidRPr="00F014E5">
        <w:rPr>
          <w:bCs/>
          <w:spacing w:val="-4"/>
          <w:lang w:val="sq-AL"/>
        </w:rPr>
        <w:t xml:space="preserve">55. Çdo vit, autoritetet kompetente, të përmendura në kreun VIII duhet të raportojnë te grupi përkatës i Komunitetit të Energjisë për progresin dhe, atje ku është e përshtatshme, për vonesat në implementimin e projekteve PECI e PMI, që gjenden në territorin e tyre përkatës, në lidhje me proceset e dhënies së lejeve, si dhe mbi arsyet për vonesat. </w:t>
      </w:r>
    </w:p>
    <w:p w:rsidR="001A34CA" w:rsidRPr="00F014E5" w:rsidRDefault="001A34CA" w:rsidP="001A34CA">
      <w:pPr>
        <w:pStyle w:val="Paragrafi"/>
        <w:rPr>
          <w:b/>
          <w:bCs/>
          <w:strike/>
          <w:spacing w:val="-4"/>
          <w:lang w:val="sq-AL"/>
        </w:rPr>
      </w:pPr>
      <w:r w:rsidRPr="00F014E5">
        <w:rPr>
          <w:b/>
          <w:bCs/>
          <w:spacing w:val="-4"/>
          <w:lang w:val="sq-AL"/>
        </w:rPr>
        <w:t>XV.</w:t>
      </w:r>
      <w:r w:rsidRPr="00F014E5">
        <w:rPr>
          <w:b/>
          <w:bCs/>
          <w:spacing w:val="-4"/>
          <w:lang w:val="sq-AL"/>
        </w:rPr>
        <w:tab/>
        <w:t>Dispozita të fundit</w:t>
      </w:r>
    </w:p>
    <w:p w:rsidR="001A34CA" w:rsidRPr="00F014E5" w:rsidRDefault="001A34CA" w:rsidP="001A34CA">
      <w:pPr>
        <w:pStyle w:val="Paragrafi"/>
        <w:rPr>
          <w:bCs/>
          <w:spacing w:val="-4"/>
          <w:lang w:val="sq-AL"/>
        </w:rPr>
      </w:pPr>
      <w:r w:rsidRPr="00F014E5">
        <w:rPr>
          <w:spacing w:val="-4"/>
          <w:lang w:val="sq-AL"/>
        </w:rPr>
        <w:t xml:space="preserve">56. Ministria e Infrastrukturës dhe Energjisë dhe Enti Rregullator i Energjisë, që veprojnë në kuadër të tagrit të tyre të përcaktuar sipas ligjeve nr. 102/2015, nr. 43/2015, të ndryshuar, dhe nr. 8450, datë 24.2.1999, të ndryshuar, sigurojnë monitorim dhe vlerësim të vazhdueshëm të </w:t>
      </w:r>
      <w:r w:rsidRPr="00F014E5">
        <w:rPr>
          <w:bCs/>
          <w:spacing w:val="-4"/>
          <w:lang w:val="sq-AL"/>
        </w:rPr>
        <w:t xml:space="preserve">praktikave për promovimin e investimeve të përbashkëta, rajonale, në infrastrukturën e sektorit të energjisë. </w:t>
      </w:r>
    </w:p>
    <w:p w:rsidR="001A34CA" w:rsidRPr="00F014E5" w:rsidRDefault="001A34CA" w:rsidP="001A34CA">
      <w:pPr>
        <w:pStyle w:val="Paragrafi"/>
        <w:rPr>
          <w:bCs/>
          <w:spacing w:val="-4"/>
          <w:lang w:val="sq-AL"/>
        </w:rPr>
      </w:pPr>
      <w:r w:rsidRPr="00F014E5">
        <w:rPr>
          <w:bCs/>
          <w:spacing w:val="-4"/>
          <w:lang w:val="sq-AL"/>
        </w:rPr>
        <w:t>57. Praktikat për promovimin e investimeve të përbashkëta rajonale në infrastrukturën e sektorit të energjisë,</w:t>
      </w:r>
      <w:r w:rsidRPr="00F014E5">
        <w:rPr>
          <w:spacing w:val="-4"/>
          <w:lang w:val="sq-AL"/>
        </w:rPr>
        <w:t xml:space="preserve"> siç janë përcaktuar në këtë vendim, janë të aplikueshme në projekte që </w:t>
      </w:r>
      <w:r w:rsidRPr="00F014E5">
        <w:rPr>
          <w:bCs/>
          <w:spacing w:val="-4"/>
          <w:lang w:val="sq-AL"/>
        </w:rPr>
        <w:t>lidhin Shqipërinë me vende palë kontraktuese të Komunitetit të Energjisë dhe/ose me vende anëtare të Bashkimit Evropian</w:t>
      </w:r>
      <w:r w:rsidRPr="00F014E5">
        <w:rPr>
          <w:spacing w:val="-4"/>
          <w:lang w:val="sq-AL"/>
        </w:rPr>
        <w:t>, që do të jenë efektive në infrastrukturën e:</w:t>
      </w:r>
    </w:p>
    <w:p w:rsidR="001A34CA" w:rsidRPr="00F014E5" w:rsidRDefault="001A34CA" w:rsidP="001A34CA">
      <w:pPr>
        <w:pStyle w:val="Paragrafi"/>
        <w:rPr>
          <w:spacing w:val="-4"/>
          <w:lang w:val="sq-AL"/>
        </w:rPr>
      </w:pPr>
      <w:r w:rsidRPr="00F014E5">
        <w:rPr>
          <w:spacing w:val="-4"/>
          <w:lang w:val="sq-AL"/>
        </w:rPr>
        <w:t>a) Transmetimit të energjisë elektrike;</w:t>
      </w:r>
    </w:p>
    <w:p w:rsidR="001A34CA" w:rsidRPr="00F014E5" w:rsidRDefault="001A34CA" w:rsidP="001A34CA">
      <w:pPr>
        <w:pStyle w:val="Paragrafi"/>
        <w:rPr>
          <w:spacing w:val="-4"/>
          <w:lang w:val="sq-AL"/>
        </w:rPr>
      </w:pPr>
      <w:r w:rsidRPr="00F014E5">
        <w:rPr>
          <w:spacing w:val="-4"/>
          <w:lang w:val="sq-AL"/>
        </w:rPr>
        <w:t>b) Transmetimit, të depozitimit nëntokësor të gazit natyror, si dhe të terminaleve të gazit natyror të lëngëzuar;</w:t>
      </w:r>
    </w:p>
    <w:p w:rsidR="001A34CA" w:rsidRPr="00F014E5" w:rsidRDefault="001A34CA" w:rsidP="001A34CA">
      <w:pPr>
        <w:pStyle w:val="Paragrafi"/>
        <w:rPr>
          <w:spacing w:val="-4"/>
          <w:lang w:val="sq-AL"/>
        </w:rPr>
      </w:pPr>
      <w:r w:rsidRPr="00F014E5">
        <w:rPr>
          <w:spacing w:val="-4"/>
          <w:lang w:val="sq-AL"/>
        </w:rPr>
        <w:t xml:space="preserve">c) Transportimit të naftës bruto. </w:t>
      </w:r>
    </w:p>
    <w:p w:rsidR="001A34CA" w:rsidRPr="00F014E5" w:rsidRDefault="001A34CA" w:rsidP="001A34CA">
      <w:pPr>
        <w:pStyle w:val="Paragrafi"/>
        <w:rPr>
          <w:spacing w:val="-4"/>
          <w:lang w:val="sq-AL"/>
        </w:rPr>
      </w:pPr>
      <w:r w:rsidRPr="00F014E5">
        <w:rPr>
          <w:bCs/>
          <w:spacing w:val="-4"/>
          <w:lang w:val="sq-AL"/>
        </w:rPr>
        <w:t xml:space="preserve">58. Shtojcat I dhe II që i bashkëlidhen këtij vendimi, janë pjesë përbërëse të tij. </w:t>
      </w:r>
    </w:p>
    <w:p w:rsidR="001A34CA" w:rsidRPr="00F014E5" w:rsidRDefault="001A34CA" w:rsidP="001A34CA">
      <w:pPr>
        <w:pStyle w:val="Paragrafi"/>
        <w:rPr>
          <w:spacing w:val="-4"/>
          <w:lang w:val="sq-AL"/>
        </w:rPr>
      </w:pPr>
      <w:r w:rsidRPr="00F014E5">
        <w:rPr>
          <w:spacing w:val="-4"/>
          <w:lang w:val="sq-AL"/>
        </w:rPr>
        <w:t xml:space="preserve">59. Ngarkohen Ministria e Infrastrukturës dhe Energjisë, Ministria e Turizmit dhe Mjedisit dhe Enti Rregullator i Energjisë për zbatimin e këtij vendimi. </w:t>
      </w:r>
    </w:p>
    <w:p w:rsidR="001A34CA" w:rsidRPr="00F014E5" w:rsidRDefault="001A34CA" w:rsidP="001A34CA">
      <w:pPr>
        <w:pStyle w:val="Paragrafi"/>
        <w:rPr>
          <w:spacing w:val="-4"/>
          <w:lang w:val="sq-AL"/>
        </w:rPr>
      </w:pPr>
      <w:r w:rsidRPr="00F014E5">
        <w:rPr>
          <w:spacing w:val="-4"/>
          <w:lang w:val="sq-AL"/>
        </w:rPr>
        <w:t>Ky vendim hyn në fuqi pas botimit në Fletoren Zyrtare.</w:t>
      </w:r>
    </w:p>
    <w:p w:rsidR="001A34CA" w:rsidRPr="00F014E5" w:rsidRDefault="001A34CA" w:rsidP="001A34CA">
      <w:pPr>
        <w:pStyle w:val="Autoriteti"/>
        <w:keepNext w:val="0"/>
        <w:rPr>
          <w:rFonts w:cs="Times New Roman"/>
          <w:spacing w:val="-4"/>
          <w:lang w:val="sq-AL" w:eastAsia="sq-AL"/>
        </w:rPr>
      </w:pPr>
      <w:r w:rsidRPr="00F014E5">
        <w:rPr>
          <w:spacing w:val="-4"/>
          <w:lang w:val="sq-AL" w:eastAsia="sq-AL"/>
        </w:rPr>
        <w:t>ZËvendËsKRYEMINISTR</w:t>
      </w:r>
      <w:r w:rsidRPr="00F014E5">
        <w:rPr>
          <w:rFonts w:cs="Times New Roman"/>
          <w:spacing w:val="-4"/>
          <w:lang w:val="sq-AL" w:eastAsia="sq-AL"/>
        </w:rPr>
        <w:t>I</w:t>
      </w:r>
    </w:p>
    <w:p w:rsidR="001A34CA" w:rsidRPr="00F014E5" w:rsidRDefault="001A34CA" w:rsidP="001A34CA">
      <w:pPr>
        <w:pStyle w:val="AutoritetiEmer"/>
        <w:rPr>
          <w:color w:val="000000"/>
          <w:spacing w:val="-4"/>
          <w:lang w:val="sq-AL" w:eastAsia="sq-AL"/>
        </w:rPr>
      </w:pPr>
      <w:r w:rsidRPr="00F014E5">
        <w:rPr>
          <w:spacing w:val="-4"/>
          <w:lang w:val="sq-AL"/>
        </w:rPr>
        <w:t>Senida Mesi</w:t>
      </w:r>
    </w:p>
    <w:p w:rsidR="001A34CA" w:rsidRPr="00F014E5" w:rsidRDefault="001A34CA" w:rsidP="001A34CA">
      <w:pPr>
        <w:pStyle w:val="NeniNr"/>
        <w:keepNext w:val="0"/>
        <w:rPr>
          <w:spacing w:val="-4"/>
          <w:sz w:val="14"/>
          <w:lang w:val="sq-AL"/>
        </w:rPr>
      </w:pPr>
    </w:p>
    <w:p w:rsidR="001A34CA" w:rsidRPr="00F014E5" w:rsidRDefault="001A34CA" w:rsidP="001A34CA">
      <w:pPr>
        <w:pStyle w:val="NeniNr"/>
        <w:keepNext w:val="0"/>
        <w:rPr>
          <w:strike/>
          <w:spacing w:val="-4"/>
          <w:lang w:val="sq-AL"/>
        </w:rPr>
      </w:pPr>
      <w:r w:rsidRPr="00F014E5">
        <w:rPr>
          <w:spacing w:val="-4"/>
          <w:lang w:val="sq-AL"/>
        </w:rPr>
        <w:t xml:space="preserve">SHTOJCA I </w:t>
      </w:r>
    </w:p>
    <w:p w:rsidR="001A34CA" w:rsidRPr="00F014E5" w:rsidRDefault="001A34CA" w:rsidP="001A34CA">
      <w:pPr>
        <w:pStyle w:val="NeniNr"/>
        <w:keepNext w:val="0"/>
        <w:rPr>
          <w:spacing w:val="-4"/>
          <w:lang w:val="sq-AL"/>
        </w:rPr>
      </w:pPr>
      <w:r w:rsidRPr="00F014E5">
        <w:rPr>
          <w:spacing w:val="-4"/>
          <w:lang w:val="sq-AL"/>
        </w:rPr>
        <w:t>KATEGORITË DHE FUSHAT E INFRASTRUKTURËS SË ENERGJISË</w:t>
      </w:r>
    </w:p>
    <w:p w:rsidR="001A34CA" w:rsidRPr="00F014E5" w:rsidRDefault="001A34CA" w:rsidP="001A34CA">
      <w:pPr>
        <w:pStyle w:val="Paragrafi"/>
        <w:rPr>
          <w:spacing w:val="-4"/>
          <w:sz w:val="14"/>
          <w:lang w:val="sq-AL"/>
        </w:rPr>
      </w:pPr>
    </w:p>
    <w:p w:rsidR="001A34CA" w:rsidRPr="00F014E5" w:rsidRDefault="001A34CA" w:rsidP="001A34CA">
      <w:pPr>
        <w:pStyle w:val="Paragrafi"/>
        <w:rPr>
          <w:spacing w:val="-4"/>
          <w:lang w:val="sq-AL"/>
        </w:rPr>
      </w:pPr>
      <w:r w:rsidRPr="00F014E5">
        <w:rPr>
          <w:spacing w:val="-4"/>
          <w:lang w:val="sq-AL"/>
        </w:rPr>
        <w:t>Kategoritë e infrastrukturës së energjisë që mund të zhvillohen janë energjia elektrike, gazi dhe nafta.</w:t>
      </w:r>
    </w:p>
    <w:p w:rsidR="001A34CA" w:rsidRPr="00F014E5" w:rsidRDefault="001A34CA" w:rsidP="001A34CA">
      <w:pPr>
        <w:pStyle w:val="Paragrafi"/>
        <w:rPr>
          <w:spacing w:val="-4"/>
          <w:lang w:val="sq-AL"/>
        </w:rPr>
      </w:pPr>
      <w:r w:rsidRPr="00F014E5">
        <w:rPr>
          <w:spacing w:val="-4"/>
          <w:lang w:val="sq-AL"/>
        </w:rPr>
        <w:t>1. Në lidhje me energjinë elektrike:</w:t>
      </w:r>
    </w:p>
    <w:p w:rsidR="001A34CA" w:rsidRPr="00F014E5" w:rsidRDefault="001A34CA" w:rsidP="001A34CA">
      <w:pPr>
        <w:pStyle w:val="Paragrafi"/>
        <w:rPr>
          <w:spacing w:val="-4"/>
          <w:lang w:val="sq-AL"/>
        </w:rPr>
      </w:pPr>
      <w:r w:rsidRPr="00F014E5">
        <w:rPr>
          <w:spacing w:val="-4"/>
          <w:lang w:val="sq-AL"/>
        </w:rPr>
        <w:t>1.1 Rrjetet e transmetimit të tensionit të lartë, nëse janë projektuar për tension prej 220 kV apo më shumë, si dhe kabllo nëntokësore dhe nënujore të transmetimit, nëse janë projektuar për tension prej 150 kV apo më shumë;</w:t>
      </w:r>
    </w:p>
    <w:p w:rsidR="001A34CA" w:rsidRPr="00F014E5" w:rsidRDefault="001A34CA" w:rsidP="001A34CA">
      <w:pPr>
        <w:pStyle w:val="Paragrafi"/>
        <w:rPr>
          <w:spacing w:val="-4"/>
          <w:lang w:val="sq-AL"/>
        </w:rPr>
      </w:pPr>
      <w:r w:rsidRPr="00F014E5">
        <w:rPr>
          <w:spacing w:val="-4"/>
          <w:lang w:val="sq-AL"/>
        </w:rPr>
        <w:lastRenderedPageBreak/>
        <w:t>1.2 Objektet e depozitimit të energjisë elektrike që përdoren për depozitimin e energjisë elektrike në baza të përhershme apo të përkohshme, në vendndodhje infrastrukture apo gjeologjike mbi apo nën tokë, me kusht që të jenë drejtpërdrejt të lidhura në linja transmetuese të tensionit të lartë, të projektuara për tension prej 110 kV apo më shumë;</w:t>
      </w:r>
    </w:p>
    <w:p w:rsidR="001A34CA" w:rsidRPr="00F014E5" w:rsidRDefault="001A34CA" w:rsidP="001A34CA">
      <w:pPr>
        <w:pStyle w:val="Paragrafi"/>
        <w:rPr>
          <w:spacing w:val="-4"/>
          <w:lang w:val="sq-AL"/>
        </w:rPr>
      </w:pPr>
      <w:r w:rsidRPr="00F014E5">
        <w:rPr>
          <w:spacing w:val="-4"/>
          <w:lang w:val="sq-AL"/>
        </w:rPr>
        <w:t>1.3 Pajisje apo instalime të nevojshme për sistemet e përcaktuara te pikat 1.1 dhe 1.2 për të operuar në mënyrë të sigurt, të rregullt dhe efikase, duke përfshirë sistemet e mbrojtjes, monitorimit dhe kontrollit në të gjitha nivelet e tensionit dhe nënstacioneve;</w:t>
      </w:r>
    </w:p>
    <w:p w:rsidR="001A34CA" w:rsidRPr="00F014E5" w:rsidRDefault="001A34CA" w:rsidP="001A34CA">
      <w:pPr>
        <w:pStyle w:val="Paragrafi"/>
        <w:rPr>
          <w:lang w:val="sq-AL"/>
        </w:rPr>
      </w:pPr>
      <w:r w:rsidRPr="00F014E5">
        <w:rPr>
          <w:spacing w:val="-4"/>
          <w:lang w:val="sq-AL"/>
        </w:rPr>
        <w:t xml:space="preserve">1.4 Pajisje apo instalime, në nivel të transmetimit dhe të shpërndarjes në tension të mesëm, që synojnë komunikimin dydrejtimësh digjital, në kohë reale apo afër kohës reale, monitorimin dhe menaxhimin interaktiv dhe inteligjent të gjenerimit, transmetimit, shpërndarjes dhe konsumit të energjisë elektrike, brenda një rrjeti elektrik, me qëllim zhvillimin e </w:t>
      </w:r>
      <w:r w:rsidRPr="00F014E5">
        <w:rPr>
          <w:lang w:val="sq-AL"/>
        </w:rPr>
        <w:t>rrjetit që në mënyrë efikase integron sjelljet dhe veprimet e të gjithë shfrytëzuesve të lidhur në të - gjeneratorët, konsumatorët dhe ata që i bëjnë të dyja - për të siguruar një sistem ekonomikisht efikas, të qëndrueshëm të energjisë elektrike me humbje të ulëta dhe cilësi të lartë dhe siguri të furnizimit dhe siguri të përgjithshme;</w:t>
      </w:r>
    </w:p>
    <w:p w:rsidR="001A34CA" w:rsidRPr="00F014E5" w:rsidRDefault="001A34CA" w:rsidP="001A34CA">
      <w:pPr>
        <w:pStyle w:val="Paragrafi"/>
        <w:rPr>
          <w:lang w:val="sq-AL"/>
        </w:rPr>
      </w:pPr>
      <w:r w:rsidRPr="00F014E5">
        <w:rPr>
          <w:lang w:val="sq-AL"/>
        </w:rPr>
        <w:t>2. Në lidhje me gazin natyror:</w:t>
      </w:r>
    </w:p>
    <w:p w:rsidR="001A34CA" w:rsidRPr="00F014E5" w:rsidRDefault="001A34CA" w:rsidP="001A34CA">
      <w:pPr>
        <w:pStyle w:val="Paragrafi"/>
        <w:rPr>
          <w:lang w:val="sq-AL"/>
        </w:rPr>
      </w:pPr>
      <w:r w:rsidRPr="00F014E5">
        <w:rPr>
          <w:lang w:val="sq-AL"/>
        </w:rPr>
        <w:t>2.1 Gazsjellësit transportues për transportimin e gazit natyror dhe të biogazit, që bëjnë pjesë në një rrjet që kryesisht përmban tubacione të presionit të lartë, duke përjashtuar gazsjellësit e presionit të lartë që përdoren për kërkim-prodhimin apo shpërndarjen lokale të gazit natyror;</w:t>
      </w:r>
    </w:p>
    <w:p w:rsidR="001A34CA" w:rsidRPr="00F014E5" w:rsidRDefault="001A34CA" w:rsidP="001A34CA">
      <w:pPr>
        <w:pStyle w:val="Paragrafi"/>
        <w:rPr>
          <w:lang w:val="sq-AL"/>
        </w:rPr>
      </w:pPr>
      <w:r w:rsidRPr="00F014E5">
        <w:rPr>
          <w:lang w:val="sq-AL"/>
        </w:rPr>
        <w:t>2.2 Instalimet e depozitimit, nëntokësore, të lidhura në gazsjellësit e lartpërmendur të presionit të lartë;</w:t>
      </w:r>
    </w:p>
    <w:p w:rsidR="001A34CA" w:rsidRPr="00F014E5" w:rsidRDefault="001A34CA" w:rsidP="001A34CA">
      <w:pPr>
        <w:pStyle w:val="Paragrafi"/>
        <w:rPr>
          <w:lang w:val="sq-AL"/>
        </w:rPr>
      </w:pPr>
      <w:r w:rsidRPr="00F014E5">
        <w:rPr>
          <w:lang w:val="sq-AL"/>
        </w:rPr>
        <w:t>2.3 Instalimet e pranimit, depozitimit dhe rigazifikimit apo dekompresimit për gazin natyror të lëngëzuar (GNL) apo gazin natyror të kompresuar (GNK);</w:t>
      </w:r>
    </w:p>
    <w:p w:rsidR="001A34CA" w:rsidRPr="00F014E5" w:rsidRDefault="001A34CA" w:rsidP="001A34CA">
      <w:pPr>
        <w:pStyle w:val="Paragrafi"/>
        <w:rPr>
          <w:lang w:val="sq-AL"/>
        </w:rPr>
      </w:pPr>
      <w:r w:rsidRPr="00F014E5">
        <w:rPr>
          <w:lang w:val="sq-AL"/>
        </w:rPr>
        <w:t>2.4 Çdo pajisje apo instalim që është i nevojshëm për të pasur një sistem që operon në mënyrë të sigurt, të rregullt dhe efikase apo që mundëson kapacitet dydrejtimësh, duke përfshirë stacionet e kompresorëve;</w:t>
      </w:r>
    </w:p>
    <w:p w:rsidR="001A34CA" w:rsidRPr="00F014E5" w:rsidRDefault="001A34CA" w:rsidP="001A34CA">
      <w:pPr>
        <w:pStyle w:val="Paragrafi"/>
        <w:rPr>
          <w:lang w:val="sq-AL"/>
        </w:rPr>
      </w:pPr>
      <w:r w:rsidRPr="00F014E5">
        <w:rPr>
          <w:lang w:val="sq-AL"/>
        </w:rPr>
        <w:t>3. Në lidhje me naftën:</w:t>
      </w:r>
    </w:p>
    <w:p w:rsidR="001A34CA" w:rsidRPr="00F014E5" w:rsidRDefault="001A34CA" w:rsidP="001A34CA">
      <w:pPr>
        <w:pStyle w:val="Paragrafi"/>
        <w:rPr>
          <w:lang w:val="sq-AL"/>
        </w:rPr>
      </w:pPr>
      <w:r w:rsidRPr="00F014E5">
        <w:rPr>
          <w:lang w:val="sq-AL"/>
        </w:rPr>
        <w:t>3.1 Naftësjellësit e përdorur për transportimin e naftës bruto;</w:t>
      </w:r>
    </w:p>
    <w:p w:rsidR="001A34CA" w:rsidRPr="00F014E5" w:rsidRDefault="001A34CA" w:rsidP="001A34CA">
      <w:pPr>
        <w:pStyle w:val="Paragrafi"/>
        <w:rPr>
          <w:lang w:val="sq-AL"/>
        </w:rPr>
      </w:pPr>
      <w:r w:rsidRPr="00F014E5">
        <w:rPr>
          <w:lang w:val="sq-AL"/>
        </w:rPr>
        <w:t>3.2 Stacionet e pompimit dhe instalimet e depozitimit të nevojshme për operimin me naftësjellës të naftës bruto;</w:t>
      </w:r>
    </w:p>
    <w:p w:rsidR="001A34CA" w:rsidRPr="00F014E5" w:rsidRDefault="001A34CA" w:rsidP="001A34CA">
      <w:pPr>
        <w:pStyle w:val="Paragrafi"/>
        <w:rPr>
          <w:lang w:val="sq-AL"/>
        </w:rPr>
      </w:pPr>
      <w:r w:rsidRPr="00F014E5">
        <w:rPr>
          <w:lang w:val="sq-AL"/>
        </w:rPr>
        <w:t>3.3 Çdo pajisje apo instalim që është i nevojshëm për të pasur një sistem që operon në mënyrë të sigurt, të rregullt dhe efikase, duke përfshirë sistemet e mbrojtjes, monitorimit dhe kontrollit, si dhe pajisjet për rrjedhën e kundërt;</w:t>
      </w:r>
    </w:p>
    <w:p w:rsidR="001A34CA" w:rsidRPr="00F014E5" w:rsidRDefault="001A34CA" w:rsidP="001A34CA">
      <w:pPr>
        <w:pStyle w:val="Paragrafi"/>
        <w:rPr>
          <w:lang w:val="sq-AL"/>
        </w:rPr>
      </w:pPr>
      <w:r w:rsidRPr="00F014E5">
        <w:rPr>
          <w:lang w:val="sq-AL"/>
        </w:rPr>
        <w:t>4. Fushat tematike prioritare për zhvillim</w:t>
      </w:r>
    </w:p>
    <w:p w:rsidR="001A34CA" w:rsidRPr="00F014E5" w:rsidRDefault="001A34CA" w:rsidP="001A34CA">
      <w:pPr>
        <w:pStyle w:val="Paragrafi"/>
        <w:rPr>
          <w:lang w:val="sq-AL"/>
        </w:rPr>
      </w:pPr>
      <w:r w:rsidRPr="00F014E5">
        <w:rPr>
          <w:lang w:val="sq-AL"/>
        </w:rPr>
        <w:t>Shtrirja e rrjeteve inteligjente: marrja përsipër e teknologjive inteligjente të rrjetit në të gjithë Komunitetin e Energjisë për të integruar në mënyrë efikase sjelljen dhe veprimet e të gjithë përdoruesve të lidhur në rrjetin elektrik, sidomos gjenerimin e sasive të mëdha të energjisë elektrike nga burimet e rinovueshme apo të shpërndara të energjisë, si dhe reagimit për kërkesën, nga konsumatorët.</w:t>
      </w:r>
    </w:p>
    <w:p w:rsidR="001A34CA" w:rsidRPr="00F014E5" w:rsidRDefault="001A34CA" w:rsidP="001A34CA">
      <w:pPr>
        <w:pStyle w:val="Paragrafi"/>
        <w:rPr>
          <w:sz w:val="14"/>
          <w:lang w:val="sq-AL"/>
        </w:rPr>
      </w:pPr>
    </w:p>
    <w:p w:rsidR="001A34CA" w:rsidRPr="00F014E5" w:rsidRDefault="001A34CA" w:rsidP="001A34CA">
      <w:pPr>
        <w:pStyle w:val="NeniNr"/>
        <w:keepNext w:val="0"/>
        <w:rPr>
          <w:strike/>
          <w:lang w:val="sq-AL"/>
        </w:rPr>
      </w:pPr>
      <w:r w:rsidRPr="00F014E5">
        <w:rPr>
          <w:lang w:val="sq-AL"/>
        </w:rPr>
        <w:t xml:space="preserve">SHTOJCA II </w:t>
      </w:r>
    </w:p>
    <w:p w:rsidR="001A34CA" w:rsidRPr="00F014E5" w:rsidRDefault="001A34CA" w:rsidP="001A34CA">
      <w:pPr>
        <w:pStyle w:val="NeniNr"/>
        <w:keepNext w:val="0"/>
        <w:rPr>
          <w:lang w:val="sq-AL"/>
        </w:rPr>
      </w:pPr>
      <w:r w:rsidRPr="00F014E5">
        <w:rPr>
          <w:lang w:val="sq-AL"/>
        </w:rPr>
        <w:t>UDHËZIMET PËR TRANSPARENCË DHE PJESËMARRJE PUBLIKE</w:t>
      </w:r>
    </w:p>
    <w:p w:rsidR="001A34CA" w:rsidRPr="00F014E5" w:rsidRDefault="001A34CA" w:rsidP="001A34CA">
      <w:pPr>
        <w:pStyle w:val="Paragrafi"/>
        <w:rPr>
          <w:sz w:val="14"/>
          <w:lang w:val="sq-AL"/>
        </w:rPr>
      </w:pPr>
    </w:p>
    <w:p w:rsidR="001A34CA" w:rsidRPr="00F014E5" w:rsidRDefault="001A34CA" w:rsidP="001A34CA">
      <w:pPr>
        <w:pStyle w:val="Paragrafi"/>
        <w:rPr>
          <w:lang w:val="sq-AL"/>
        </w:rPr>
      </w:pPr>
      <w:r w:rsidRPr="00F014E5">
        <w:rPr>
          <w:lang w:val="sq-AL"/>
        </w:rPr>
        <w:t>1. Manuali i procedurave i përmendur në pikën 18, të kreut IX, së paku duhet të specifikojë:</w:t>
      </w:r>
    </w:p>
    <w:p w:rsidR="001A34CA" w:rsidRPr="00F014E5" w:rsidRDefault="001A34CA" w:rsidP="001A34CA">
      <w:pPr>
        <w:pStyle w:val="Paragrafi"/>
        <w:rPr>
          <w:lang w:val="sq-AL"/>
        </w:rPr>
      </w:pPr>
      <w:r w:rsidRPr="00F014E5">
        <w:rPr>
          <w:lang w:val="sq-AL"/>
        </w:rPr>
        <w:t xml:space="preserve">1.1 </w:t>
      </w:r>
      <w:r w:rsidRPr="00F014E5">
        <w:rPr>
          <w:lang w:val="sq-AL"/>
        </w:rPr>
        <w:tab/>
        <w:t xml:space="preserve">Ligjin përkatës tek i cili bazohen vendimet dhe mendimet për llojet e ndryshme të projekteve përkatëse me interes për Komunitetin e Energjisë dhe/ose projekteve </w:t>
      </w:r>
      <w:r w:rsidRPr="00F014E5">
        <w:rPr>
          <w:bCs/>
          <w:lang w:val="sq-AL"/>
        </w:rPr>
        <w:t xml:space="preserve">me interes të ndërsjellë për palët kontraktuese të Komunitetit të Energjisë dhe/ose vendet anëtare të Bashkimit Evropian, </w:t>
      </w:r>
      <w:r w:rsidRPr="00F014E5">
        <w:rPr>
          <w:lang w:val="sq-AL"/>
        </w:rPr>
        <w:t>duke përfshirë ato mjedisore;</w:t>
      </w:r>
    </w:p>
    <w:p w:rsidR="001A34CA" w:rsidRPr="00F014E5" w:rsidRDefault="001A34CA" w:rsidP="001A34CA">
      <w:pPr>
        <w:pStyle w:val="Paragrafi"/>
        <w:rPr>
          <w:lang w:val="sq-AL"/>
        </w:rPr>
      </w:pPr>
      <w:r w:rsidRPr="00F014E5">
        <w:rPr>
          <w:lang w:val="sq-AL"/>
        </w:rPr>
        <w:t xml:space="preserve">1.2 </w:t>
      </w:r>
      <w:r w:rsidRPr="00F014E5">
        <w:rPr>
          <w:lang w:val="sq-AL"/>
        </w:rPr>
        <w:tab/>
        <w:t>Vendimet dhe mendimet përkatëse që duhen marrë;</w:t>
      </w:r>
    </w:p>
    <w:p w:rsidR="001A34CA" w:rsidRPr="00F014E5" w:rsidRDefault="001A34CA" w:rsidP="001A34CA">
      <w:pPr>
        <w:pStyle w:val="Paragrafi"/>
        <w:rPr>
          <w:lang w:val="sq-AL"/>
        </w:rPr>
      </w:pPr>
    </w:p>
    <w:p w:rsidR="001A34CA" w:rsidRPr="00F014E5" w:rsidRDefault="001A34CA" w:rsidP="001A34CA">
      <w:pPr>
        <w:pStyle w:val="Paragrafi"/>
        <w:rPr>
          <w:lang w:val="sq-AL"/>
        </w:rPr>
      </w:pPr>
      <w:r w:rsidRPr="00F014E5">
        <w:rPr>
          <w:lang w:val="sq-AL"/>
        </w:rPr>
        <w:t>1.3 Emrat dhe hollësitë për kontakt të autoritetit kompetent, autoriteteve të tjera dhe palëve kryesore me interes të përfshira;</w:t>
      </w:r>
    </w:p>
    <w:p w:rsidR="001A34CA" w:rsidRPr="00F014E5" w:rsidRDefault="001A34CA" w:rsidP="001A34CA">
      <w:pPr>
        <w:pStyle w:val="Paragrafi"/>
        <w:rPr>
          <w:lang w:val="sq-AL"/>
        </w:rPr>
      </w:pPr>
      <w:r w:rsidRPr="00F014E5">
        <w:rPr>
          <w:lang w:val="sq-AL"/>
        </w:rPr>
        <w:t>1.4 Rrjedha e punës, që përshkruan çdo fazë të procesit, duke përfshirë një kuadër kohor indikativ dhe një pasqyrë të përmbledhur të procesit të vendimmarrjes;</w:t>
      </w:r>
    </w:p>
    <w:p w:rsidR="001A34CA" w:rsidRPr="00F014E5" w:rsidRDefault="001A34CA" w:rsidP="001A34CA">
      <w:pPr>
        <w:pStyle w:val="Paragrafi"/>
        <w:rPr>
          <w:spacing w:val="-4"/>
          <w:lang w:val="sq-AL"/>
        </w:rPr>
      </w:pPr>
      <w:r w:rsidRPr="00F014E5">
        <w:rPr>
          <w:spacing w:val="-4"/>
          <w:lang w:val="sq-AL"/>
        </w:rPr>
        <w:t>1.5 Informacionet për fushëveprimin, struk-turën dhe nivelin e detajimit të dokumenteve që duhen dorëzuar me aplikimin për vendime, duke përfshirë listën kontrolluese;</w:t>
      </w:r>
    </w:p>
    <w:p w:rsidR="001A34CA" w:rsidRPr="00F014E5" w:rsidRDefault="001A34CA" w:rsidP="001A34CA">
      <w:pPr>
        <w:pStyle w:val="Paragrafi"/>
        <w:rPr>
          <w:spacing w:val="-4"/>
          <w:lang w:val="sq-AL"/>
        </w:rPr>
      </w:pPr>
      <w:r w:rsidRPr="00F014E5">
        <w:rPr>
          <w:spacing w:val="-4"/>
          <w:lang w:val="sq-AL"/>
        </w:rPr>
        <w:t>1.6 Fazat dhe mënyrat në të cilat publiku i gjerë mund të marrë pjesë në proces.</w:t>
      </w:r>
    </w:p>
    <w:p w:rsidR="001A34CA" w:rsidRPr="00F014E5" w:rsidRDefault="001A34CA" w:rsidP="001A34CA">
      <w:pPr>
        <w:pStyle w:val="Paragrafi"/>
        <w:rPr>
          <w:lang w:val="sq-AL"/>
        </w:rPr>
      </w:pPr>
      <w:r w:rsidRPr="00F014E5">
        <w:rPr>
          <w:lang w:val="sq-AL"/>
        </w:rPr>
        <w:t>2. Skemat e hollësishme të përmendura në kreun X duhet të specifikojnë, minimalisht, sa vijon:</w:t>
      </w:r>
    </w:p>
    <w:p w:rsidR="001A34CA" w:rsidRPr="00F014E5" w:rsidRDefault="001A34CA" w:rsidP="001A34CA">
      <w:pPr>
        <w:pStyle w:val="Paragrafi"/>
        <w:rPr>
          <w:lang w:val="sq-AL"/>
        </w:rPr>
      </w:pPr>
      <w:r w:rsidRPr="00F014E5">
        <w:rPr>
          <w:lang w:val="sq-AL"/>
        </w:rPr>
        <w:t>2.1 Vendimet dhe mendimet përkatëse që duhen marrë;</w:t>
      </w:r>
    </w:p>
    <w:p w:rsidR="001A34CA" w:rsidRPr="00F014E5" w:rsidRDefault="001A34CA" w:rsidP="001A34CA">
      <w:pPr>
        <w:pStyle w:val="Paragrafi"/>
        <w:rPr>
          <w:lang w:val="sq-AL"/>
        </w:rPr>
      </w:pPr>
      <w:r w:rsidRPr="00F014E5">
        <w:rPr>
          <w:lang w:val="sq-AL"/>
        </w:rPr>
        <w:t>2.2 Autoritetet, palët e përfshira, si dhe publikun që është e mundur që do të ndikohen;</w:t>
      </w:r>
    </w:p>
    <w:p w:rsidR="001A34CA" w:rsidRPr="00F014E5" w:rsidRDefault="001A34CA" w:rsidP="001A34CA">
      <w:pPr>
        <w:pStyle w:val="Paragrafi"/>
        <w:rPr>
          <w:lang w:val="sq-AL"/>
        </w:rPr>
      </w:pPr>
      <w:r w:rsidRPr="00F014E5">
        <w:rPr>
          <w:lang w:val="sq-AL"/>
        </w:rPr>
        <w:t>2.3 Fazat individuale të procedurës, si dhe kohëzgjatjen e tyre;</w:t>
      </w:r>
    </w:p>
    <w:p w:rsidR="001A34CA" w:rsidRPr="00F014E5" w:rsidRDefault="001A34CA" w:rsidP="001A34CA">
      <w:pPr>
        <w:pStyle w:val="Paragrafi"/>
        <w:rPr>
          <w:lang w:val="sq-AL"/>
        </w:rPr>
      </w:pPr>
      <w:r w:rsidRPr="00F014E5">
        <w:rPr>
          <w:lang w:val="sq-AL"/>
        </w:rPr>
        <w:t>2.4 Momentet kryesore që duhen arritur, si dhe afatet përfundimtare të tyre në lidhje me vendimin gjithëpërfshirës që duhet marrë;</w:t>
      </w:r>
    </w:p>
    <w:p w:rsidR="001A34CA" w:rsidRPr="00F014E5" w:rsidRDefault="001A34CA" w:rsidP="001A34CA">
      <w:pPr>
        <w:pStyle w:val="Paragrafi"/>
        <w:rPr>
          <w:lang w:val="sq-AL"/>
        </w:rPr>
      </w:pPr>
      <w:r w:rsidRPr="00F014E5">
        <w:rPr>
          <w:lang w:val="sq-AL"/>
        </w:rPr>
        <w:t>2.5 Burimet e planifikuara nga autoritetet dhe nevojat e mundshme për burime shtesë.</w:t>
      </w:r>
    </w:p>
    <w:p w:rsidR="001A34CA" w:rsidRPr="00F014E5" w:rsidRDefault="001A34CA" w:rsidP="001A34CA">
      <w:pPr>
        <w:pStyle w:val="Paragrafi"/>
        <w:rPr>
          <w:lang w:val="sq-AL"/>
        </w:rPr>
      </w:pPr>
      <w:r w:rsidRPr="00F014E5">
        <w:rPr>
          <w:lang w:val="sq-AL"/>
        </w:rPr>
        <w:t>3. Për të rritur pjesëmarrjen publike në procesin e dhënies së lejes dhe për të siguruar paraprakisht informimin dhe dialogun me publikun, do të respektohen këto parime:</w:t>
      </w:r>
    </w:p>
    <w:p w:rsidR="001A34CA" w:rsidRPr="00F014E5" w:rsidRDefault="001A34CA" w:rsidP="001A34CA">
      <w:pPr>
        <w:pStyle w:val="Paragrafi"/>
        <w:rPr>
          <w:spacing w:val="-4"/>
          <w:lang w:val="sq-AL"/>
        </w:rPr>
      </w:pPr>
      <w:r w:rsidRPr="00F014E5">
        <w:rPr>
          <w:spacing w:val="-4"/>
          <w:lang w:val="sq-AL"/>
        </w:rPr>
        <w:t xml:space="preserve">3.1 Palët me interes të prekura nga një projekt me interes për Komunitetin e Energjisë dhe/ose një projekt </w:t>
      </w:r>
      <w:r w:rsidRPr="00F014E5">
        <w:rPr>
          <w:bCs/>
          <w:spacing w:val="-4"/>
          <w:lang w:val="sq-AL"/>
        </w:rPr>
        <w:t>me interes të ndërsjellë për palët kontraktuese të Komunitetit të Energjisë dhe/ose vendet anëtare të Bashkimit Evropian,</w:t>
      </w:r>
      <w:r w:rsidRPr="00F014E5">
        <w:rPr>
          <w:spacing w:val="-4"/>
          <w:lang w:val="sq-AL"/>
        </w:rPr>
        <w:t xml:space="preserve"> duke përfshirë autoritetet përkatëse shtetërore, rajonale dhe lokale, pronarët e tokave dhe qytetarët që jetojnë në afërsi me projektin, publikun e gjerë dhe shoqatat, organizatat dhe grupet e tilla, duhen informuar e konsultuar gjerësisht në fazë të hershme, kur shqetësimet e mundshme të publikut ende mund të merren parasysh, si dhe në mënyrë të hapur e transparente. Aty ku është e aplikueshme, autoriteti kompetent në mënyrë aktive përkrah aktivitetet e ndërmarra nga promovuesi i projektit.</w:t>
      </w:r>
    </w:p>
    <w:p w:rsidR="001A34CA" w:rsidRPr="00F014E5" w:rsidRDefault="001A34CA" w:rsidP="001A34CA">
      <w:pPr>
        <w:pStyle w:val="Paragrafi"/>
        <w:rPr>
          <w:spacing w:val="-4"/>
          <w:lang w:val="sq-AL"/>
        </w:rPr>
      </w:pPr>
      <w:r w:rsidRPr="00F014E5">
        <w:rPr>
          <w:spacing w:val="-4"/>
          <w:lang w:val="sq-AL"/>
        </w:rPr>
        <w:t xml:space="preserve">3.2 Autoritetet kompetente duhet të sigurojnë që procedurat e konsultimit publik për projektet me interes për Komunitetin e Energjisë dhe/ose për projektet </w:t>
      </w:r>
      <w:r w:rsidRPr="00F014E5">
        <w:rPr>
          <w:bCs/>
          <w:spacing w:val="-4"/>
          <w:lang w:val="sq-AL"/>
        </w:rPr>
        <w:t xml:space="preserve">me interes të ndërsjellë për palët kontraktuese të Komunitetit të Energjisë dhe/ose vendet anëtare të Bashkimit Evropian, </w:t>
      </w:r>
      <w:r w:rsidRPr="00F014E5">
        <w:rPr>
          <w:spacing w:val="-4"/>
          <w:lang w:val="sq-AL"/>
        </w:rPr>
        <w:t xml:space="preserve">të grupohen bashkë kurdo që është e mundur. Secili konsultim publik duhet të mbulojë të gjitha çështjet </w:t>
      </w:r>
      <w:r w:rsidRPr="00F014E5">
        <w:rPr>
          <w:rStyle w:val="alt-edited1"/>
          <w:color w:val="000000" w:themeColor="text1"/>
          <w:spacing w:val="-4"/>
          <w:szCs w:val="24"/>
          <w:lang w:val="sq-AL"/>
        </w:rPr>
        <w:t>e rëndësishme</w:t>
      </w:r>
      <w:r w:rsidRPr="00F014E5">
        <w:rPr>
          <w:rStyle w:val="alt-edited1"/>
          <w:spacing w:val="-4"/>
          <w:szCs w:val="24"/>
          <w:lang w:val="sq-AL"/>
        </w:rPr>
        <w:t xml:space="preserve"> </w:t>
      </w:r>
      <w:r w:rsidRPr="00F014E5">
        <w:rPr>
          <w:spacing w:val="-4"/>
          <w:lang w:val="sq-AL"/>
        </w:rPr>
        <w:t xml:space="preserve">për fazën e caktuar të procedurës, ndërsa një </w:t>
      </w:r>
      <w:r w:rsidRPr="00F014E5">
        <w:rPr>
          <w:rStyle w:val="alt-edited1"/>
          <w:color w:val="000000" w:themeColor="text1"/>
          <w:spacing w:val="-4"/>
          <w:szCs w:val="24"/>
          <w:lang w:val="sq-AL"/>
        </w:rPr>
        <w:t xml:space="preserve">çështje e rëndësishme </w:t>
      </w:r>
      <w:r w:rsidRPr="00F014E5">
        <w:rPr>
          <w:spacing w:val="-4"/>
          <w:lang w:val="sq-AL"/>
        </w:rPr>
        <w:t>për fazën e caktuar të procedurës nuk duhet adresuar në më shumë se një konsultim publik; megjithatë, një konsultim publik mund të bëhet në më shumë se një vendndodhje gjeografike. Lëndët e adresuara në një konsultim publik duhet të pasqyrohen qartë në njoftimin për konsultim publik.</w:t>
      </w:r>
    </w:p>
    <w:p w:rsidR="001A34CA" w:rsidRPr="00F014E5" w:rsidRDefault="001A34CA" w:rsidP="001A34CA">
      <w:pPr>
        <w:pStyle w:val="Paragrafi"/>
        <w:rPr>
          <w:spacing w:val="-4"/>
          <w:lang w:val="sq-AL"/>
        </w:rPr>
      </w:pPr>
      <w:r w:rsidRPr="00F014E5">
        <w:rPr>
          <w:spacing w:val="-4"/>
          <w:lang w:val="sq-AL"/>
        </w:rPr>
        <w:t>3.3 Komentet dhe kundërshtimet do të jenë të pranueshme që nga fillimi i konsultimeve publike e deri në skadimin e afatit.</w:t>
      </w:r>
    </w:p>
    <w:p w:rsidR="001A34CA" w:rsidRPr="00F014E5" w:rsidRDefault="001A34CA" w:rsidP="001A34CA">
      <w:pPr>
        <w:pStyle w:val="Paragrafi"/>
        <w:rPr>
          <w:spacing w:val="-4"/>
          <w:lang w:val="sq-AL"/>
        </w:rPr>
      </w:pPr>
      <w:r w:rsidRPr="00F014E5">
        <w:rPr>
          <w:spacing w:val="-4"/>
          <w:lang w:val="sq-AL"/>
        </w:rPr>
        <w:t>4. Koncepti i pjesëmarrjes publike më së paku duhet të përfshijë informacione, mbi:</w:t>
      </w:r>
    </w:p>
    <w:p w:rsidR="001A34CA" w:rsidRPr="00F014E5" w:rsidRDefault="001A34CA" w:rsidP="001A34CA">
      <w:pPr>
        <w:pStyle w:val="Paragrafi"/>
        <w:rPr>
          <w:spacing w:val="-4"/>
          <w:lang w:val="sq-AL"/>
        </w:rPr>
      </w:pPr>
      <w:r w:rsidRPr="00F014E5">
        <w:rPr>
          <w:spacing w:val="-4"/>
          <w:lang w:val="sq-AL"/>
        </w:rPr>
        <w:t>4.1 Palët me interes që preken dhe adresohen;</w:t>
      </w:r>
    </w:p>
    <w:p w:rsidR="001A34CA" w:rsidRPr="00F014E5" w:rsidRDefault="001A34CA" w:rsidP="001A34CA">
      <w:pPr>
        <w:pStyle w:val="Paragrafi"/>
        <w:rPr>
          <w:spacing w:val="-4"/>
          <w:lang w:val="sq-AL"/>
        </w:rPr>
      </w:pPr>
      <w:r w:rsidRPr="00F014E5">
        <w:rPr>
          <w:spacing w:val="-4"/>
          <w:lang w:val="sq-AL"/>
        </w:rPr>
        <w:t xml:space="preserve">4.2 Masat e </w:t>
      </w:r>
      <w:r w:rsidRPr="00F014E5">
        <w:rPr>
          <w:bCs/>
          <w:spacing w:val="-4"/>
          <w:lang w:val="sq-AL"/>
        </w:rPr>
        <w:t>parashikuara</w:t>
      </w:r>
      <w:r w:rsidRPr="00F014E5">
        <w:rPr>
          <w:spacing w:val="-4"/>
          <w:lang w:val="sq-AL"/>
        </w:rPr>
        <w:t>, duke përfshirë vendndodhjet dhe datat e propozuara të takimeve të dedikuara;</w:t>
      </w:r>
    </w:p>
    <w:p w:rsidR="001A34CA" w:rsidRPr="00F014E5" w:rsidRDefault="001A34CA" w:rsidP="001A34CA">
      <w:pPr>
        <w:pStyle w:val="Paragrafi"/>
        <w:rPr>
          <w:spacing w:val="-4"/>
          <w:lang w:val="sq-AL"/>
        </w:rPr>
      </w:pPr>
      <w:r w:rsidRPr="00F014E5">
        <w:rPr>
          <w:spacing w:val="-4"/>
          <w:lang w:val="sq-AL"/>
        </w:rPr>
        <w:t>4.3 Afatet kohore;</w:t>
      </w:r>
    </w:p>
    <w:p w:rsidR="001A34CA" w:rsidRPr="00F014E5" w:rsidRDefault="001A34CA" w:rsidP="001A34CA">
      <w:pPr>
        <w:pStyle w:val="Paragrafi"/>
        <w:rPr>
          <w:spacing w:val="-4"/>
          <w:lang w:val="sq-AL"/>
        </w:rPr>
      </w:pPr>
      <w:r w:rsidRPr="00F014E5">
        <w:rPr>
          <w:spacing w:val="-4"/>
          <w:lang w:val="sq-AL"/>
        </w:rPr>
        <w:t>4.4 Burimet njerëzore që dedikohen për detyrat përkatëse.</w:t>
      </w:r>
    </w:p>
    <w:p w:rsidR="001A34CA" w:rsidRPr="00F014E5" w:rsidRDefault="001A34CA" w:rsidP="001A34CA">
      <w:pPr>
        <w:pStyle w:val="Paragrafi"/>
        <w:rPr>
          <w:spacing w:val="-4"/>
          <w:lang w:val="sq-AL"/>
        </w:rPr>
      </w:pPr>
      <w:r w:rsidRPr="00F014E5">
        <w:rPr>
          <w:spacing w:val="-4"/>
          <w:lang w:val="sq-AL"/>
        </w:rPr>
        <w:t>5. Në kontekstin e konsultimeve publike, që duhen mbajtur para dorëzimit të dosjes së aplikimit, palët përkatëse, më së paku, duhet që:</w:t>
      </w:r>
    </w:p>
    <w:p w:rsidR="001A34CA" w:rsidRPr="00F014E5" w:rsidRDefault="001A34CA" w:rsidP="001A34CA">
      <w:pPr>
        <w:pStyle w:val="Paragrafi"/>
        <w:rPr>
          <w:spacing w:val="-4"/>
          <w:lang w:val="sq-AL"/>
        </w:rPr>
      </w:pPr>
      <w:r w:rsidRPr="00F014E5">
        <w:rPr>
          <w:spacing w:val="-4"/>
          <w:lang w:val="sq-AL"/>
        </w:rPr>
        <w:t>5.1 Të publikojë një broshurë informuese me jo më shumë se 15 faqe, e cila ofron, në mënyrë të qartë dhe koncize, një pasqyrë të qëllimit dhe afateve paraprake kohore të projektit, planin shtetëror të zhvillimit të rrjetit, rrugët alternative të marra parasysh, ndikimet e pritura, duke përfshirë ato të natyrës ndërkufitare, si dhe masat e mundshme zbutëse, të cilat duhen publikuar para fillimit të konsultimit; broshura informuese për më tepër duhet të paraqesë adresat e internetit të platformës së transparencës dhe të manualit të procedurave nga Sekretariati i Komunitetit të Energjisë.</w:t>
      </w:r>
    </w:p>
    <w:p w:rsidR="001A34CA" w:rsidRPr="00F014E5" w:rsidRDefault="001A34CA" w:rsidP="001A34CA">
      <w:pPr>
        <w:pStyle w:val="Paragrafi"/>
        <w:rPr>
          <w:lang w:val="sq-AL"/>
        </w:rPr>
      </w:pPr>
      <w:r w:rsidRPr="00F014E5">
        <w:rPr>
          <w:lang w:val="sq-AL"/>
        </w:rPr>
        <w:lastRenderedPageBreak/>
        <w:t>5.2 Të informojë të gjitha palët e prekura për projektin përmes faqes së internetit të përmendur në pikën 24, të kreut IX, si dhe për mënyrat e tjera të përshtatshme të informimit sipas këtij vendimi.</w:t>
      </w:r>
    </w:p>
    <w:p w:rsidR="001A34CA" w:rsidRPr="00F014E5" w:rsidRDefault="001A34CA" w:rsidP="001A34CA">
      <w:pPr>
        <w:pStyle w:val="Paragrafi"/>
        <w:rPr>
          <w:lang w:val="sq-AL"/>
        </w:rPr>
      </w:pPr>
      <w:r w:rsidRPr="00F014E5">
        <w:rPr>
          <w:lang w:val="sq-AL"/>
        </w:rPr>
        <w:t xml:space="preserve">5.3 Të ftojë në formë të shkruar palët </w:t>
      </w:r>
      <w:r w:rsidRPr="00F014E5">
        <w:rPr>
          <w:strike/>
          <w:lang w:val="sq-AL"/>
        </w:rPr>
        <w:t>e</w:t>
      </w:r>
      <w:r w:rsidRPr="00F014E5">
        <w:rPr>
          <w:lang w:val="sq-AL"/>
        </w:rPr>
        <w:t xml:space="preserve"> përkatëse të prekura në takime të dedikuara, gjatë të cilave mund të diskutohen pretendimet e mundshme.</w:t>
      </w:r>
    </w:p>
    <w:p w:rsidR="001A34CA" w:rsidRPr="00F014E5" w:rsidRDefault="001A34CA" w:rsidP="001A34CA">
      <w:pPr>
        <w:pStyle w:val="Paragrafi"/>
        <w:rPr>
          <w:lang w:val="sq-AL"/>
        </w:rPr>
      </w:pPr>
      <w:r w:rsidRPr="00F014E5">
        <w:rPr>
          <w:lang w:val="sq-AL"/>
        </w:rPr>
        <w:t>6. Faqja e internetit për projektin duhet të vërë në dispozicion, më së paku, sa vijon:</w:t>
      </w:r>
    </w:p>
    <w:p w:rsidR="001A34CA" w:rsidRPr="00F014E5" w:rsidRDefault="001A34CA" w:rsidP="001A34CA">
      <w:pPr>
        <w:pStyle w:val="Paragrafi"/>
        <w:rPr>
          <w:lang w:val="sq-AL"/>
        </w:rPr>
      </w:pPr>
      <w:r w:rsidRPr="00F014E5">
        <w:rPr>
          <w:lang w:val="sq-AL"/>
        </w:rPr>
        <w:t xml:space="preserve">6.1 Broshurën informuese të përmendur në pikën 5 më sipër; </w:t>
      </w:r>
    </w:p>
    <w:p w:rsidR="001A34CA" w:rsidRPr="00F014E5" w:rsidRDefault="001A34CA" w:rsidP="001A34CA">
      <w:pPr>
        <w:pStyle w:val="Paragrafi"/>
        <w:rPr>
          <w:lang w:val="sq-AL"/>
        </w:rPr>
      </w:pPr>
      <w:r w:rsidRPr="00F014E5">
        <w:rPr>
          <w:lang w:val="sq-AL"/>
        </w:rPr>
        <w:t>6.2 Një përmbledhje joteknike dhe rregullisht të përditësuar, me jo më shumë se 50 faqe, që reflekton gjendjen aktuale të projektit, si dhe që paraqet qartë, në rast të përditësimeve, ndryshimet në versionet e mëparshme;</w:t>
      </w:r>
    </w:p>
    <w:p w:rsidR="001A34CA" w:rsidRPr="00F014E5" w:rsidRDefault="001A34CA" w:rsidP="001A34CA">
      <w:pPr>
        <w:pStyle w:val="Paragrafi"/>
        <w:rPr>
          <w:lang w:val="sq-AL"/>
        </w:rPr>
      </w:pPr>
      <w:r w:rsidRPr="00F014E5">
        <w:rPr>
          <w:lang w:val="sq-AL"/>
        </w:rPr>
        <w:t xml:space="preserve">6.3 Planifikimin e projektit dhe të konsultimeve publike, që reflekton qartë datat dhe lokacionet për konsultime dhe dëgjime publike dhe çështjet e </w:t>
      </w:r>
      <w:r w:rsidRPr="00F014E5">
        <w:rPr>
          <w:bCs/>
          <w:lang w:val="sq-AL"/>
        </w:rPr>
        <w:t>parashikuara</w:t>
      </w:r>
      <w:r w:rsidRPr="00F014E5">
        <w:rPr>
          <w:lang w:val="sq-AL"/>
        </w:rPr>
        <w:t xml:space="preserve"> të duhura për ato dëgjime;</w:t>
      </w:r>
    </w:p>
    <w:p w:rsidR="001A34CA" w:rsidRPr="00F014E5" w:rsidRDefault="001A34CA" w:rsidP="001A34CA">
      <w:pPr>
        <w:pStyle w:val="Paragrafi"/>
        <w:rPr>
          <w:lang w:val="sq-AL"/>
        </w:rPr>
      </w:pPr>
      <w:r w:rsidRPr="00F014E5">
        <w:rPr>
          <w:lang w:val="sq-AL"/>
        </w:rPr>
        <w:t>6.4 Informacionet për kontakte, me qëllim të sigurimit të tërësisë së plotë të dokumenteve të aplikimit;</w:t>
      </w:r>
    </w:p>
    <w:p w:rsidR="001A34CA" w:rsidRPr="00F014E5" w:rsidRDefault="001A34CA" w:rsidP="001A34CA">
      <w:pPr>
        <w:pStyle w:val="Paragrafi"/>
        <w:rPr>
          <w:lang w:val="sq-AL"/>
        </w:rPr>
      </w:pPr>
      <w:r w:rsidRPr="00F014E5">
        <w:rPr>
          <w:lang w:val="sq-AL"/>
        </w:rPr>
        <w:t>6.5 Informacionet për kontakte me qëllim të parashtrimit të komenteve dhe kundërshtimeve gjatë konsultimeve publike.</w:t>
      </w:r>
    </w:p>
    <w:p w:rsidR="00412066" w:rsidRDefault="00412066"/>
    <w:sectPr w:rsidR="004120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A97" w:rsidRDefault="00CD3A97" w:rsidP="001A34CA">
      <w:pPr>
        <w:spacing w:after="0" w:line="240" w:lineRule="auto"/>
      </w:pPr>
      <w:r>
        <w:separator/>
      </w:r>
    </w:p>
  </w:endnote>
  <w:endnote w:type="continuationSeparator" w:id="0">
    <w:p w:rsidR="00CD3A97" w:rsidRDefault="00CD3A97" w:rsidP="001A3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A97" w:rsidRDefault="00CD3A97" w:rsidP="001A34CA">
      <w:pPr>
        <w:spacing w:after="0" w:line="240" w:lineRule="auto"/>
      </w:pPr>
      <w:r>
        <w:separator/>
      </w:r>
    </w:p>
  </w:footnote>
  <w:footnote w:type="continuationSeparator" w:id="0">
    <w:p w:rsidR="00CD3A97" w:rsidRDefault="00CD3A97" w:rsidP="001A34CA">
      <w:pPr>
        <w:spacing w:after="0" w:line="240" w:lineRule="auto"/>
      </w:pPr>
      <w:r>
        <w:continuationSeparator/>
      </w:r>
    </w:p>
  </w:footnote>
  <w:footnote w:id="1">
    <w:p w:rsidR="001A34CA" w:rsidRPr="002B2E08" w:rsidRDefault="001A34CA" w:rsidP="001A34CA">
      <w:pPr>
        <w:pStyle w:val="FootnoteText"/>
        <w:ind w:firstLine="0"/>
        <w:rPr>
          <w:rFonts w:ascii="Garamond" w:hAnsi="Garamond"/>
          <w:lang w:val="en-US"/>
        </w:rPr>
      </w:pPr>
      <w:r>
        <w:rPr>
          <w:rStyle w:val="FootnoteReference"/>
        </w:rPr>
        <w:t>*</w:t>
      </w:r>
      <w:r>
        <w:t xml:space="preserve"> </w:t>
      </w:r>
      <w:r w:rsidRPr="002B2E08">
        <w:rPr>
          <w:rFonts w:ascii="Garamond" w:hAnsi="Garamond"/>
        </w:rPr>
        <w:t xml:space="preserve">Ky vendim </w:t>
      </w:r>
      <w:r w:rsidRPr="002B2E08">
        <w:rPr>
          <w:rFonts w:ascii="Garamond" w:hAnsi="Garamond"/>
          <w:iCs/>
          <w:noProof/>
          <w:spacing w:val="-1"/>
        </w:rPr>
        <w:t xml:space="preserve">është përafruar pjesërisht me rregulloren (KE) nr. </w:t>
      </w:r>
      <w:r w:rsidRPr="002B2E08">
        <w:rPr>
          <w:rFonts w:ascii="Garamond" w:hAnsi="Garamond"/>
          <w:bCs/>
        </w:rPr>
        <w:t xml:space="preserve">347/2013 </w:t>
      </w:r>
      <w:r w:rsidRPr="002B2E08">
        <w:rPr>
          <w:rFonts w:ascii="Garamond" w:hAnsi="Garamond"/>
          <w:iCs/>
          <w:noProof/>
        </w:rPr>
        <w:t xml:space="preserve">të Parlamentit Evropian dhe të Këshillit, datë 17 prill 2013, “Mbi udhëzimet për infrastrukturën energjetike transevropiane, që shfuqizon vendimin nr. </w:t>
      </w:r>
      <w:r w:rsidRPr="002B2E08">
        <w:rPr>
          <w:rFonts w:ascii="Garamond" w:hAnsi="Garamond"/>
          <w:bCs/>
        </w:rPr>
        <w:t xml:space="preserve">1364/2006/EC, </w:t>
      </w:r>
      <w:r w:rsidRPr="002B2E08">
        <w:rPr>
          <w:rFonts w:ascii="Garamond" w:hAnsi="Garamond"/>
          <w:iCs/>
          <w:noProof/>
        </w:rPr>
        <w:t>si dhe amendon r</w:t>
      </w:r>
      <w:r w:rsidRPr="002B2E08">
        <w:rPr>
          <w:rFonts w:ascii="Garamond" w:hAnsi="Garamond"/>
          <w:bCs/>
        </w:rPr>
        <w:t xml:space="preserve">regulloret (KE) nr. 713/2009, (EC) nr. 714/2009 dhe (EC) nr. 715/2009”, të inkorporuara dhe të përshtatura me vendimin e Këshillit Ministror të Komunitetit të Energjisë, 2015/09/MC-EnC, të datës 16 tetor 2015, për zbatimin e Rregullores (BE) nr. 347/2013 të Parlamentit Evropian dhe të Këshillit, </w:t>
      </w:r>
      <w:r>
        <w:rPr>
          <w:rFonts w:ascii="Garamond" w:hAnsi="Garamond"/>
          <w:bCs/>
        </w:rPr>
        <w:t>“</w:t>
      </w:r>
      <w:r w:rsidRPr="002B2E08">
        <w:rPr>
          <w:rFonts w:ascii="Garamond" w:hAnsi="Garamond"/>
          <w:bCs/>
        </w:rPr>
        <w:t>Mbi udhëzimet për infrastrukturën energjetike transevropiane</w:t>
      </w:r>
      <w:r>
        <w:rPr>
          <w:rFonts w:ascii="Garamond" w:hAnsi="Garamond"/>
          <w:bCs/>
        </w:rPr>
        <w:t>”</w:t>
      </w:r>
      <w:r w:rsidRPr="002B2E08">
        <w:rPr>
          <w:rFonts w:ascii="Garamond" w:hAnsi="Garamond"/>
          <w:bCs/>
        </w:rPr>
        <w:t>.</w:t>
      </w:r>
    </w:p>
    <w:p w:rsidR="001A34CA" w:rsidRPr="002B2E08" w:rsidRDefault="001A34CA" w:rsidP="001A34CA">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013864"/>
    <w:multiLevelType w:val="hybridMultilevel"/>
    <w:tmpl w:val="20965B30"/>
    <w:styleLink w:val="ImportedStyle1"/>
    <w:lvl w:ilvl="0" w:tplc="D144D04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6988B7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E2E6772">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02E214E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860DED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8D6D82A">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68F0275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33C2CC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6BC0542">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F373CBF"/>
    <w:multiLevelType w:val="hybridMultilevel"/>
    <w:tmpl w:val="EFAE944C"/>
    <w:lvl w:ilvl="0" w:tplc="87401604">
      <w:start w:val="1"/>
      <w:numFmt w:val="decimal"/>
      <w:lvlText w:val="%1."/>
      <w:lvlJc w:val="left"/>
      <w:pPr>
        <w:ind w:left="869" w:hanging="58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7"/>
  </w:num>
  <w:num w:numId="16">
    <w:abstractNumId w:val="16"/>
  </w:num>
  <w:num w:numId="17">
    <w:abstractNumId w:val="10"/>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4CA"/>
    <w:rsid w:val="001A34CA"/>
    <w:rsid w:val="00412066"/>
    <w:rsid w:val="00CD3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330E81-6C2A-4684-98C6-23607D320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4C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1A34CA"/>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qFormat/>
    <w:rsid w:val="001A34CA"/>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1A34CA"/>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1A34CA"/>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1A34CA"/>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1A34CA"/>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1A34CA"/>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1A34CA"/>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1A34CA"/>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1A34C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1A34C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1A34C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1A34C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1A34C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1A34C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1A34C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1A34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1A34C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1A34C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A34C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A34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A34CA"/>
    <w:rPr>
      <w:rFonts w:ascii="Tahoma" w:eastAsia="Calibri" w:hAnsi="Tahoma" w:cs="Tahoma"/>
      <w:sz w:val="16"/>
      <w:szCs w:val="16"/>
    </w:rPr>
  </w:style>
  <w:style w:type="paragraph" w:styleId="Header">
    <w:name w:val="header"/>
    <w:basedOn w:val="Normal"/>
    <w:link w:val="HeaderChar"/>
    <w:uiPriority w:val="99"/>
    <w:unhideWhenUsed/>
    <w:rsid w:val="001A3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4CA"/>
    <w:rPr>
      <w:rFonts w:ascii="Calibri" w:eastAsia="Calibri" w:hAnsi="Calibri" w:cs="Times New Roman"/>
    </w:rPr>
  </w:style>
  <w:style w:type="paragraph" w:styleId="Footer">
    <w:name w:val="footer"/>
    <w:basedOn w:val="Normal"/>
    <w:link w:val="FooterChar"/>
    <w:uiPriority w:val="99"/>
    <w:unhideWhenUsed/>
    <w:rsid w:val="001A3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4CA"/>
    <w:rPr>
      <w:rFonts w:ascii="Calibri" w:eastAsia="Calibri" w:hAnsi="Calibri" w:cs="Times New Roman"/>
    </w:rPr>
  </w:style>
  <w:style w:type="paragraph" w:customStyle="1" w:styleId="Akti">
    <w:name w:val="Akti"/>
    <w:link w:val="AktiChar"/>
    <w:rsid w:val="001A34C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A34C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A34CA"/>
    <w:rPr>
      <w:rFonts w:ascii="Garamond" w:eastAsia="MS Mincho" w:hAnsi="Garamond" w:cs="CG Times"/>
      <w:b/>
      <w:bCs/>
      <w:sz w:val="24"/>
      <w:lang w:val="en-GB"/>
    </w:rPr>
  </w:style>
  <w:style w:type="paragraph" w:customStyle="1" w:styleId="Paragrafi">
    <w:name w:val="Paragrafi"/>
    <w:link w:val="ParagrafiChar"/>
    <w:rsid w:val="001A34C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A34CA"/>
    <w:rPr>
      <w:rFonts w:ascii="Garamond" w:eastAsia="MS Mincho" w:hAnsi="Garamond" w:cs="CG Times"/>
      <w:sz w:val="24"/>
    </w:rPr>
  </w:style>
  <w:style w:type="paragraph" w:customStyle="1" w:styleId="Titulli">
    <w:name w:val="Titulli"/>
    <w:next w:val="Normal"/>
    <w:link w:val="TitulliChar"/>
    <w:rsid w:val="001A34C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A34CA"/>
    <w:rPr>
      <w:rFonts w:ascii="Garamond" w:eastAsia="MS Mincho" w:hAnsi="Garamond" w:cs="CG Times"/>
      <w:b/>
      <w:bCs/>
      <w:caps/>
      <w:sz w:val="24"/>
      <w:lang w:val="en-GB"/>
    </w:rPr>
  </w:style>
  <w:style w:type="character" w:customStyle="1" w:styleId="AktiChar">
    <w:name w:val="Akti Char"/>
    <w:basedOn w:val="DefaultParagraphFont"/>
    <w:link w:val="Akti"/>
    <w:rsid w:val="001A34CA"/>
    <w:rPr>
      <w:rFonts w:ascii="Garamond" w:eastAsia="MS Mincho" w:hAnsi="Garamond" w:cs="CG Times"/>
      <w:b/>
      <w:bCs/>
      <w:caps/>
      <w:color w:val="000000"/>
      <w:sz w:val="24"/>
      <w:lang w:val="en-GB"/>
    </w:rPr>
  </w:style>
  <w:style w:type="paragraph" w:customStyle="1" w:styleId="NeniNr">
    <w:name w:val="Neni_Nr"/>
    <w:next w:val="Normal"/>
    <w:link w:val="NeniNrChar"/>
    <w:rsid w:val="001A34C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34C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A34CA"/>
    <w:rPr>
      <w:rFonts w:ascii="Garamond" w:eastAsia="MS Mincho" w:hAnsi="Garamond" w:cs="CG Times"/>
      <w:sz w:val="24"/>
      <w:lang w:val="en-GB"/>
    </w:rPr>
  </w:style>
  <w:style w:type="paragraph" w:customStyle="1" w:styleId="Autoriteti">
    <w:name w:val="Autoriteti"/>
    <w:next w:val="Normal"/>
    <w:link w:val="AutoritetiChar"/>
    <w:rsid w:val="001A34C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A34C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A34CA"/>
    <w:rPr>
      <w:rFonts w:ascii="Garamond" w:eastAsia="MS Mincho" w:hAnsi="Garamond" w:cs="CG Times"/>
      <w:caps/>
      <w:sz w:val="24"/>
      <w:lang w:val="en-GB"/>
    </w:rPr>
  </w:style>
  <w:style w:type="character" w:customStyle="1" w:styleId="AutoritetiEmerChar">
    <w:name w:val="Autoriteti_Emer Char"/>
    <w:link w:val="AutoritetiEmer"/>
    <w:locked/>
    <w:rsid w:val="001A34CA"/>
    <w:rPr>
      <w:rFonts w:ascii="Garamond" w:eastAsia="MS Mincho" w:hAnsi="Garamond" w:cs="Times New Roman"/>
      <w:b/>
      <w:bCs/>
      <w:sz w:val="24"/>
      <w:lang w:val="en-GB"/>
    </w:rPr>
  </w:style>
  <w:style w:type="paragraph" w:customStyle="1" w:styleId="Titull-Titull">
    <w:name w:val="Titull-Titull"/>
    <w:basedOn w:val="Paragrafi"/>
    <w:qFormat/>
    <w:rsid w:val="001A34CA"/>
    <w:pPr>
      <w:ind w:firstLine="0"/>
      <w:jc w:val="center"/>
    </w:pPr>
    <w:rPr>
      <w:caps/>
      <w:szCs w:val="24"/>
    </w:rPr>
  </w:style>
  <w:style w:type="paragraph" w:customStyle="1" w:styleId="Vendosi">
    <w:name w:val="Vendosi"/>
    <w:basedOn w:val="Titull-Titull"/>
    <w:qFormat/>
    <w:rsid w:val="001A34CA"/>
  </w:style>
  <w:style w:type="paragraph" w:customStyle="1" w:styleId="Hapesira7">
    <w:name w:val="Hapesira 7"/>
    <w:basedOn w:val="Paragrafi"/>
    <w:qFormat/>
    <w:rsid w:val="001A34CA"/>
    <w:rPr>
      <w:sz w:val="14"/>
      <w:szCs w:val="24"/>
    </w:rPr>
  </w:style>
  <w:style w:type="paragraph" w:styleId="ListParagraph">
    <w:name w:val="List Paragraph"/>
    <w:aliases w:val="List Paragraph2"/>
    <w:basedOn w:val="Normal"/>
    <w:link w:val="ListParagraphChar"/>
    <w:qFormat/>
    <w:rsid w:val="001A34CA"/>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locked/>
    <w:rsid w:val="001A34CA"/>
    <w:rPr>
      <w:rFonts w:ascii="Calibri" w:eastAsia="Times New Roman" w:hAnsi="Calibri" w:cs="Times New Roman"/>
      <w:lang w:val="x-none" w:eastAsia="x-none"/>
    </w:rPr>
  </w:style>
  <w:style w:type="paragraph" w:customStyle="1" w:styleId="Style1">
    <w:name w:val="Style1"/>
    <w:basedOn w:val="Akti"/>
    <w:qFormat/>
    <w:rsid w:val="001A34CA"/>
    <w:rPr>
      <w:rFonts w:ascii="CG Times" w:hAnsi="CG Times"/>
      <w:sz w:val="21"/>
    </w:rPr>
  </w:style>
  <w:style w:type="character" w:customStyle="1" w:styleId="Heading2Char1">
    <w:name w:val="Heading 2 Char1"/>
    <w:link w:val="Heading2"/>
    <w:uiPriority w:val="1"/>
    <w:locked/>
    <w:rsid w:val="001A34C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1A34CA"/>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1A34C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A34CA"/>
    <w:pPr>
      <w:spacing w:after="0" w:line="240" w:lineRule="auto"/>
      <w:jc w:val="both"/>
    </w:pPr>
    <w:rPr>
      <w:rFonts w:ascii="CG Times" w:eastAsia="MS Mincho" w:hAnsi="CG Times" w:cs="CG Times"/>
      <w:sz w:val="21"/>
      <w:lang w:val="en-GB"/>
    </w:rPr>
  </w:style>
  <w:style w:type="paragraph" w:customStyle="1" w:styleId="AneksiNr">
    <w:name w:val="Aneksi_Nr"/>
    <w:next w:val="Normal"/>
    <w:rsid w:val="001A34C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A34C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1A34C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1A34CA"/>
    <w:rPr>
      <w:rFonts w:ascii="Arial" w:eastAsia="Times New Roman" w:hAnsi="Arial" w:cs="Arial"/>
      <w:color w:val="000000"/>
      <w:sz w:val="24"/>
      <w:szCs w:val="24"/>
    </w:rPr>
  </w:style>
  <w:style w:type="paragraph" w:customStyle="1" w:styleId="BazLigjPropozues">
    <w:name w:val="Baz_Ligj_Propozues"/>
    <w:rsid w:val="001A34C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A34C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A34CA"/>
    <w:rPr>
      <w:rFonts w:ascii="Times New Roman" w:eastAsia="Times New Roman" w:hAnsi="Times New Roman" w:cs="Times New Roman"/>
      <w:caps/>
      <w:sz w:val="26"/>
      <w:szCs w:val="26"/>
      <w:lang w:val="en-GB"/>
    </w:rPr>
  </w:style>
  <w:style w:type="character" w:customStyle="1" w:styleId="apple-converted-space">
    <w:name w:val="apple-converted-space"/>
    <w:rsid w:val="001A34CA"/>
  </w:style>
  <w:style w:type="character" w:styleId="Hyperlink">
    <w:name w:val="Hyperlink"/>
    <w:uiPriority w:val="99"/>
    <w:unhideWhenUsed/>
    <w:rsid w:val="001A34CA"/>
    <w:rPr>
      <w:color w:val="0000FF"/>
      <w:u w:val="single"/>
    </w:rPr>
  </w:style>
  <w:style w:type="character" w:styleId="FollowedHyperlink">
    <w:name w:val="FollowedHyperlink"/>
    <w:uiPriority w:val="99"/>
    <w:unhideWhenUsed/>
    <w:rsid w:val="001A34CA"/>
    <w:rPr>
      <w:color w:val="800080"/>
      <w:u w:val="single"/>
    </w:rPr>
  </w:style>
  <w:style w:type="paragraph" w:customStyle="1" w:styleId="font5">
    <w:name w:val="font5"/>
    <w:basedOn w:val="Normal"/>
    <w:rsid w:val="001A34C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A34C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A34C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A34C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A34C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A34C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A34C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A34C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A34C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A34C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A34C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A34C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A34CA"/>
    <w:pPr>
      <w:pageBreakBefore/>
      <w:spacing w:after="0" w:line="240" w:lineRule="auto"/>
      <w:jc w:val="both"/>
    </w:pPr>
    <w:rPr>
      <w:rFonts w:ascii="CG Times" w:eastAsia="MS Mincho" w:hAnsi="CG Times" w:cs="CG Times"/>
      <w:b/>
      <w:bCs/>
      <w:sz w:val="21"/>
    </w:rPr>
  </w:style>
  <w:style w:type="paragraph" w:customStyle="1" w:styleId="KapitulliNr">
    <w:name w:val="Kapitulli_Nr"/>
    <w:rsid w:val="001A34C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A34C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A34C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A34C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A34C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A34C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A34C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A34C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A34C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A34C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A34C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A34C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A34C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A34C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A34C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A34C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A34C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A34C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A34C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A34C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A34C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A34C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A34C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A34C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A34CA"/>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1A34C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A34C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A34C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A34C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A34C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A34C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A34C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A34C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A34C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A34C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A34C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A34C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A34C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A34C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A34C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A34C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A34C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A34C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A34C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A34C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A34C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A34C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A34C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A34C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A34C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A34C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A34C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A34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A34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A34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A34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A34C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A34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A34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A34C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A34C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A34C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A34C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A34C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A34C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A34C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A34C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A34C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A34C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A34C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1A34C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1A34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A34C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A34C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A34C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A34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A34C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1A34CA"/>
    <w:rPr>
      <w:b/>
      <w:bCs/>
    </w:rPr>
  </w:style>
  <w:style w:type="paragraph" w:customStyle="1" w:styleId="xl136">
    <w:name w:val="xl136"/>
    <w:basedOn w:val="Normal"/>
    <w:rsid w:val="001A34C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A34C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A34C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A34C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A34C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A34C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A34C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A34C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A34C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A34C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A34C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A34C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A34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A34C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A34C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A34C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A34C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A34C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A34C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A34C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A34C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A34C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A34C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A34C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A34C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A34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A34CA"/>
  </w:style>
  <w:style w:type="paragraph" w:styleId="Title">
    <w:name w:val="Title"/>
    <w:basedOn w:val="Heading1"/>
    <w:next w:val="Normal"/>
    <w:link w:val="TitleChar"/>
    <w:qFormat/>
    <w:rsid w:val="001A34CA"/>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1A34C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1A34CA"/>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1A34C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1A34C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1A34C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1A34CA"/>
    <w:pPr>
      <w:spacing w:after="100"/>
      <w:ind w:left="660" w:firstLine="0"/>
      <w:jc w:val="left"/>
    </w:pPr>
    <w:rPr>
      <w:rFonts w:eastAsia="Times New Roman"/>
    </w:rPr>
  </w:style>
  <w:style w:type="paragraph" w:styleId="TOC5">
    <w:name w:val="toc 5"/>
    <w:basedOn w:val="Normal"/>
    <w:next w:val="Normal"/>
    <w:autoRedefine/>
    <w:unhideWhenUsed/>
    <w:rsid w:val="001A34CA"/>
    <w:pPr>
      <w:spacing w:after="100"/>
      <w:ind w:left="880" w:firstLine="0"/>
      <w:jc w:val="left"/>
    </w:pPr>
    <w:rPr>
      <w:rFonts w:eastAsia="Times New Roman"/>
    </w:rPr>
  </w:style>
  <w:style w:type="paragraph" w:styleId="TOC6">
    <w:name w:val="toc 6"/>
    <w:basedOn w:val="Normal"/>
    <w:next w:val="Normal"/>
    <w:autoRedefine/>
    <w:unhideWhenUsed/>
    <w:rsid w:val="001A34CA"/>
    <w:pPr>
      <w:spacing w:after="100"/>
      <w:ind w:left="1100" w:firstLine="0"/>
      <w:jc w:val="left"/>
    </w:pPr>
    <w:rPr>
      <w:rFonts w:eastAsia="Times New Roman"/>
    </w:rPr>
  </w:style>
  <w:style w:type="paragraph" w:styleId="TOC7">
    <w:name w:val="toc 7"/>
    <w:basedOn w:val="Normal"/>
    <w:next w:val="Normal"/>
    <w:autoRedefine/>
    <w:unhideWhenUsed/>
    <w:rsid w:val="001A34CA"/>
    <w:pPr>
      <w:spacing w:after="100"/>
      <w:ind w:left="1320" w:firstLine="0"/>
      <w:jc w:val="left"/>
    </w:pPr>
    <w:rPr>
      <w:rFonts w:eastAsia="Times New Roman"/>
    </w:rPr>
  </w:style>
  <w:style w:type="paragraph" w:styleId="TOC8">
    <w:name w:val="toc 8"/>
    <w:basedOn w:val="Normal"/>
    <w:next w:val="Normal"/>
    <w:autoRedefine/>
    <w:unhideWhenUsed/>
    <w:rsid w:val="001A34CA"/>
    <w:pPr>
      <w:spacing w:after="100"/>
      <w:ind w:left="1540" w:firstLine="0"/>
      <w:jc w:val="left"/>
    </w:pPr>
    <w:rPr>
      <w:rFonts w:eastAsia="Times New Roman"/>
    </w:rPr>
  </w:style>
  <w:style w:type="paragraph" w:styleId="TOC9">
    <w:name w:val="toc 9"/>
    <w:basedOn w:val="Normal"/>
    <w:next w:val="Normal"/>
    <w:autoRedefine/>
    <w:unhideWhenUsed/>
    <w:rsid w:val="001A34CA"/>
    <w:pPr>
      <w:spacing w:after="100"/>
      <w:ind w:left="1760" w:firstLine="0"/>
      <w:jc w:val="left"/>
    </w:pPr>
    <w:rPr>
      <w:rFonts w:eastAsia="Times New Roman"/>
    </w:rPr>
  </w:style>
  <w:style w:type="paragraph" w:styleId="BodyTextIndent">
    <w:name w:val="Body Text Indent"/>
    <w:basedOn w:val="Normal"/>
    <w:link w:val="BodyTextIndentChar"/>
    <w:unhideWhenUsed/>
    <w:rsid w:val="001A34CA"/>
    <w:pPr>
      <w:spacing w:after="120"/>
      <w:ind w:left="360"/>
    </w:pPr>
  </w:style>
  <w:style w:type="character" w:customStyle="1" w:styleId="BodyTextIndentChar">
    <w:name w:val="Body Text Indent Char"/>
    <w:basedOn w:val="DefaultParagraphFont"/>
    <w:link w:val="BodyTextIndent"/>
    <w:rsid w:val="001A34CA"/>
    <w:rPr>
      <w:rFonts w:ascii="Calibri" w:eastAsia="Calibri" w:hAnsi="Calibri" w:cs="Times New Roman"/>
    </w:rPr>
  </w:style>
  <w:style w:type="paragraph" w:customStyle="1" w:styleId="numridata0">
    <w:name w:val="numridata"/>
    <w:basedOn w:val="Normal"/>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A34C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1A34C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1A34CA"/>
    <w:rPr>
      <w:rFonts w:ascii="Times New Roman" w:eastAsia="Times New Roman" w:hAnsi="Times New Roman" w:cs="Times New Roman"/>
      <w:sz w:val="16"/>
      <w:szCs w:val="16"/>
    </w:rPr>
  </w:style>
  <w:style w:type="paragraph" w:customStyle="1" w:styleId="s32b251d">
    <w:name w:val="s32b251d"/>
    <w:basedOn w:val="Normal"/>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A34CA"/>
  </w:style>
  <w:style w:type="paragraph" w:customStyle="1" w:styleId="s30eec3f8">
    <w:name w:val="s30eec3f8"/>
    <w:basedOn w:val="Normal"/>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A34CA"/>
    <w:rPr>
      <w:sz w:val="24"/>
      <w:lang w:val="en-GB" w:eastAsia="fr-FR"/>
    </w:rPr>
  </w:style>
  <w:style w:type="paragraph" w:customStyle="1" w:styleId="JuPara">
    <w:name w:val="Ju_Para"/>
    <w:basedOn w:val="Normal"/>
    <w:link w:val="JuParaCar"/>
    <w:rsid w:val="001A34C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A34C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A34C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A34C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A34C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1A34CA"/>
    <w:rPr>
      <w:vertAlign w:val="superscript"/>
    </w:rPr>
  </w:style>
  <w:style w:type="paragraph" w:customStyle="1" w:styleId="ju-005fpara">
    <w:name w:val="ju-005fpara"/>
    <w:basedOn w:val="Normal"/>
    <w:rsid w:val="001A34C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A34CA"/>
  </w:style>
  <w:style w:type="character" w:customStyle="1" w:styleId="s7d2086b4">
    <w:name w:val="s7d2086b4"/>
    <w:basedOn w:val="DefaultParagraphFont"/>
    <w:uiPriority w:val="99"/>
    <w:rsid w:val="001A34CA"/>
  </w:style>
  <w:style w:type="character" w:customStyle="1" w:styleId="hps">
    <w:name w:val="hps"/>
    <w:basedOn w:val="DefaultParagraphFont"/>
    <w:rsid w:val="001A34CA"/>
  </w:style>
  <w:style w:type="paragraph" w:customStyle="1" w:styleId="paragrafi0">
    <w:name w:val="paragrafi"/>
    <w:basedOn w:val="Normal"/>
    <w:rsid w:val="001A34C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A34C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A34CA"/>
    <w:rPr>
      <w:rFonts w:cs="Times New Roman"/>
    </w:rPr>
  </w:style>
  <w:style w:type="paragraph" w:customStyle="1" w:styleId="titulli0">
    <w:name w:val="titulli"/>
    <w:basedOn w:val="Normal"/>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A34CA"/>
  </w:style>
  <w:style w:type="paragraph" w:customStyle="1" w:styleId="akti0">
    <w:name w:val="akti"/>
    <w:basedOn w:val="Normal"/>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A34C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1A34CA"/>
  </w:style>
  <w:style w:type="paragraph" w:customStyle="1" w:styleId="CM49">
    <w:name w:val="CM49"/>
    <w:basedOn w:val="Normal"/>
    <w:next w:val="Normal"/>
    <w:rsid w:val="001A34C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A34C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A34C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A34CA"/>
    <w:pPr>
      <w:widowControl w:val="0"/>
    </w:pPr>
    <w:rPr>
      <w:rFonts w:ascii="Helvetica" w:eastAsia="Times New Roman" w:hAnsi="Helvetica" w:cs="Helvetica"/>
      <w:lang w:val="sq-AL"/>
    </w:rPr>
  </w:style>
  <w:style w:type="paragraph" w:customStyle="1" w:styleId="CM57">
    <w:name w:val="CM57"/>
    <w:basedOn w:val="Normal"/>
    <w:next w:val="Normal"/>
    <w:rsid w:val="001A34C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A34C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A34C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A34C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1A34C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A34CA"/>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1A34CA"/>
    <w:rPr>
      <w:rFonts w:ascii="Cambria" w:eastAsia="MS Mincho" w:hAnsi="Cambria" w:cs="Cambria"/>
      <w:b/>
      <w:bCs/>
      <w:i/>
      <w:iCs/>
      <w:color w:val="7F7F7F"/>
      <w:sz w:val="24"/>
      <w:szCs w:val="24"/>
    </w:rPr>
  </w:style>
  <w:style w:type="paragraph" w:customStyle="1" w:styleId="tableheaders">
    <w:name w:val="table headers"/>
    <w:rsid w:val="001A34C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A34CA"/>
    <w:rPr>
      <w:b w:val="0"/>
    </w:rPr>
  </w:style>
  <w:style w:type="paragraph" w:styleId="PlainText">
    <w:name w:val="Plain Text"/>
    <w:basedOn w:val="Normal"/>
    <w:link w:val="PlainTextChar"/>
    <w:uiPriority w:val="99"/>
    <w:unhideWhenUsed/>
    <w:rsid w:val="001A34CA"/>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1A34CA"/>
    <w:rPr>
      <w:rFonts w:ascii="Consolas" w:eastAsia="Calibri" w:hAnsi="Consolas" w:cs="Times New Roman"/>
      <w:sz w:val="21"/>
      <w:szCs w:val="21"/>
      <w:lang w:val="sq-AL" w:eastAsia="x-none"/>
    </w:rPr>
  </w:style>
  <w:style w:type="paragraph" w:customStyle="1" w:styleId="StyleStyle1Bold">
    <w:name w:val="Style Style1 + Bold"/>
    <w:basedOn w:val="Style1"/>
    <w:rsid w:val="001A34C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1A34CA"/>
    <w:rPr>
      <w:rFonts w:ascii="EUAlbertina" w:hAnsi="EUAlbertina"/>
      <w:color w:val="auto"/>
    </w:rPr>
  </w:style>
  <w:style w:type="paragraph" w:customStyle="1" w:styleId="CM4">
    <w:name w:val="CM4"/>
    <w:basedOn w:val="Normal"/>
    <w:next w:val="Normal"/>
    <w:rsid w:val="001A34C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A34C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A34CA"/>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1A34CA"/>
    <w:rPr>
      <w:rFonts w:ascii="Tahoma" w:eastAsia="Times New Roman" w:hAnsi="Tahoma" w:cs="Times New Roman"/>
      <w:sz w:val="16"/>
      <w:szCs w:val="16"/>
      <w:lang w:val="sq-AL" w:eastAsia="x-none"/>
    </w:rPr>
  </w:style>
  <w:style w:type="numbering" w:customStyle="1" w:styleId="NoList3">
    <w:name w:val="No List3"/>
    <w:next w:val="NoList"/>
    <w:semiHidden/>
    <w:rsid w:val="001A34CA"/>
  </w:style>
  <w:style w:type="numbering" w:customStyle="1" w:styleId="NoList4">
    <w:name w:val="No List4"/>
    <w:next w:val="NoList"/>
    <w:semiHidden/>
    <w:rsid w:val="001A34CA"/>
  </w:style>
  <w:style w:type="paragraph" w:customStyle="1" w:styleId="Point1">
    <w:name w:val="Point 1"/>
    <w:basedOn w:val="Normal"/>
    <w:link w:val="Point1Char"/>
    <w:rsid w:val="001A34C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A34CA"/>
    <w:rPr>
      <w:rFonts w:ascii="Calibri" w:eastAsia="Times New Roman" w:hAnsi="Calibri" w:cs="Times New Roman"/>
      <w:sz w:val="24"/>
      <w:szCs w:val="24"/>
      <w:lang w:val="en-GB" w:eastAsia="en-GB"/>
    </w:rPr>
  </w:style>
  <w:style w:type="character" w:customStyle="1" w:styleId="longtext">
    <w:name w:val="long_text"/>
    <w:rsid w:val="001A34CA"/>
    <w:rPr>
      <w:rFonts w:ascii="Comic Sans MS" w:hAnsi="Comic Sans MS"/>
      <w:b/>
      <w:sz w:val="96"/>
      <w:szCs w:val="24"/>
      <w:lang w:val="pl-PL" w:eastAsia="pl-PL" w:bidi="ar-SA"/>
    </w:rPr>
  </w:style>
  <w:style w:type="paragraph" w:customStyle="1" w:styleId="Text1">
    <w:name w:val="Text 1"/>
    <w:basedOn w:val="Normal"/>
    <w:link w:val="Text1Char"/>
    <w:rsid w:val="001A34C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A34C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A34C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A34C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A34C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A34CA"/>
  </w:style>
  <w:style w:type="character" w:customStyle="1" w:styleId="SectionTitleCharCharChar">
    <w:name w:val="SectionTitle Char Char Char"/>
    <w:link w:val="SectionTitleCharChar"/>
    <w:rsid w:val="001A34C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A34CA"/>
    <w:rPr>
      <w:rFonts w:ascii="Calibri" w:eastAsia="Times New Roman" w:hAnsi="Calibri" w:cs="Times New Roman"/>
      <w:b/>
      <w:bCs/>
      <w:smallCaps/>
      <w:sz w:val="28"/>
      <w:szCs w:val="28"/>
      <w:lang w:val="en-GB" w:eastAsia="en-GB"/>
    </w:rPr>
  </w:style>
  <w:style w:type="character" w:customStyle="1" w:styleId="Text1Char">
    <w:name w:val="Text 1 Char"/>
    <w:link w:val="Text1"/>
    <w:rsid w:val="001A34CA"/>
    <w:rPr>
      <w:rFonts w:ascii="Calibri" w:eastAsia="Times New Roman" w:hAnsi="Calibri" w:cs="Times New Roman"/>
      <w:sz w:val="24"/>
      <w:szCs w:val="24"/>
      <w:lang w:val="en-GB" w:eastAsia="en-GB"/>
    </w:rPr>
  </w:style>
  <w:style w:type="character" w:customStyle="1" w:styleId="Point1CharChar">
    <w:name w:val="Point 1 Char Char"/>
    <w:rsid w:val="001A34CA"/>
    <w:rPr>
      <w:sz w:val="24"/>
      <w:szCs w:val="24"/>
      <w:lang w:val="en-GB" w:eastAsia="en-GB" w:bidi="ar-SA"/>
    </w:rPr>
  </w:style>
  <w:style w:type="paragraph" w:customStyle="1" w:styleId="Point0">
    <w:name w:val="Point 0"/>
    <w:basedOn w:val="Normal"/>
    <w:rsid w:val="001A34C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A34C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A34C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A34C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A34C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A34C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A34C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A34C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A34C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A34CA"/>
    <w:rPr>
      <w:rFonts w:ascii="CG Times" w:hAnsi="CG Times"/>
      <w:sz w:val="22"/>
      <w:lang w:val="en-US" w:eastAsia="en-US" w:bidi="ar-SA"/>
    </w:rPr>
  </w:style>
  <w:style w:type="paragraph" w:customStyle="1" w:styleId="SectionTitle">
    <w:name w:val="SectionTitle"/>
    <w:basedOn w:val="Normal"/>
    <w:next w:val="Heading1"/>
    <w:rsid w:val="001A34C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A34CA"/>
  </w:style>
  <w:style w:type="paragraph" w:styleId="TableofFigures">
    <w:name w:val="table of figures"/>
    <w:basedOn w:val="Normal"/>
    <w:next w:val="Normal"/>
    <w:rsid w:val="001A34C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A34C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A34C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A34C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A34C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A34C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1A34C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A34C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A34C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A34C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A34C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A34C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A34C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A34C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A34C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A34C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A34CA"/>
    <w:pPr>
      <w:spacing w:after="0" w:line="360" w:lineRule="auto"/>
      <w:ind w:firstLine="0"/>
      <w:jc w:val="left"/>
    </w:pPr>
    <w:rPr>
      <w:rFonts w:ascii="Tahoma" w:eastAsia="Times New Roman" w:hAnsi="Tahoma"/>
      <w:lang w:val="de-AT" w:eastAsia="de-DE"/>
    </w:rPr>
  </w:style>
  <w:style w:type="paragraph" w:styleId="List">
    <w:name w:val="List"/>
    <w:basedOn w:val="Normal"/>
    <w:rsid w:val="001A34C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A34C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A34C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A34C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A34C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A34C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A34C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A34C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A34C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A34C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A34C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A34C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A34C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A34CA"/>
    <w:rPr>
      <w:sz w:val="16"/>
      <w:szCs w:val="16"/>
    </w:rPr>
  </w:style>
  <w:style w:type="paragraph" w:styleId="CommentText">
    <w:name w:val="annotation text"/>
    <w:aliases w:val=" Char"/>
    <w:basedOn w:val="Normal"/>
    <w:link w:val="CommentTextChar"/>
    <w:uiPriority w:val="99"/>
    <w:unhideWhenUsed/>
    <w:rsid w:val="001A34C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A34C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A34CA"/>
    <w:rPr>
      <w:b/>
      <w:bCs/>
    </w:rPr>
  </w:style>
  <w:style w:type="character" w:customStyle="1" w:styleId="CommentSubjectChar">
    <w:name w:val="Comment Subject Char"/>
    <w:basedOn w:val="CommentTextChar"/>
    <w:link w:val="CommentSubject"/>
    <w:uiPriority w:val="99"/>
    <w:rsid w:val="001A34CA"/>
    <w:rPr>
      <w:rFonts w:ascii="Calibri" w:eastAsia="MS Mincho" w:hAnsi="Calibri" w:cs="Times New Roman"/>
      <w:b/>
      <w:bCs/>
      <w:sz w:val="20"/>
      <w:szCs w:val="20"/>
      <w:lang w:val="sq-AL"/>
    </w:rPr>
  </w:style>
  <w:style w:type="paragraph" w:styleId="ListNumber4">
    <w:name w:val="List Number 4"/>
    <w:basedOn w:val="Normal"/>
    <w:rsid w:val="001A34C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A34C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1A34CA"/>
  </w:style>
  <w:style w:type="paragraph" w:styleId="MacroText">
    <w:name w:val="macro"/>
    <w:link w:val="MacroTextChar"/>
    <w:semiHidden/>
    <w:rsid w:val="001A34C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A34CA"/>
    <w:rPr>
      <w:rFonts w:ascii="Courier New" w:eastAsia="Times New Roman" w:hAnsi="Courier New" w:cs="Times New Roman"/>
      <w:lang w:val="de-DE" w:eastAsia="de-DE"/>
    </w:rPr>
  </w:style>
  <w:style w:type="paragraph" w:styleId="NormalIndent">
    <w:name w:val="Normal Indent"/>
    <w:basedOn w:val="Normal"/>
    <w:link w:val="NormalIndentChar"/>
    <w:rsid w:val="001A34C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A34C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A34C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A34CA"/>
    <w:rPr>
      <w:rFonts w:ascii="Tahoma" w:hAnsi="Tahoma"/>
      <w:sz w:val="22"/>
    </w:rPr>
  </w:style>
  <w:style w:type="paragraph" w:styleId="BlockText">
    <w:name w:val="Block Text"/>
    <w:basedOn w:val="Normal"/>
    <w:rsid w:val="001A34C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1A34C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1A34CA"/>
    <w:rPr>
      <w:rFonts w:ascii="Tahoma" w:eastAsia="Times New Roman" w:hAnsi="Tahoma" w:cs="Times New Roman"/>
      <w:lang w:val="de-AT" w:eastAsia="de-DE"/>
    </w:rPr>
  </w:style>
  <w:style w:type="character" w:customStyle="1" w:styleId="Emphasis1">
    <w:name w:val="Emphasis1"/>
    <w:semiHidden/>
    <w:rsid w:val="001A34CA"/>
  </w:style>
  <w:style w:type="paragraph" w:styleId="NoteHeading">
    <w:name w:val="Note Heading"/>
    <w:basedOn w:val="Normal"/>
    <w:next w:val="Normal"/>
    <w:link w:val="NoteHeadingChar"/>
    <w:rsid w:val="001A34C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A34CA"/>
    <w:rPr>
      <w:rFonts w:ascii="Tahoma" w:eastAsia="Times New Roman" w:hAnsi="Tahoma" w:cs="Times New Roman"/>
      <w:lang w:val="de-AT" w:eastAsia="de-DE"/>
    </w:rPr>
  </w:style>
  <w:style w:type="paragraph" w:styleId="MessageHeader">
    <w:name w:val="Message Header"/>
    <w:basedOn w:val="Normal"/>
    <w:link w:val="MessageHeaderChar"/>
    <w:semiHidden/>
    <w:rsid w:val="001A34C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A34C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A34C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1A34C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1A34CA"/>
    <w:rPr>
      <w:rFonts w:ascii="Tahoma" w:eastAsia="Times New Roman" w:hAnsi="Tahoma" w:cs="Times New Roman"/>
      <w:sz w:val="20"/>
      <w:szCs w:val="20"/>
    </w:rPr>
  </w:style>
  <w:style w:type="character" w:styleId="EndnoteReference">
    <w:name w:val="endnote reference"/>
    <w:uiPriority w:val="99"/>
    <w:semiHidden/>
    <w:unhideWhenUsed/>
    <w:rsid w:val="001A34CA"/>
    <w:rPr>
      <w:vertAlign w:val="superscript"/>
    </w:rPr>
  </w:style>
  <w:style w:type="paragraph" w:styleId="BodyTextFirstIndent2">
    <w:name w:val="Body Text First Indent 2"/>
    <w:basedOn w:val="BodyTextIndent"/>
    <w:link w:val="BodyTextFirstIndent2Char"/>
    <w:semiHidden/>
    <w:rsid w:val="001A34C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A34CA"/>
    <w:rPr>
      <w:rFonts w:ascii="Tahoma" w:eastAsia="Times New Roman" w:hAnsi="Tahoma" w:cs="Times New Roman"/>
      <w:lang w:val="de-AT" w:eastAsia="de-DE"/>
    </w:rPr>
  </w:style>
  <w:style w:type="numbering" w:styleId="111111">
    <w:name w:val="Outline List 2"/>
    <w:basedOn w:val="NoList"/>
    <w:semiHidden/>
    <w:rsid w:val="001A34CA"/>
    <w:pPr>
      <w:numPr>
        <w:numId w:val="14"/>
      </w:numPr>
    </w:pPr>
  </w:style>
  <w:style w:type="paragraph" w:customStyle="1" w:styleId="Zusatz2">
    <w:name w:val="Zusatz 2"/>
    <w:basedOn w:val="Normal"/>
    <w:next w:val="Normal"/>
    <w:semiHidden/>
    <w:rsid w:val="001A34C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A34C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A34CA"/>
    <w:pPr>
      <w:numPr>
        <w:numId w:val="15"/>
      </w:numPr>
    </w:pPr>
  </w:style>
  <w:style w:type="paragraph" w:styleId="Salutation">
    <w:name w:val="Salutation"/>
    <w:basedOn w:val="Normal"/>
    <w:next w:val="Normal"/>
    <w:link w:val="SalutationChar"/>
    <w:semiHidden/>
    <w:rsid w:val="001A34C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A34CA"/>
    <w:rPr>
      <w:rFonts w:ascii="Tahoma" w:eastAsia="Times New Roman" w:hAnsi="Tahoma" w:cs="Times New Roman"/>
      <w:lang w:val="de-AT" w:eastAsia="de-DE"/>
    </w:rPr>
  </w:style>
  <w:style w:type="numbering" w:styleId="ArticleSection">
    <w:name w:val="Outline List 3"/>
    <w:basedOn w:val="NoList"/>
    <w:semiHidden/>
    <w:rsid w:val="001A34CA"/>
    <w:pPr>
      <w:numPr>
        <w:numId w:val="16"/>
      </w:numPr>
    </w:pPr>
  </w:style>
  <w:style w:type="paragraph" w:styleId="Closing">
    <w:name w:val="Closing"/>
    <w:basedOn w:val="Normal"/>
    <w:link w:val="ClosingChar"/>
    <w:semiHidden/>
    <w:rsid w:val="001A34C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A34CA"/>
    <w:rPr>
      <w:rFonts w:ascii="Tahoma" w:eastAsia="Times New Roman" w:hAnsi="Tahoma" w:cs="Times New Roman"/>
      <w:lang w:val="de-AT" w:eastAsia="de-DE"/>
    </w:rPr>
  </w:style>
  <w:style w:type="character" w:styleId="Emphasis">
    <w:name w:val="Emphasis"/>
    <w:uiPriority w:val="20"/>
    <w:qFormat/>
    <w:rsid w:val="001A34CA"/>
    <w:rPr>
      <w:i/>
      <w:iCs/>
    </w:rPr>
  </w:style>
  <w:style w:type="paragraph" w:styleId="HTMLAddress">
    <w:name w:val="HTML Address"/>
    <w:basedOn w:val="Normal"/>
    <w:link w:val="HTMLAddressChar"/>
    <w:semiHidden/>
    <w:rsid w:val="001A34C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A34CA"/>
    <w:rPr>
      <w:rFonts w:ascii="Tahoma" w:eastAsia="Times New Roman" w:hAnsi="Tahoma" w:cs="Times New Roman"/>
      <w:i/>
      <w:iCs/>
      <w:lang w:val="de-AT" w:eastAsia="de-DE"/>
    </w:rPr>
  </w:style>
  <w:style w:type="character" w:styleId="HTMLAcronym">
    <w:name w:val="HTML Acronym"/>
    <w:semiHidden/>
    <w:rsid w:val="001A34CA"/>
  </w:style>
  <w:style w:type="character" w:styleId="HTMLSample">
    <w:name w:val="HTML Sample"/>
    <w:semiHidden/>
    <w:rsid w:val="001A34CA"/>
    <w:rPr>
      <w:rFonts w:ascii="Courier New" w:hAnsi="Courier New" w:cs="Courier New"/>
    </w:rPr>
  </w:style>
  <w:style w:type="character" w:styleId="HTMLCode">
    <w:name w:val="HTML Code"/>
    <w:semiHidden/>
    <w:rsid w:val="001A34CA"/>
    <w:rPr>
      <w:rFonts w:ascii="Courier New" w:hAnsi="Courier New" w:cs="Courier New"/>
      <w:sz w:val="20"/>
      <w:szCs w:val="20"/>
    </w:rPr>
  </w:style>
  <w:style w:type="character" w:styleId="HTMLDefinition">
    <w:name w:val="HTML Definition"/>
    <w:semiHidden/>
    <w:rsid w:val="001A34CA"/>
    <w:rPr>
      <w:i/>
      <w:iCs/>
    </w:rPr>
  </w:style>
  <w:style w:type="character" w:styleId="HTMLTypewriter">
    <w:name w:val="HTML Typewriter"/>
    <w:semiHidden/>
    <w:rsid w:val="001A34CA"/>
    <w:rPr>
      <w:rFonts w:ascii="Courier New" w:hAnsi="Courier New" w:cs="Courier New"/>
      <w:sz w:val="20"/>
      <w:szCs w:val="20"/>
    </w:rPr>
  </w:style>
  <w:style w:type="character" w:styleId="HTMLKeyboard">
    <w:name w:val="HTML Keyboard"/>
    <w:semiHidden/>
    <w:rsid w:val="001A34CA"/>
    <w:rPr>
      <w:rFonts w:ascii="Courier New" w:hAnsi="Courier New" w:cs="Courier New"/>
      <w:sz w:val="20"/>
      <w:szCs w:val="20"/>
    </w:rPr>
  </w:style>
  <w:style w:type="character" w:styleId="HTMLVariable">
    <w:name w:val="HTML Variable"/>
    <w:semiHidden/>
    <w:rsid w:val="001A34CA"/>
    <w:rPr>
      <w:i/>
      <w:iCs/>
    </w:rPr>
  </w:style>
  <w:style w:type="paragraph" w:styleId="HTMLPreformatted">
    <w:name w:val="HTML Preformatted"/>
    <w:basedOn w:val="Normal"/>
    <w:link w:val="HTMLPreformattedChar"/>
    <w:semiHidden/>
    <w:rsid w:val="001A34C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1A34CA"/>
    <w:rPr>
      <w:rFonts w:ascii="Courier New" w:eastAsia="Times New Roman" w:hAnsi="Courier New" w:cs="Times New Roman"/>
      <w:sz w:val="20"/>
      <w:lang w:val="de-AT" w:eastAsia="de-DE"/>
    </w:rPr>
  </w:style>
  <w:style w:type="character" w:styleId="HTMLCite">
    <w:name w:val="HTML Cite"/>
    <w:semiHidden/>
    <w:rsid w:val="001A34CA"/>
    <w:rPr>
      <w:i/>
      <w:iCs/>
    </w:rPr>
  </w:style>
  <w:style w:type="table" w:styleId="Table3Deffects1">
    <w:name w:val="Table 3D effects 1"/>
    <w:basedOn w:val="TableNormal"/>
    <w:semiHidden/>
    <w:rsid w:val="001A34C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A34C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A34C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A34C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A34C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A34C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A34C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A34C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A34C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A34C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A34C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A34C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A34C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A34C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A34C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A34C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A34C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A34C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A34C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A34C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A34C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A34C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A34C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A34C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A34C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A34C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A34C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A34C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A34C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A34C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A34C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A34C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A34C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A34C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A34C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A34C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A34C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A34C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A34C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A34C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A34C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A34C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A34C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A34C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1A34C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1A34C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A34CA"/>
    <w:rPr>
      <w:rFonts w:ascii="Tahoma" w:eastAsia="Times New Roman" w:hAnsi="Tahoma" w:cs="Times New Roman"/>
      <w:lang w:val="de-AT" w:eastAsia="de-DE"/>
    </w:rPr>
  </w:style>
  <w:style w:type="paragraph" w:styleId="E-mailSignature">
    <w:name w:val="E-mail Signature"/>
    <w:basedOn w:val="Normal"/>
    <w:link w:val="E-mailSignatureChar"/>
    <w:rsid w:val="001A34C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A34CA"/>
    <w:rPr>
      <w:rFonts w:ascii="Tahoma" w:eastAsia="Times New Roman" w:hAnsi="Tahoma" w:cs="Times New Roman"/>
      <w:lang w:val="de-AT" w:eastAsia="de-DE"/>
    </w:rPr>
  </w:style>
  <w:style w:type="paragraph" w:styleId="BodyText2">
    <w:name w:val="Body Text 2"/>
    <w:basedOn w:val="Normal"/>
    <w:link w:val="BodyText2Char"/>
    <w:rsid w:val="001A34C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1A34CA"/>
    <w:rPr>
      <w:rFonts w:ascii="Tahoma" w:eastAsia="Times New Roman" w:hAnsi="Tahoma" w:cs="Times New Roman"/>
      <w:lang w:val="de-AT" w:eastAsia="de-DE"/>
    </w:rPr>
  </w:style>
  <w:style w:type="paragraph" w:styleId="BodyTextIndent2">
    <w:name w:val="Body Text Indent 2"/>
    <w:basedOn w:val="Normal"/>
    <w:link w:val="BodyTextIndent2Char"/>
    <w:rsid w:val="001A34C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1A34CA"/>
    <w:rPr>
      <w:rFonts w:ascii="Tahoma" w:eastAsia="Times New Roman" w:hAnsi="Tahoma" w:cs="Times New Roman"/>
      <w:lang w:val="de-AT" w:eastAsia="de-DE"/>
    </w:rPr>
  </w:style>
  <w:style w:type="paragraph" w:styleId="BodyTextIndent3">
    <w:name w:val="Body Text Indent 3"/>
    <w:basedOn w:val="Normal"/>
    <w:link w:val="BodyTextIndent3Char"/>
    <w:rsid w:val="001A34C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1A34C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A34C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A34C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A34C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A34C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A34CA"/>
    <w:rPr>
      <w:rFonts w:ascii="CG Times" w:eastAsia="Times New Roman" w:hAnsi="CG Times" w:cs="Times New Roman"/>
      <w:b/>
      <w:szCs w:val="24"/>
    </w:rPr>
  </w:style>
  <w:style w:type="character" w:customStyle="1" w:styleId="SubtitleChar1">
    <w:name w:val="Subtitle Char1"/>
    <w:locked/>
    <w:rsid w:val="001A34CA"/>
    <w:rPr>
      <w:rFonts w:ascii="Cambria" w:hAnsi="Cambria"/>
      <w:sz w:val="24"/>
      <w:szCs w:val="24"/>
    </w:rPr>
  </w:style>
  <w:style w:type="paragraph" w:customStyle="1" w:styleId="Char1">
    <w:name w:val="Char1"/>
    <w:basedOn w:val="Normal"/>
    <w:rsid w:val="001A34C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A34CA"/>
    <w:rPr>
      <w:rFonts w:ascii="Tahoma" w:hAnsi="Tahoma" w:cs="Tahoma"/>
      <w:i/>
      <w:iCs/>
      <w:sz w:val="22"/>
      <w:szCs w:val="22"/>
      <w:lang w:val="de-AT" w:eastAsia="de-DE" w:bidi="ar-SA"/>
    </w:rPr>
  </w:style>
  <w:style w:type="character" w:customStyle="1" w:styleId="CharChar36">
    <w:name w:val="Char Char36"/>
    <w:locked/>
    <w:rsid w:val="001A34CA"/>
    <w:rPr>
      <w:rFonts w:ascii="Arial" w:hAnsi="Arial" w:cs="Arial"/>
      <w:b/>
      <w:bCs/>
      <w:kern w:val="32"/>
      <w:sz w:val="32"/>
      <w:szCs w:val="32"/>
      <w:lang w:val="sq-AL" w:eastAsia="en-US" w:bidi="ar-SA"/>
    </w:rPr>
  </w:style>
  <w:style w:type="character" w:customStyle="1" w:styleId="CharChar35">
    <w:name w:val="Char Char35"/>
    <w:locked/>
    <w:rsid w:val="001A34CA"/>
    <w:rPr>
      <w:rFonts w:ascii="Arial" w:hAnsi="Arial" w:cs="Arial"/>
      <w:b/>
      <w:bCs/>
      <w:i/>
      <w:iCs/>
      <w:sz w:val="28"/>
      <w:szCs w:val="28"/>
      <w:lang w:val="sq-AL" w:eastAsia="en-US" w:bidi="ar-SA"/>
    </w:rPr>
  </w:style>
  <w:style w:type="character" w:customStyle="1" w:styleId="CharChar34">
    <w:name w:val="Char Char34"/>
    <w:locked/>
    <w:rsid w:val="001A34CA"/>
    <w:rPr>
      <w:rFonts w:ascii="Tahoma" w:hAnsi="Tahoma"/>
      <w:b/>
      <w:kern w:val="28"/>
      <w:sz w:val="24"/>
      <w:szCs w:val="28"/>
      <w:lang w:val="de-AT" w:eastAsia="de-DE" w:bidi="ar-SA"/>
    </w:rPr>
  </w:style>
  <w:style w:type="character" w:customStyle="1" w:styleId="CharChar33">
    <w:name w:val="Char Char33"/>
    <w:locked/>
    <w:rsid w:val="001A34CA"/>
    <w:rPr>
      <w:rFonts w:ascii="Tahoma" w:hAnsi="Tahoma"/>
      <w:b/>
      <w:i/>
      <w:kern w:val="28"/>
      <w:sz w:val="22"/>
      <w:szCs w:val="22"/>
      <w:lang w:val="de-AT" w:eastAsia="de-DE" w:bidi="ar-SA"/>
    </w:rPr>
  </w:style>
  <w:style w:type="character" w:customStyle="1" w:styleId="CharChar32">
    <w:name w:val="Char Char32"/>
    <w:locked/>
    <w:rsid w:val="001A34CA"/>
    <w:rPr>
      <w:rFonts w:ascii="Tahoma" w:hAnsi="Tahoma"/>
      <w:b/>
      <w:i/>
      <w:kern w:val="28"/>
      <w:sz w:val="22"/>
      <w:szCs w:val="22"/>
      <w:lang w:val="de-AT" w:eastAsia="de-DE" w:bidi="ar-SA"/>
    </w:rPr>
  </w:style>
  <w:style w:type="character" w:customStyle="1" w:styleId="CharChar31">
    <w:name w:val="Char Char31"/>
    <w:locked/>
    <w:rsid w:val="001A34CA"/>
    <w:rPr>
      <w:rFonts w:ascii="Tahoma" w:hAnsi="Tahoma"/>
      <w:b/>
      <w:i/>
      <w:kern w:val="28"/>
      <w:sz w:val="22"/>
      <w:szCs w:val="22"/>
      <w:lang w:val="de-AT" w:eastAsia="de-DE" w:bidi="ar-SA"/>
    </w:rPr>
  </w:style>
  <w:style w:type="character" w:customStyle="1" w:styleId="CharChar10">
    <w:name w:val="Char Char10"/>
    <w:semiHidden/>
    <w:locked/>
    <w:rsid w:val="001A34CA"/>
    <w:rPr>
      <w:rFonts w:ascii="Courier New" w:hAnsi="Courier New" w:cs="Courier New"/>
      <w:szCs w:val="22"/>
      <w:lang w:val="de-AT" w:eastAsia="de-DE" w:bidi="ar-SA"/>
    </w:rPr>
  </w:style>
  <w:style w:type="character" w:customStyle="1" w:styleId="CharChar30">
    <w:name w:val="Char Char30"/>
    <w:locked/>
    <w:rsid w:val="001A34CA"/>
    <w:rPr>
      <w:rFonts w:ascii="Tahoma" w:hAnsi="Tahoma"/>
      <w:b/>
      <w:i/>
      <w:kern w:val="28"/>
      <w:sz w:val="22"/>
      <w:szCs w:val="22"/>
      <w:lang w:val="de-AT" w:eastAsia="de-DE" w:bidi="ar-SA"/>
    </w:rPr>
  </w:style>
  <w:style w:type="character" w:customStyle="1" w:styleId="CharChar29">
    <w:name w:val="Char Char29"/>
    <w:locked/>
    <w:rsid w:val="001A34CA"/>
    <w:rPr>
      <w:rFonts w:ascii="Tahoma" w:hAnsi="Tahoma"/>
      <w:b/>
      <w:i/>
      <w:kern w:val="28"/>
      <w:sz w:val="22"/>
      <w:szCs w:val="22"/>
      <w:lang w:val="de-AT" w:eastAsia="de-DE" w:bidi="ar-SA"/>
    </w:rPr>
  </w:style>
  <w:style w:type="character" w:customStyle="1" w:styleId="CharChar28">
    <w:name w:val="Char Char28"/>
    <w:locked/>
    <w:rsid w:val="001A34CA"/>
    <w:rPr>
      <w:rFonts w:ascii="Tahoma" w:hAnsi="Tahoma"/>
      <w:b/>
      <w:i/>
      <w:kern w:val="28"/>
      <w:sz w:val="22"/>
      <w:szCs w:val="22"/>
      <w:lang w:val="de-AT" w:eastAsia="de-DE" w:bidi="ar-SA"/>
    </w:rPr>
  </w:style>
  <w:style w:type="character" w:customStyle="1" w:styleId="CharChar27">
    <w:name w:val="Char Char27"/>
    <w:locked/>
    <w:rsid w:val="001A34CA"/>
    <w:rPr>
      <w:rFonts w:ascii="Calibri" w:eastAsia="Calibri" w:hAnsi="Calibri"/>
      <w:lang w:val="sq-AL" w:eastAsia="en-US" w:bidi="ar-SA"/>
    </w:rPr>
  </w:style>
  <w:style w:type="character" w:customStyle="1" w:styleId="CharChar24">
    <w:name w:val="Char Char24"/>
    <w:locked/>
    <w:rsid w:val="001A34CA"/>
    <w:rPr>
      <w:rFonts w:ascii="Tahoma" w:hAnsi="Tahoma" w:cs="Tahoma"/>
      <w:sz w:val="22"/>
      <w:szCs w:val="22"/>
      <w:lang w:val="de-AT" w:eastAsia="de-DE" w:bidi="ar-SA"/>
    </w:rPr>
  </w:style>
  <w:style w:type="character" w:customStyle="1" w:styleId="CharChar23">
    <w:name w:val="Char Char23"/>
    <w:locked/>
    <w:rsid w:val="001A34CA"/>
    <w:rPr>
      <w:rFonts w:ascii="Tahoma" w:hAnsi="Tahoma" w:cs="Tahoma"/>
      <w:sz w:val="22"/>
      <w:szCs w:val="22"/>
      <w:lang w:val="de-AT" w:eastAsia="de-DE" w:bidi="ar-SA"/>
    </w:rPr>
  </w:style>
  <w:style w:type="character" w:customStyle="1" w:styleId="CharChar22">
    <w:name w:val="Char Char22"/>
    <w:semiHidden/>
    <w:locked/>
    <w:rsid w:val="001A34CA"/>
    <w:rPr>
      <w:rFonts w:ascii="Courier New" w:hAnsi="Courier New" w:cs="Courier New"/>
      <w:sz w:val="22"/>
      <w:szCs w:val="22"/>
      <w:lang w:val="de-DE" w:eastAsia="de-DE" w:bidi="ar-SA"/>
    </w:rPr>
  </w:style>
  <w:style w:type="character" w:customStyle="1" w:styleId="CharChar21">
    <w:name w:val="Char Char21"/>
    <w:locked/>
    <w:rsid w:val="001A34CA"/>
    <w:rPr>
      <w:rFonts w:ascii="Tahoma" w:hAnsi="Tahoma" w:cs="Tahoma"/>
      <w:b/>
      <w:kern w:val="28"/>
      <w:sz w:val="36"/>
      <w:szCs w:val="36"/>
      <w:lang w:val="de-AT" w:eastAsia="de-DE" w:bidi="ar-SA"/>
    </w:rPr>
  </w:style>
  <w:style w:type="character" w:customStyle="1" w:styleId="CharChar12">
    <w:name w:val="Char Char12"/>
    <w:semiHidden/>
    <w:locked/>
    <w:rsid w:val="001A34CA"/>
    <w:rPr>
      <w:rFonts w:ascii="Tahoma" w:hAnsi="Tahoma" w:cs="Tahoma"/>
      <w:sz w:val="22"/>
      <w:szCs w:val="22"/>
      <w:lang w:val="de-AT" w:eastAsia="de-DE" w:bidi="ar-SA"/>
    </w:rPr>
  </w:style>
  <w:style w:type="character" w:customStyle="1" w:styleId="CharChar9">
    <w:name w:val="Char Char9"/>
    <w:semiHidden/>
    <w:locked/>
    <w:rsid w:val="001A34CA"/>
    <w:rPr>
      <w:rFonts w:ascii="Tahoma" w:hAnsi="Tahoma" w:cs="Tahoma"/>
      <w:sz w:val="22"/>
      <w:szCs w:val="22"/>
      <w:lang w:val="de-AT" w:eastAsia="de-DE" w:bidi="ar-SA"/>
    </w:rPr>
  </w:style>
  <w:style w:type="character" w:customStyle="1" w:styleId="CharChar25">
    <w:name w:val="Char Char25"/>
    <w:semiHidden/>
    <w:locked/>
    <w:rsid w:val="001A34CA"/>
    <w:rPr>
      <w:rFonts w:ascii="Tahoma" w:hAnsi="Tahoma" w:cs="Tahoma"/>
      <w:sz w:val="22"/>
      <w:szCs w:val="22"/>
      <w:lang w:val="de-AT" w:eastAsia="de-DE" w:bidi="ar-SA"/>
    </w:rPr>
  </w:style>
  <w:style w:type="character" w:customStyle="1" w:styleId="CharChar15">
    <w:name w:val="Char Char15"/>
    <w:semiHidden/>
    <w:locked/>
    <w:rsid w:val="001A34CA"/>
    <w:rPr>
      <w:rFonts w:ascii="Tahoma" w:hAnsi="Tahoma" w:cs="Tahoma"/>
      <w:sz w:val="22"/>
      <w:szCs w:val="22"/>
      <w:lang w:val="de-AT" w:eastAsia="de-DE" w:bidi="ar-SA"/>
    </w:rPr>
  </w:style>
  <w:style w:type="character" w:customStyle="1" w:styleId="CharChar16">
    <w:name w:val="Char Char16"/>
    <w:semiHidden/>
    <w:locked/>
    <w:rsid w:val="001A34CA"/>
    <w:rPr>
      <w:rFonts w:ascii="Tahoma" w:hAnsi="Tahoma" w:cs="Arial"/>
      <w:sz w:val="24"/>
      <w:szCs w:val="24"/>
      <w:lang w:val="de-AT" w:eastAsia="de-DE" w:bidi="ar-SA"/>
    </w:rPr>
  </w:style>
  <w:style w:type="character" w:customStyle="1" w:styleId="CharChar20">
    <w:name w:val="Char Char20"/>
    <w:locked/>
    <w:rsid w:val="001A34CA"/>
    <w:rPr>
      <w:rFonts w:ascii="Tahoma" w:hAnsi="Tahoma" w:cs="Tahoma"/>
      <w:b/>
      <w:kern w:val="28"/>
      <w:sz w:val="32"/>
      <w:szCs w:val="36"/>
      <w:lang w:val="de-AT" w:eastAsia="de-DE" w:bidi="ar-SA"/>
    </w:rPr>
  </w:style>
  <w:style w:type="character" w:customStyle="1" w:styleId="CharChar13">
    <w:name w:val="Char Char13"/>
    <w:semiHidden/>
    <w:locked/>
    <w:rsid w:val="001A34CA"/>
    <w:rPr>
      <w:rFonts w:ascii="Tahoma" w:hAnsi="Tahoma" w:cs="Tahoma"/>
      <w:sz w:val="22"/>
      <w:szCs w:val="22"/>
      <w:lang w:val="de-AT" w:eastAsia="de-DE" w:bidi="ar-SA"/>
    </w:rPr>
  </w:style>
  <w:style w:type="character" w:customStyle="1" w:styleId="CharChar19">
    <w:name w:val="Char Char19"/>
    <w:semiHidden/>
    <w:locked/>
    <w:rsid w:val="001A34CA"/>
    <w:rPr>
      <w:rFonts w:ascii="Tahoma" w:hAnsi="Tahoma" w:cs="Tahoma"/>
      <w:sz w:val="22"/>
      <w:szCs w:val="22"/>
      <w:lang w:val="de-AT" w:eastAsia="de-DE" w:bidi="ar-SA"/>
    </w:rPr>
  </w:style>
  <w:style w:type="character" w:customStyle="1" w:styleId="CharChar3">
    <w:name w:val="Char Char3"/>
    <w:semiHidden/>
    <w:locked/>
    <w:rsid w:val="001A34CA"/>
  </w:style>
  <w:style w:type="character" w:customStyle="1" w:styleId="CharChar14">
    <w:name w:val="Char Char14"/>
    <w:semiHidden/>
    <w:locked/>
    <w:rsid w:val="001A34CA"/>
  </w:style>
  <w:style w:type="character" w:customStyle="1" w:styleId="CharChar17">
    <w:name w:val="Char Char17"/>
    <w:locked/>
    <w:rsid w:val="001A34CA"/>
    <w:rPr>
      <w:rFonts w:ascii="Tahoma" w:hAnsi="Tahoma" w:cs="Tahoma"/>
      <w:sz w:val="22"/>
      <w:szCs w:val="22"/>
      <w:lang w:val="de-AT" w:eastAsia="de-DE" w:bidi="ar-SA"/>
    </w:rPr>
  </w:style>
  <w:style w:type="character" w:customStyle="1" w:styleId="CharChar7">
    <w:name w:val="Char Char7"/>
    <w:semiHidden/>
    <w:locked/>
    <w:rsid w:val="001A34CA"/>
    <w:rPr>
      <w:rFonts w:ascii="Tahoma" w:hAnsi="Tahoma" w:cs="Tahoma"/>
      <w:sz w:val="22"/>
      <w:szCs w:val="22"/>
      <w:lang w:val="de-AT" w:eastAsia="de-DE" w:bidi="ar-SA"/>
    </w:rPr>
  </w:style>
  <w:style w:type="character" w:customStyle="1" w:styleId="CharChar6">
    <w:name w:val="Char Char6"/>
    <w:semiHidden/>
    <w:locked/>
    <w:rsid w:val="001A34CA"/>
    <w:rPr>
      <w:rFonts w:ascii="Tahoma" w:hAnsi="Tahoma" w:cs="Tahoma"/>
      <w:sz w:val="16"/>
      <w:szCs w:val="16"/>
      <w:lang w:val="de-AT" w:eastAsia="de-DE" w:bidi="ar-SA"/>
    </w:rPr>
  </w:style>
  <w:style w:type="character" w:customStyle="1" w:styleId="CharChar5">
    <w:name w:val="Char Char5"/>
    <w:semiHidden/>
    <w:locked/>
    <w:rsid w:val="001A34CA"/>
    <w:rPr>
      <w:rFonts w:ascii="Tahoma" w:hAnsi="Tahoma" w:cs="Tahoma"/>
      <w:sz w:val="22"/>
      <w:szCs w:val="22"/>
      <w:lang w:val="de-AT" w:eastAsia="de-DE" w:bidi="ar-SA"/>
    </w:rPr>
  </w:style>
  <w:style w:type="character" w:customStyle="1" w:styleId="CharChar4">
    <w:name w:val="Char Char4"/>
    <w:semiHidden/>
    <w:locked/>
    <w:rsid w:val="001A34CA"/>
    <w:rPr>
      <w:rFonts w:ascii="Tahoma" w:hAnsi="Tahoma" w:cs="Tahoma"/>
      <w:sz w:val="16"/>
      <w:szCs w:val="16"/>
      <w:lang w:val="de-AT" w:eastAsia="de-DE" w:bidi="ar-SA"/>
    </w:rPr>
  </w:style>
  <w:style w:type="character" w:customStyle="1" w:styleId="CharChar18">
    <w:name w:val="Char Char18"/>
    <w:semiHidden/>
    <w:locked/>
    <w:rsid w:val="001A34CA"/>
    <w:rPr>
      <w:rFonts w:ascii="Tahoma" w:hAnsi="Tahoma" w:cs="Tahoma"/>
      <w:sz w:val="22"/>
      <w:szCs w:val="22"/>
      <w:lang w:val="de-AT" w:eastAsia="de-DE" w:bidi="ar-SA"/>
    </w:rPr>
  </w:style>
  <w:style w:type="character" w:customStyle="1" w:styleId="CharChar8">
    <w:name w:val="Char Char8"/>
    <w:locked/>
    <w:rsid w:val="001A34CA"/>
    <w:rPr>
      <w:rFonts w:ascii="Tahoma" w:hAnsi="Tahoma" w:cs="Tahoma"/>
      <w:sz w:val="22"/>
      <w:szCs w:val="22"/>
      <w:lang w:val="de-AT" w:eastAsia="de-DE" w:bidi="ar-SA"/>
    </w:rPr>
  </w:style>
  <w:style w:type="character" w:customStyle="1" w:styleId="CharChar2">
    <w:name w:val="Char Char2"/>
    <w:locked/>
    <w:rsid w:val="001A34CA"/>
    <w:rPr>
      <w:rFonts w:ascii="Calibri" w:eastAsia="Calibri" w:hAnsi="Calibri" w:cs="Times New Roman"/>
      <w:b/>
      <w:bCs/>
      <w:sz w:val="20"/>
      <w:szCs w:val="20"/>
      <w:lang w:val="sq-AL" w:eastAsia="en-US" w:bidi="ar-SA"/>
    </w:rPr>
  </w:style>
  <w:style w:type="character" w:customStyle="1" w:styleId="CharChar26">
    <w:name w:val="Char Char26"/>
    <w:semiHidden/>
    <w:locked/>
    <w:rsid w:val="001A34CA"/>
    <w:rPr>
      <w:rFonts w:ascii="Tahoma" w:hAnsi="Tahoma" w:cs="Tahoma"/>
      <w:sz w:val="16"/>
      <w:szCs w:val="16"/>
      <w:lang w:val="sq-AL" w:eastAsia="en-US" w:bidi="ar-SA"/>
    </w:rPr>
  </w:style>
  <w:style w:type="character" w:customStyle="1" w:styleId="CommentTextChar11">
    <w:name w:val="Comment Text Char11"/>
    <w:aliases w:val="Char Char37"/>
    <w:semiHidden/>
    <w:rsid w:val="001A34CA"/>
    <w:rPr>
      <w:rFonts w:ascii="Calibri" w:hAnsi="Calibri" w:hint="default"/>
      <w:lang w:val="sq-AL"/>
    </w:rPr>
  </w:style>
  <w:style w:type="character" w:customStyle="1" w:styleId="NormalIndentChar">
    <w:name w:val="Normal Indent Char"/>
    <w:link w:val="NormalIndent"/>
    <w:rsid w:val="001A34C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A34C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A34CA"/>
    <w:pPr>
      <w:tabs>
        <w:tab w:val="num" w:pos="360"/>
        <w:tab w:val="num" w:pos="1935"/>
        <w:tab w:val="num" w:pos="2563"/>
        <w:tab w:val="num" w:pos="3474"/>
      </w:tabs>
      <w:ind w:left="1935" w:hanging="360"/>
      <w:outlineLvl w:val="6"/>
    </w:pPr>
  </w:style>
  <w:style w:type="character" w:customStyle="1" w:styleId="AODefHeadChar">
    <w:name w:val="AODefHead Char"/>
    <w:link w:val="AODefHead"/>
    <w:rsid w:val="001A34CA"/>
    <w:rPr>
      <w:rFonts w:ascii="Times New Roman" w:eastAsia="Times New Roman" w:hAnsi="Times New Roman" w:cs="Times New Roman"/>
      <w:szCs w:val="20"/>
      <w:lang w:val="sq-AL" w:eastAsia="sq-AL" w:bidi="sq-AL"/>
    </w:rPr>
  </w:style>
  <w:style w:type="paragraph" w:customStyle="1" w:styleId="PARA">
    <w:name w:val="PARA"/>
    <w:basedOn w:val="Normal"/>
    <w:locked/>
    <w:rsid w:val="001A34C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A34C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A34C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A34C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A34C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A34CA"/>
    <w:rPr>
      <w:color w:val="0000FF"/>
      <w:spacing w:val="0"/>
      <w:u w:val="double"/>
    </w:rPr>
  </w:style>
  <w:style w:type="paragraph" w:customStyle="1" w:styleId="dia">
    <w:name w:val="di(a)"/>
    <w:basedOn w:val="Normal"/>
    <w:rsid w:val="001A34C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A34C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A34C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A34CA"/>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1A34CA"/>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1A34C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A34CA"/>
    <w:rPr>
      <w:rFonts w:cs="Times New Roman"/>
      <w:color w:val="808080"/>
    </w:rPr>
  </w:style>
  <w:style w:type="character" w:customStyle="1" w:styleId="az12">
    <w:name w:val="az12"/>
    <w:uiPriority w:val="99"/>
    <w:rsid w:val="001A34C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A34C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A34CA"/>
    <w:rPr>
      <w:rFonts w:ascii="Calibri" w:eastAsia="Times New Roman" w:hAnsi="Calibri" w:cs="Times New Roman"/>
      <w:sz w:val="24"/>
      <w:szCs w:val="24"/>
      <w:lang w:val="en-GB" w:eastAsia="en-GB"/>
    </w:rPr>
  </w:style>
  <w:style w:type="paragraph" w:customStyle="1" w:styleId="Paragraf02">
    <w:name w:val="Paragraf 0.2"/>
    <w:basedOn w:val="Paragrafi"/>
    <w:qFormat/>
    <w:rsid w:val="001A34CA"/>
    <w:pPr>
      <w:tabs>
        <w:tab w:val="left" w:pos="6575"/>
      </w:tabs>
    </w:pPr>
    <w:rPr>
      <w:spacing w:val="-4"/>
    </w:rPr>
  </w:style>
  <w:style w:type="table" w:customStyle="1" w:styleId="TableGrid30">
    <w:name w:val="Table Grid3"/>
    <w:basedOn w:val="TableNormal"/>
    <w:next w:val="TableGrid"/>
    <w:uiPriority w:val="59"/>
    <w:rsid w:val="001A3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1A34CA"/>
  </w:style>
  <w:style w:type="character" w:styleId="BookTitle">
    <w:name w:val="Book Title"/>
    <w:uiPriority w:val="33"/>
    <w:qFormat/>
    <w:rsid w:val="001A34CA"/>
    <w:rPr>
      <w:b/>
      <w:bCs/>
      <w:smallCaps/>
      <w:spacing w:val="5"/>
    </w:rPr>
  </w:style>
  <w:style w:type="paragraph" w:customStyle="1" w:styleId="Cover1">
    <w:name w:val="Cover1"/>
    <w:basedOn w:val="Normal"/>
    <w:next w:val="Normal"/>
    <w:rsid w:val="001A34C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A34C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A34C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A34C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1A34CA"/>
    <w:rPr>
      <w:rFonts w:ascii="Times New Roman" w:eastAsia="Times New Roman" w:hAnsi="Times New Roman" w:cs="Times New Roman"/>
      <w:szCs w:val="20"/>
      <w:lang w:val="sq-AL"/>
    </w:rPr>
  </w:style>
  <w:style w:type="character" w:customStyle="1" w:styleId="Bodytext0">
    <w:name w:val="Body text_"/>
    <w:link w:val="BodyText1"/>
    <w:rsid w:val="001A34CA"/>
    <w:rPr>
      <w:rFonts w:ascii="Times New Roman" w:hAnsi="Times New Roman"/>
      <w:sz w:val="21"/>
      <w:szCs w:val="21"/>
      <w:shd w:val="clear" w:color="auto" w:fill="FFFFFF"/>
    </w:rPr>
  </w:style>
  <w:style w:type="paragraph" w:customStyle="1" w:styleId="BodyText1">
    <w:name w:val="Body Text1"/>
    <w:basedOn w:val="Normal"/>
    <w:link w:val="Bodytext0"/>
    <w:rsid w:val="001A34C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1A34C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A34C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1A34C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A34C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A34C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A34C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A34C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A34C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1A34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1A34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Style">
    <w:name w:val="Style"/>
    <w:rsid w:val="001A34CA"/>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ListParagraph1">
    <w:name w:val="List Paragraph1"/>
    <w:basedOn w:val="Normal"/>
    <w:uiPriority w:val="34"/>
    <w:qFormat/>
    <w:rsid w:val="001A34CA"/>
    <w:pPr>
      <w:ind w:left="720" w:firstLine="0"/>
      <w:contextualSpacing/>
    </w:pPr>
  </w:style>
  <w:style w:type="character" w:customStyle="1" w:styleId="alt-edited1">
    <w:name w:val="alt-edited1"/>
    <w:basedOn w:val="DefaultParagraphFont"/>
    <w:rsid w:val="001A34CA"/>
    <w:rPr>
      <w:color w:val="4D90F0"/>
    </w:rPr>
  </w:style>
  <w:style w:type="numbering" w:customStyle="1" w:styleId="ImportedStyle1">
    <w:name w:val="Imported Style 1"/>
    <w:rsid w:val="001A34CA"/>
    <w:pPr>
      <w:numPr>
        <w:numId w:val="17"/>
      </w:numPr>
    </w:pPr>
  </w:style>
  <w:style w:type="paragraph" w:customStyle="1" w:styleId="ColorfulList-Accent11">
    <w:name w:val="Colorful List - Accent 11"/>
    <w:rsid w:val="001A34CA"/>
    <w:pPr>
      <w:pBdr>
        <w:top w:val="nil"/>
        <w:left w:val="nil"/>
        <w:bottom w:val="nil"/>
        <w:right w:val="nil"/>
        <w:between w:val="nil"/>
        <w:bar w:val="nil"/>
      </w:pBdr>
      <w:spacing w:after="0" w:line="240" w:lineRule="auto"/>
      <w:ind w:left="720"/>
    </w:pPr>
    <w:rPr>
      <w:rFonts w:ascii="Times New Roman" w:eastAsia="Times New Roman" w:hAnsi="Times New Roman" w:cs="Times New Roman"/>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7236</Words>
  <Characters>41251</Characters>
  <Application>Microsoft Office Word</Application>
  <DocSecurity>0</DocSecurity>
  <Lines>343</Lines>
  <Paragraphs>96</Paragraphs>
  <ScaleCrop>false</ScaleCrop>
  <Company/>
  <LinksUpToDate>false</LinksUpToDate>
  <CharactersWithSpaces>48391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2018-11-21T14:18:00Z</dcterms:created>
  <dcterms:modified xsi:type="dcterms:W3CDTF">2018-11-21T14:21:00Z</dcterms:modified>
</cp:coreProperties>
</file>