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925" w:rsidRDefault="00854925" w:rsidP="00854925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854925" w:rsidRDefault="00854925" w:rsidP="00854925">
      <w:pPr>
        <w:pStyle w:val="NeniTitull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 xml:space="preserve">Nr. </w:t>
      </w:r>
      <w:bookmarkStart w:id="0" w:name="_GoBack"/>
      <w:r>
        <w:rPr>
          <w:rFonts w:cs="Times New Roman"/>
          <w:spacing w:val="-4"/>
          <w:lang w:val="sq-AL"/>
        </w:rPr>
        <w:t>19, datë 16.1.2019</w:t>
      </w:r>
    </w:p>
    <w:bookmarkEnd w:id="0"/>
    <w:p w:rsidR="00854925" w:rsidRDefault="00854925" w:rsidP="00854925">
      <w:pPr>
        <w:pStyle w:val="Hapesira7"/>
        <w:rPr>
          <w:lang w:val="sq-AL"/>
        </w:rPr>
      </w:pPr>
    </w:p>
    <w:p w:rsidR="00854925" w:rsidRDefault="00854925" w:rsidP="00854925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SHPRONËSIMIN, PËR INTERES PUBLIK, TË PRONARËVE TË PASURIVE TË PALUAJTSHME, PRONË PRIVATE, QË PREKEN NGA REALIZIMI I PROJEKTIT “PËR RIKUALIFIKIMIN URBAN DHE ZHVILLIMIN E BLLOKUT NR. 2, QENDRA E QYTETIT ROSKOVEC”</w:t>
      </w:r>
    </w:p>
    <w:p w:rsidR="00854925" w:rsidRDefault="00854925" w:rsidP="00854925">
      <w:pPr>
        <w:pStyle w:val="Hapesira7"/>
        <w:rPr>
          <w:lang w:val="sq-AL"/>
        </w:rPr>
      </w:pP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neneve 5, 20 e 21, të ligjit nr. 8561, datë 22.12.1999, “Për shpronësimet dhe marrjen në përdorim të përkohshëm të pasurisë, pronë private, për interes publik”, të ndryshuar, të ligjit nr. 9936, datë 26.6.2008, “Për menaxhimin e sistemit buxhetor në Republikën e Shqipërisë”, të ndryshuar, dhe të ligjit nr. 99/2018, “Për buxhetin e vitit 2019”, me propozimin e ministrit të Infrastrukturës dhe Energjisë, Këshilli i Ministrave</w:t>
      </w:r>
    </w:p>
    <w:p w:rsidR="00854925" w:rsidRDefault="00854925" w:rsidP="00854925">
      <w:pPr>
        <w:pStyle w:val="Hapesira7"/>
        <w:rPr>
          <w:lang w:val="sq-AL"/>
        </w:rPr>
      </w:pPr>
    </w:p>
    <w:p w:rsidR="00854925" w:rsidRDefault="00854925" w:rsidP="00854925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54925" w:rsidRDefault="00854925" w:rsidP="00854925">
      <w:pPr>
        <w:pStyle w:val="Hapesira7"/>
        <w:rPr>
          <w:lang w:val="sq-AL"/>
        </w:rPr>
      </w:pP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Shpronësimin, për interes publik, të pronarëve të pasurive të paluajtshme, pronë private, që preken nga realizimi i projektit “Për rikualifikimin urban dhe zhvillimin e bllokut nr. 2, qendra e qytetit Roskovec”. </w:t>
      </w: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Shpronësimi të bëhet në favor të Bashkisë Roskovec. 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spacing w:val="-4"/>
          <w:lang w:val="sq-AL"/>
        </w:rPr>
        <w:t xml:space="preserve">3. Pronarët e pasurive të paluajtshme, që shpronësohen, të kompensohen në vlerë të plotë, sipas masës përkatëse, që paraqitet në tabelën bashkëlidhur këtij vendimi, për pasuritë e llojit </w:t>
      </w:r>
      <w:r>
        <w:rPr>
          <w:lang w:val="sq-AL"/>
        </w:rPr>
        <w:t xml:space="preserve">“truall” dhe “ndërtesë”, me një vlerë të përgjithshme prej 24 435 412 (njëzet e katër milionë e katërqind e tridhjetë e pesë mijë e katërqind e dymbëdhjetë) lekësh. 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lang w:val="sq-AL"/>
        </w:rPr>
        <w:t xml:space="preserve">4. Vlera e përgjithshme e shpronësimit, për pasuritë e llojit “truall” dhe “ndërtesë”, me vlerë 24 435 412 (njëzet e katër milionë e katërqind e tridhjetë e pesë mijë e katërqind e dymbëdhjetë) lekë, të përballohet nga llogaria “Fondi i shpronësimeve”, në Bankën e Shqipërisë. 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lang w:val="sq-AL"/>
        </w:rPr>
        <w:t xml:space="preserve">5. Shpenzimet procedurale, në vlerën 50 000 (pesëdhjetë mijë) lekë, të përballohen nga fondet e Ministrisë së Infrastrukturës dhe Energjisë. 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lang w:val="sq-AL"/>
        </w:rPr>
        <w:t xml:space="preserve">6. Shpronësimi të fillojë menjëherë pas botimit të këtij vendimi në Fletoren Zyrtare. 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lang w:val="sq-AL"/>
        </w:rPr>
        <w:t xml:space="preserve">7. Pronarët e pasurive të paluajtshme, që shpronësohen, sipas tabelës që i bashkëlidhet këtij vendimi, të kompensohen, për efekt shpronësimi, pasi të kenë paraqitur dokumentacionin justifikues për likuidim pranë Bashkisë Roskovec. </w:t>
      </w: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8. Zyra Vendore e Regjistrimit të Pasurive të Paluajtshme Fier, brenda 30 ditëve, nga data e miratimit të këtij vendimi, në bashkëpunim me Bashkinë Roskovec, të fillojë procedurat për hedhjen e gjurmës së projektit në hartën kadastrale, sipas planimetrisë së shpronësimit të miratuar, dhe të bëjnë kalimin e pronësisë, për pasuritë e shpronësuara, në favor të shtetit, përfaqësuar nga Bashkia Roskovec. </w:t>
      </w: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9. Zyra Vendore e Regjistrimit të Pasurive të Paluajtshme Fier të pezullojë të gjitha transaksionet me pasuritë e shpronësuara, deri në momentin kur do të realizohen procesi i hedhjes së gjurmës së projektit në hartën kadastrale dhe kalimi i pronësisë në favor të shtetit për pasuritë e shpronësuara. </w:t>
      </w: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10. Ngarkohen Ministria e Infrastrukturës dhe Energjisë, Ministria e Financave dhe Ekonomisë, Bashkia Roskovec, Zyra Qendrore e Regjistrimit të Pasurive të Paluajtshme dhe Zyra Vendore e Regjistrimit të Pasurive të Paluajtshme Fier për zbatimin e këtij vendimi. </w:t>
      </w:r>
    </w:p>
    <w:p w:rsidR="00854925" w:rsidRDefault="00854925" w:rsidP="0085492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854925" w:rsidRDefault="00854925" w:rsidP="00854925">
      <w:pPr>
        <w:pStyle w:val="Hapesira7"/>
        <w:rPr>
          <w:lang w:val="sq-AL"/>
        </w:rPr>
      </w:pPr>
    </w:p>
    <w:p w:rsidR="00854925" w:rsidRDefault="00854925" w:rsidP="00854925">
      <w:pPr>
        <w:pStyle w:val="Paragrafi"/>
        <w:jc w:val="right"/>
        <w:rPr>
          <w:bCs/>
          <w:spacing w:val="-4"/>
          <w:lang w:val="sq-AL"/>
        </w:rPr>
      </w:pPr>
      <w:r>
        <w:rPr>
          <w:bCs/>
          <w:spacing w:val="-4"/>
          <w:lang w:val="sq-AL"/>
        </w:rPr>
        <w:t>KRYEMINISTRI</w:t>
      </w:r>
    </w:p>
    <w:p w:rsidR="00854925" w:rsidRDefault="00854925" w:rsidP="00854925">
      <w:pPr>
        <w:pStyle w:val="Paragrafi"/>
        <w:jc w:val="right"/>
        <w:rPr>
          <w:b/>
          <w:bCs/>
          <w:spacing w:val="-4"/>
          <w:lang w:val="sq-AL"/>
        </w:rPr>
      </w:pPr>
      <w:r>
        <w:rPr>
          <w:bCs/>
          <w:spacing w:val="-4"/>
          <w:lang w:val="sq-AL"/>
        </w:rPr>
        <w:tab/>
      </w:r>
      <w:r>
        <w:rPr>
          <w:b/>
          <w:bCs/>
          <w:spacing w:val="-4"/>
          <w:lang w:val="sq-AL"/>
        </w:rPr>
        <w:t>Edi Rama</w:t>
      </w:r>
    </w:p>
    <w:p w:rsidR="00854925" w:rsidRDefault="00854925" w:rsidP="00854925">
      <w:pPr>
        <w:pStyle w:val="Paragrafi"/>
        <w:rPr>
          <w:spacing w:val="-4"/>
          <w:lang w:val="sq-AL"/>
        </w:rPr>
        <w:sectPr w:rsidR="00854925" w:rsidSect="00854925">
          <w:pgSz w:w="11907" w:h="16840"/>
          <w:pgMar w:top="720" w:right="1134" w:bottom="720" w:left="1134" w:header="851" w:footer="851" w:gutter="0"/>
          <w:cols w:space="454"/>
        </w:sectPr>
      </w:pPr>
    </w:p>
    <w:p w:rsidR="00854925" w:rsidRDefault="00854925" w:rsidP="00854925">
      <w:pPr>
        <w:pStyle w:val="Paragrafi"/>
        <w:rPr>
          <w:spacing w:val="-4"/>
          <w:lang w:val="sq-AL"/>
        </w:rPr>
      </w:pPr>
    </w:p>
    <w:p w:rsidR="00854925" w:rsidRDefault="00854925" w:rsidP="00854925">
      <w:pPr>
        <w:spacing w:after="0" w:line="240" w:lineRule="auto"/>
        <w:ind w:firstLine="0"/>
        <w:jc w:val="left"/>
        <w:rPr>
          <w:rFonts w:ascii="Garamond" w:eastAsia="MS Mincho" w:hAnsi="Garamond" w:cs="CG Times"/>
          <w:spacing w:val="-4"/>
          <w:sz w:val="24"/>
          <w:lang w:val="sq-AL"/>
        </w:rPr>
        <w:sectPr w:rsidR="00854925" w:rsidSect="00854925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854925" w:rsidRDefault="00854925" w:rsidP="00854925">
      <w:pPr>
        <w:pStyle w:val="Paragrafi"/>
        <w:jc w:val="center"/>
        <w:rPr>
          <w:lang w:val="sq-AL"/>
        </w:rPr>
      </w:pPr>
      <w:r>
        <w:rPr>
          <w:rFonts w:eastAsia="Times New Roman"/>
          <w:bCs/>
          <w:color w:val="000000"/>
          <w:sz w:val="20"/>
          <w:szCs w:val="20"/>
          <w:lang w:val="sq-AL"/>
        </w:rPr>
        <w:lastRenderedPageBreak/>
        <w:t>LISTA E PRONARËVE, PËR PASURITË E PALUAJTSHME, PRONË PRIVATE, QË SHPRONËSOHEN NGA REALIZIMI I PROJEKTIT</w:t>
      </w:r>
      <w:r>
        <w:rPr>
          <w:lang w:val="sq-AL"/>
        </w:rPr>
        <w:t xml:space="preserve"> </w:t>
      </w:r>
    </w:p>
    <w:p w:rsidR="00854925" w:rsidRDefault="00854925" w:rsidP="00854925">
      <w:pPr>
        <w:pStyle w:val="Paragrafi"/>
        <w:jc w:val="center"/>
        <w:rPr>
          <w:lang w:val="sq-AL"/>
        </w:rPr>
      </w:pPr>
      <w:r>
        <w:rPr>
          <w:rFonts w:eastAsia="Times New Roman"/>
          <w:bCs/>
          <w:color w:val="000000"/>
          <w:sz w:val="20"/>
          <w:szCs w:val="20"/>
          <w:lang w:val="sq-AL"/>
        </w:rPr>
        <w:t>“PËR RIKUALIFIKIMIN URBAN DHE ZHVILLIMIN E BLLOKUT NR. 2, QENDRA E QYTETIT ROSKOVEC”</w:t>
      </w:r>
    </w:p>
    <w:p w:rsidR="00854925" w:rsidRDefault="00854925" w:rsidP="00854925">
      <w:pPr>
        <w:pStyle w:val="Paragrafi"/>
        <w:rPr>
          <w:lang w:val="sq-AL"/>
        </w:rPr>
      </w:pPr>
    </w:p>
    <w:tbl>
      <w:tblPr>
        <w:tblW w:w="4889" w:type="pct"/>
        <w:tblLook w:val="04A0" w:firstRow="1" w:lastRow="0" w:firstColumn="1" w:lastColumn="0" w:noHBand="0" w:noVBand="1"/>
      </w:tblPr>
      <w:tblGrid>
        <w:gridCol w:w="509"/>
        <w:gridCol w:w="1847"/>
        <w:gridCol w:w="1086"/>
        <w:gridCol w:w="596"/>
        <w:gridCol w:w="784"/>
        <w:gridCol w:w="910"/>
        <w:gridCol w:w="881"/>
        <w:gridCol w:w="1026"/>
        <w:gridCol w:w="1026"/>
        <w:gridCol w:w="1026"/>
        <w:gridCol w:w="961"/>
        <w:gridCol w:w="2288"/>
      </w:tblGrid>
      <w:tr w:rsidR="00854925" w:rsidTr="00854925">
        <w:trPr>
          <w:trHeight w:val="139"/>
        </w:trPr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Nr.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Emër atësi mbiemër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Nr. i pasurisë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ZK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Sip. e truallit e prekur m</w:t>
            </w:r>
            <w:r>
              <w:rPr>
                <w:rFonts w:ascii="Garamond" w:eastAsia="Times New Roman" w:hAnsi="Garamond"/>
                <w:b/>
                <w:bCs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Çmimi lekë/m</w:t>
            </w:r>
            <w:r>
              <w:rPr>
                <w:rFonts w:ascii="Garamond" w:eastAsia="Times New Roman" w:hAnsi="Garamond"/>
                <w:b/>
                <w:bCs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e truallit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Sip. ndërtesës e prekur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Çmimi i ndërtesës lekë/m</w:t>
            </w:r>
            <w:r>
              <w:rPr>
                <w:rFonts w:ascii="Garamond" w:eastAsia="Times New Roman" w:hAnsi="Garamond"/>
                <w:b/>
                <w:bCs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e ndërtesës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totale</w:t>
            </w:r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Shënime sqaruese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Maliq Hasan Kalemi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2/442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32110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23.4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30000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702000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734110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Ilir Neli Koronaci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2/343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121524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121524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Vladimir Pali Kola      Ardjana Vangjel Kola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2/342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176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86944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86944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Selime Xhevair Çepele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455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224770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224770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Kujtim Faik Kapo       Merfa Lime Kapo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193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95342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95342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Fatmir Zija Hasanbelliu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2/356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762.6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376724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376724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Sabaudin Feridum Begaj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2188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1080872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1080872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Sokol Rrapi Plepi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2/369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69160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69160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Lupo Jani Ziu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41002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41002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Foto Jani Ziu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2/371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74100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74100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Ilir Luftar Buzi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2/386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459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226746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3904768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4131514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Konfirmuar nga ZVRPP Fier, me shkresën nr. 7957/2 prot., datë 19.11.2018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Ilir Luftar Buzi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445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219830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270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2450450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2670280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Betim Rrapush Çepele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2/385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459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226746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3904768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4131514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 xml:space="preserve">Konfirmuar nga ZVRPP Fier, me </w:t>
            </w: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lastRenderedPageBreak/>
              <w:t>shkresën nr. 7957/2 prot., datë 19.11.2018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lastRenderedPageBreak/>
              <w:t>14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Ismail Alush Siqeca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243048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4137768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4380816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Konfirmuar nga ZVRPP Fier, me shkresën nr. 7957/2 prot., datë 19.11.2018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Bashkëpronarët Çullaj, Spahiu, Belshi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2/249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90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44460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44460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Urdhër kufizimi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Arshi Mesut Buzi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1154.6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570372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570372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Arshi Mesut Buzi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100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781926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831326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18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Arshi Mesut Buzi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180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88920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1463936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1552856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19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Astrit Sali Sanka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2/284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36556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36556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Konfirmuar nga ZVRPP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20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Faslli Durre Isufaj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2/135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14820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30000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2010000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2024820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Urdhër kufizimi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Agron Dino Murataj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2/455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35568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35568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Bashkëpronarët Kongoli, Shehu, Resuli, Hoxha, Risilia, Bedini, Kryeziu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2/344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86.8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42879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42879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Fatmir Rrapi Kasemaj   Miranda Luftar Kasemaj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2/170+1-1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30000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510000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510000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Konfirmuar nga ZVRPP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Jorgo Feridun Begaj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2/452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240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118560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118560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Jorgo Feridum Begaj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2/437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670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330980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330980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t>26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Telo Feridun Begaj     Florentina Musa Begaj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2/451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143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70642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70642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Cs/>
                <w:color w:val="000000"/>
                <w:lang w:val="sq-AL"/>
              </w:rPr>
              <w:lastRenderedPageBreak/>
              <w:t>27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Artur Idajet Çela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2/444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3196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96.6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47720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47720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Vërtetim hipotekor</w:t>
            </w:r>
          </w:p>
        </w:tc>
      </w:tr>
      <w:tr w:rsidR="00854925" w:rsidTr="00854925">
        <w:trPr>
          <w:trHeight w:val="139"/>
        </w:trPr>
        <w:tc>
          <w:tcPr>
            <w:tcW w:w="159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VLERA TOTALE PARAPRAKE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9250.6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4569796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2067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19865616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54925" w:rsidRDefault="0085492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24435412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54925" w:rsidRDefault="0085492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lang w:val="sq-AL"/>
              </w:rPr>
              <w:t> </w:t>
            </w:r>
          </w:p>
        </w:tc>
      </w:tr>
    </w:tbl>
    <w:p w:rsidR="00854925" w:rsidRDefault="00854925" w:rsidP="00854925">
      <w:pPr>
        <w:pStyle w:val="Paragrafi"/>
        <w:rPr>
          <w:lang w:val="sq-AL"/>
        </w:rPr>
      </w:pPr>
    </w:p>
    <w:p w:rsidR="00854925" w:rsidRDefault="00854925" w:rsidP="00854925">
      <w:pPr>
        <w:pStyle w:val="Paragrafi"/>
        <w:rPr>
          <w:lang w:val="sq-AL"/>
        </w:rPr>
      </w:pPr>
      <w:r>
        <w:rPr>
          <w:rFonts w:eastAsia="Times New Roman"/>
          <w:bCs/>
          <w:i/>
          <w:iCs/>
          <w:color w:val="000000"/>
          <w:sz w:val="20"/>
          <w:szCs w:val="20"/>
          <w:lang w:val="sq-AL"/>
        </w:rPr>
        <w:t>Shënim 1. Vlerësimi për objektet është kryer bazuar në VKM-në nr. 138, datë 23.3.2000.</w:t>
      </w:r>
    </w:p>
    <w:p w:rsidR="00854925" w:rsidRDefault="00854925" w:rsidP="00854925">
      <w:pPr>
        <w:pStyle w:val="Paragrafi"/>
        <w:rPr>
          <w:lang w:val="sq-AL"/>
        </w:rPr>
      </w:pPr>
      <w:r>
        <w:rPr>
          <w:rFonts w:eastAsia="Times New Roman"/>
          <w:bCs/>
          <w:i/>
          <w:iCs/>
          <w:color w:val="000000"/>
          <w:sz w:val="20"/>
          <w:szCs w:val="20"/>
          <w:lang w:val="sq-AL"/>
        </w:rPr>
        <w:t>2. Vlerësimi i pasurisë së llojit “tokë truall” është kryer bazuar në VKM-në nr. 89, datë 3.2.2016.</w:t>
      </w:r>
    </w:p>
    <w:p w:rsidR="00FE7210" w:rsidRDefault="00FE7210"/>
    <w:sectPr w:rsidR="00FE7210" w:rsidSect="008549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25"/>
    <w:rsid w:val="00854925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C891B-131E-49F0-983E-681C1737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925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5492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5492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5492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5492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85492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85492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5492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2019-01-24T09:07:00Z</dcterms:created>
  <dcterms:modified xsi:type="dcterms:W3CDTF">2019-01-24T09:13:00Z</dcterms:modified>
</cp:coreProperties>
</file>