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911" w:rsidRDefault="00A66911" w:rsidP="00A6691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A66911" w:rsidRDefault="00A66911" w:rsidP="00A6691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21, datë 16.1.2019</w:t>
      </w:r>
      <w:bookmarkEnd w:id="0"/>
    </w:p>
    <w:p w:rsidR="00A66911" w:rsidRDefault="00A66911" w:rsidP="00A66911">
      <w:pPr>
        <w:pStyle w:val="Hapesira7"/>
        <w:rPr>
          <w:lang w:val="sq-AL"/>
        </w:rPr>
      </w:pPr>
    </w:p>
    <w:p w:rsidR="00A66911" w:rsidRDefault="00A66911" w:rsidP="00A6691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</w:t>
      </w:r>
      <w:r>
        <w:rPr>
          <w:spacing w:val="-4"/>
          <w:lang w:val="sq-AL" w:eastAsia="en-GB"/>
        </w:rPr>
        <w:t xml:space="preserve">NJË NDRYSHIM NË VENDIMIN </w:t>
      </w:r>
      <w:r>
        <w:rPr>
          <w:color w:val="000000"/>
          <w:spacing w:val="-4"/>
          <w:lang w:val="sq-AL"/>
        </w:rPr>
        <w:t>NR. 28, DATË 17.1.2018, TË KËSHILLIT TË MINISTRAVE, “PËR EMËRIMIN E ANËTARËVE TË BORDIT TË MENAXHIMIT TË AUTORITETIT RRUGOR SHQIPTAR”</w:t>
      </w:r>
    </w:p>
    <w:p w:rsidR="00A66911" w:rsidRDefault="00A66911" w:rsidP="00A66911">
      <w:pPr>
        <w:pStyle w:val="Hapesira7"/>
        <w:rPr>
          <w:lang w:val="sq-AL" w:eastAsia="en-GB"/>
        </w:rPr>
      </w:pPr>
    </w:p>
    <w:p w:rsidR="00A66911" w:rsidRDefault="00A66911" w:rsidP="00A6691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Në mbështetje të nenit 100 të Kushtetutës dhe të pikës 2, të nenit 8, të ligjit nr. 10164, datë 15.10.2009, “Për Autoritetin Rrugor Shqiptar”, me propozimin e ministrit të Infrastrukturës dhe Energjisë, Këshilli i Ministrave</w:t>
      </w:r>
    </w:p>
    <w:p w:rsidR="00A66911" w:rsidRDefault="00A66911" w:rsidP="00A66911">
      <w:pPr>
        <w:pStyle w:val="Paragrafi"/>
        <w:jc w:val="center"/>
        <w:rPr>
          <w:rFonts w:eastAsia="Times New Roman"/>
          <w:bCs/>
          <w:spacing w:val="-4"/>
          <w:lang w:val="sq-AL"/>
        </w:rPr>
      </w:pPr>
      <w:r>
        <w:rPr>
          <w:rFonts w:eastAsia="Times New Roman"/>
          <w:bCs/>
          <w:spacing w:val="-4"/>
          <w:lang w:val="sq-AL"/>
        </w:rPr>
        <w:t>VENDOSI:</w:t>
      </w:r>
    </w:p>
    <w:p w:rsidR="00A66911" w:rsidRDefault="00A66911" w:rsidP="00A66911">
      <w:pPr>
        <w:pStyle w:val="Hapesira7"/>
        <w:rPr>
          <w:lang w:val="sq-AL"/>
        </w:rPr>
      </w:pPr>
    </w:p>
    <w:p w:rsidR="00A66911" w:rsidRDefault="00A66911" w:rsidP="00A66911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1. Në shkronjën “d”, të pikës 1, të vendimit nr. 28, datë 17.1.2018 të Këshillit të Ministrave, “z. Kujtim Hashorva, Dhoma e Tregtisë dhe Industrisë”, zëvendësohet me “z. Hazbi Parllaku, Dhoma e Tregtisë dhe Industrisë”.</w:t>
      </w:r>
    </w:p>
    <w:p w:rsidR="00A66911" w:rsidRDefault="00A66911" w:rsidP="00A66911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Ky vendim hyn në fuqi pas botimit në Fletoren Zyrtare.</w:t>
      </w:r>
    </w:p>
    <w:p w:rsidR="00A66911" w:rsidRDefault="00A66911" w:rsidP="00A66911">
      <w:pPr>
        <w:pStyle w:val="Paragrafi"/>
        <w:jc w:val="right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>KRYEMINISTRI</w:t>
      </w:r>
    </w:p>
    <w:p w:rsidR="00A66911" w:rsidRDefault="00A66911" w:rsidP="00A66911">
      <w:pPr>
        <w:pStyle w:val="Paragrafi"/>
        <w:jc w:val="right"/>
        <w:rPr>
          <w:b/>
          <w:bCs/>
          <w:spacing w:val="-4"/>
          <w:lang w:val="sq-AL"/>
        </w:rPr>
      </w:pPr>
      <w:r>
        <w:rPr>
          <w:bCs/>
          <w:spacing w:val="-4"/>
          <w:lang w:val="sq-AL"/>
        </w:rPr>
        <w:tab/>
      </w:r>
      <w:r>
        <w:rPr>
          <w:b/>
          <w:bCs/>
          <w:spacing w:val="-4"/>
          <w:lang w:val="sq-AL"/>
        </w:rPr>
        <w:t>Edi Rama</w:t>
      </w:r>
    </w:p>
    <w:p w:rsidR="00FE7210" w:rsidRDefault="00FE7210"/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911"/>
    <w:rsid w:val="00A66911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991994-FE8F-423D-A8F1-49E407848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6691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669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A6691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6691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6691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8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2019-01-24T09:16:00Z</dcterms:created>
  <dcterms:modified xsi:type="dcterms:W3CDTF">2019-01-24T09:17:00Z</dcterms:modified>
</cp:coreProperties>
</file>