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EED" w:rsidRDefault="00FB2EED" w:rsidP="00FB2EED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FB2EED" w:rsidRDefault="00FB2EED" w:rsidP="00FB2EED">
      <w:pPr>
        <w:pStyle w:val="NeniTitull"/>
        <w:rPr>
          <w:lang w:val="sq-AL"/>
        </w:rPr>
      </w:pPr>
      <w:r>
        <w:rPr>
          <w:lang w:val="sq-AL"/>
        </w:rPr>
        <w:t>Nr. 53, datë 6.2.2019</w:t>
      </w:r>
    </w:p>
    <w:p w:rsidR="00FB2EED" w:rsidRDefault="00FB2EED" w:rsidP="00FB2EED">
      <w:pPr>
        <w:pStyle w:val="NeniTitull"/>
        <w:rPr>
          <w:sz w:val="14"/>
          <w:lang w:val="sq-AL"/>
        </w:rPr>
      </w:pPr>
    </w:p>
    <w:p w:rsidR="00FB2EED" w:rsidRDefault="00FB2EED" w:rsidP="00FB2EED">
      <w:pPr>
        <w:pStyle w:val="NeniTitull"/>
        <w:rPr>
          <w:lang w:val="sq-AL"/>
        </w:rPr>
      </w:pPr>
      <w:r>
        <w:rPr>
          <w:lang w:val="sq-AL"/>
        </w:rPr>
        <w:t>PËR DISA NDRYSHIME NË VENDIMIN NR. 325, DATË 19.3.2008, TË KËSHILLIT TË MINISTRAVE, “PËR MIRATIMIN E RREGULLAVE PËR PRANIMIN NË VEPRIMTARINË E OPERATORIT TË TRANSPORTIT RRUGOR TË MALLRAVE DHE TË UDHËTARËVE, SI DHE PËR NJOHJEN E DOKUMENTEVE ZYRTARE TË CAKTUARA PËR KËTA OPERATORË”</w:t>
      </w:r>
      <w:r>
        <w:rPr>
          <w:vertAlign w:val="superscript"/>
          <w:lang w:val="sq-AL"/>
        </w:rPr>
        <w:footnoteReference w:id="1"/>
      </w:r>
      <w:r>
        <w:rPr>
          <w:lang w:val="sq-AL"/>
        </w:rPr>
        <w:t>, TË NDRYSHUAR</w:t>
      </w:r>
    </w:p>
    <w:p w:rsidR="00FB2EED" w:rsidRDefault="00FB2EED" w:rsidP="00FB2EED">
      <w:pPr>
        <w:pStyle w:val="Paragrafi"/>
        <w:rPr>
          <w:sz w:val="14"/>
          <w:lang w:val="sq-AL"/>
        </w:rPr>
      </w:pPr>
    </w:p>
    <w:p w:rsidR="00FB2EED" w:rsidRDefault="00FB2EED" w:rsidP="00FB2EED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nenit 6, të ligjit nr. 8308, datë 18.3.1998, “Për transportet rrugore”, të ndryshuar, me propozimin e ministrit të Infrastrukturës dhe Energjisë, Këshilli i Ministrave</w:t>
      </w:r>
    </w:p>
    <w:p w:rsidR="00FB2EED" w:rsidRDefault="00FB2EED" w:rsidP="00FB2EED">
      <w:pPr>
        <w:pStyle w:val="Paragrafi"/>
        <w:rPr>
          <w:sz w:val="14"/>
          <w:lang w:val="sq-AL"/>
        </w:rPr>
      </w:pPr>
    </w:p>
    <w:p w:rsidR="00FB2EED" w:rsidRDefault="00FB2EED" w:rsidP="00FB2EED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FB2EED" w:rsidRDefault="00FB2EED" w:rsidP="00FB2EED">
      <w:pPr>
        <w:pStyle w:val="Paragrafi"/>
        <w:rPr>
          <w:sz w:val="14"/>
          <w:lang w:val="sq-AL"/>
        </w:rPr>
      </w:pPr>
      <w:bookmarkStart w:id="0" w:name="_GoBack"/>
      <w:bookmarkEnd w:id="0"/>
    </w:p>
    <w:p w:rsidR="00FB2EED" w:rsidRDefault="00FB2EED" w:rsidP="00FB2EED">
      <w:pPr>
        <w:pStyle w:val="Paragrafi"/>
        <w:rPr>
          <w:lang w:val="sq-AL"/>
        </w:rPr>
      </w:pPr>
      <w:r>
        <w:rPr>
          <w:lang w:val="sq-AL"/>
        </w:rPr>
        <w:t>Në rregulloren që i bashkëlidhet vendimit nr. 325, datë 19.3.2008, të Këshillit të Ministrave, të ndryshuar, bëhen ndryshimet dhe shtesat, si më poshtë vijon:</w:t>
      </w:r>
    </w:p>
    <w:p w:rsidR="00FB2EED" w:rsidRDefault="00FB2EED" w:rsidP="00FB2EED">
      <w:pPr>
        <w:pStyle w:val="Paragrafi"/>
        <w:rPr>
          <w:lang w:val="sq-AL"/>
        </w:rPr>
      </w:pPr>
      <w:r>
        <w:rPr>
          <w:lang w:val="sq-AL"/>
        </w:rPr>
        <w:t xml:space="preserve">I. </w:t>
      </w:r>
      <w:r>
        <w:rPr>
          <w:lang w:val="sq-AL"/>
        </w:rPr>
        <w:t>Kudo në tekst, emërtimi “Qendra Kombëtare e Licencimit” dhe termi “QKL” zëvendësohen përkatësisht me “Qendra Kombëtare e Biznesit” dhe “QKB”.</w:t>
      </w:r>
    </w:p>
    <w:p w:rsidR="00FB2EED" w:rsidRDefault="00FB2EED" w:rsidP="00FB2EED">
      <w:pPr>
        <w:pStyle w:val="Paragrafi"/>
        <w:rPr>
          <w:lang w:val="sq-AL"/>
        </w:rPr>
      </w:pPr>
      <w:r>
        <w:rPr>
          <w:lang w:val="sq-AL"/>
        </w:rPr>
        <w:t xml:space="preserve">II. </w:t>
      </w:r>
      <w:r>
        <w:rPr>
          <w:lang w:val="sq-AL"/>
        </w:rPr>
        <w:t>Në kapitullin II bëhen këto ndryshime:</w:t>
      </w:r>
    </w:p>
    <w:p w:rsidR="00FB2EED" w:rsidRDefault="00FB2EED" w:rsidP="00FB2EED">
      <w:pPr>
        <w:pStyle w:val="Paragrafi"/>
        <w:rPr>
          <w:lang w:val="sq-AL"/>
        </w:rPr>
      </w:pPr>
      <w:r>
        <w:rPr>
          <w:lang w:val="sq-AL"/>
        </w:rPr>
        <w:t>1. Shkronja “a”, e pikës 5.2, riformulohet si më poshtë vijon:</w:t>
      </w:r>
    </w:p>
    <w:p w:rsidR="00FB2EED" w:rsidRDefault="00FB2EED" w:rsidP="00FB2EED">
      <w:pPr>
        <w:pStyle w:val="Paragrafi"/>
        <w:rPr>
          <w:lang w:val="sq-AL"/>
        </w:rPr>
      </w:pPr>
      <w:r>
        <w:rPr>
          <w:lang w:val="sq-AL"/>
        </w:rPr>
        <w:t xml:space="preserve"> “a) </w:t>
      </w:r>
      <w:r>
        <w:rPr>
          <w:lang w:val="sq-AL"/>
        </w:rPr>
        <w:tab/>
        <w:t>Jo më pak se 9 000 (nëntë mijë) euro, për mjetin e parë, dhe 5 000 (pesë mijë) euro, për çdo mjet shtesë të autorizuar për t’u përdorur në transportin ndërkombëtar të mallrave dhe udhëtarëve;”.</w:t>
      </w:r>
    </w:p>
    <w:p w:rsidR="00FB2EED" w:rsidRDefault="00FB2EED" w:rsidP="00FB2EED">
      <w:pPr>
        <w:pStyle w:val="Paragrafi"/>
        <w:rPr>
          <w:lang w:val="sq-AL"/>
        </w:rPr>
      </w:pPr>
      <w:r>
        <w:rPr>
          <w:lang w:val="sq-AL"/>
        </w:rPr>
        <w:t>2. Pika 5.4 riformulohet si më poshtë vijon:</w:t>
      </w:r>
    </w:p>
    <w:p w:rsidR="00FB2EED" w:rsidRDefault="00FB2EED" w:rsidP="00FB2EED">
      <w:pPr>
        <w:pStyle w:val="Paragrafi"/>
        <w:rPr>
          <w:lang w:val="sq-AL"/>
        </w:rPr>
      </w:pPr>
      <w:r>
        <w:rPr>
          <w:lang w:val="sq-AL"/>
        </w:rPr>
        <w:t xml:space="preserve">“5.4. </w:t>
      </w:r>
      <w:r>
        <w:rPr>
          <w:lang w:val="sq-AL"/>
        </w:rPr>
        <w:t>Kushti në lidhje me kapitalin minimal të vlefshëm dhe rezervë të qëndrueshmërisë financiare të veprimtarisë së ndërmarrjes në transportin rrugor ndërkombëtar të mallrave dhe udhëtarëve, i përcaktuar sipas shkronjës “a”, të pikës 5.2, do të zbatohet nga data 1 mars 2019.”.</w:t>
      </w:r>
    </w:p>
    <w:p w:rsidR="00FB2EED" w:rsidRDefault="00FB2EED" w:rsidP="00FB2EED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FB2EED" w:rsidRDefault="00FB2EED" w:rsidP="00FB2EED">
      <w:pPr>
        <w:pStyle w:val="Paragrafi"/>
        <w:rPr>
          <w:sz w:val="14"/>
          <w:lang w:val="sq-AL"/>
        </w:rPr>
      </w:pPr>
    </w:p>
    <w:p w:rsidR="00FB2EED" w:rsidRDefault="00FB2EED" w:rsidP="00FB2EED">
      <w:pPr>
        <w:pStyle w:val="Paragrafi"/>
        <w:jc w:val="right"/>
        <w:rPr>
          <w:lang w:val="sq-AL"/>
        </w:rPr>
      </w:pPr>
      <w:r>
        <w:rPr>
          <w:lang w:val="sq-AL"/>
        </w:rPr>
        <w:t>ZËVENDËSKRYEMINISTRI</w:t>
      </w:r>
    </w:p>
    <w:p w:rsidR="00FB2EED" w:rsidRDefault="00FB2EED" w:rsidP="00FB2EED">
      <w:pPr>
        <w:pStyle w:val="Paragrafi"/>
        <w:jc w:val="right"/>
        <w:rPr>
          <w:lang w:val="sq-AL"/>
        </w:rPr>
      </w:pPr>
      <w:r>
        <w:rPr>
          <w:b/>
          <w:lang w:val="sq-AL"/>
        </w:rPr>
        <w:t>Erion Braçe</w:t>
      </w:r>
    </w:p>
    <w:p w:rsidR="009053A0" w:rsidRDefault="009053A0"/>
    <w:sectPr w:rsidR="00905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EED" w:rsidRDefault="00FB2EED" w:rsidP="00FB2EED">
      <w:pPr>
        <w:spacing w:after="0" w:line="240" w:lineRule="auto"/>
      </w:pPr>
      <w:r>
        <w:separator/>
      </w:r>
    </w:p>
  </w:endnote>
  <w:endnote w:type="continuationSeparator" w:id="0">
    <w:p w:rsidR="00FB2EED" w:rsidRDefault="00FB2EED" w:rsidP="00FB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EED" w:rsidRDefault="00FB2EED" w:rsidP="00FB2EED">
      <w:pPr>
        <w:spacing w:after="0" w:line="240" w:lineRule="auto"/>
      </w:pPr>
      <w:r>
        <w:separator/>
      </w:r>
    </w:p>
  </w:footnote>
  <w:footnote w:type="continuationSeparator" w:id="0">
    <w:p w:rsidR="00FB2EED" w:rsidRDefault="00FB2EED" w:rsidP="00FB2EED">
      <w:pPr>
        <w:spacing w:after="0" w:line="240" w:lineRule="auto"/>
      </w:pPr>
      <w:r>
        <w:continuationSeparator/>
      </w:r>
    </w:p>
  </w:footnote>
  <w:footnote w:id="1">
    <w:p w:rsidR="00FB2EED" w:rsidRDefault="00FB2EED" w:rsidP="00FB2EED">
      <w:pPr>
        <w:pStyle w:val="FootnoteText"/>
        <w:ind w:firstLine="0"/>
        <w:rPr>
          <w:rFonts w:ascii="Garamond" w:hAnsi="Garamond"/>
          <w:lang w:val="en-GB"/>
        </w:rPr>
      </w:pPr>
      <w:r>
        <w:rPr>
          <w:rStyle w:val="FootnoteReference"/>
          <w:rFonts w:ascii="Garamond" w:hAnsi="Garamond"/>
        </w:rPr>
        <w:footnoteRef/>
      </w:r>
      <w:r>
        <w:rPr>
          <w:rFonts w:ascii="Garamond" w:hAnsi="Garamond"/>
        </w:rPr>
        <w:t xml:space="preserve"> </w:t>
      </w:r>
      <w:r>
        <w:rPr>
          <w:rFonts w:ascii="Garamond" w:hAnsi="Garamond"/>
          <w:spacing w:val="-2"/>
        </w:rPr>
        <w:t>Ky vendim është i përafruar pjesërisht me rregulloren (KE) nr.</w:t>
      </w:r>
      <w:r>
        <w:rPr>
          <w:rFonts w:ascii="Garamond" w:hAnsi="Garamond"/>
          <w:spacing w:val="-1"/>
        </w:rPr>
        <w:t xml:space="preserve">1071/2009, të Parlamentit Evropian dhe Këshillit,                  datë 21 </w:t>
      </w:r>
      <w:r>
        <w:rPr>
          <w:rFonts w:ascii="Garamond" w:hAnsi="Garamond"/>
          <w:spacing w:val="-2"/>
        </w:rPr>
        <w:t xml:space="preserve">tetor 2009, “Mbi vendosjen e rregullave të përbashkëta në </w:t>
      </w:r>
      <w:r>
        <w:rPr>
          <w:rFonts w:ascii="Garamond" w:hAnsi="Garamond"/>
          <w:spacing w:val="-1"/>
        </w:rPr>
        <w:t xml:space="preserve">lidhje me kushtet që duhet të plotësohen për ushtrimin e </w:t>
      </w:r>
      <w:r>
        <w:rPr>
          <w:rFonts w:ascii="Garamond" w:hAnsi="Garamond"/>
        </w:rPr>
        <w:t xml:space="preserve">profesionit të operatorit të transportit rrugor, e cila shfuqizon direktivën e Këshillit 96/26/KE”, nr.CELEX </w:t>
      </w:r>
      <w:r>
        <w:rPr>
          <w:rFonts w:ascii="Garamond" w:hAnsi="Garamond"/>
          <w:spacing w:val="-3"/>
        </w:rPr>
        <w:t xml:space="preserve">32009R1071, Fletore Zyrtare e Bashkimit Evropian L300, </w:t>
      </w:r>
      <w:r>
        <w:rPr>
          <w:rFonts w:ascii="Garamond" w:hAnsi="Garamond"/>
        </w:rPr>
        <w:t>14.11.2009, faqe 51–71.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EED"/>
    <w:rsid w:val="009053A0"/>
    <w:rsid w:val="00FB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EDCDCD-C4E5-4F17-9E65-D7F5A9CB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semiHidden/>
    <w:locked/>
    <w:rsid w:val="00FB2EED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"/>
    <w:basedOn w:val="Normal"/>
    <w:link w:val="FootnoteTextChar"/>
    <w:uiPriority w:val="99"/>
    <w:semiHidden/>
    <w:unhideWhenUsed/>
    <w:qFormat/>
    <w:rsid w:val="00FB2EED"/>
    <w:pPr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1">
    <w:name w:val="Footnote Text Char1"/>
    <w:basedOn w:val="DefaultParagraphFont"/>
    <w:uiPriority w:val="99"/>
    <w:semiHidden/>
    <w:rsid w:val="00FB2EED"/>
    <w:rPr>
      <w:sz w:val="20"/>
      <w:szCs w:val="20"/>
    </w:rPr>
  </w:style>
  <w:style w:type="character" w:customStyle="1" w:styleId="ParagrafiChar">
    <w:name w:val="Paragrafi Char"/>
    <w:basedOn w:val="DefaultParagraphFont"/>
    <w:link w:val="Paragrafi"/>
    <w:locked/>
    <w:rsid w:val="00FB2EED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FB2EE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FB2EED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FB2EE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FB2EE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FB2EE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styleId="FootnoteReference">
    <w:name w:val="footnote reference"/>
    <w:aliases w:val="ftref,BVI fnr,16 Point,Superscript 6 Point,Fußnotenzeichen DISS,Footnote,Footnote symbol,Char1 Char Char Char Char,Odwołanie przypisu,fr,Rimando nota a piè di pagina2,Footnote Reference Arial,callout"/>
    <w:link w:val="Char2"/>
    <w:uiPriority w:val="99"/>
    <w:unhideWhenUsed/>
    <w:qFormat/>
    <w:rsid w:val="00FB2EED"/>
    <w:rPr>
      <w:vertAlign w:val="superscript"/>
    </w:rPr>
  </w:style>
  <w:style w:type="paragraph" w:customStyle="1" w:styleId="Char2">
    <w:name w:val="Char2"/>
    <w:basedOn w:val="Normal"/>
    <w:link w:val="FootnoteReference"/>
    <w:uiPriority w:val="99"/>
    <w:rsid w:val="00FB2EED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2019-02-13T07:38:00Z</dcterms:created>
  <dcterms:modified xsi:type="dcterms:W3CDTF">2019-02-13T07:39:00Z</dcterms:modified>
</cp:coreProperties>
</file>