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95C" w:rsidRDefault="0096095C" w:rsidP="0096095C">
      <w:pPr>
        <w:pStyle w:val="NeniTitull"/>
        <w:rPr>
          <w:lang w:val="sq-AL"/>
        </w:rPr>
      </w:pPr>
      <w:r>
        <w:rPr>
          <w:lang w:val="sq-AL"/>
        </w:rPr>
        <w:t>VENDIM</w:t>
      </w:r>
    </w:p>
    <w:p w:rsidR="0096095C" w:rsidRDefault="0096095C" w:rsidP="0096095C">
      <w:pPr>
        <w:pStyle w:val="NeniTitull"/>
        <w:rPr>
          <w:lang w:val="sq-AL"/>
        </w:rPr>
      </w:pPr>
      <w:r>
        <w:rPr>
          <w:lang w:val="sq-AL"/>
        </w:rPr>
        <w:t xml:space="preserve">Nr. </w:t>
      </w:r>
      <w:bookmarkStart w:id="0" w:name="_GoBack"/>
      <w:r>
        <w:rPr>
          <w:lang w:val="sq-AL"/>
        </w:rPr>
        <w:t>64, datë 13.2.2019</w:t>
      </w:r>
      <w:bookmarkEnd w:id="0"/>
    </w:p>
    <w:p w:rsidR="0096095C" w:rsidRDefault="0096095C" w:rsidP="0096095C">
      <w:pPr>
        <w:pStyle w:val="Hapesira7"/>
        <w:rPr>
          <w:lang w:val="sq-AL" w:eastAsia="en-GB"/>
        </w:rPr>
      </w:pPr>
    </w:p>
    <w:p w:rsidR="0096095C" w:rsidRDefault="0096095C" w:rsidP="0096095C">
      <w:pPr>
        <w:pStyle w:val="NeniTitull"/>
        <w:rPr>
          <w:lang w:val="sq-AL"/>
        </w:rPr>
      </w:pPr>
      <w:r>
        <w:rPr>
          <w:lang w:val="sq-AL"/>
        </w:rPr>
        <w:t>PËR MIRATIMIN E PLANIT TË VEPRIMIT TË REFORMAVE TË INVESTIMEVE 2019–2020</w:t>
      </w:r>
    </w:p>
    <w:p w:rsidR="0096095C" w:rsidRDefault="0096095C" w:rsidP="0096095C">
      <w:pPr>
        <w:pStyle w:val="Hapesira7"/>
        <w:rPr>
          <w:lang w:val="sq-AL"/>
        </w:rPr>
      </w:pPr>
    </w:p>
    <w:p w:rsidR="0096095C" w:rsidRDefault="0096095C" w:rsidP="0096095C">
      <w:pPr>
        <w:pStyle w:val="Paragrafi"/>
        <w:rPr>
          <w:lang w:val="sq-AL"/>
        </w:rPr>
      </w:pPr>
      <w:r>
        <w:rPr>
          <w:lang w:val="sq-AL"/>
        </w:rPr>
        <w:t>Në mbështetje të nenit 100 të Kushtetutës, me propozimin e ministrit të Financave dhe Ekonomisë, Këshilli i Ministrave</w:t>
      </w:r>
    </w:p>
    <w:p w:rsidR="0096095C" w:rsidRPr="0096095C" w:rsidRDefault="0096095C" w:rsidP="0096095C">
      <w:pPr>
        <w:pStyle w:val="Hapesira7"/>
        <w:rPr>
          <w:lang w:val="sq-AL"/>
        </w:rPr>
      </w:pPr>
    </w:p>
    <w:p w:rsidR="0096095C" w:rsidRDefault="0096095C" w:rsidP="0096095C">
      <w:pPr>
        <w:pStyle w:val="NeniNr"/>
        <w:rPr>
          <w:lang w:val="sq-AL"/>
        </w:rPr>
      </w:pPr>
      <w:r>
        <w:rPr>
          <w:lang w:val="sq-AL"/>
        </w:rPr>
        <w:t>VENDOSI:</w:t>
      </w:r>
    </w:p>
    <w:p w:rsidR="0096095C" w:rsidRDefault="0096095C" w:rsidP="0096095C">
      <w:pPr>
        <w:pStyle w:val="Hapesira7"/>
        <w:rPr>
          <w:lang w:val="sq-AL"/>
        </w:rPr>
      </w:pPr>
    </w:p>
    <w:p w:rsidR="0096095C" w:rsidRDefault="0096095C" w:rsidP="0096095C">
      <w:pPr>
        <w:pStyle w:val="Paragrafi"/>
        <w:rPr>
          <w:lang w:val="sq-AL"/>
        </w:rPr>
      </w:pPr>
      <w:r>
        <w:rPr>
          <w:lang w:val="sq-AL"/>
        </w:rPr>
        <w:t>Miratimin e planit të veprimit të reformave të investimeve 2019–2020, sipas tekstit që i bashkëlidhet këtij vendimi.</w:t>
      </w:r>
    </w:p>
    <w:p w:rsidR="0096095C" w:rsidRDefault="0096095C" w:rsidP="0096095C">
      <w:pPr>
        <w:pStyle w:val="Paragrafi"/>
        <w:rPr>
          <w:lang w:val="sq-AL"/>
        </w:rPr>
      </w:pPr>
      <w:r>
        <w:rPr>
          <w:lang w:val="sq-AL"/>
        </w:rPr>
        <w:t>Ky vendim hyn në fuqi pas botimit në Fletoren Zyrtare.</w:t>
      </w:r>
    </w:p>
    <w:p w:rsidR="0096095C" w:rsidRDefault="0096095C" w:rsidP="0096095C">
      <w:pPr>
        <w:pStyle w:val="Hapesira7"/>
        <w:rPr>
          <w:sz w:val="10"/>
          <w:lang w:val="sq-AL"/>
        </w:rPr>
      </w:pPr>
    </w:p>
    <w:p w:rsidR="0096095C" w:rsidRDefault="0096095C" w:rsidP="0096095C">
      <w:pPr>
        <w:pStyle w:val="Paragrafi"/>
        <w:jc w:val="right"/>
        <w:rPr>
          <w:lang w:val="sq-AL"/>
        </w:rPr>
      </w:pPr>
      <w:r>
        <w:rPr>
          <w:lang w:val="sq-AL"/>
        </w:rPr>
        <w:t>ZËVENDËSKRYEMINISTRI</w:t>
      </w:r>
    </w:p>
    <w:p w:rsidR="0096095C" w:rsidRDefault="0096095C" w:rsidP="0096095C">
      <w:pPr>
        <w:pStyle w:val="Paragrafi"/>
        <w:jc w:val="right"/>
        <w:rPr>
          <w:b/>
          <w:lang w:val="sq-AL"/>
        </w:rPr>
      </w:pPr>
      <w:r>
        <w:rPr>
          <w:b/>
          <w:lang w:val="sq-AL"/>
        </w:rPr>
        <w:t>Erion Braçe</w:t>
      </w:r>
    </w:p>
    <w:p w:rsidR="0096095C" w:rsidRDefault="0096095C" w:rsidP="0096095C">
      <w:pPr>
        <w:pStyle w:val="Paragrafi"/>
        <w:jc w:val="right"/>
        <w:rPr>
          <w:b/>
          <w:lang w:val="sq-AL"/>
        </w:rPr>
      </w:pPr>
    </w:p>
    <w:p w:rsidR="0096095C" w:rsidRDefault="0096095C" w:rsidP="0096095C">
      <w:pPr>
        <w:pStyle w:val="Paragrafi"/>
        <w:jc w:val="right"/>
        <w:rPr>
          <w:b/>
          <w:lang w:val="sq-AL"/>
        </w:rPr>
      </w:pPr>
    </w:p>
    <w:p w:rsidR="0096095C" w:rsidRDefault="0096095C" w:rsidP="0096095C">
      <w:pPr>
        <w:pStyle w:val="NeniTitull"/>
        <w:rPr>
          <w:lang w:val="sq-AL"/>
        </w:rPr>
      </w:pPr>
      <w:r>
        <w:rPr>
          <w:lang w:val="sq-AL"/>
        </w:rPr>
        <w:t>PLANI I VEPRIMIT I REFORMAVE TË INVESTIMEVE</w:t>
      </w:r>
    </w:p>
    <w:p w:rsidR="0096095C" w:rsidRDefault="0096095C" w:rsidP="0096095C">
      <w:pPr>
        <w:pStyle w:val="NeniTitull"/>
        <w:rPr>
          <w:b w:val="0"/>
          <w:lang w:val="sq-AL"/>
        </w:rPr>
      </w:pPr>
      <w:r>
        <w:rPr>
          <w:b w:val="0"/>
          <w:lang w:val="sq-AL"/>
        </w:rPr>
        <w:t>2019–2020</w:t>
      </w:r>
    </w:p>
    <w:p w:rsidR="0096095C" w:rsidRDefault="0096095C" w:rsidP="0096095C">
      <w:pPr>
        <w:pStyle w:val="NeniTitull"/>
        <w:rPr>
          <w:b w:val="0"/>
          <w:lang w:val="sq-AL"/>
        </w:rPr>
      </w:pPr>
      <w:r>
        <w:rPr>
          <w:b w:val="0"/>
          <w:lang w:val="sq-AL"/>
        </w:rPr>
        <w:t>Dhjetor 2018</w:t>
      </w:r>
    </w:p>
    <w:p w:rsidR="0096095C" w:rsidRDefault="0096095C" w:rsidP="0096095C">
      <w:pPr>
        <w:pStyle w:val="Hapesira7"/>
        <w:rPr>
          <w:lang w:val="sq-AL" w:eastAsia="en-GB"/>
        </w:rPr>
      </w:pPr>
    </w:p>
    <w:p w:rsidR="0096095C" w:rsidRDefault="0096095C" w:rsidP="0096095C">
      <w:pPr>
        <w:pStyle w:val="Paragrafi"/>
        <w:rPr>
          <w:lang w:val="sq-AL"/>
        </w:rPr>
      </w:pPr>
      <w:r>
        <w:rPr>
          <w:lang w:val="sq-AL"/>
        </w:rPr>
        <w:t xml:space="preserve">HYRJE </w:t>
      </w:r>
    </w:p>
    <w:p w:rsidR="0096095C" w:rsidRDefault="0096095C" w:rsidP="0096095C">
      <w:pPr>
        <w:pStyle w:val="Paragrafi"/>
        <w:rPr>
          <w:lang w:val="sq-AL"/>
        </w:rPr>
      </w:pPr>
      <w:r>
        <w:rPr>
          <w:lang w:val="sq-AL"/>
        </w:rPr>
        <w:t>Iniciativa për hartimin e Planit të Veprimit të Reformave të Investimeve (Investment Reform Action Plan-IRAP) për Qeverinë e Republikës së Shqipërisë për periudhën 2019–2020 është ndërmarrë në kuadër të procesit të Berlinit (28 gusht 2014), i cili shërbeu si një urë mes Ballkanit Perëndimor dhe BE-së, për të mbajtur gjallë “Dialogun politik integrues të 6 vendeve të Ballkanit Perëndimor (WB6)”.</w:t>
      </w:r>
    </w:p>
    <w:p w:rsidR="0096095C" w:rsidRDefault="0096095C" w:rsidP="0096095C">
      <w:pPr>
        <w:pStyle w:val="Paragrafi"/>
        <w:rPr>
          <w:lang w:val="sq-AL"/>
        </w:rPr>
      </w:pPr>
      <w:r>
        <w:rPr>
          <w:lang w:val="sq-AL"/>
        </w:rPr>
        <w:t xml:space="preserve">Procesi i integrimit rajonal drejtohet nga koordinatorët kombëtarë të WB6, i materializuar me një Plan shumëvjeçar Veprimi për Zonën Ekonomike Rajonale (MAP REA), i miratuar në Samitin e Triestes (më 12 korrik 2017). </w:t>
      </w:r>
    </w:p>
    <w:p w:rsidR="0096095C" w:rsidRDefault="0096095C" w:rsidP="0096095C">
      <w:pPr>
        <w:pStyle w:val="Paragrafi"/>
        <w:rPr>
          <w:lang w:val="sq-AL"/>
        </w:rPr>
      </w:pPr>
      <w:r>
        <w:rPr>
          <w:lang w:val="sq-AL"/>
        </w:rPr>
        <w:t>MAP REA paraqet një agjendë strategjike të përbashkët për ekonomitë e WB, me synim rritjen e qëndrueshme ekonomike, krijimin e kushteve për një klimë investimi më të mirë, më transparente dhe konkurruese, duke u fokusuar në katër shtylla: tregtia, investimet, mobilitet dhe integrim digjital.</w:t>
      </w:r>
    </w:p>
    <w:p w:rsidR="0096095C" w:rsidRDefault="0096095C" w:rsidP="0096095C">
      <w:pPr>
        <w:pStyle w:val="Paragrafi"/>
        <w:rPr>
          <w:lang w:val="sq-AL"/>
        </w:rPr>
      </w:pPr>
      <w:r>
        <w:rPr>
          <w:lang w:val="sq-AL"/>
        </w:rPr>
        <w:t xml:space="preserve">MAP REA në shtyllën e investimeve, obligon shtetet e WB6 të zhvillojnë Agjendën Rajonale të Reformës së Investimeve (RIRA- e miratuar më 11 maj 2018), i cili duhet të zbatohet nëpërmjet një Plani Veprimi të Reformave të Investimeve (IRAP). </w:t>
      </w:r>
    </w:p>
    <w:p w:rsidR="0096095C" w:rsidRDefault="0096095C" w:rsidP="0096095C">
      <w:pPr>
        <w:pStyle w:val="Paragrafi"/>
        <w:rPr>
          <w:lang w:val="sq-AL"/>
        </w:rPr>
      </w:pPr>
      <w:r>
        <w:rPr>
          <w:lang w:val="sq-AL"/>
        </w:rPr>
        <w:t>Në takimin e Sherpave, më 20 nëntor 2018, Shqipëria raportoi për progresin e arritur për implementimin e Agjendës së Reformës së Investimeve Rajonale, ku Komisioni Evropian kërkoi që IRAP-së, të finalizohet e të miratohet brenda vitit 2018.</w:t>
      </w:r>
    </w:p>
    <w:p w:rsidR="0096095C" w:rsidRDefault="0096095C" w:rsidP="0096095C">
      <w:pPr>
        <w:pStyle w:val="Paragrafi"/>
        <w:rPr>
          <w:spacing w:val="-4"/>
          <w:lang w:val="sq-AL"/>
        </w:rPr>
      </w:pPr>
      <w:r>
        <w:rPr>
          <w:spacing w:val="-4"/>
          <w:lang w:val="sq-AL"/>
        </w:rPr>
        <w:t xml:space="preserve">KUADRI I POLITIKAVE DHE VEPRIMET E REFORMAVE </w:t>
      </w:r>
    </w:p>
    <w:p w:rsidR="0096095C" w:rsidRDefault="0096095C" w:rsidP="0096095C">
      <w:pPr>
        <w:pStyle w:val="Paragrafi"/>
        <w:rPr>
          <w:spacing w:val="-4"/>
          <w:lang w:val="sq-AL"/>
        </w:rPr>
      </w:pPr>
      <w:r>
        <w:rPr>
          <w:spacing w:val="-4"/>
          <w:lang w:val="sq-AL"/>
        </w:rPr>
        <w:t>Tabela e mëposhtme e veprimit të reformave paraqet një grup të detajuar të veprimeve të reformave të cilat do të zbatohen nga Qeveria e Republikës së Shqipërisë, përfshirë periudhën e zbatimit, agjencinë drejtuese, rezultatet e pritshme dhe mbështetjen e donatorëve që do të kërkohet për të arritur objektivat e përgjithshëm të përcaktuara nga Agjenda Rajonale e Reformës së Investimeve (RIRA). Planet vjetore të veprimit të detajuara do të përgatiten nga agjencitë përkatëse drejtuese për secilën nga veprimet e reformave.</w:t>
      </w:r>
    </w:p>
    <w:p w:rsidR="0096095C" w:rsidRDefault="0096095C" w:rsidP="0096095C">
      <w:pPr>
        <w:pStyle w:val="Paragrafi"/>
        <w:rPr>
          <w:spacing w:val="-4"/>
          <w:lang w:val="sq-AL"/>
        </w:rPr>
      </w:pPr>
      <w:r>
        <w:rPr>
          <w:spacing w:val="-4"/>
          <w:lang w:val="sq-AL"/>
        </w:rPr>
        <w:t>Tabela e veprimit të reformave do të shqyrtohet dhe përditësohet sipas nevojës në bazë dyvjeçare nga Qeveria e Republikës së Shqipërisë për të pasqyruar ecurinë lidhur me zbatimin dhe për të siguruar rëndësinë e vazhdueshme të veprimeve të reformave individuale, ku versioni i tanishëm i IRAP-së formon bazën për përditësimet në të ardhmen, sipas dhe sikurse përshkruhet nga secili veprim. Përditësimet do të pasqyrojnë në mënyrë specifike specifikimin e veprimeve të mëtejshme të reformave që Qeveria ndërmerr për të zbatuar, pas analitikës dhe diagnozës të përfunduar si pjesë e këtij plani të veprimit. Përditësimet do t’i njoftohen dialogut rajonal mbi politikat e investimeve, në kuadër të Grupit të Përbashkët të Punës mbi Investimet SEEIC-CEFTA.</w:t>
      </w:r>
    </w:p>
    <w:p w:rsidR="0096095C" w:rsidRDefault="0096095C" w:rsidP="0096095C">
      <w:pPr>
        <w:pStyle w:val="Paragrafi"/>
        <w:rPr>
          <w:spacing w:val="-4"/>
          <w:lang w:val="sq-AL"/>
        </w:rPr>
      </w:pPr>
      <w:r>
        <w:rPr>
          <w:spacing w:val="-4"/>
          <w:lang w:val="sq-AL"/>
        </w:rPr>
        <w:t>Veprimet e qeverisë strukturoren përgjatë fushave të politikave dhe temave të reformës të përcaktuara në Agjendën Rajonale për Reformën e Investimeve (RIRA), përkatësisht: i) Hyrja dhe krijimi i investimeve; ii) Mbrojtja dhe ruajtja e investimeve; dhe iii) Tërheqja dhe nxitja e investimeve. Rezultatet paraqesin arritje konkrete të veprimeve specifike të qeverisë.</w:t>
      </w:r>
    </w:p>
    <w:p w:rsidR="0096095C" w:rsidRDefault="0096095C" w:rsidP="0096095C">
      <w:pPr>
        <w:pStyle w:val="Paragrafi"/>
        <w:rPr>
          <w:rFonts w:eastAsia="Times New Roman"/>
          <w:spacing w:val="-4"/>
          <w:lang w:val="sq-AL" w:eastAsia="en-GB"/>
        </w:rPr>
      </w:pPr>
    </w:p>
    <w:p w:rsidR="0096095C" w:rsidRDefault="0096095C" w:rsidP="0096095C">
      <w:pPr>
        <w:spacing w:after="0" w:line="240" w:lineRule="auto"/>
        <w:ind w:firstLine="0"/>
        <w:jc w:val="left"/>
        <w:rPr>
          <w:rFonts w:ascii="Garamond" w:eastAsia="Times New Roman" w:hAnsi="Garamond" w:cs="CG Times"/>
          <w:spacing w:val="-4"/>
          <w:sz w:val="24"/>
          <w:lang w:val="sq-AL" w:eastAsia="en-GB"/>
        </w:rPr>
        <w:sectPr w:rsidR="0096095C" w:rsidSect="0096095C">
          <w:pgSz w:w="11907" w:h="16840"/>
          <w:pgMar w:top="720" w:right="1134" w:bottom="720" w:left="1134" w:header="851" w:footer="851" w:gutter="0"/>
          <w:cols w:space="454"/>
        </w:sectPr>
      </w:pPr>
    </w:p>
    <w:p w:rsidR="0096095C" w:rsidRDefault="0096095C" w:rsidP="0096095C">
      <w:pPr>
        <w:pStyle w:val="Paragrafi"/>
        <w:rPr>
          <w:b/>
          <w:lang w:val="sq-AL"/>
        </w:rPr>
      </w:pPr>
      <w:r>
        <w:rPr>
          <w:b/>
          <w:lang w:val="sq-AL"/>
        </w:rPr>
        <w:lastRenderedPageBreak/>
        <w:t>Fusha I e politikës. Hyrja dhe krijimi i investimeve</w:t>
      </w: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5" w:type="dxa"/>
          <w:left w:w="115" w:type="dxa"/>
          <w:bottom w:w="115" w:type="dxa"/>
          <w:right w:w="115" w:type="dxa"/>
        </w:tblCellMar>
        <w:tblLook w:val="0420" w:firstRow="1" w:lastRow="0" w:firstColumn="0" w:lastColumn="0" w:noHBand="0" w:noVBand="1"/>
      </w:tblPr>
      <w:tblGrid>
        <w:gridCol w:w="2320"/>
        <w:gridCol w:w="2598"/>
        <w:gridCol w:w="1253"/>
        <w:gridCol w:w="1514"/>
        <w:gridCol w:w="1964"/>
        <w:gridCol w:w="1244"/>
        <w:gridCol w:w="4497"/>
      </w:tblGrid>
      <w:tr w:rsidR="0096095C" w:rsidTr="0096095C">
        <w:trPr>
          <w:trHeight w:val="614"/>
          <w:jc w:val="center"/>
        </w:trPr>
        <w:tc>
          <w:tcPr>
            <w:tcW w:w="755" w:type="pct"/>
            <w:tcBorders>
              <w:top w:val="single" w:sz="4" w:space="0" w:color="FFFFFF"/>
              <w:left w:val="single" w:sz="4" w:space="0" w:color="FFFFFF"/>
              <w:bottom w:val="single" w:sz="4" w:space="0" w:color="FFFFFF"/>
              <w:right w:val="nil"/>
            </w:tcBorders>
            <w:shd w:val="clear" w:color="auto" w:fill="4472C4"/>
            <w:vAlign w:val="center"/>
            <w:hideMark/>
          </w:tcPr>
          <w:p w:rsidR="0096095C" w:rsidRDefault="0096095C">
            <w:pPr>
              <w:spacing w:after="0" w:line="240" w:lineRule="auto"/>
              <w:ind w:firstLine="0"/>
              <w:jc w:val="center"/>
              <w:rPr>
                <w:rFonts w:ascii="Garamond" w:hAnsi="Garamond"/>
                <w:b/>
                <w:bCs/>
                <w:color w:val="FFFFFF"/>
                <w:sz w:val="20"/>
                <w:szCs w:val="20"/>
                <w:lang w:val="sq-AL"/>
              </w:rPr>
            </w:pPr>
            <w:bookmarkStart w:id="1" w:name="_Hlk524524299"/>
            <w:bookmarkStart w:id="2" w:name="_Hlk524355253"/>
            <w:r>
              <w:rPr>
                <w:rFonts w:ascii="Garamond" w:hAnsi="Garamond"/>
                <w:b/>
                <w:bCs/>
                <w:color w:val="FFFFFF"/>
                <w:sz w:val="20"/>
                <w:szCs w:val="20"/>
                <w:lang w:val="sq-AL"/>
              </w:rPr>
              <w:t>Çështja e reformës/</w:t>
            </w:r>
          </w:p>
          <w:p w:rsidR="0096095C" w:rsidRDefault="0096095C">
            <w:pPr>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 xml:space="preserve">Angazhimi RIRA </w:t>
            </w:r>
          </w:p>
        </w:tc>
        <w:tc>
          <w:tcPr>
            <w:tcW w:w="845" w:type="pct"/>
            <w:tcBorders>
              <w:top w:val="single" w:sz="4" w:space="0" w:color="FFFFFF"/>
              <w:left w:val="nil"/>
              <w:bottom w:val="single" w:sz="4" w:space="0" w:color="FFFFFF"/>
              <w:right w:val="nil"/>
            </w:tcBorders>
            <w:shd w:val="clear" w:color="auto" w:fill="4472C4"/>
            <w:vAlign w:val="center"/>
            <w:hideMark/>
          </w:tcPr>
          <w:p w:rsidR="0096095C" w:rsidRDefault="0096095C">
            <w:pPr>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 xml:space="preserve">Veprimet IRAP </w:t>
            </w:r>
          </w:p>
        </w:tc>
        <w:tc>
          <w:tcPr>
            <w:tcW w:w="401" w:type="pct"/>
            <w:tcBorders>
              <w:top w:val="single" w:sz="4" w:space="0" w:color="FFFFFF"/>
              <w:left w:val="nil"/>
              <w:bottom w:val="single" w:sz="4" w:space="0" w:color="FFFFFF"/>
              <w:right w:val="nil"/>
            </w:tcBorders>
            <w:shd w:val="clear" w:color="auto" w:fill="4472C4"/>
            <w:vAlign w:val="center"/>
            <w:hideMark/>
          </w:tcPr>
          <w:p w:rsidR="0096095C" w:rsidRDefault="0096095C">
            <w:pPr>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Afati kohor</w:t>
            </w:r>
          </w:p>
        </w:tc>
        <w:tc>
          <w:tcPr>
            <w:tcW w:w="493" w:type="pct"/>
            <w:tcBorders>
              <w:top w:val="single" w:sz="4" w:space="0" w:color="FFFFFF"/>
              <w:left w:val="nil"/>
              <w:bottom w:val="single" w:sz="4" w:space="0" w:color="FFFFFF"/>
              <w:right w:val="nil"/>
            </w:tcBorders>
            <w:shd w:val="clear" w:color="auto" w:fill="4472C4"/>
            <w:vAlign w:val="center"/>
            <w:hideMark/>
          </w:tcPr>
          <w:p w:rsidR="0096095C" w:rsidRDefault="0096095C">
            <w:pPr>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Agjencia drejtuese</w:t>
            </w:r>
          </w:p>
        </w:tc>
        <w:tc>
          <w:tcPr>
            <w:tcW w:w="639" w:type="pct"/>
            <w:tcBorders>
              <w:top w:val="single" w:sz="4" w:space="0" w:color="FFFFFF"/>
              <w:left w:val="nil"/>
              <w:bottom w:val="single" w:sz="4" w:space="0" w:color="FFFFFF"/>
              <w:right w:val="nil"/>
            </w:tcBorders>
            <w:shd w:val="clear" w:color="auto" w:fill="4472C4"/>
            <w:vAlign w:val="center"/>
            <w:hideMark/>
          </w:tcPr>
          <w:p w:rsidR="0096095C" w:rsidRDefault="0096095C">
            <w:pPr>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 xml:space="preserve">Rezultatet </w:t>
            </w:r>
          </w:p>
        </w:tc>
        <w:tc>
          <w:tcPr>
            <w:tcW w:w="405" w:type="pct"/>
            <w:tcBorders>
              <w:top w:val="single" w:sz="4" w:space="0" w:color="FFFFFF"/>
              <w:left w:val="nil"/>
              <w:bottom w:val="single" w:sz="4" w:space="0" w:color="FFFFFF"/>
              <w:right w:val="nil"/>
            </w:tcBorders>
            <w:shd w:val="clear" w:color="auto" w:fill="4472C4"/>
            <w:vAlign w:val="center"/>
            <w:hideMark/>
          </w:tcPr>
          <w:p w:rsidR="0096095C" w:rsidRDefault="0096095C">
            <w:pPr>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Mbështetja e donatorëve</w:t>
            </w:r>
          </w:p>
        </w:tc>
        <w:tc>
          <w:tcPr>
            <w:tcW w:w="1462" w:type="pct"/>
            <w:tcBorders>
              <w:top w:val="single" w:sz="4" w:space="0" w:color="FFFFFF"/>
              <w:left w:val="nil"/>
              <w:bottom w:val="single" w:sz="4" w:space="0" w:color="FFFFFF"/>
              <w:right w:val="single" w:sz="4" w:space="0" w:color="FFFFFF"/>
            </w:tcBorders>
            <w:shd w:val="clear" w:color="auto" w:fill="4472C4"/>
            <w:vAlign w:val="center"/>
            <w:hideMark/>
          </w:tcPr>
          <w:p w:rsidR="0096095C" w:rsidRDefault="0096095C">
            <w:pPr>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Komente</w:t>
            </w:r>
          </w:p>
        </w:tc>
        <w:bookmarkEnd w:id="1"/>
      </w:tr>
      <w:tr w:rsidR="0096095C" w:rsidTr="0096095C">
        <w:trPr>
          <w:trHeight w:val="258"/>
          <w:jc w:val="center"/>
        </w:trPr>
        <w:tc>
          <w:tcPr>
            <w:tcW w:w="5000" w:type="pct"/>
            <w:gridSpan w:val="7"/>
            <w:tcBorders>
              <w:top w:val="single" w:sz="4" w:space="0" w:color="FFFFFF"/>
              <w:left w:val="single" w:sz="4" w:space="0" w:color="FFFFFF"/>
              <w:bottom w:val="single" w:sz="4" w:space="0" w:color="FFFFFF"/>
              <w:right w:val="single" w:sz="4" w:space="0" w:color="FFFFFF"/>
            </w:tcBorders>
            <w:shd w:val="clear" w:color="auto" w:fill="B4C6E7"/>
            <w:vAlign w:val="center"/>
            <w:hideMark/>
          </w:tcPr>
          <w:p w:rsidR="0096095C" w:rsidRDefault="0096095C">
            <w:pPr>
              <w:autoSpaceDE w:val="0"/>
              <w:autoSpaceDN w:val="0"/>
              <w:adjustRightInd w:val="0"/>
              <w:spacing w:after="0" w:line="240" w:lineRule="auto"/>
              <w:ind w:left="240" w:firstLine="0"/>
              <w:jc w:val="left"/>
              <w:rPr>
                <w:rFonts w:ascii="Garamond" w:hAnsi="Garamond"/>
                <w:i/>
                <w:iCs/>
                <w:color w:val="000000"/>
                <w:sz w:val="20"/>
                <w:szCs w:val="20"/>
                <w:lang w:val="sq-AL"/>
              </w:rPr>
            </w:pPr>
            <w:bookmarkStart w:id="3" w:name="_Hlk524524345"/>
            <w:r>
              <w:rPr>
                <w:rFonts w:ascii="Garamond" w:hAnsi="Garamond"/>
                <w:i/>
                <w:iCs/>
                <w:color w:val="000000"/>
                <w:sz w:val="20"/>
                <w:szCs w:val="20"/>
                <w:lang w:val="sq-AL"/>
              </w:rPr>
              <w:t xml:space="preserve">1. </w:t>
            </w:r>
            <w:r>
              <w:rPr>
                <w:rFonts w:ascii="Garamond" w:hAnsi="Garamond"/>
                <w:i/>
                <w:iCs/>
                <w:color w:val="000000"/>
                <w:sz w:val="20"/>
                <w:szCs w:val="20"/>
                <w:u w:val="single"/>
                <w:lang w:val="sq-AL"/>
              </w:rPr>
              <w:t xml:space="preserve">Rritja e mundësive të hyrjes dhe krijimit për investitorët </w:t>
            </w:r>
          </w:p>
        </w:tc>
        <w:bookmarkEnd w:id="2"/>
        <w:bookmarkEnd w:id="3"/>
      </w:tr>
      <w:tr w:rsidR="0096095C" w:rsidTr="0096095C">
        <w:trPr>
          <w:trHeight w:val="2283"/>
          <w:jc w:val="center"/>
        </w:trPr>
        <w:tc>
          <w:tcPr>
            <w:tcW w:w="755" w:type="pct"/>
            <w:vMerge w:val="restart"/>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rsidP="00192808">
            <w:pPr>
              <w:numPr>
                <w:ilvl w:val="1"/>
                <w:numId w:val="1"/>
              </w:numPr>
              <w:spacing w:after="0" w:line="240" w:lineRule="auto"/>
              <w:jc w:val="left"/>
              <w:rPr>
                <w:rFonts w:ascii="Garamond" w:hAnsi="Garamond"/>
                <w:i/>
                <w:iCs/>
                <w:sz w:val="20"/>
                <w:szCs w:val="20"/>
                <w:lang w:val="sq-AL"/>
              </w:rPr>
            </w:pPr>
            <w:r>
              <w:rPr>
                <w:rFonts w:ascii="Garamond" w:hAnsi="Garamond"/>
                <w:i/>
                <w:iCs/>
                <w:sz w:val="20"/>
                <w:szCs w:val="20"/>
                <w:lang w:val="sq-AL"/>
              </w:rPr>
              <w:t>Rishikoni ligjet dhe rregulloret e brendshme në WB6 për mospërputhjet me parimet e jodiskriminimit mbi hyrjen dhe vendosjen (analiza e mospërputhshmërisë të hyrjes) dhe publikoni një liste të konsoliduar të pengesave ligjore të hyrjes për rritjen e transparencës për investitorët.</w:t>
            </w:r>
          </w:p>
          <w:p w:rsidR="0096095C" w:rsidRDefault="0096095C">
            <w:pPr>
              <w:spacing w:after="0" w:line="240" w:lineRule="auto"/>
              <w:ind w:firstLine="0"/>
              <w:jc w:val="left"/>
              <w:rPr>
                <w:rFonts w:ascii="Garamond" w:hAnsi="Garamond"/>
                <w:i/>
                <w:iCs/>
                <w:sz w:val="20"/>
                <w:szCs w:val="20"/>
                <w:lang w:val="sq-AL"/>
              </w:rPr>
            </w:pPr>
          </w:p>
        </w:tc>
        <w:tc>
          <w:tcPr>
            <w:tcW w:w="845" w:type="pct"/>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 xml:space="preserve">1.1.1 Parashtroni dhe hartoni instrumente ligjore për t’u shqyrtuar si pjesë e Analizës së Mospërputhshmërisë të Hyrjes </w:t>
            </w:r>
          </w:p>
          <w:p w:rsidR="0096095C" w:rsidRDefault="0096095C">
            <w:pPr>
              <w:spacing w:after="0" w:line="240" w:lineRule="auto"/>
              <w:ind w:firstLine="0"/>
              <w:jc w:val="left"/>
              <w:rPr>
                <w:rFonts w:ascii="Garamond" w:hAnsi="Garamond"/>
                <w:sz w:val="20"/>
                <w:szCs w:val="20"/>
                <w:lang w:val="sq-AL"/>
              </w:rPr>
            </w:pPr>
          </w:p>
        </w:tc>
        <w:tc>
          <w:tcPr>
            <w:tcW w:w="401"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Qershor2019</w:t>
            </w:r>
          </w:p>
        </w:tc>
        <w:tc>
          <w:tcPr>
            <w:tcW w:w="493"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Ministria e Financës dhe Ekonomisë</w:t>
            </w:r>
          </w:p>
        </w:tc>
        <w:tc>
          <w:tcPr>
            <w:tcW w:w="639"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Lista e ligjeve dhe rregulloreve që prekin investimet në Shqipëri.</w:t>
            </w:r>
          </w:p>
        </w:tc>
        <w:tc>
          <w:tcPr>
            <w:tcW w:w="405"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IFC/Grupi i Bankës Botërore Projekti Rajonal i Politikave dhe Nxitjes së Investimeve në Ballkanin Perëndimor (GBB- BB-PNI)</w:t>
            </w:r>
          </w:p>
        </w:tc>
        <w:tc>
          <w:tcPr>
            <w:tcW w:w="1462" w:type="pct"/>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rPr>
                <w:rFonts w:ascii="Garamond" w:hAnsi="Garamond"/>
                <w:i/>
                <w:sz w:val="20"/>
                <w:szCs w:val="20"/>
                <w:lang w:val="sq-AL"/>
              </w:rPr>
            </w:pPr>
            <w:r>
              <w:rPr>
                <w:rFonts w:ascii="Garamond" w:hAnsi="Garamond"/>
                <w:i/>
                <w:sz w:val="20"/>
                <w:szCs w:val="20"/>
                <w:lang w:val="sq-AL"/>
              </w:rPr>
              <w:t>Objekti i mbulimit shtrihet në të gjitha ligjet dhe rregulloret që prekin investimet në nivel kombëtar, përfshirë instrumentet ligjore horizontale dhe specifike sektoriale.</w:t>
            </w:r>
          </w:p>
          <w:p w:rsidR="0096095C" w:rsidRDefault="0096095C">
            <w:pPr>
              <w:spacing w:after="0" w:line="240" w:lineRule="auto"/>
              <w:ind w:firstLine="0"/>
              <w:rPr>
                <w:rFonts w:ascii="Garamond" w:hAnsi="Garamond"/>
                <w:i/>
                <w:sz w:val="20"/>
                <w:szCs w:val="20"/>
                <w:lang w:val="sq-AL"/>
              </w:rPr>
            </w:pPr>
          </w:p>
          <w:p w:rsidR="0096095C" w:rsidRDefault="0096095C">
            <w:pPr>
              <w:spacing w:after="0" w:line="240" w:lineRule="auto"/>
              <w:ind w:firstLine="0"/>
              <w:rPr>
                <w:rFonts w:ascii="Garamond" w:hAnsi="Garamond"/>
                <w:sz w:val="20"/>
                <w:szCs w:val="20"/>
                <w:lang w:val="sq-AL"/>
              </w:rPr>
            </w:pPr>
          </w:p>
        </w:tc>
      </w:tr>
      <w:tr w:rsidR="0096095C" w:rsidTr="0096095C">
        <w:trPr>
          <w:trHeight w:val="1572"/>
          <w:jc w:val="center"/>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hAnsi="Garamond"/>
                <w:i/>
                <w:iCs/>
                <w:sz w:val="20"/>
                <w:szCs w:val="20"/>
                <w:lang w:val="sq-AL"/>
              </w:rPr>
            </w:pPr>
          </w:p>
        </w:tc>
        <w:tc>
          <w:tcPr>
            <w:tcW w:w="845"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1.1.2 Rishikoni dhe analizoni instrumente ligjorë të përzgjedhur paraprakisht, për të identifikuar masat që mund të shkelin parimet që përbëjnë objektin thelbësor të analizës</w:t>
            </w:r>
          </w:p>
        </w:tc>
        <w:tc>
          <w:tcPr>
            <w:tcW w:w="401"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Dhjetor 2019</w:t>
            </w:r>
          </w:p>
        </w:tc>
        <w:tc>
          <w:tcPr>
            <w:tcW w:w="493"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Ministria e Financës dhe Ekonomisë</w:t>
            </w:r>
          </w:p>
        </w:tc>
        <w:tc>
          <w:tcPr>
            <w:tcW w:w="639"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Raporti përmban rezultatet e Analizës së Mospërputhshmërisë të Hyrjes</w:t>
            </w:r>
          </w:p>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Një listë e pengesave ligjore të hyrjes.</w:t>
            </w:r>
          </w:p>
        </w:tc>
        <w:tc>
          <w:tcPr>
            <w:tcW w:w="405"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GBB (Grupi i Bankës Botërore) - BB (Banka Botërore) PNI (Politikat dhe Nxitja e Investimeve)</w:t>
            </w:r>
          </w:p>
        </w:tc>
        <w:tc>
          <w:tcPr>
            <w:tcW w:w="1462"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rPr>
                <w:rFonts w:ascii="Garamond" w:hAnsi="Garamond"/>
                <w:i/>
                <w:sz w:val="20"/>
                <w:szCs w:val="20"/>
                <w:lang w:val="sq-AL"/>
              </w:rPr>
            </w:pPr>
            <w:r>
              <w:rPr>
                <w:rFonts w:ascii="Garamond" w:hAnsi="Garamond"/>
                <w:i/>
                <w:sz w:val="20"/>
                <w:szCs w:val="20"/>
                <w:lang w:val="sq-AL"/>
              </w:rPr>
              <w:t>Objekti thelbësor i analizës së këtij veprimi IRAP, si dhe formati i rezultateve përshkruhet në aneks.</w:t>
            </w:r>
          </w:p>
          <w:p w:rsidR="0096095C" w:rsidRDefault="0096095C">
            <w:pPr>
              <w:spacing w:after="0" w:line="240" w:lineRule="auto"/>
              <w:ind w:firstLine="0"/>
              <w:rPr>
                <w:rFonts w:ascii="Garamond" w:hAnsi="Garamond"/>
                <w:i/>
                <w:sz w:val="20"/>
                <w:szCs w:val="20"/>
                <w:lang w:val="sq-AL"/>
              </w:rPr>
            </w:pPr>
            <w:r>
              <w:rPr>
                <w:rFonts w:ascii="Garamond" w:hAnsi="Garamond"/>
                <w:i/>
                <w:sz w:val="20"/>
                <w:szCs w:val="20"/>
                <w:lang w:val="sq-AL"/>
              </w:rPr>
              <w:t xml:space="preserve">Analiza do të integrohet me procesin e vazhdueshëm të një Grupi Teknik Pune, për të shqyrtuar legjislacionin e përgjithshëm dhe sektorial që ndikon në investimet në Shqipëri, si pjesë e hartimit të “Ligjit të unifikuar të investimeve”. </w:t>
            </w:r>
          </w:p>
        </w:tc>
      </w:tr>
      <w:tr w:rsidR="0096095C" w:rsidTr="0096095C">
        <w:trPr>
          <w:trHeight w:val="963"/>
          <w:jc w:val="center"/>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hAnsi="Garamond"/>
                <w:i/>
                <w:iCs/>
                <w:sz w:val="20"/>
                <w:szCs w:val="20"/>
                <w:lang w:val="sq-AL"/>
              </w:rPr>
            </w:pPr>
          </w:p>
        </w:tc>
        <w:tc>
          <w:tcPr>
            <w:tcW w:w="845"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1.1.3. Publikoni një listë të konsoliduar të pengesave ligjore hyrëse të identifikuara në Veprimin IRAP 1.1.2.</w:t>
            </w:r>
          </w:p>
        </w:tc>
        <w:tc>
          <w:tcPr>
            <w:tcW w:w="401"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Dhjetor 2019</w:t>
            </w:r>
          </w:p>
        </w:tc>
        <w:tc>
          <w:tcPr>
            <w:tcW w:w="493"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Ministria e Financës dhe Ekonomisë</w:t>
            </w:r>
          </w:p>
        </w:tc>
        <w:tc>
          <w:tcPr>
            <w:tcW w:w="639"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Publikimi i listës së pengesave ligjore të hyrjes të identifikuara në Veprimin 1.1.2 IRAP.</w:t>
            </w:r>
          </w:p>
        </w:tc>
        <w:tc>
          <w:tcPr>
            <w:tcW w:w="405" w:type="pc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Nuk nevojitet</w:t>
            </w:r>
          </w:p>
        </w:tc>
        <w:tc>
          <w:tcPr>
            <w:tcW w:w="1462" w:type="pct"/>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hAnsi="Garamond"/>
                <w:sz w:val="20"/>
                <w:szCs w:val="20"/>
                <w:lang w:val="sq-AL"/>
              </w:rPr>
            </w:pPr>
            <w:r>
              <w:rPr>
                <w:rFonts w:ascii="Garamond" w:hAnsi="Garamond"/>
                <w:i/>
                <w:sz w:val="20"/>
                <w:szCs w:val="20"/>
                <w:lang w:val="sq-AL"/>
              </w:rPr>
              <w:t>Autoritetet shqiptare do të vendosin mbi strukturën e listës.</w:t>
            </w:r>
          </w:p>
          <w:p w:rsidR="0096095C" w:rsidRDefault="0096095C">
            <w:pPr>
              <w:spacing w:after="0" w:line="240" w:lineRule="auto"/>
              <w:ind w:firstLine="0"/>
              <w:jc w:val="left"/>
              <w:rPr>
                <w:rFonts w:ascii="Garamond" w:hAnsi="Garamond"/>
                <w:sz w:val="20"/>
                <w:szCs w:val="20"/>
                <w:lang w:val="sq-AL"/>
              </w:rPr>
            </w:pPr>
          </w:p>
        </w:tc>
      </w:tr>
      <w:tr w:rsidR="0096095C" w:rsidTr="0096095C">
        <w:trPr>
          <w:trHeight w:val="1213"/>
          <w:jc w:val="center"/>
        </w:trPr>
        <w:tc>
          <w:tcPr>
            <w:tcW w:w="755"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i/>
                <w:iCs/>
                <w:sz w:val="20"/>
                <w:szCs w:val="20"/>
                <w:lang w:val="sq-AL"/>
              </w:rPr>
            </w:pPr>
            <w:r>
              <w:rPr>
                <w:rFonts w:ascii="Garamond" w:hAnsi="Garamond"/>
                <w:i/>
                <w:iCs/>
                <w:sz w:val="20"/>
                <w:szCs w:val="20"/>
                <w:lang w:val="sq-AL"/>
              </w:rPr>
              <w:lastRenderedPageBreak/>
              <w:t>1.2 Përdorni sa më sipër për të njoftuar mbi një diskutim mbi pengesat ekzistuese për investimet në rajonin WB6.</w:t>
            </w:r>
          </w:p>
        </w:tc>
        <w:tc>
          <w:tcPr>
            <w:tcW w:w="845"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 xml:space="preserve">1.2.1. Bazuar në analizën e kryer në kuadër të Veprimit IRAP 1.1, vendosni nëse do të bëni përpjekjet për reforma në lidhje me hyrjen e investimeve. </w:t>
            </w:r>
          </w:p>
        </w:tc>
        <w:tc>
          <w:tcPr>
            <w:tcW w:w="401"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Dhjetor 2019</w:t>
            </w:r>
          </w:p>
        </w:tc>
        <w:tc>
          <w:tcPr>
            <w:tcW w:w="493"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Ministria e Financës dhe Ekonomisë</w:t>
            </w:r>
          </w:p>
        </w:tc>
        <w:tc>
          <w:tcPr>
            <w:tcW w:w="639"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 xml:space="preserve">Vendimi nëse do të zbatohen veprimet e reformave. </w:t>
            </w:r>
          </w:p>
        </w:tc>
        <w:tc>
          <w:tcPr>
            <w:tcW w:w="405"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 xml:space="preserve">Nuk nevojitet </w:t>
            </w:r>
          </w:p>
        </w:tc>
        <w:tc>
          <w:tcPr>
            <w:tcW w:w="1462" w:type="pc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hAnsi="Garamond"/>
                <w:sz w:val="20"/>
                <w:szCs w:val="20"/>
                <w:lang w:val="sq-AL"/>
              </w:rPr>
            </w:pPr>
            <w:r>
              <w:rPr>
                <w:rFonts w:ascii="Garamond" w:hAnsi="Garamond"/>
                <w:i/>
                <w:sz w:val="20"/>
                <w:szCs w:val="20"/>
                <w:lang w:val="sq-AL"/>
              </w:rPr>
              <w:t>Pas vendimit, autoritetet shqiptare do të përditësojnë këtë pjesë të IRAP në përputhje me rrethanat dhe do të specifikojnë/përshkruajnë më tej çdo përpjekje reformash që Qeveria synon të ndërmarrë sipas veprimit IRAP 1.2.1.</w:t>
            </w:r>
          </w:p>
        </w:tc>
      </w:tr>
    </w:tbl>
    <w:p w:rsidR="0096095C" w:rsidRDefault="0096095C" w:rsidP="0096095C">
      <w:pPr>
        <w:pStyle w:val="Paragrafi"/>
        <w:rPr>
          <w:rFonts w:eastAsia="Times New Roman"/>
          <w:spacing w:val="-4"/>
          <w:lang w:val="sq-AL" w:eastAsia="en-GB"/>
        </w:rPr>
      </w:pPr>
    </w:p>
    <w:tbl>
      <w:tblPr>
        <w:tblW w:w="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15" w:type="dxa"/>
          <w:left w:w="115" w:type="dxa"/>
          <w:bottom w:w="115" w:type="dxa"/>
          <w:right w:w="115" w:type="dxa"/>
        </w:tblCellMar>
        <w:tblLook w:val="0420" w:firstRow="1" w:lastRow="0" w:firstColumn="0" w:lastColumn="0" w:noHBand="0" w:noVBand="1"/>
      </w:tblPr>
      <w:tblGrid>
        <w:gridCol w:w="2335"/>
        <w:gridCol w:w="2610"/>
        <w:gridCol w:w="1110"/>
        <w:gridCol w:w="1358"/>
        <w:gridCol w:w="1980"/>
        <w:gridCol w:w="1260"/>
        <w:gridCol w:w="4500"/>
      </w:tblGrid>
      <w:tr w:rsidR="0096095C" w:rsidTr="0096095C">
        <w:trPr>
          <w:trHeight w:val="26"/>
          <w:jc w:val="center"/>
        </w:trPr>
        <w:tc>
          <w:tcPr>
            <w:tcW w:w="15153" w:type="dxa"/>
            <w:gridSpan w:val="7"/>
            <w:tcBorders>
              <w:top w:val="single" w:sz="4" w:space="0" w:color="FFFFFF"/>
              <w:left w:val="single" w:sz="4" w:space="0" w:color="FFFFFF"/>
              <w:bottom w:val="single" w:sz="4" w:space="0" w:color="FFFFFF"/>
              <w:right w:val="single" w:sz="4" w:space="0" w:color="FFFFFF"/>
            </w:tcBorders>
            <w:shd w:val="clear" w:color="auto" w:fill="D9E2F3"/>
            <w:vAlign w:val="center"/>
            <w:hideMark/>
          </w:tcPr>
          <w:p w:rsidR="0096095C" w:rsidRDefault="0096095C">
            <w:pPr>
              <w:spacing w:after="160" w:line="256" w:lineRule="auto"/>
              <w:ind w:firstLine="0"/>
              <w:jc w:val="left"/>
              <w:rPr>
                <w:rFonts w:ascii="Garamond" w:eastAsia="Times New Roman" w:hAnsi="Garamond"/>
                <w:b/>
                <w:bCs/>
                <w:i/>
                <w:iCs/>
                <w:color w:val="000000"/>
                <w:sz w:val="20"/>
                <w:szCs w:val="20"/>
                <w:lang w:val="sq-AL"/>
              </w:rPr>
            </w:pPr>
            <w:r>
              <w:rPr>
                <w:rFonts w:ascii="Garamond" w:eastAsia="Times New Roman" w:hAnsi="Garamond"/>
                <w:b/>
                <w:bCs/>
                <w:i/>
                <w:iCs/>
                <w:color w:val="000000"/>
                <w:sz w:val="20"/>
                <w:szCs w:val="20"/>
                <w:lang w:val="sq-AL"/>
              </w:rPr>
              <w:t xml:space="preserve">2. Përmirësimi i politikave dhe procedurave të krijimit të biznesit </w:t>
            </w:r>
          </w:p>
        </w:tc>
      </w:tr>
      <w:tr w:rsidR="0096095C" w:rsidTr="0096095C">
        <w:trPr>
          <w:trHeight w:val="26"/>
          <w:jc w:val="center"/>
        </w:trPr>
        <w:tc>
          <w:tcPr>
            <w:tcW w:w="15153" w:type="dxa"/>
            <w:gridSpan w:val="7"/>
            <w:tcBorders>
              <w:top w:val="single" w:sz="4" w:space="0" w:color="FFFFFF"/>
              <w:left w:val="single" w:sz="4" w:space="0" w:color="FFFFFF"/>
              <w:bottom w:val="single" w:sz="4" w:space="0" w:color="FFFFFF"/>
              <w:right w:val="single" w:sz="4" w:space="0" w:color="FFFFFF"/>
            </w:tcBorders>
            <w:shd w:val="clear" w:color="auto" w:fill="B4C6E7"/>
            <w:vAlign w:val="center"/>
            <w:hideMark/>
          </w:tcPr>
          <w:p w:rsidR="0096095C" w:rsidRDefault="0096095C">
            <w:pPr>
              <w:spacing w:after="160" w:line="256" w:lineRule="auto"/>
              <w:ind w:firstLine="0"/>
              <w:rPr>
                <w:rFonts w:ascii="Garamond" w:eastAsia="Times New Roman" w:hAnsi="Garamond"/>
                <w:i/>
                <w:iCs/>
                <w:color w:val="000000"/>
                <w:sz w:val="20"/>
                <w:szCs w:val="20"/>
                <w:lang w:val="sq-AL"/>
              </w:rPr>
            </w:pPr>
            <w:r>
              <w:rPr>
                <w:rFonts w:ascii="Garamond" w:eastAsia="Times New Roman" w:hAnsi="Garamond"/>
                <w:i/>
                <w:iCs/>
                <w:sz w:val="20"/>
                <w:szCs w:val="20"/>
                <w:lang w:val="sq-AL"/>
              </w:rPr>
              <w:t>Veprimet e reformës sipas nenit 2.1 më poshtë ndjekin dy rryma të veçanta të aktiviteteve. Veprimet e reformës 2.1.1. dhe 2.1.2 kanë të bëjnë me zhvillimin dhe forcimin e një portali rajonal për regjistrimin e biznesit për të lehtësuar regjistrimin e kompanisë në nivel rajonal - një nismë e mbështetur nga BERZH. Veprimet e reformës 2.1.3. deri 2.1.5. kanë të bëjnë me sigurimin e informacionit përkatës në lidhje me procedurat e krijimit dhe regjistrimit të biznesit përmes një platforme rajonale informacioni “Investoni në EJL”, që merret përsipër nga Forumi i Dhomës së Investimeve. Veprimet e Reformës sipas nenit 2.2 kanë të bëjnë me një rishikim dhe krahasim rajonal të procedurave të regjistrimit të biznesit dhe kërkesave për të informuar shtrirjen potenciale në nivel rajonal.</w:t>
            </w:r>
          </w:p>
        </w:tc>
      </w:tr>
      <w:tr w:rsidR="0096095C" w:rsidTr="0096095C">
        <w:trPr>
          <w:trHeight w:val="666"/>
          <w:jc w:val="center"/>
        </w:trPr>
        <w:tc>
          <w:tcPr>
            <w:tcW w:w="2335" w:type="dxa"/>
            <w:vMerge w:val="restart"/>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12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2.1 Mbështesni zhvillimin e një portali biznesi për katalogimin, sigurimin dhe krahasimin e informacionit mbi procedurat për krijimin dhe funksionimin e një biznesi në rajon, duke u bazuar në bashkëpunimin e filluar dhe tashmë ekzistues të agjencive të rajonit për regjistrimin e biznesit.</w:t>
            </w:r>
          </w:p>
          <w:p w:rsidR="0096095C" w:rsidRDefault="0096095C">
            <w:pPr>
              <w:spacing w:after="120" w:line="240" w:lineRule="auto"/>
              <w:ind w:firstLine="0"/>
              <w:jc w:val="left"/>
              <w:rPr>
                <w:rFonts w:ascii="Garamond" w:eastAsia="Times New Roman" w:hAnsi="Garamond"/>
                <w:i/>
                <w:iCs/>
                <w:sz w:val="20"/>
                <w:szCs w:val="20"/>
                <w:lang w:val="sq-AL"/>
              </w:rPr>
            </w:pPr>
          </w:p>
        </w:tc>
        <w:tc>
          <w:tcPr>
            <w:tcW w:w="261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2.1.1 Plotësoni informacionin ekzistues në lidhje me procedurat e krijimit të biznesit në portalin rajonal për informacionin mbi biznesin “Investoni në EJL</w:t>
            </w:r>
            <w:r>
              <w:rPr>
                <w:rFonts w:ascii="Garamond" w:eastAsia="Times New Roman" w:hAnsi="Garamond"/>
                <w:sz w:val="20"/>
                <w:szCs w:val="20"/>
                <w:vertAlign w:val="superscript"/>
                <w:lang w:val="sq-AL"/>
              </w:rPr>
              <w:footnoteReference w:id="1"/>
            </w:r>
            <w:r>
              <w:rPr>
                <w:rFonts w:ascii="Garamond" w:eastAsia="Times New Roman" w:hAnsi="Garamond"/>
                <w:sz w:val="20"/>
                <w:szCs w:val="20"/>
                <w:lang w:val="sq-AL"/>
              </w:rPr>
              <w:t>”, organizuar nga Forumi i Dhomave të Investimeve, duke hartuar procedurat për krijimin dhe funksionimin e një biznesi në Shqipëri dhe duke ofruar raportin që rezulton</w:t>
            </w:r>
          </w:p>
          <w:p w:rsidR="0096095C" w:rsidRDefault="0096095C">
            <w:pPr>
              <w:spacing w:after="120" w:line="240" w:lineRule="auto"/>
              <w:ind w:firstLine="0"/>
              <w:jc w:val="left"/>
              <w:rPr>
                <w:rFonts w:ascii="Garamond" w:eastAsia="Times New Roman" w:hAnsi="Garamond"/>
                <w:sz w:val="20"/>
                <w:szCs w:val="20"/>
                <w:lang w:val="sq-AL"/>
              </w:rPr>
            </w:pPr>
          </w:p>
        </w:tc>
        <w:tc>
          <w:tcPr>
            <w:tcW w:w="111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June</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2019</w:t>
            </w:r>
          </w:p>
        </w:tc>
        <w:tc>
          <w:tcPr>
            <w:tcW w:w="135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Ekonomisë/CIF</w:t>
            </w:r>
          </w:p>
        </w:tc>
        <w:tc>
          <w:tcPr>
            <w:tcW w:w="19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raport që liston dhe detajon procedurat e krijimit dhe të operimit të biznesit në Shqipëri për t’u përfshirë në Investime në portalin e EJL.</w:t>
            </w:r>
          </w:p>
        </w:tc>
        <w:tc>
          <w:tcPr>
            <w:tcW w:w="126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BERZH, GBB- BB-PNI sipas nevojës</w:t>
            </w:r>
          </w:p>
        </w:tc>
        <w:tc>
          <w:tcPr>
            <w:tcW w:w="450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12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Procedurat që duhet të përfshihen në “Investoni në EJL” si dhe informacioni i hollësishëm që duhet të jepet për secilën procedurë janë të listuar/përshkruar në Shtojcë.</w:t>
            </w:r>
          </w:p>
          <w:p w:rsidR="0096095C" w:rsidRDefault="0096095C">
            <w:pPr>
              <w:spacing w:after="12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Investimi në portalin e EJL mbështetet financiarisht nga BERZH.</w:t>
            </w:r>
          </w:p>
          <w:p w:rsidR="0096095C" w:rsidRDefault="0096095C">
            <w:pPr>
              <w:spacing w:after="120" w:line="240" w:lineRule="auto"/>
              <w:ind w:firstLine="0"/>
              <w:jc w:val="left"/>
              <w:rPr>
                <w:rFonts w:ascii="Garamond" w:eastAsia="Times New Roman" w:hAnsi="Garamond"/>
                <w:sz w:val="20"/>
                <w:szCs w:val="20"/>
                <w:lang w:val="sq-AL"/>
              </w:rPr>
            </w:pPr>
          </w:p>
        </w:tc>
      </w:tr>
      <w:tr w:rsidR="0096095C" w:rsidTr="0096095C">
        <w:trPr>
          <w:trHeight w:val="666"/>
          <w:jc w:val="center"/>
        </w:trPr>
        <w:tc>
          <w:tcPr>
            <w:tcW w:w="15153"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6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2.1.2 Mbështesni mirëmbajtjen e portalit rajonal për informacionin mbi biznesin “Investoni në EJL” duke caktuar një agjenci qeveritare përgjegjëse për të </w:t>
            </w:r>
            <w:r>
              <w:rPr>
                <w:rFonts w:ascii="Garamond" w:eastAsia="Times New Roman" w:hAnsi="Garamond"/>
                <w:sz w:val="20"/>
                <w:szCs w:val="20"/>
                <w:lang w:val="sq-AL"/>
              </w:rPr>
              <w:lastRenderedPageBreak/>
              <w:t>rishikuar dhe përditësuar periodikisht informacionin e dhënë në faqen e internetit.</w:t>
            </w:r>
          </w:p>
        </w:tc>
        <w:tc>
          <w:tcPr>
            <w:tcW w:w="11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 xml:space="preserve">June </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2019</w:t>
            </w:r>
          </w:p>
        </w:tc>
        <w:tc>
          <w:tcPr>
            <w:tcW w:w="135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Ekonomisë/CIF</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Një agjenci qeveritare e caktuar e autorizuar që të rishikojë dhe përditësojë periodikisht informacionet që </w:t>
            </w:r>
            <w:r>
              <w:rPr>
                <w:rFonts w:ascii="Garamond" w:eastAsia="Times New Roman" w:hAnsi="Garamond"/>
                <w:sz w:val="20"/>
                <w:szCs w:val="20"/>
                <w:lang w:val="sq-AL"/>
              </w:rPr>
              <w:lastRenderedPageBreak/>
              <w:t>jepen në portalin rajonal të informacionit të biznesit.</w:t>
            </w:r>
          </w:p>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Informacionet e përditësuara të ofruara në portalin rajonal të informacionit të biznesit në baza të rregullta.</w:t>
            </w:r>
          </w:p>
        </w:tc>
        <w:tc>
          <w:tcPr>
            <w:tcW w:w="126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Nuk nevojitet</w:t>
            </w:r>
          </w:p>
        </w:tc>
        <w:tc>
          <w:tcPr>
            <w:tcW w:w="450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12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Qëllimi përfundimtar është nënshkrimi i një Memorandumi Mirëkuptimi ndërmjet CIF dhe agjencisë qeveritare të caktuar që specifikon detajet e këtij bashkëpunimi.</w:t>
            </w:r>
          </w:p>
          <w:p w:rsidR="0096095C" w:rsidRDefault="0096095C">
            <w:pPr>
              <w:spacing w:after="120" w:line="240" w:lineRule="auto"/>
              <w:ind w:firstLine="0"/>
              <w:jc w:val="left"/>
              <w:rPr>
                <w:rFonts w:ascii="Garamond" w:eastAsia="Times New Roman" w:hAnsi="Garamond"/>
                <w:sz w:val="20"/>
                <w:szCs w:val="20"/>
                <w:lang w:val="sq-AL"/>
              </w:rPr>
            </w:pPr>
          </w:p>
        </w:tc>
      </w:tr>
      <w:tr w:rsidR="0096095C" w:rsidTr="0096095C">
        <w:trPr>
          <w:trHeight w:val="2215"/>
          <w:jc w:val="center"/>
        </w:trPr>
        <w:tc>
          <w:tcPr>
            <w:tcW w:w="15153"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61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i/>
                <w:sz w:val="20"/>
                <w:szCs w:val="20"/>
                <w:lang w:val="sq-AL"/>
              </w:rPr>
            </w:pPr>
            <w:r>
              <w:rPr>
                <w:rFonts w:ascii="Garamond" w:eastAsia="Times New Roman" w:hAnsi="Garamond"/>
                <w:sz w:val="20"/>
                <w:szCs w:val="20"/>
                <w:lang w:val="sq-AL"/>
              </w:rPr>
              <w:t>2.1.3 Vazhdoni konsultimet e përbashkëta në lidhje me parimet dhe mekanizmat për funksionimin operacional të “ Portalit Rajonal të Regjistrimit të Biznesit EJL” dhe përfundoni krijimin e tij</w:t>
            </w:r>
          </w:p>
        </w:tc>
        <w:tc>
          <w:tcPr>
            <w:tcW w:w="111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2020</w:t>
            </w:r>
          </w:p>
        </w:tc>
        <w:tc>
          <w:tcPr>
            <w:tcW w:w="135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Qendra Kombëtare e Biznesit</w:t>
            </w:r>
          </w:p>
        </w:tc>
        <w:tc>
          <w:tcPr>
            <w:tcW w:w="19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Marrëveshja për krijimin dhe menaxhimin e Portalit Rajonal të Regjistrave të Bizneseve të Evropës Juglindore.</w:t>
            </w:r>
          </w:p>
        </w:tc>
        <w:tc>
          <w:tcPr>
            <w:tcW w:w="126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BERZH</w:t>
            </w:r>
          </w:p>
        </w:tc>
        <w:tc>
          <w:tcPr>
            <w:tcW w:w="450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Zbatimi i Veprimit të Reformës është në progres.</w:t>
            </w:r>
          </w:p>
          <w:p w:rsidR="0096095C" w:rsidRDefault="0096095C">
            <w:pPr>
              <w:spacing w:after="120" w:line="240" w:lineRule="auto"/>
              <w:ind w:firstLine="0"/>
              <w:rPr>
                <w:rFonts w:ascii="Garamond" w:eastAsia="Times New Roman" w:hAnsi="Garamond"/>
                <w:i/>
                <w:sz w:val="20"/>
                <w:szCs w:val="20"/>
                <w:lang w:val="sq-AL"/>
              </w:rPr>
            </w:pPr>
            <w:r>
              <w:rPr>
                <w:rFonts w:ascii="Garamond" w:eastAsia="Times New Roman" w:hAnsi="Garamond"/>
                <w:i/>
                <w:color w:val="000000"/>
                <w:sz w:val="20"/>
                <w:szCs w:val="20"/>
                <w:lang w:val="sq-AL"/>
              </w:rPr>
              <w:t>BERZH ka shprehur gatishmërinë e saj për të mbështetur financiarisht bashkimin e të gjitha ekonomive të tjera rajonale me Marrëveshjen që fillimisht do të nënshkruhet nga SBRA dhe CRRM.</w:t>
            </w:r>
          </w:p>
        </w:tc>
      </w:tr>
      <w:tr w:rsidR="0096095C" w:rsidTr="0096095C">
        <w:trPr>
          <w:trHeight w:val="666"/>
          <w:jc w:val="center"/>
        </w:trPr>
        <w:tc>
          <w:tcPr>
            <w:tcW w:w="2335" w:type="dxa"/>
            <w:vMerge w:val="restar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2.2 Krahasoni, rishikoni dhe përshtatni aty ku është e mundur kërkesat e regjistrimit të biznesit në nivel rajonal.</w:t>
            </w:r>
          </w:p>
        </w:tc>
        <w:tc>
          <w:tcPr>
            <w:tcW w:w="26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2.2.1 Lehtësoni një rishikim në nivel mbarë rajonal dhe krahasimin e kërkesave për regjistrimin e biznesit duke ndarë informacionin përkatës.</w:t>
            </w:r>
          </w:p>
        </w:tc>
        <w:tc>
          <w:tcPr>
            <w:tcW w:w="11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2019</w:t>
            </w:r>
          </w:p>
        </w:tc>
        <w:tc>
          <w:tcPr>
            <w:tcW w:w="135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i/>
                <w:sz w:val="20"/>
                <w:szCs w:val="20"/>
                <w:lang w:val="sq-AL"/>
              </w:rPr>
            </w:pPr>
            <w:r>
              <w:rPr>
                <w:rFonts w:ascii="Garamond" w:eastAsia="Times New Roman" w:hAnsi="Garamond"/>
                <w:sz w:val="20"/>
                <w:szCs w:val="20"/>
                <w:lang w:val="sq-AL"/>
              </w:rPr>
              <w:t>Ministria e Financës dhe Ekonomisë</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raport përmbledhës që paraqet kërkesat e regjistrimit të biznesit për t’u krahasuar sipas rishikimit rajonal.</w:t>
            </w:r>
          </w:p>
        </w:tc>
        <w:tc>
          <w:tcPr>
            <w:tcW w:w="126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Nevojiten, nuk sigurohen (për hartimin e raportit)</w:t>
            </w:r>
          </w:p>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 (për rishikim rajonal)</w:t>
            </w:r>
          </w:p>
        </w:tc>
        <w:tc>
          <w:tcPr>
            <w:tcW w:w="450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Një listë treguese e kërkesave për regjistrimin e biznesit që do të krahasohet sipas rishikimit rajonal përfshihet në aneks.</w:t>
            </w:r>
          </w:p>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i/>
                <w:sz w:val="20"/>
                <w:szCs w:val="20"/>
                <w:lang w:val="sq-AL"/>
              </w:rPr>
              <w:t>Mbështetja e WBG do të ofrohet për rishikimin rajonal.</w:t>
            </w:r>
          </w:p>
        </w:tc>
      </w:tr>
      <w:tr w:rsidR="0096095C" w:rsidTr="0096095C">
        <w:trPr>
          <w:trHeight w:val="235"/>
          <w:jc w:val="center"/>
        </w:trPr>
        <w:tc>
          <w:tcPr>
            <w:tcW w:w="15153"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61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2.2.2 Bazuar në Veprimin IRAP 2.1.1., konsideroni përafrimin e kërkesave për regjistrimin e biznesit dhe vendosni nëse do të bëni përpjekje të mëtejshme për reforma</w:t>
            </w:r>
          </w:p>
        </w:tc>
        <w:tc>
          <w:tcPr>
            <w:tcW w:w="111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35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tc>
        <w:tc>
          <w:tcPr>
            <w:tcW w:w="19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Vendimi për zbatimin e veprimeve reformuese.</w:t>
            </w:r>
          </w:p>
        </w:tc>
        <w:tc>
          <w:tcPr>
            <w:tcW w:w="126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50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rPr>
                <w:rFonts w:ascii="Garamond" w:eastAsia="Times New Roman" w:hAnsi="Garamond"/>
                <w:sz w:val="20"/>
                <w:szCs w:val="20"/>
                <w:lang w:val="sq-AL"/>
              </w:rPr>
            </w:pPr>
            <w:r>
              <w:rPr>
                <w:rFonts w:ascii="Garamond" w:eastAsia="Times New Roman" w:hAnsi="Garamond"/>
                <w:i/>
                <w:sz w:val="20"/>
                <w:szCs w:val="20"/>
                <w:lang w:val="sq-AL"/>
              </w:rPr>
              <w:t>Pas vendimit, autoritetet shqiptare do të përditësojnë këtë seksion IRAP në përputhje me rrethanat dhe do të specifikojnë/përshkruajnë më tej çdo përpjekje reformash që Qeveria synon të ndërmarrë sipas veprimit IRAP 2.2.2.</w:t>
            </w:r>
          </w:p>
        </w:tc>
      </w:tr>
      <w:tr w:rsidR="0096095C" w:rsidTr="0096095C">
        <w:trPr>
          <w:trHeight w:val="666"/>
          <w:jc w:val="center"/>
        </w:trPr>
        <w:tc>
          <w:tcPr>
            <w:tcW w:w="2335" w:type="dxa"/>
            <w:vMerge w:val="restar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lastRenderedPageBreak/>
              <w:t>2.3 Lehtësoni dhe përshpejtoni procedurat e lejes së punës dhe të qëndrimit dhe procedurat përkatëse në nivel ekonomik.</w:t>
            </w:r>
          </w:p>
        </w:tc>
        <w:tc>
          <w:tcPr>
            <w:tcW w:w="26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i/>
                <w:sz w:val="20"/>
                <w:szCs w:val="20"/>
                <w:lang w:val="sq-AL"/>
              </w:rPr>
            </w:pPr>
            <w:r>
              <w:rPr>
                <w:rFonts w:ascii="Garamond" w:eastAsia="Times New Roman" w:hAnsi="Garamond"/>
                <w:sz w:val="20"/>
                <w:szCs w:val="20"/>
                <w:lang w:val="sq-AL"/>
              </w:rPr>
              <w:t>2.3.1 Krijoni një inventar të të dhënave ekzistuese, legjislacion dhe procedura operacionale dhe vlerësoni nevojën për lehtësimin dhe përshpejtimin e procedurave aktuale</w:t>
            </w:r>
          </w:p>
        </w:tc>
        <w:tc>
          <w:tcPr>
            <w:tcW w:w="11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35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120" w:line="240" w:lineRule="auto"/>
              <w:ind w:firstLine="0"/>
              <w:jc w:val="left"/>
              <w:rPr>
                <w:rFonts w:ascii="Garamond" w:eastAsia="Times New Roman" w:hAnsi="Garamond"/>
                <w:strike/>
                <w:sz w:val="20"/>
                <w:szCs w:val="20"/>
                <w:lang w:val="sq-AL"/>
              </w:rPr>
            </w:pPr>
            <w:r>
              <w:rPr>
                <w:rFonts w:ascii="Garamond" w:eastAsia="Times New Roman" w:hAnsi="Garamond"/>
                <w:sz w:val="20"/>
                <w:szCs w:val="20"/>
                <w:lang w:val="sq-AL"/>
              </w:rPr>
              <w:t>Ministria e Financës dhe Ekonomisë</w:t>
            </w:r>
            <w:r>
              <w:rPr>
                <w:rFonts w:ascii="Garamond" w:eastAsia="Times New Roman" w:hAnsi="Garamond"/>
                <w:strike/>
                <w:sz w:val="20"/>
                <w:szCs w:val="20"/>
                <w:lang w:val="sq-AL"/>
              </w:rPr>
              <w:t xml:space="preserve"> </w:t>
            </w:r>
          </w:p>
          <w:p w:rsidR="0096095C" w:rsidRDefault="0096095C">
            <w:pPr>
              <w:spacing w:after="120" w:line="240" w:lineRule="auto"/>
              <w:ind w:firstLine="0"/>
              <w:jc w:val="left"/>
              <w:rPr>
                <w:rFonts w:ascii="Garamond" w:eastAsia="Times New Roman" w:hAnsi="Garamond"/>
                <w:sz w:val="20"/>
                <w:szCs w:val="20"/>
                <w:lang w:val="sq-AL"/>
              </w:rPr>
            </w:pPr>
          </w:p>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Brendshme</w:t>
            </w:r>
          </w:p>
          <w:p w:rsidR="0096095C" w:rsidRDefault="0096095C">
            <w:pPr>
              <w:spacing w:after="120" w:line="240" w:lineRule="auto"/>
              <w:ind w:firstLine="0"/>
              <w:jc w:val="left"/>
              <w:rPr>
                <w:rFonts w:ascii="Garamond" w:eastAsia="Times New Roman" w:hAnsi="Garamond"/>
                <w:sz w:val="20"/>
                <w:szCs w:val="20"/>
                <w:lang w:val="sq-AL"/>
              </w:rPr>
            </w:pP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inventar që përmban të dhënat ekzistuese, legjislacionin dhe procedurat operacionale.</w:t>
            </w:r>
          </w:p>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raport që vlerëson lejen aktuale të punës dhe procedurat e ndërlidhura, duke përfshirë rekomandimet për përmirësim.</w:t>
            </w:r>
          </w:p>
        </w:tc>
        <w:tc>
          <w:tcPr>
            <w:tcW w:w="126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Nevojitet, jo e siguruar</w:t>
            </w:r>
          </w:p>
        </w:tc>
        <w:tc>
          <w:tcPr>
            <w:tcW w:w="450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120" w:line="240" w:lineRule="auto"/>
              <w:ind w:firstLine="0"/>
              <w:jc w:val="left"/>
              <w:rPr>
                <w:rFonts w:ascii="Garamond" w:eastAsia="Times New Roman" w:hAnsi="Garamond"/>
                <w:sz w:val="20"/>
                <w:szCs w:val="20"/>
                <w:lang w:val="sq-AL"/>
              </w:rPr>
            </w:pPr>
          </w:p>
          <w:p w:rsidR="0096095C" w:rsidRDefault="0096095C">
            <w:pPr>
              <w:spacing w:after="0" w:line="280" w:lineRule="atLeast"/>
              <w:ind w:firstLine="720"/>
              <w:rPr>
                <w:rFonts w:ascii="Garamond" w:eastAsia="Times New Roman" w:hAnsi="Garamond"/>
                <w:sz w:val="20"/>
                <w:szCs w:val="20"/>
                <w:lang w:val="sq-AL"/>
              </w:rPr>
            </w:pPr>
          </w:p>
          <w:p w:rsidR="0096095C" w:rsidRDefault="0096095C">
            <w:pPr>
              <w:spacing w:after="0" w:line="280" w:lineRule="atLeast"/>
              <w:ind w:firstLine="720"/>
              <w:rPr>
                <w:rFonts w:ascii="Garamond" w:eastAsia="Times New Roman" w:hAnsi="Garamond"/>
                <w:sz w:val="20"/>
                <w:szCs w:val="20"/>
                <w:lang w:val="sq-AL"/>
              </w:rPr>
            </w:pPr>
          </w:p>
          <w:p w:rsidR="0096095C" w:rsidRDefault="0096095C">
            <w:pPr>
              <w:spacing w:after="0" w:line="280" w:lineRule="atLeast"/>
              <w:ind w:firstLine="720"/>
              <w:rPr>
                <w:rFonts w:ascii="Garamond" w:eastAsia="Times New Roman" w:hAnsi="Garamond"/>
                <w:sz w:val="20"/>
                <w:szCs w:val="20"/>
                <w:lang w:val="sq-AL"/>
              </w:rPr>
            </w:pPr>
          </w:p>
          <w:p w:rsidR="0096095C" w:rsidRDefault="0096095C">
            <w:pPr>
              <w:spacing w:after="0" w:line="280" w:lineRule="atLeast"/>
              <w:ind w:firstLine="720"/>
              <w:rPr>
                <w:rFonts w:ascii="Garamond" w:eastAsia="Times New Roman" w:hAnsi="Garamond"/>
                <w:sz w:val="20"/>
                <w:szCs w:val="20"/>
                <w:lang w:val="sq-AL"/>
              </w:rPr>
            </w:pPr>
          </w:p>
        </w:tc>
      </w:tr>
      <w:tr w:rsidR="0096095C" w:rsidTr="0096095C">
        <w:trPr>
          <w:trHeight w:val="666"/>
          <w:jc w:val="center"/>
        </w:trPr>
        <w:tc>
          <w:tcPr>
            <w:tcW w:w="15153"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61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2.3.2 Zhvilloni dhe zbatoni leje të reja pune dhe procedura përkatëse</w:t>
            </w:r>
          </w:p>
        </w:tc>
        <w:tc>
          <w:tcPr>
            <w:tcW w:w="111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358"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p w:rsidR="0096095C" w:rsidRDefault="0096095C">
            <w:pPr>
              <w:spacing w:after="120" w:line="240" w:lineRule="auto"/>
              <w:ind w:firstLine="0"/>
              <w:jc w:val="left"/>
              <w:rPr>
                <w:rFonts w:ascii="Garamond" w:eastAsia="Times New Roman" w:hAnsi="Garamond"/>
                <w:sz w:val="20"/>
                <w:szCs w:val="20"/>
                <w:lang w:val="sq-AL"/>
              </w:rPr>
            </w:pPr>
          </w:p>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Brendshme</w:t>
            </w:r>
          </w:p>
        </w:tc>
        <w:tc>
          <w:tcPr>
            <w:tcW w:w="19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Leja e re e punës dhe procedurat e lidhura aty ku është e mundur, në bazë të raportit të krijuar përmes IRAP Veprimi 2.3.1.</w:t>
            </w:r>
          </w:p>
        </w:tc>
        <w:tc>
          <w:tcPr>
            <w:tcW w:w="126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80" w:lineRule="atLeast"/>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Nuk nevojitet </w:t>
            </w:r>
          </w:p>
        </w:tc>
        <w:tc>
          <w:tcPr>
            <w:tcW w:w="450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120" w:line="240" w:lineRule="auto"/>
              <w:ind w:firstLine="0"/>
              <w:jc w:val="left"/>
              <w:rPr>
                <w:rFonts w:ascii="Garamond" w:eastAsia="Times New Roman" w:hAnsi="Garamond"/>
                <w:sz w:val="20"/>
                <w:szCs w:val="20"/>
                <w:lang w:val="sq-AL"/>
              </w:rPr>
            </w:pPr>
          </w:p>
        </w:tc>
      </w:tr>
      <w:tr w:rsidR="0096095C" w:rsidTr="0096095C">
        <w:trPr>
          <w:trHeight w:val="666"/>
          <w:jc w:val="center"/>
        </w:trPr>
        <w:tc>
          <w:tcPr>
            <w:tcW w:w="15153"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6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2.3.3 Hartoni udhëzime procedurale</w:t>
            </w:r>
          </w:p>
        </w:tc>
        <w:tc>
          <w:tcPr>
            <w:tcW w:w="111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2020</w:t>
            </w:r>
          </w:p>
        </w:tc>
        <w:tc>
          <w:tcPr>
            <w:tcW w:w="135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p w:rsidR="0096095C" w:rsidRDefault="0096095C">
            <w:pPr>
              <w:spacing w:after="120" w:line="240" w:lineRule="auto"/>
              <w:ind w:firstLine="0"/>
              <w:jc w:val="left"/>
              <w:rPr>
                <w:rFonts w:ascii="Garamond" w:eastAsia="Times New Roman" w:hAnsi="Garamond"/>
                <w:sz w:val="20"/>
                <w:szCs w:val="20"/>
                <w:lang w:val="sq-AL"/>
              </w:rPr>
            </w:pPr>
          </w:p>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Brendshme</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Udhëzimet procedurale për të gjitha lejet e punës dhe procedurat e ndërlidhura.</w:t>
            </w:r>
          </w:p>
        </w:tc>
        <w:tc>
          <w:tcPr>
            <w:tcW w:w="126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Nevojitet, jo e siguruar</w:t>
            </w:r>
          </w:p>
        </w:tc>
        <w:tc>
          <w:tcPr>
            <w:tcW w:w="450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120" w:line="240" w:lineRule="auto"/>
              <w:ind w:firstLine="0"/>
              <w:rPr>
                <w:rFonts w:ascii="Garamond" w:eastAsia="Times New Roman" w:hAnsi="Garamond"/>
                <w:i/>
                <w:sz w:val="20"/>
                <w:szCs w:val="20"/>
                <w:lang w:val="sq-AL"/>
              </w:rPr>
            </w:pPr>
            <w:r>
              <w:rPr>
                <w:rFonts w:ascii="Garamond" w:eastAsia="Times New Roman" w:hAnsi="Garamond"/>
                <w:i/>
                <w:sz w:val="20"/>
                <w:szCs w:val="20"/>
                <w:lang w:val="sq-AL"/>
              </w:rPr>
              <w:t>Udhëzimet duhet të përmbajnë detaje për gjithçka që nevojitet për lëshimin e lejeve të punës për të huajt, siç janë informacionet e nevojshme për aplikantin, dokumentacioni i kërkuar, procedurat dhe hapat e detajuara, përgjegjësitë, afatet, tarifat administrative dhe dispozita të tjera.</w:t>
            </w:r>
          </w:p>
          <w:p w:rsidR="0096095C" w:rsidRDefault="0096095C">
            <w:pPr>
              <w:spacing w:after="120" w:line="240" w:lineRule="auto"/>
              <w:ind w:firstLine="0"/>
              <w:rPr>
                <w:rFonts w:ascii="Garamond" w:eastAsia="Times New Roman" w:hAnsi="Garamond"/>
                <w:sz w:val="20"/>
                <w:szCs w:val="20"/>
                <w:lang w:val="sq-AL"/>
              </w:rPr>
            </w:pPr>
            <w:r>
              <w:rPr>
                <w:rFonts w:ascii="Garamond" w:eastAsia="Times New Roman" w:hAnsi="Garamond"/>
                <w:i/>
                <w:sz w:val="20"/>
                <w:szCs w:val="20"/>
                <w:lang w:val="sq-AL"/>
              </w:rPr>
              <w:t>Udhëzimi duhet të krijohet në përputhje me kërkesat e Veprimit të Reformës 2.1.1. dhe duhet të përfshihen si të dhëna që do të ofrohen në atë Veprim Reformues.</w:t>
            </w:r>
          </w:p>
        </w:tc>
      </w:tr>
    </w:tbl>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b/>
          <w:bCs/>
          <w:color w:val="FFFFFF"/>
          <w:lang w:val="sq-AL"/>
        </w:rPr>
      </w:pPr>
      <w:r>
        <w:rPr>
          <w:b/>
          <w:lang w:val="sq-AL"/>
        </w:rPr>
        <w:lastRenderedPageBreak/>
        <w:t>Zona e politikave II. Mbrojtja dhe ruajtja e investimeve</w:t>
      </w:r>
    </w:p>
    <w:tbl>
      <w:tblPr>
        <w:tblW w:w="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15" w:type="dxa"/>
          <w:left w:w="115" w:type="dxa"/>
          <w:bottom w:w="115" w:type="dxa"/>
          <w:right w:w="115" w:type="dxa"/>
        </w:tblCellMar>
        <w:tblLook w:val="0420" w:firstRow="1" w:lastRow="0" w:firstColumn="0" w:lastColumn="0" w:noHBand="0" w:noVBand="1"/>
      </w:tblPr>
      <w:tblGrid>
        <w:gridCol w:w="2425"/>
        <w:gridCol w:w="2520"/>
        <w:gridCol w:w="1195"/>
        <w:gridCol w:w="1620"/>
        <w:gridCol w:w="1980"/>
        <w:gridCol w:w="1080"/>
        <w:gridCol w:w="4770"/>
      </w:tblGrid>
      <w:tr w:rsidR="0096095C" w:rsidTr="0096095C">
        <w:trPr>
          <w:trHeight w:val="720"/>
          <w:jc w:val="center"/>
        </w:trPr>
        <w:tc>
          <w:tcPr>
            <w:tcW w:w="2425"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b/>
                <w:bCs/>
                <w:color w:val="FFFFFF"/>
                <w:sz w:val="20"/>
                <w:szCs w:val="20"/>
                <w:lang w:val="sq-AL"/>
              </w:rPr>
            </w:pPr>
            <w:bookmarkStart w:id="4" w:name="_Hlk524355054"/>
            <w:r>
              <w:rPr>
                <w:rFonts w:ascii="Garamond" w:eastAsia="Times New Roman" w:hAnsi="Garamond"/>
                <w:b/>
                <w:bCs/>
                <w:color w:val="FFFFFF"/>
                <w:sz w:val="20"/>
                <w:szCs w:val="20"/>
                <w:lang w:val="sq-AL"/>
              </w:rPr>
              <w:t>Çështja e reformës/</w:t>
            </w:r>
          </w:p>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Angazhimi RIRA</w:t>
            </w:r>
          </w:p>
        </w:tc>
        <w:tc>
          <w:tcPr>
            <w:tcW w:w="2520"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 xml:space="preserve">Veprimet IRAP </w:t>
            </w:r>
          </w:p>
        </w:tc>
        <w:tc>
          <w:tcPr>
            <w:tcW w:w="1195"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Afati kohor</w:t>
            </w:r>
          </w:p>
        </w:tc>
        <w:tc>
          <w:tcPr>
            <w:tcW w:w="1620"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b/>
                <w:bCs/>
                <w:color w:val="FFFFFF"/>
                <w:sz w:val="20"/>
                <w:szCs w:val="20"/>
                <w:lang w:val="sq-AL"/>
              </w:rPr>
            </w:pPr>
            <w:r>
              <w:rPr>
                <w:rFonts w:ascii="Garamond" w:eastAsia="Times New Roman" w:hAnsi="Garamond"/>
                <w:b/>
                <w:bCs/>
                <w:color w:val="FFFFFF"/>
                <w:sz w:val="20"/>
                <w:szCs w:val="20"/>
                <w:lang w:val="sq-AL"/>
              </w:rPr>
              <w:t xml:space="preserve">Agjencia drejtuese </w:t>
            </w:r>
          </w:p>
        </w:tc>
        <w:tc>
          <w:tcPr>
            <w:tcW w:w="1980"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Rezultatet</w:t>
            </w:r>
          </w:p>
        </w:tc>
        <w:tc>
          <w:tcPr>
            <w:tcW w:w="1080"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Mbështetje e donatorëve</w:t>
            </w:r>
          </w:p>
        </w:tc>
        <w:tc>
          <w:tcPr>
            <w:tcW w:w="4770"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b/>
                <w:color w:val="FFFFFF"/>
                <w:sz w:val="20"/>
                <w:szCs w:val="20"/>
                <w:lang w:val="sq-AL"/>
              </w:rPr>
            </w:pPr>
            <w:r>
              <w:rPr>
                <w:rFonts w:ascii="Garamond" w:eastAsia="Times New Roman" w:hAnsi="Garamond"/>
                <w:b/>
                <w:color w:val="FFFFFF"/>
                <w:sz w:val="20"/>
                <w:szCs w:val="20"/>
                <w:lang w:val="sq-AL"/>
              </w:rPr>
              <w:t>Komente</w:t>
            </w:r>
          </w:p>
        </w:tc>
        <w:bookmarkEnd w:id="4"/>
      </w:tr>
      <w:tr w:rsidR="0096095C" w:rsidTr="0096095C">
        <w:trPr>
          <w:trHeight w:val="298"/>
          <w:jc w:val="center"/>
        </w:trPr>
        <w:tc>
          <w:tcPr>
            <w:tcW w:w="15590" w:type="dxa"/>
            <w:gridSpan w:val="7"/>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left="240" w:firstLine="0"/>
              <w:jc w:val="left"/>
              <w:rPr>
                <w:rFonts w:ascii="Garamond" w:eastAsia="Times New Roman" w:hAnsi="Garamond"/>
                <w:b/>
                <w:bCs/>
                <w:color w:val="FFFFFF"/>
                <w:sz w:val="20"/>
                <w:szCs w:val="20"/>
                <w:lang w:val="sq-AL"/>
              </w:rPr>
            </w:pPr>
            <w:r>
              <w:rPr>
                <w:rFonts w:ascii="Garamond" w:eastAsia="Times New Roman" w:hAnsi="Garamond"/>
                <w:i/>
                <w:sz w:val="20"/>
                <w:szCs w:val="20"/>
                <w:lang w:val="sq-AL"/>
              </w:rPr>
              <w:t xml:space="preserve">3. Përafrimi i kornizave ligjore për investime, përfshirë MNI-të, me praktikat e mira ndërkombëtare dhe standardet e BE-së </w:t>
            </w:r>
          </w:p>
        </w:tc>
      </w:tr>
      <w:tr w:rsidR="0096095C" w:rsidTr="0096095C">
        <w:trPr>
          <w:trHeight w:val="1014"/>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iCs/>
                <w:sz w:val="20"/>
                <w:szCs w:val="20"/>
                <w:lang w:val="sq-AL"/>
              </w:rPr>
            </w:pPr>
            <w:bookmarkStart w:id="5" w:name="_Hlk524355364"/>
            <w:r>
              <w:rPr>
                <w:rFonts w:ascii="Garamond" w:eastAsia="Times New Roman" w:hAnsi="Garamond"/>
                <w:i/>
                <w:iCs/>
                <w:sz w:val="20"/>
                <w:szCs w:val="20"/>
                <w:lang w:val="sq-AL"/>
              </w:rPr>
              <w:t>3.1 Kryeni një rishikim të hollësishëm dhe rishikim krahasues të thellë të marrëveshjeve ndërkombëtare të investimeve ( MNI</w:t>
            </w:r>
            <w:r>
              <w:rPr>
                <w:vertAlign w:val="superscript"/>
              </w:rPr>
              <w:footnoteReference w:id="2"/>
            </w:r>
            <w:r>
              <w:rPr>
                <w:rFonts w:ascii="Garamond" w:eastAsia="Times New Roman" w:hAnsi="Garamond"/>
                <w:i/>
                <w:iCs/>
                <w:sz w:val="20"/>
                <w:szCs w:val="20"/>
                <w:lang w:val="sq-AL"/>
              </w:rPr>
              <w:t>) WB6 ‘, me fokus të veçantë në TDI, duke i krahasuar ato me MNI-të e gjeneratës së re për të përmirësuar përqasjen me standardet e orientuara nga reformat në standardet e gjeneratës së re MNI/BE</w:t>
            </w:r>
            <w:r>
              <w:rPr>
                <w:vertAlign w:val="superscript"/>
              </w:rPr>
              <w:footnoteReference w:id="3"/>
            </w:r>
            <w:r>
              <w:rPr>
                <w:rFonts w:ascii="Garamond" w:eastAsia="Times New Roman" w:hAnsi="Garamond"/>
                <w:i/>
                <w:iCs/>
                <w:sz w:val="20"/>
                <w:szCs w:val="20"/>
                <w:lang w:val="sq-AL"/>
              </w:rPr>
              <w:t>.</w:t>
            </w: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3.1.1 Kryeni një rishikim të hollësishëm dhe gjithëpërfshirëse të MNI-ve aktualisht në fuqi në Shqipëri</w:t>
            </w:r>
          </w:p>
        </w:tc>
        <w:tc>
          <w:tcPr>
            <w:tcW w:w="119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6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Financave dhe Ekonomise dhe Ministria për Evropën dhe Punët e Jashtme(Asistuese)</w:t>
            </w:r>
          </w:p>
        </w:tc>
        <w:tc>
          <w:tcPr>
            <w:tcW w:w="198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p>
        </w:tc>
        <w:tc>
          <w:tcPr>
            <w:tcW w:w="10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w:t>
            </w:r>
          </w:p>
        </w:tc>
        <w:tc>
          <w:tcPr>
            <w:tcW w:w="477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autoSpaceDE w:val="0"/>
              <w:autoSpaceDN w:val="0"/>
              <w:adjustRightInd w:val="0"/>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Objekti i analizës përshkruhet në Aneks</w:t>
            </w:r>
          </w:p>
          <w:p w:rsidR="0096095C" w:rsidRDefault="0096095C">
            <w:pPr>
              <w:autoSpaceDE w:val="0"/>
              <w:autoSpaceDN w:val="0"/>
              <w:adjustRightInd w:val="0"/>
              <w:spacing w:after="0" w:line="240" w:lineRule="auto"/>
              <w:ind w:firstLine="0"/>
              <w:jc w:val="left"/>
              <w:rPr>
                <w:rFonts w:ascii="Garamond" w:eastAsia="Times New Roman" w:hAnsi="Garamond"/>
                <w:i/>
                <w:sz w:val="20"/>
                <w:szCs w:val="20"/>
                <w:lang w:val="sq-AL"/>
              </w:rPr>
            </w:pPr>
          </w:p>
          <w:p w:rsidR="0096095C" w:rsidRDefault="0096095C">
            <w:pPr>
              <w:autoSpaceDE w:val="0"/>
              <w:autoSpaceDN w:val="0"/>
              <w:adjustRightInd w:val="0"/>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Raporti do të përafrohet dhe do të mbështetet në një analizë të kryer nga GIZ (Korporata Gjermane për Bashkëpunim Ndërkombëtar) që është në progres.</w:t>
            </w:r>
          </w:p>
          <w:p w:rsidR="0096095C" w:rsidRDefault="0096095C">
            <w:pPr>
              <w:autoSpaceDE w:val="0"/>
              <w:autoSpaceDN w:val="0"/>
              <w:adjustRightInd w:val="0"/>
              <w:spacing w:after="0" w:line="240" w:lineRule="auto"/>
              <w:ind w:firstLine="0"/>
              <w:jc w:val="left"/>
              <w:rPr>
                <w:rFonts w:ascii="Garamond" w:eastAsia="Times New Roman" w:hAnsi="Garamond"/>
                <w:i/>
                <w:sz w:val="20"/>
                <w:szCs w:val="20"/>
                <w:lang w:val="sq-AL"/>
              </w:rPr>
            </w:pPr>
          </w:p>
          <w:p w:rsidR="0096095C" w:rsidRDefault="0096095C">
            <w:pPr>
              <w:autoSpaceDE w:val="0"/>
              <w:autoSpaceDN w:val="0"/>
              <w:adjustRightInd w:val="0"/>
              <w:spacing w:after="0" w:line="240" w:lineRule="auto"/>
              <w:ind w:firstLine="0"/>
              <w:jc w:val="left"/>
              <w:rPr>
                <w:rFonts w:ascii="Garamond" w:eastAsia="Times New Roman" w:hAnsi="Garamond"/>
                <w:i/>
                <w:color w:val="000000"/>
                <w:sz w:val="20"/>
                <w:szCs w:val="20"/>
                <w:lang w:val="sq-AL"/>
              </w:rPr>
            </w:pPr>
          </w:p>
        </w:tc>
      </w:tr>
      <w:tr w:rsidR="0096095C" w:rsidTr="0096095C">
        <w:trPr>
          <w:trHeight w:val="1015"/>
          <w:jc w:val="center"/>
        </w:trPr>
        <w:tc>
          <w:tcPr>
            <w:tcW w:w="15590"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3.1.2. Kryeni një analizë krahasuese të MNI-ve të Shqipërisë me ato të ekonomive të tjera të WB6.</w:t>
            </w:r>
          </w:p>
        </w:tc>
        <w:tc>
          <w:tcPr>
            <w:tcW w:w="119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Shtator 2019</w:t>
            </w:r>
          </w:p>
        </w:tc>
        <w:tc>
          <w:tcPr>
            <w:tcW w:w="16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Ministria e Financave dhe Ekonomise dhe Ministria për Evropën dhe Punët e Jashtme </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(Asistuese)</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raport i sintezës i bazuar në Veprimin IRAP 3.1.1, duke krahasuar MNI-të me ekonomitë e tjera të ekonomisë WB6.</w:t>
            </w:r>
          </w:p>
        </w:tc>
        <w:tc>
          <w:tcPr>
            <w:tcW w:w="10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w:t>
            </w:r>
          </w:p>
        </w:tc>
        <w:tc>
          <w:tcPr>
            <w:tcW w:w="477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p>
          <w:p w:rsidR="0096095C" w:rsidRDefault="0096095C">
            <w:pPr>
              <w:spacing w:after="0" w:line="240" w:lineRule="auto"/>
              <w:ind w:firstLine="720"/>
              <w:rPr>
                <w:rFonts w:ascii="Garamond" w:eastAsia="Times New Roman" w:hAnsi="Garamond"/>
                <w:sz w:val="20"/>
                <w:szCs w:val="20"/>
                <w:lang w:val="sq-AL"/>
              </w:rPr>
            </w:pPr>
          </w:p>
        </w:tc>
      </w:tr>
      <w:tr w:rsidR="0096095C" w:rsidTr="0096095C">
        <w:trPr>
          <w:trHeight w:val="2439"/>
          <w:jc w:val="center"/>
        </w:trPr>
        <w:tc>
          <w:tcPr>
            <w:tcW w:w="15590"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3.1. 3. Standardizimi i MNI të Shqipërisë me standardet e gjeneratës së re MNI dhe BE (CETA, UNCTAD IPFSD) për të identifikuar boshllëqet dhe për të zhvilluar rekomandime për të përmirësuar përputhjen me standardet e orientuara nga reforma në standardet e gjeneratës së re MNI/BE </w:t>
            </w:r>
          </w:p>
        </w:tc>
        <w:tc>
          <w:tcPr>
            <w:tcW w:w="119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Shtator 2019</w:t>
            </w:r>
          </w:p>
        </w:tc>
        <w:tc>
          <w:tcPr>
            <w:tcW w:w="16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Financave dhe Ekonomise dhe Ministria për Evropën dhe Punët e Jashtme(Asistuese)</w:t>
            </w:r>
          </w:p>
        </w:tc>
        <w:tc>
          <w:tcPr>
            <w:tcW w:w="19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Raportoni bazuar në rezultatin nga Veprimi 3.1.1 IRAP.</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shënim i shkurtër mbi efektin e pranimit të BE në MNI-të ekzistuese.</w:t>
            </w:r>
          </w:p>
        </w:tc>
        <w:tc>
          <w:tcPr>
            <w:tcW w:w="10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w:t>
            </w:r>
          </w:p>
        </w:tc>
        <w:tc>
          <w:tcPr>
            <w:tcW w:w="477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rPr>
                <w:rFonts w:ascii="Garamond" w:eastAsia="SimSun" w:hAnsi="Garamond"/>
                <w:i/>
                <w:sz w:val="20"/>
                <w:szCs w:val="20"/>
                <w:lang w:val="sq-AL" w:eastAsia="zh-CN"/>
              </w:rPr>
            </w:pPr>
            <w:r>
              <w:rPr>
                <w:rFonts w:ascii="Garamond" w:eastAsia="SimSun" w:hAnsi="Garamond"/>
                <w:i/>
                <w:sz w:val="20"/>
                <w:szCs w:val="20"/>
                <w:lang w:val="sq-AL" w:eastAsia="zh-CN"/>
              </w:rPr>
              <w:t>Standardizimi i MNI-ve me standardet e reja të gjenerimit MNI dhe BE do të përafrohet ngushtë me Kornizën e Politikave të Investimeve të UNCTAD për Zhvillimin e Qëndrueshëm (IPFSD).</w:t>
            </w:r>
          </w:p>
          <w:p w:rsidR="0096095C" w:rsidRDefault="0096095C">
            <w:pPr>
              <w:spacing w:after="0" w:line="240" w:lineRule="auto"/>
              <w:ind w:firstLine="0"/>
              <w:rPr>
                <w:rFonts w:ascii="Garamond" w:eastAsia="Times New Roman" w:hAnsi="Garamond"/>
                <w:sz w:val="20"/>
                <w:szCs w:val="20"/>
                <w:lang w:val="sq-AL"/>
              </w:rPr>
            </w:pPr>
            <w:r>
              <w:rPr>
                <w:rFonts w:ascii="Garamond" w:eastAsia="SimSun" w:hAnsi="Garamond"/>
                <w:i/>
                <w:sz w:val="20"/>
                <w:szCs w:val="20"/>
                <w:lang w:val="sq-AL" w:eastAsia="zh-CN"/>
              </w:rPr>
              <w:t>Një shembull i një gjenerate të re MNI është shumica e Kapitullit të Investimeve të Marrëveshjes Gjithëpërfshirëse Ekonomike dhe Tregtare midis Bashkimit Evropian dhe Kanadasë (CETA), i cili gjithashtu shërben si një përfaqësim i standardeve aktuale të BE-së (por duke përjashtuar mekanizmin e zgjidhjes së mosmarrëveshjeve të CETA-s).</w:t>
            </w:r>
          </w:p>
        </w:tc>
        <w:bookmarkEnd w:id="5"/>
      </w:tr>
      <w:tr w:rsidR="0096095C" w:rsidTr="0096095C">
        <w:trPr>
          <w:trHeight w:val="2425"/>
          <w:jc w:val="center"/>
        </w:trPr>
        <w:tc>
          <w:tcPr>
            <w:tcW w:w="242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i/>
                <w:iCs/>
                <w:sz w:val="20"/>
                <w:szCs w:val="20"/>
                <w:lang w:val="sq-AL"/>
              </w:rPr>
              <w:t>3.2 Kryeni një analizë boshllëku/mospërputhjeje të legjislacioneve specifike të investimeve të brendshme të ekonomive me MNI-të e tyre dhe gjenerata e re MNI, bazuar në një analizë gjithëpërfshirëse të kornizave të investimeve ligjore të ekonomive që do të kryhen pas miratimit të agjendës rajonale të reformës së investimeve.</w:t>
            </w: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sz w:val="20"/>
                <w:szCs w:val="20"/>
                <w:lang w:val="sq-AL"/>
              </w:rPr>
              <w:t>3.2.1.</w:t>
            </w:r>
            <w:r>
              <w:rPr>
                <w:rFonts w:ascii="Garamond" w:hAnsi="Garamond"/>
                <w:color w:val="000000"/>
                <w:kern w:val="24"/>
                <w:sz w:val="20"/>
                <w:szCs w:val="20"/>
                <w:lang w:val="sq-AL"/>
              </w:rPr>
              <w:t xml:space="preserve"> Kryeni një analizë gjithëpërfshirëse të kuadrit ligjor të brendshëm të Shqipërisë për mbrojtjen e investimeve dhe analizoni boshllëqet përballë MNI-ve të ekonomisë si dhe gjeneratës së re MNI</w:t>
            </w:r>
          </w:p>
        </w:tc>
        <w:tc>
          <w:tcPr>
            <w:tcW w:w="119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62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p w:rsidR="0096095C" w:rsidRDefault="0096095C">
            <w:pPr>
              <w:spacing w:after="0" w:line="240" w:lineRule="auto"/>
              <w:ind w:firstLine="0"/>
              <w:jc w:val="left"/>
              <w:rPr>
                <w:rFonts w:ascii="Garamond" w:eastAsia="Times New Roman" w:hAnsi="Garamond"/>
                <w:strike/>
                <w:sz w:val="20"/>
                <w:szCs w:val="20"/>
                <w:lang w:val="sq-AL"/>
              </w:rPr>
            </w:pP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raport i veçantë për ekonominë që rishikon kuadrin ligjor vendas të Shqipërisë për mbrojtjen e investimeve dhe krahasimin e tij përballë MNI-të e ekonomisë dhe me MNI-të e gjeneratës së re</w:t>
            </w:r>
          </w:p>
        </w:tc>
        <w:tc>
          <w:tcPr>
            <w:tcW w:w="10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w:t>
            </w:r>
          </w:p>
        </w:tc>
        <w:tc>
          <w:tcPr>
            <w:tcW w:w="477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SimSun" w:hAnsi="Garamond"/>
                <w:i/>
                <w:sz w:val="20"/>
                <w:szCs w:val="20"/>
                <w:lang w:val="sq-AL" w:eastAsia="zh-CN"/>
              </w:rPr>
            </w:pPr>
            <w:r>
              <w:rPr>
                <w:rFonts w:ascii="Garamond" w:eastAsia="SimSun" w:hAnsi="Garamond"/>
                <w:i/>
                <w:sz w:val="20"/>
                <w:szCs w:val="20"/>
                <w:lang w:val="sq-AL" w:eastAsia="zh-CN"/>
              </w:rPr>
              <w:t>Objekti i analizës përshkruhet në Aneks.</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SimSun" w:hAnsi="Garamond"/>
                <w:i/>
                <w:sz w:val="20"/>
                <w:szCs w:val="20"/>
                <w:lang w:val="sq-AL" w:eastAsia="zh-CN"/>
              </w:rPr>
              <w:t>Analiza do të mbështesë përpjekjet e vazhdueshme të reformës për hartimin e “Ligjit të Unifikuar të Investimeve”.</w:t>
            </w:r>
          </w:p>
        </w:tc>
      </w:tr>
      <w:tr w:rsidR="0096095C" w:rsidTr="0096095C">
        <w:trPr>
          <w:trHeight w:val="1015"/>
          <w:jc w:val="center"/>
        </w:trPr>
        <w:tc>
          <w:tcPr>
            <w:tcW w:w="242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bookmarkStart w:id="6" w:name="_Hlk524355032"/>
            <w:r>
              <w:rPr>
                <w:rFonts w:ascii="Garamond" w:eastAsia="Times New Roman" w:hAnsi="Garamond"/>
                <w:i/>
                <w:iCs/>
                <w:sz w:val="20"/>
                <w:szCs w:val="20"/>
                <w:lang w:val="sq-AL"/>
              </w:rPr>
              <w:t>3.3 Përmirësimi i legjislacioneve të brendshme në përputhje me standardet e parashikuara në MNI të gjeneratës së re.</w:t>
            </w: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sz w:val="20"/>
                <w:szCs w:val="20"/>
                <w:lang w:val="sq-AL"/>
              </w:rPr>
              <w:t>3.3.1 Zbatoni “Ligjin e Unifikuar të Investimeve”</w:t>
            </w:r>
          </w:p>
        </w:tc>
        <w:tc>
          <w:tcPr>
            <w:tcW w:w="119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6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tc>
        <w:tc>
          <w:tcPr>
            <w:tcW w:w="19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“Ligji i Unifikuar i Investimeve” i miratuar.</w:t>
            </w:r>
          </w:p>
        </w:tc>
        <w:tc>
          <w:tcPr>
            <w:tcW w:w="10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77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p>
        </w:tc>
        <w:bookmarkEnd w:id="6"/>
      </w:tr>
      <w:tr w:rsidR="0096095C" w:rsidTr="0096095C">
        <w:trPr>
          <w:trHeight w:val="1014"/>
          <w:jc w:val="center"/>
        </w:trPr>
        <w:tc>
          <w:tcPr>
            <w:tcW w:w="2425"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3.4 Forcimi i mandatit të Grupit të Përbashkët të Punës SEEIC-CEFTA mbi Investimet për ta krijuar atë si një mekanizëm për shkëmbimin rajonal të standardeve MNI, modernizimin e MNI-ve dhe, nëse konsiderohet e nevojshme nga ekonomitë pjesëmarrëse, për të mundësuar zhvillimin e një qasjeje strategjike për negocimin/rishikimin e MNI.</w:t>
            </w:r>
          </w:p>
          <w:p w:rsidR="0096095C" w:rsidRDefault="0096095C">
            <w:pPr>
              <w:spacing w:after="0" w:line="240" w:lineRule="auto"/>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3.4.1. Mbështesni këtë shkëmbim rajonal duke emëruar përfaqësuesit në baza rast pas rasti sipas temave teknike të Grupit të Përbashkët të Punës mbi Investimet për Grupin Teknik të Nën - Punës.</w:t>
            </w:r>
          </w:p>
          <w:p w:rsidR="0096095C" w:rsidRDefault="0096095C">
            <w:pPr>
              <w:spacing w:after="0" w:line="240" w:lineRule="auto"/>
              <w:ind w:firstLine="0"/>
              <w:jc w:val="left"/>
              <w:rPr>
                <w:rFonts w:ascii="Garamond" w:eastAsia="Times New Roman" w:hAnsi="Garamond"/>
                <w:sz w:val="20"/>
                <w:szCs w:val="20"/>
                <w:lang w:val="sq-AL"/>
              </w:rPr>
            </w:pPr>
          </w:p>
        </w:tc>
        <w:tc>
          <w:tcPr>
            <w:tcW w:w="119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Në vazhdim</w:t>
            </w:r>
          </w:p>
        </w:tc>
        <w:tc>
          <w:tcPr>
            <w:tcW w:w="16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Emërimet e përfaqësuesve në bazë rast pas rasti sipas temave të grupit të posaçëm teknik të nënpunës.</w:t>
            </w:r>
          </w:p>
        </w:tc>
        <w:tc>
          <w:tcPr>
            <w:tcW w:w="10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RCC, GBB- BB-PNI</w:t>
            </w:r>
          </w:p>
        </w:tc>
        <w:tc>
          <w:tcPr>
            <w:tcW w:w="477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i/>
                <w:sz w:val="20"/>
                <w:szCs w:val="20"/>
                <w:lang w:val="sq-AL"/>
              </w:rPr>
              <w:t>Dialogu rajonal i orientuar drejt politikave mbi marrëveshjet e investimeve ekziston tashmë në kuadër të Komitetit të Investimeve të Evropës Juglindore dhe kjo strukturë ekzistuese do të përdoret për qëllimet e kësaj pike të veprimit</w:t>
            </w:r>
            <w:r>
              <w:rPr>
                <w:rFonts w:ascii="Garamond" w:eastAsia="Times New Roman" w:hAnsi="Garamond"/>
                <w:sz w:val="20"/>
                <w:szCs w:val="20"/>
                <w:lang w:val="sq-AL"/>
              </w:rPr>
              <w:t xml:space="preserve"> </w:t>
            </w:r>
          </w:p>
        </w:tc>
      </w:tr>
      <w:tr w:rsidR="0096095C" w:rsidTr="0096095C">
        <w:trPr>
          <w:trHeight w:val="160"/>
          <w:jc w:val="center"/>
        </w:trPr>
        <w:tc>
          <w:tcPr>
            <w:tcW w:w="15590" w:type="dxa"/>
            <w:gridSpan w:val="7"/>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i/>
                <w:iCs/>
                <w:sz w:val="20"/>
                <w:szCs w:val="20"/>
                <w:lang w:val="sq-AL"/>
              </w:rPr>
              <w:t xml:space="preserve">4. Forcimi i mekanizmave të ruajtjes së investimeve në rajon </w:t>
            </w:r>
          </w:p>
        </w:tc>
      </w:tr>
      <w:tr w:rsidR="0096095C" w:rsidTr="0096095C">
        <w:trPr>
          <w:trHeight w:val="178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4.1 Përmirësoni mekanizmat e krijuara të ankesave të investitorëve në ekonomitë e interesuara, duke marrë parasysh nivelet e ndryshme të zhvillimit dhe mbështetjen e nevojshme për ndërtimin e kapaciteteve.</w:t>
            </w: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4.1.1. Kryeni diagnostika në menaxhimin e ankesave të investitorëve në Shqipëri </w:t>
            </w:r>
          </w:p>
        </w:tc>
        <w:tc>
          <w:tcPr>
            <w:tcW w:w="119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6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raport diagnostik mbi menaxhimin e ankesave në Shqipëri, përfshirë rekomandimet për hartimin e një mekanizmi të ankesave.</w:t>
            </w:r>
          </w:p>
        </w:tc>
        <w:tc>
          <w:tcPr>
            <w:tcW w:w="10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BB-PNI/BERZH</w:t>
            </w:r>
          </w:p>
        </w:tc>
        <w:tc>
          <w:tcPr>
            <w:tcW w:w="477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SimSun" w:hAnsi="Garamond"/>
                <w:i/>
                <w:sz w:val="20"/>
                <w:szCs w:val="20"/>
                <w:lang w:val="sq-AL" w:eastAsia="zh-CN"/>
              </w:rPr>
            </w:pPr>
            <w:r>
              <w:rPr>
                <w:rFonts w:ascii="Garamond" w:eastAsia="SimSun" w:hAnsi="Garamond"/>
                <w:i/>
                <w:sz w:val="20"/>
                <w:szCs w:val="20"/>
                <w:lang w:val="sq-AL" w:eastAsia="zh-CN"/>
              </w:rPr>
              <w:t xml:space="preserve">Objekti i diagnostikimit përshkruhet në Aneks </w:t>
            </w:r>
          </w:p>
          <w:p w:rsidR="0096095C" w:rsidRDefault="0096095C">
            <w:pPr>
              <w:spacing w:after="0" w:line="240" w:lineRule="auto"/>
              <w:ind w:firstLine="0"/>
              <w:jc w:val="left"/>
              <w:rPr>
                <w:rFonts w:ascii="Garamond" w:eastAsia="SimSun" w:hAnsi="Garamond"/>
                <w:i/>
                <w:sz w:val="20"/>
                <w:szCs w:val="20"/>
                <w:lang w:val="sq-AL" w:eastAsia="zh-CN"/>
              </w:rPr>
            </w:pPr>
          </w:p>
        </w:tc>
      </w:tr>
      <w:tr w:rsidR="0096095C" w:rsidTr="0096095C">
        <w:trPr>
          <w:trHeight w:val="1015"/>
          <w:jc w:val="center"/>
        </w:trPr>
        <w:tc>
          <w:tcPr>
            <w:tcW w:w="15590"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4.1.2. Hartoni dhe zbatoni një strukture të përshtatshme institucionale për menaxhimin e ankesave </w:t>
            </w:r>
          </w:p>
          <w:p w:rsidR="0096095C" w:rsidRDefault="0096095C">
            <w:pPr>
              <w:spacing w:after="0" w:line="240" w:lineRule="auto"/>
              <w:ind w:firstLine="0"/>
              <w:jc w:val="left"/>
              <w:rPr>
                <w:rFonts w:ascii="Garamond" w:eastAsia="Times New Roman" w:hAnsi="Garamond"/>
                <w:sz w:val="20"/>
                <w:szCs w:val="20"/>
                <w:lang w:val="sq-AL"/>
              </w:rPr>
            </w:pPr>
          </w:p>
        </w:tc>
        <w:tc>
          <w:tcPr>
            <w:tcW w:w="119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6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w:t>
            </w:r>
          </w:p>
        </w:tc>
        <w:tc>
          <w:tcPr>
            <w:tcW w:w="198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Hartoni një mekanizmi të ankesave, bazuar në raportin diagnostik të Veprimit të Reformës 4.1.1. dhe të vërtetuara përmes konsultimeve të sektorit publik dhe privat. </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manual operativ dhe udhëzime operative për mekanizmin e ankesave.</w:t>
            </w:r>
          </w:p>
          <w:p w:rsidR="0096095C" w:rsidRDefault="0096095C">
            <w:pPr>
              <w:spacing w:after="0" w:line="240" w:lineRule="auto"/>
              <w:ind w:firstLine="0"/>
              <w:jc w:val="left"/>
              <w:rPr>
                <w:rFonts w:ascii="Garamond" w:eastAsia="Times New Roman" w:hAnsi="Garamond"/>
                <w:sz w:val="20"/>
                <w:szCs w:val="20"/>
                <w:lang w:val="sq-AL"/>
              </w:rPr>
            </w:pP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Zbatimi i mekanizmit të ankesave, përfshirë reformat rregullatorë (nëse nevojitet).</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Informacion mbi mekanizmat e ankesave të shpërndara dhe të ndara me sektorin </w:t>
            </w:r>
            <w:r>
              <w:rPr>
                <w:rFonts w:ascii="Garamond" w:eastAsia="Times New Roman" w:hAnsi="Garamond"/>
                <w:sz w:val="20"/>
                <w:szCs w:val="20"/>
                <w:lang w:val="sq-AL"/>
              </w:rPr>
              <w:lastRenderedPageBreak/>
              <w:t>privat dhe agjencitë publike federale dhe nënkombëtare.</w:t>
            </w:r>
          </w:p>
        </w:tc>
        <w:tc>
          <w:tcPr>
            <w:tcW w:w="10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GBB- BB-PNI/BERZH</w:t>
            </w:r>
          </w:p>
        </w:tc>
        <w:tc>
          <w:tcPr>
            <w:tcW w:w="477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SimSun" w:hAnsi="Garamond"/>
                <w:i/>
                <w:sz w:val="20"/>
                <w:szCs w:val="20"/>
                <w:lang w:val="sq-AL" w:eastAsia="zh-CN"/>
              </w:rPr>
            </w:pPr>
            <w:r>
              <w:rPr>
                <w:rFonts w:ascii="Garamond" w:eastAsia="Times New Roman" w:hAnsi="Garamond"/>
                <w:i/>
                <w:sz w:val="20"/>
                <w:szCs w:val="20"/>
                <w:lang w:val="sq-AL"/>
              </w:rPr>
              <w:t>Zbatimi i Veprimit të Reformimit është në progres. Një draft aktual i “Ligjit të Unifikuar të Investimeve” krijon një mekanizëm të ankesave nën Ministrinë e Shtetit për Sipërmarrësit. Diagnostikimi sipas Veprimit IRAP 4.1.1. projektohet për të informuar mbi hartimin e mekanizmit të ankesave.</w:t>
            </w:r>
          </w:p>
          <w:p w:rsidR="0096095C" w:rsidRDefault="0096095C">
            <w:pPr>
              <w:spacing w:after="0" w:line="240" w:lineRule="auto"/>
              <w:ind w:firstLine="0"/>
              <w:jc w:val="left"/>
              <w:rPr>
                <w:rFonts w:ascii="Garamond" w:eastAsia="SimSun" w:hAnsi="Garamond"/>
                <w:i/>
                <w:sz w:val="20"/>
                <w:szCs w:val="20"/>
                <w:lang w:val="sq-AL" w:eastAsia="zh-CN"/>
              </w:rPr>
            </w:pPr>
          </w:p>
        </w:tc>
      </w:tr>
      <w:tr w:rsidR="0096095C" w:rsidTr="0096095C">
        <w:trPr>
          <w:trHeight w:val="1015"/>
          <w:jc w:val="center"/>
        </w:trPr>
        <w:tc>
          <w:tcPr>
            <w:tcW w:w="15590"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bookmarkStart w:id="7" w:name="_Hlk524355475" w:colFirst="1" w:colLast="6"/>
          </w:p>
        </w:tc>
        <w:tc>
          <w:tcPr>
            <w:tcW w:w="252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4.1.3. Hartoni dhe zbatoni një mjeti ndjekës për të trajtuar ankesat e investitorëve, investimet e ndikuara dhe informacionet e lidhura me to</w:t>
            </w:r>
          </w:p>
          <w:p w:rsidR="0096095C" w:rsidRDefault="0096095C">
            <w:pPr>
              <w:spacing w:after="0" w:line="240" w:lineRule="auto"/>
              <w:ind w:firstLine="0"/>
              <w:jc w:val="left"/>
              <w:rPr>
                <w:rFonts w:ascii="Garamond" w:eastAsia="Times New Roman" w:hAnsi="Garamond"/>
                <w:i/>
                <w:sz w:val="20"/>
                <w:szCs w:val="20"/>
                <w:lang w:val="sq-AL"/>
              </w:rPr>
            </w:pPr>
          </w:p>
        </w:tc>
        <w:tc>
          <w:tcPr>
            <w:tcW w:w="119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6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 i Shtetit për Sipërmarrësit</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Dizajn për mjetin e ndjekjes (zgjidhja teknike dhe baza institucionale).</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manual operativ për përdorimin e mjetit ndjekës.</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Mjet i ndjekjes dhe drejtimit.</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Raportet vjetore që përshkruajnë rezultatet e ankesave, që do të përdoren për mbështetjen e politikave.</w:t>
            </w:r>
          </w:p>
        </w:tc>
        <w:tc>
          <w:tcPr>
            <w:tcW w:w="10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BB-PNI/BERZH</w:t>
            </w:r>
          </w:p>
        </w:tc>
        <w:tc>
          <w:tcPr>
            <w:tcW w:w="477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SimSun" w:hAnsi="Garamond"/>
                <w:i/>
                <w:sz w:val="20"/>
                <w:szCs w:val="20"/>
                <w:lang w:val="sq-AL" w:eastAsia="zh-CN"/>
              </w:rPr>
            </w:pPr>
            <w:r>
              <w:rPr>
                <w:rFonts w:ascii="Garamond" w:eastAsia="SimSun" w:hAnsi="Garamond"/>
                <w:i/>
                <w:sz w:val="20"/>
                <w:szCs w:val="20"/>
                <w:lang w:val="sq-AL" w:eastAsia="zh-CN"/>
              </w:rPr>
              <w:t>Mjeti i ndjekjes mund të jetë në një format të thjeshtë excel, i cili është më i lehtë dhe më pak i kushtueshëm për t’u instaluar, ose në formën e softuerit më të sofistikuar.</w:t>
            </w:r>
          </w:p>
          <w:p w:rsidR="0096095C" w:rsidRDefault="0096095C">
            <w:pPr>
              <w:spacing w:after="0" w:line="240" w:lineRule="auto"/>
              <w:ind w:firstLine="0"/>
              <w:jc w:val="left"/>
              <w:rPr>
                <w:rFonts w:ascii="Garamond" w:eastAsia="Times New Roman" w:hAnsi="Garamond"/>
                <w:sz w:val="20"/>
                <w:szCs w:val="20"/>
                <w:lang w:val="sq-AL"/>
              </w:rPr>
            </w:pPr>
          </w:p>
        </w:tc>
      </w:tr>
      <w:bookmarkEnd w:id="7"/>
      <w:tr w:rsidR="0096095C" w:rsidTr="0096095C">
        <w:trPr>
          <w:trHeight w:val="1675"/>
          <w:jc w:val="center"/>
        </w:trPr>
        <w:tc>
          <w:tcPr>
            <w:tcW w:w="15590"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4.1.4. Ndërtoni kapacitete mbi menaxhimin e ankesave, MNI, mbledhjen e të dhënave, dhe monitorimin dhe vlerësimin </w:t>
            </w:r>
          </w:p>
        </w:tc>
        <w:tc>
          <w:tcPr>
            <w:tcW w:w="119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6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 i Shtetit për Sipërmarrësit</w:t>
            </w:r>
          </w:p>
        </w:tc>
        <w:tc>
          <w:tcPr>
            <w:tcW w:w="19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Një numër seminaresh me zyrtarë të agjencisë përkatëse.</w:t>
            </w:r>
          </w:p>
        </w:tc>
        <w:tc>
          <w:tcPr>
            <w:tcW w:w="108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GBB- BB-PNI/BERZH</w:t>
            </w:r>
          </w:p>
        </w:tc>
        <w:tc>
          <w:tcPr>
            <w:tcW w:w="477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1015"/>
          <w:jc w:val="center"/>
        </w:trPr>
        <w:tc>
          <w:tcPr>
            <w:tcW w:w="242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left="520" w:firstLine="0"/>
              <w:jc w:val="left"/>
              <w:rPr>
                <w:rFonts w:ascii="Garamond" w:eastAsia="Times New Roman" w:hAnsi="Garamond"/>
                <w:sz w:val="20"/>
                <w:szCs w:val="20"/>
                <w:lang w:val="sq-AL"/>
              </w:rPr>
            </w:pPr>
            <w:r>
              <w:rPr>
                <w:rFonts w:ascii="Garamond" w:eastAsia="Times New Roman" w:hAnsi="Garamond"/>
                <w:i/>
                <w:iCs/>
                <w:sz w:val="20"/>
                <w:szCs w:val="20"/>
                <w:lang w:val="sq-AL"/>
              </w:rPr>
              <w:t xml:space="preserve">4.2 Forcimi i mandatit të Grupit të Përbashkët të Punës mbi Investimet SEEIC-CEFTA për ta krijuar atë si një platformë rajonale për shkëmbimin e përvojave në menaxhimin e ankesave dhe parandalimin e </w:t>
            </w:r>
            <w:r>
              <w:rPr>
                <w:rFonts w:ascii="Garamond" w:eastAsia="Times New Roman" w:hAnsi="Garamond"/>
                <w:i/>
                <w:iCs/>
                <w:sz w:val="20"/>
                <w:szCs w:val="20"/>
                <w:lang w:val="sq-AL"/>
              </w:rPr>
              <w:lastRenderedPageBreak/>
              <w:t>mosmarrëveshjeve për investime.</w:t>
            </w: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4.2.1. Mbështesni këtë shkëmbim rajonal duke emëruar përfaqësuesit në baza rast pas rasti në bazë të temave teknike të Grupit të Përbashkët të Punës për Investimet për grupin teknik të nënpunës.</w:t>
            </w:r>
          </w:p>
        </w:tc>
        <w:tc>
          <w:tcPr>
            <w:tcW w:w="119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Në vazhdim </w:t>
            </w:r>
          </w:p>
        </w:tc>
        <w:tc>
          <w:tcPr>
            <w:tcW w:w="16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 i Shtetit për Sipërmarrësit</w:t>
            </w:r>
          </w:p>
        </w:tc>
        <w:tc>
          <w:tcPr>
            <w:tcW w:w="19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Emërimet e përfaqësuesve në baza rast pas rasti sipas temave të grupit të posaçëm teknik të nënpunës.</w:t>
            </w:r>
          </w:p>
        </w:tc>
        <w:tc>
          <w:tcPr>
            <w:tcW w:w="108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RCC, GBB- BB-PNI</w:t>
            </w:r>
          </w:p>
        </w:tc>
        <w:tc>
          <w:tcPr>
            <w:tcW w:w="477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p>
        </w:tc>
      </w:tr>
    </w:tbl>
    <w:p w:rsidR="0096095C" w:rsidRDefault="0096095C" w:rsidP="0096095C">
      <w:pPr>
        <w:pStyle w:val="Paragrafi"/>
        <w:rPr>
          <w:rFonts w:eastAsia="Times New Roman"/>
          <w:spacing w:val="-4"/>
          <w:lang w:val="sq-AL" w:eastAsia="en-GB"/>
        </w:rPr>
      </w:pPr>
    </w:p>
    <w:p w:rsidR="0096095C" w:rsidRDefault="0096095C" w:rsidP="0096095C">
      <w:pPr>
        <w:pStyle w:val="Paragrafi"/>
        <w:rPr>
          <w:b/>
          <w:lang w:val="sq-AL"/>
        </w:rPr>
      </w:pPr>
      <w:r>
        <w:rPr>
          <w:b/>
          <w:lang w:val="sq-AL"/>
        </w:rPr>
        <w:t>Zona e politikave III. Tërheqje dhe nxitje e investimeve</w:t>
      </w:r>
      <w:r>
        <w:rPr>
          <w:b/>
          <w:vertAlign w:val="superscript"/>
          <w:lang w:val="sq-AL"/>
        </w:rPr>
        <w:footnoteReference w:id="4"/>
      </w:r>
    </w:p>
    <w:p w:rsidR="0096095C" w:rsidRDefault="0096095C" w:rsidP="0096095C">
      <w:pPr>
        <w:pStyle w:val="Paragrafi"/>
        <w:rPr>
          <w:b/>
          <w:szCs w:val="24"/>
          <w:lang w:val="sq-AL"/>
        </w:rPr>
      </w:pPr>
    </w:p>
    <w:tbl>
      <w:tblPr>
        <w:tblW w:w="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15" w:type="dxa"/>
          <w:left w:w="115" w:type="dxa"/>
          <w:bottom w:w="115" w:type="dxa"/>
          <w:right w:w="115" w:type="dxa"/>
        </w:tblCellMar>
        <w:tblLook w:val="0420" w:firstRow="1" w:lastRow="0" w:firstColumn="0" w:lastColumn="0" w:noHBand="0" w:noVBand="1"/>
      </w:tblPr>
      <w:tblGrid>
        <w:gridCol w:w="2425"/>
        <w:gridCol w:w="2520"/>
        <w:gridCol w:w="1105"/>
        <w:gridCol w:w="1530"/>
        <w:gridCol w:w="2190"/>
        <w:gridCol w:w="1390"/>
        <w:gridCol w:w="4268"/>
      </w:tblGrid>
      <w:tr w:rsidR="0096095C" w:rsidTr="0096095C">
        <w:trPr>
          <w:trHeight w:val="720"/>
          <w:jc w:val="center"/>
        </w:trPr>
        <w:tc>
          <w:tcPr>
            <w:tcW w:w="2425"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b/>
                <w:bCs/>
                <w:color w:val="FFFFFF"/>
                <w:sz w:val="20"/>
                <w:szCs w:val="20"/>
                <w:lang w:val="sq-AL"/>
              </w:rPr>
            </w:pPr>
            <w:r>
              <w:rPr>
                <w:rFonts w:ascii="Garamond" w:eastAsia="Times New Roman" w:hAnsi="Garamond"/>
                <w:b/>
                <w:bCs/>
                <w:color w:val="FFFFFF"/>
                <w:sz w:val="20"/>
                <w:szCs w:val="20"/>
                <w:lang w:val="sq-AL"/>
              </w:rPr>
              <w:t>Çështja e reformës/</w:t>
            </w:r>
          </w:p>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Angazhimi RIRA</w:t>
            </w:r>
          </w:p>
        </w:tc>
        <w:tc>
          <w:tcPr>
            <w:tcW w:w="2520" w:type="dxa"/>
            <w:tcBorders>
              <w:top w:val="nil"/>
              <w:left w:val="nil"/>
              <w:bottom w:val="nil"/>
              <w:right w:val="nil"/>
            </w:tcBorders>
            <w:shd w:val="clear" w:color="auto" w:fill="4472C4"/>
          </w:tcPr>
          <w:p w:rsidR="0096095C" w:rsidRDefault="0096095C">
            <w:pPr>
              <w:spacing w:after="0" w:line="240" w:lineRule="auto"/>
              <w:ind w:firstLine="0"/>
              <w:jc w:val="center"/>
              <w:rPr>
                <w:rFonts w:ascii="Garamond" w:eastAsia="Times New Roman" w:hAnsi="Garamond"/>
                <w:b/>
                <w:bCs/>
                <w:color w:val="FFFFFF"/>
                <w:sz w:val="20"/>
                <w:szCs w:val="20"/>
                <w:lang w:val="sq-AL"/>
              </w:rPr>
            </w:pPr>
          </w:p>
          <w:p w:rsidR="0096095C" w:rsidRDefault="0096095C">
            <w:pPr>
              <w:spacing w:after="0" w:line="240" w:lineRule="auto"/>
              <w:ind w:firstLine="0"/>
              <w:jc w:val="center"/>
              <w:rPr>
                <w:rFonts w:ascii="Garamond" w:eastAsia="Times New Roman" w:hAnsi="Garamond"/>
                <w:b/>
                <w:bCs/>
                <w:color w:val="FFFFFF"/>
                <w:sz w:val="20"/>
                <w:szCs w:val="20"/>
                <w:lang w:val="sq-AL"/>
              </w:rPr>
            </w:pPr>
            <w:r>
              <w:rPr>
                <w:rFonts w:ascii="Garamond" w:eastAsia="Times New Roman" w:hAnsi="Garamond"/>
                <w:b/>
                <w:bCs/>
                <w:color w:val="FFFFFF"/>
                <w:sz w:val="20"/>
                <w:szCs w:val="20"/>
                <w:lang w:val="sq-AL"/>
              </w:rPr>
              <w:t xml:space="preserve">Veprimi IRAP </w:t>
            </w:r>
          </w:p>
        </w:tc>
        <w:tc>
          <w:tcPr>
            <w:tcW w:w="1105" w:type="dxa"/>
            <w:tcBorders>
              <w:top w:val="nil"/>
              <w:left w:val="nil"/>
              <w:bottom w:val="nil"/>
              <w:right w:val="nil"/>
            </w:tcBorders>
            <w:shd w:val="clear" w:color="auto" w:fill="4472C4"/>
          </w:tcPr>
          <w:p w:rsidR="0096095C" w:rsidRDefault="0096095C">
            <w:pPr>
              <w:spacing w:after="0" w:line="240" w:lineRule="auto"/>
              <w:ind w:firstLine="0"/>
              <w:jc w:val="center"/>
              <w:rPr>
                <w:rFonts w:ascii="Garamond" w:eastAsia="Times New Roman" w:hAnsi="Garamond"/>
                <w:b/>
                <w:bCs/>
                <w:color w:val="FFFFFF"/>
                <w:sz w:val="20"/>
                <w:szCs w:val="20"/>
                <w:lang w:val="sq-AL"/>
              </w:rPr>
            </w:pPr>
          </w:p>
          <w:p w:rsidR="0096095C" w:rsidRDefault="0096095C">
            <w:pPr>
              <w:spacing w:after="0" w:line="240" w:lineRule="auto"/>
              <w:ind w:firstLine="0"/>
              <w:jc w:val="center"/>
              <w:rPr>
                <w:rFonts w:ascii="Garamond" w:eastAsia="Times New Roman" w:hAnsi="Garamond"/>
                <w:b/>
                <w:bCs/>
                <w:color w:val="FFFFFF"/>
                <w:sz w:val="20"/>
                <w:szCs w:val="20"/>
                <w:lang w:val="sq-AL"/>
              </w:rPr>
            </w:pPr>
            <w:r>
              <w:rPr>
                <w:rFonts w:ascii="Garamond" w:eastAsia="Times New Roman" w:hAnsi="Garamond"/>
                <w:b/>
                <w:bCs/>
                <w:color w:val="FFFFFF"/>
                <w:sz w:val="20"/>
                <w:szCs w:val="20"/>
                <w:lang w:val="sq-AL"/>
              </w:rPr>
              <w:t>Afati kohor</w:t>
            </w:r>
          </w:p>
        </w:tc>
        <w:tc>
          <w:tcPr>
            <w:tcW w:w="1530" w:type="dxa"/>
            <w:tcBorders>
              <w:top w:val="nil"/>
              <w:left w:val="nil"/>
              <w:bottom w:val="nil"/>
              <w:right w:val="nil"/>
            </w:tcBorders>
            <w:shd w:val="clear" w:color="auto" w:fill="4472C4"/>
          </w:tcPr>
          <w:p w:rsidR="0096095C" w:rsidRDefault="0096095C">
            <w:pPr>
              <w:spacing w:after="0" w:line="240" w:lineRule="auto"/>
              <w:ind w:firstLine="0"/>
              <w:jc w:val="center"/>
              <w:rPr>
                <w:rFonts w:ascii="Garamond" w:eastAsia="Times New Roman" w:hAnsi="Garamond"/>
                <w:b/>
                <w:bCs/>
                <w:color w:val="FFFFFF"/>
                <w:sz w:val="20"/>
                <w:szCs w:val="20"/>
                <w:lang w:val="sq-AL"/>
              </w:rPr>
            </w:pPr>
          </w:p>
          <w:p w:rsidR="0096095C" w:rsidRDefault="0096095C">
            <w:pPr>
              <w:spacing w:after="0" w:line="240" w:lineRule="auto"/>
              <w:ind w:firstLine="0"/>
              <w:jc w:val="center"/>
              <w:rPr>
                <w:rFonts w:ascii="Garamond" w:eastAsia="Times New Roman" w:hAnsi="Garamond"/>
                <w:b/>
                <w:bCs/>
                <w:color w:val="FFFFFF"/>
                <w:sz w:val="20"/>
                <w:szCs w:val="20"/>
                <w:lang w:val="sq-AL"/>
              </w:rPr>
            </w:pPr>
            <w:r>
              <w:rPr>
                <w:rFonts w:ascii="Garamond" w:eastAsia="Times New Roman" w:hAnsi="Garamond"/>
                <w:b/>
                <w:bCs/>
                <w:color w:val="FFFFFF"/>
                <w:sz w:val="20"/>
                <w:szCs w:val="20"/>
                <w:lang w:val="sq-AL"/>
              </w:rPr>
              <w:t>Agjencia drejtuese</w:t>
            </w:r>
          </w:p>
        </w:tc>
        <w:tc>
          <w:tcPr>
            <w:tcW w:w="2190"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Rezultati</w:t>
            </w:r>
          </w:p>
        </w:tc>
        <w:tc>
          <w:tcPr>
            <w:tcW w:w="1390" w:type="dxa"/>
            <w:tcBorders>
              <w:top w:val="nil"/>
              <w:left w:val="nil"/>
              <w:bottom w:val="nil"/>
              <w:right w:val="nil"/>
            </w:tcBorders>
            <w:shd w:val="clear" w:color="auto" w:fill="4472C4"/>
            <w:vAlign w:val="center"/>
            <w:hideMark/>
          </w:tcPr>
          <w:p w:rsidR="0096095C" w:rsidRDefault="0096095C">
            <w:pPr>
              <w:spacing w:after="0" w:line="240" w:lineRule="auto"/>
              <w:ind w:firstLine="0"/>
              <w:jc w:val="center"/>
              <w:rPr>
                <w:rFonts w:ascii="Garamond" w:eastAsia="Times New Roman" w:hAnsi="Garamond"/>
                <w:color w:val="FFFFFF"/>
                <w:sz w:val="20"/>
                <w:szCs w:val="20"/>
                <w:lang w:val="sq-AL"/>
              </w:rPr>
            </w:pPr>
            <w:r>
              <w:rPr>
                <w:rFonts w:ascii="Garamond" w:eastAsia="Times New Roman" w:hAnsi="Garamond"/>
                <w:b/>
                <w:bCs/>
                <w:color w:val="FFFFFF"/>
                <w:sz w:val="20"/>
                <w:szCs w:val="20"/>
                <w:lang w:val="sq-AL"/>
              </w:rPr>
              <w:t>Mbështetje e Donatorëve</w:t>
            </w:r>
          </w:p>
        </w:tc>
        <w:tc>
          <w:tcPr>
            <w:tcW w:w="4268" w:type="dxa"/>
            <w:tcBorders>
              <w:top w:val="nil"/>
              <w:left w:val="nil"/>
              <w:bottom w:val="nil"/>
              <w:right w:val="nil"/>
            </w:tcBorders>
            <w:shd w:val="clear" w:color="auto" w:fill="4472C4"/>
            <w:hideMark/>
          </w:tcPr>
          <w:p w:rsidR="0096095C" w:rsidRDefault="0096095C">
            <w:pPr>
              <w:spacing w:after="0" w:line="240" w:lineRule="auto"/>
              <w:ind w:firstLine="0"/>
              <w:jc w:val="center"/>
              <w:rPr>
                <w:rFonts w:ascii="Garamond" w:eastAsia="Times New Roman" w:hAnsi="Garamond"/>
                <w:b/>
                <w:bCs/>
                <w:color w:val="FFFFFF"/>
                <w:sz w:val="20"/>
                <w:szCs w:val="20"/>
                <w:lang w:val="sq-AL"/>
              </w:rPr>
            </w:pPr>
            <w:r>
              <w:rPr>
                <w:rFonts w:ascii="Garamond" w:eastAsia="Times New Roman" w:hAnsi="Garamond"/>
                <w:b/>
                <w:bCs/>
                <w:color w:val="FFFFFF"/>
                <w:sz w:val="20"/>
                <w:szCs w:val="20"/>
                <w:lang w:val="sq-AL"/>
              </w:rPr>
              <w:t>Komente</w:t>
            </w:r>
          </w:p>
        </w:tc>
      </w:tr>
      <w:tr w:rsidR="0096095C" w:rsidTr="0096095C">
        <w:trPr>
          <w:trHeight w:val="271"/>
          <w:jc w:val="center"/>
        </w:trPr>
        <w:tc>
          <w:tcPr>
            <w:tcW w:w="15428" w:type="dxa"/>
            <w:gridSpan w:val="7"/>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i/>
                <w:iCs/>
                <w:sz w:val="20"/>
                <w:szCs w:val="20"/>
                <w:lang w:val="sq-AL"/>
              </w:rPr>
              <w:t xml:space="preserve">5. Zhvillimi i një iniciative për nxitjen e investimeve rajonale </w:t>
            </w:r>
          </w:p>
        </w:tc>
      </w:tr>
      <w:tr w:rsidR="0096095C" w:rsidTr="0096095C">
        <w:trPr>
          <w:trHeight w:val="1844"/>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left="520" w:firstLine="0"/>
              <w:jc w:val="left"/>
              <w:rPr>
                <w:rFonts w:ascii="Garamond" w:eastAsia="Times New Roman" w:hAnsi="Garamond"/>
                <w:sz w:val="20"/>
                <w:szCs w:val="20"/>
                <w:lang w:val="sq-AL"/>
              </w:rPr>
            </w:pPr>
            <w:r>
              <w:rPr>
                <w:rFonts w:ascii="Garamond" w:eastAsia="Times New Roman" w:hAnsi="Garamond"/>
                <w:i/>
                <w:iCs/>
                <w:sz w:val="20"/>
                <w:szCs w:val="20"/>
                <w:lang w:val="sq-AL"/>
              </w:rPr>
              <w:t>5.1 Krijoni një kuadër rajonal për koordinimin dhe shkëmbimin e informacionit ndërmjet ndërmjetësve individualë të nxitjes së investimeve të ekonomisë (IPI) ose agjencive (IPA), duke pasur parasysh mundësinë e krijimit të një njësie koordinimi brenda strukturave ekzistuese rajonale</w:t>
            </w: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pacing w:val="-4"/>
                <w:sz w:val="20"/>
                <w:szCs w:val="20"/>
                <w:lang w:val="sq-AL"/>
              </w:rPr>
            </w:pPr>
            <w:r>
              <w:rPr>
                <w:rFonts w:ascii="Garamond" w:eastAsia="Times New Roman" w:hAnsi="Garamond"/>
                <w:spacing w:val="-4"/>
                <w:sz w:val="20"/>
                <w:szCs w:val="20"/>
                <w:lang w:val="sq-AL"/>
              </w:rPr>
              <w:t>5.1.1. Formalizoni kuadrin rajonal për koordinimin dhe shkëmbimin e informacionit brenda strukturave ekzistuese dhe emërimin e stafit të duhur të nivelit teknik nga AIDA për të përfaqësuar Shqipërinë në nëngrupin e punës.</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2018</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Agjencia Shqiptare e Zhvillimit të Investimeve (AIDA)</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Emërimet e përfaqësuesit kryesor (dhe alternati). </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Grupi teknik i nënpunës për nxitjen e investimeve tashmë ekziston në Komitetin e Investimeve të Evropës Juglindore dhe do të përdoret për këtë çështje veprimi.</w:t>
            </w:r>
          </w:p>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iCs/>
                <w:sz w:val="20"/>
                <w:szCs w:val="20"/>
                <w:lang w:val="sq-AL"/>
              </w:rPr>
              <w:t xml:space="preserve">Përfaqësuesit kryesorë mund të zgjedhin/dërgojnë përfaqësues të tjerë rast pas rasti sipas temave të dialogut rajonal për nxitjen e investimeve. </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5.1.2. Propozoni një numër temash për diskutim në komitetin e grupit teknik të nënpunës dhe kontribuoni sipas nevojës për diskutimet dhe konsideratat për të lehtësuar funksionimin efektiv të grupit të punës.</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2019-2020</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Minutat e takimeve dhe marrëveshjet e takimeve periodike.</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RCC/WBG - WB IPP </w:t>
            </w:r>
          </w:p>
        </w:tc>
        <w:tc>
          <w:tcPr>
            <w:tcW w:w="426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Aktivitet në vazhdim.</w:t>
            </w:r>
          </w:p>
        </w:tc>
      </w:tr>
      <w:tr w:rsidR="0096095C" w:rsidTr="0096095C">
        <w:trPr>
          <w:trHeight w:val="101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left="520" w:hanging="10"/>
              <w:jc w:val="left"/>
              <w:rPr>
                <w:rFonts w:ascii="Garamond" w:eastAsia="Times New Roman" w:hAnsi="Garamond"/>
                <w:i/>
                <w:iCs/>
                <w:sz w:val="20"/>
                <w:szCs w:val="20"/>
                <w:lang w:val="sq-AL"/>
              </w:rPr>
            </w:pPr>
            <w:r>
              <w:rPr>
                <w:rFonts w:ascii="Garamond" w:eastAsia="Times New Roman" w:hAnsi="Garamond"/>
                <w:i/>
                <w:iCs/>
                <w:sz w:val="20"/>
                <w:szCs w:val="20"/>
                <w:lang w:val="sq-AL"/>
              </w:rPr>
              <w:t xml:space="preserve">5.2 Mbështesni zhvillimin e një portali rajonal të investimeve për kërkesat rregullatore dhe mundësitë e investimeve </w:t>
            </w:r>
            <w:r>
              <w:rPr>
                <w:rFonts w:ascii="Garamond" w:eastAsia="Times New Roman" w:hAnsi="Garamond"/>
                <w:i/>
                <w:iCs/>
                <w:sz w:val="20"/>
                <w:szCs w:val="20"/>
                <w:lang w:val="sq-AL"/>
              </w:rPr>
              <w:lastRenderedPageBreak/>
              <w:t>në të gjithë rajonin që bazohet në portalet ekzistuese rajonale të investimeve, siç është ajo e Forumit për Investime të Dhomave të BB-së dhe të tjerëve, ku shihet e përshtatshme.</w:t>
            </w: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pacing w:val="-4"/>
                <w:sz w:val="20"/>
                <w:szCs w:val="20"/>
                <w:lang w:val="sq-AL"/>
              </w:rPr>
            </w:pPr>
            <w:r>
              <w:rPr>
                <w:rFonts w:ascii="Garamond" w:eastAsia="Times New Roman" w:hAnsi="Garamond"/>
                <w:spacing w:val="-4"/>
                <w:sz w:val="20"/>
                <w:szCs w:val="20"/>
                <w:lang w:val="sq-AL"/>
              </w:rPr>
              <w:lastRenderedPageBreak/>
              <w:t xml:space="preserve">5.2.1. Organizoni një takim me Forumin e Dhomave të Investimeve (CIF) për të diskutuar mundësitë e mundshme për bashkëpunim </w:t>
            </w:r>
            <w:r>
              <w:rPr>
                <w:rFonts w:ascii="Garamond" w:eastAsia="Times New Roman" w:hAnsi="Garamond"/>
                <w:spacing w:val="-4"/>
                <w:sz w:val="20"/>
                <w:szCs w:val="20"/>
                <w:lang w:val="sq-AL"/>
              </w:rPr>
              <w:lastRenderedPageBreak/>
              <w:t>të ardhshëm me forcimin e portalit të investimeve rajonale.</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Mars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Ekonomisë/AIDA</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Marrëveshje me CIF lidhur me opsionet dhe modalitetet konkrete për bashkëpunim në portalin e investimeve rajonale.</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RCC/WBG WB - IPP</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Qëndrueshmëria afatgjatë e platformës promovuese rajonale on-line është thelbësore.</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5.2.2. Krijoni një hapësirë në portalin aktual të investimeve rajonale CIF (www.investinEJL.com) për të pritur pilotin e nxitjes së sektorit rajonal (shikoni veprimin IRAP 5.4).</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Financës dhe Ekonomisë/AIDA</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Faqja është përshtatur për të pritur projektin pilot rajonal për nxitjen e sektorit në portalin rajonal të investimeve CIF.</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RCC/WBG WB - IPP </w:t>
            </w:r>
          </w:p>
        </w:tc>
        <w:tc>
          <w:tcPr>
            <w:tcW w:w="426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i/>
                <w:sz w:val="20"/>
                <w:szCs w:val="20"/>
                <w:lang w:val="sq-AL"/>
              </w:rPr>
            </w:pP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iCs/>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5.2.3. Përgatisni dhe siguroni të dhënat përkatëse relevante për projektin pilot të dakordësuar për nxitjen e sektorit rajonal për krijimin e një raporti ose profili të nxitjes së sektorit rajonal.</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Raporti dhe të dhënat përkatëse të ofruara për të ushqyer projektin pilot të nxitjes së sektorit rajonal.</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 xml:space="preserve">Aktiviteti duhet të fillojë sa më shpejt që të jetë e mundur për të lejuar më shumë kohë për të vlerësuar ndikimin promovues të JIPI </w:t>
            </w:r>
          </w:p>
        </w:tc>
      </w:tr>
      <w:tr w:rsidR="0096095C" w:rsidTr="0096095C">
        <w:trPr>
          <w:trHeight w:val="101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left="520" w:firstLine="0"/>
              <w:jc w:val="left"/>
              <w:rPr>
                <w:rFonts w:ascii="Garamond" w:eastAsia="Times New Roman" w:hAnsi="Garamond"/>
                <w:i/>
                <w:iCs/>
                <w:sz w:val="20"/>
                <w:szCs w:val="20"/>
                <w:lang w:val="sq-AL"/>
              </w:rPr>
            </w:pPr>
            <w:r>
              <w:rPr>
                <w:rFonts w:ascii="Garamond" w:eastAsia="Times New Roman" w:hAnsi="Garamond"/>
                <w:i/>
                <w:iCs/>
                <w:sz w:val="20"/>
                <w:szCs w:val="20"/>
                <w:lang w:val="sq-AL"/>
              </w:rPr>
              <w:t>5.3 Mbështetni ndërmjetësit individual të nxitjes së investimeve të ekonomisë për të kontribuar në mënyrë efektive në nismën e nxitjes së investimeve rajonale.</w:t>
            </w:r>
          </w:p>
          <w:p w:rsidR="0096095C" w:rsidRDefault="0096095C">
            <w:pPr>
              <w:spacing w:after="0" w:line="240" w:lineRule="auto"/>
              <w:ind w:left="520"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5.3.1. Vlerësoni nevojat për ngritjen e kapaciteteve të brendshme në nxitjen e investimeve </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Janar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Jepni një listë ose sugjeroni module për ngritjen e kapaciteteve për nxitjen e investimeve bazuar në nevojat për ngritjen e kapaciteteve për nxitjen e investimeve të brendshme.</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rPr>
                <w:rFonts w:ascii="Garamond" w:eastAsia="Times New Roman" w:hAnsi="Garamond"/>
                <w:i/>
                <w:sz w:val="20"/>
                <w:szCs w:val="20"/>
                <w:lang w:val="sq-AL"/>
              </w:rPr>
            </w:pPr>
            <w:r>
              <w:rPr>
                <w:rFonts w:ascii="Garamond" w:eastAsia="Times New Roman" w:hAnsi="Garamond"/>
                <w:i/>
                <w:sz w:val="20"/>
                <w:szCs w:val="20"/>
                <w:lang w:val="sq-AL"/>
              </w:rPr>
              <w:t>Lista do të përdoret si kontribut për zhvillimin e një analize rajonale për kërkesën për ndërtimin e kapaciteteve/trajnimeve, së bashku me informacionet e siguruara nga ekonomitë e tjera pjesëmarrëse nga rajoni.</w:t>
            </w:r>
          </w:p>
          <w:p w:rsidR="0096095C" w:rsidRDefault="0096095C">
            <w:pPr>
              <w:spacing w:after="0" w:line="240" w:lineRule="auto"/>
              <w:ind w:firstLine="0"/>
              <w:rPr>
                <w:rFonts w:ascii="Garamond" w:eastAsia="Times New Roman" w:hAnsi="Garamond"/>
                <w:i/>
                <w:sz w:val="20"/>
                <w:szCs w:val="20"/>
                <w:lang w:val="sq-AL"/>
              </w:rPr>
            </w:pPr>
            <w:r>
              <w:rPr>
                <w:rFonts w:ascii="Garamond" w:eastAsia="Times New Roman" w:hAnsi="Garamond"/>
                <w:i/>
                <w:sz w:val="20"/>
                <w:szCs w:val="20"/>
                <w:lang w:val="sq-AL"/>
              </w:rPr>
              <w:t>Bazuar në këtë vlerësim, një grup modulesh të mundshme trajnimi me interes të përbashkët do të përpilohet nga RCC me mbështetjen e projektit WBG-WB IPP. Identifikimi i ofruesve të përshtatshëm të trajnimit dhe zbatimi aktual i moduleve të trajnimit varen nga mundësia e financimeve.</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5.3.2. Caktoni stafin përkatës të Agjencisë dhe/ose Ministrisë, të cilët duhet të marrin pjesë në modulet e propozuara për ndërtimin e kapaciteteve</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 dhe ministritë e interesuara</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Lista e stafit të hartuar, konfirmuar dhe dërguar.</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Nxitja e investimeve është një proces bashkëpunues dhe ministritë e përfshira në procesin për nxitjen e investimeve më të gjera duhet të marrin në konsideratë seriozisht pjesëmarrjen në trajnime për të përmirësuar koordinimin e nxitjes së investimeve. Ministritë që dëshirojnë të marrin pjesë në trajnim duhet të marrin parasysh të dërgojnë pikën fokale të ministrisë për çështjet që kanë të bëjnë me investimet dhe/ose të punojnë me AIDA.</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5.3.3. Agjencia e zgjedhur dhe/ose stafi i Ministrisë ndjekin modulet për ngritjen e kapaciteteve për nxitjen e investimeve</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2019 - 2020</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Ministritë e interesuara dhe/ose AIDA</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Fletat e vlerësimit të trajnimit dhe draftet e përzgjedhura të dorëzuara </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RCC, GBB- BB-PNI </w:t>
            </w:r>
          </w:p>
        </w:tc>
        <w:tc>
          <w:tcPr>
            <w:tcW w:w="426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Trajnimet do të përpiqen të sigurojnë një draft specifik të arritshëm në mënyrë që trajnimet të rezultojnë në një program pune dhe/ose udhëzime konkrete dhe të zbatueshme. Kohëzgjatja e zgjeruar bazohet në tabelën e implementimit të seminareve të përzgjedhura të trajnimit.</w:t>
            </w:r>
          </w:p>
        </w:tc>
      </w:tr>
      <w:tr w:rsidR="0096095C" w:rsidTr="0096095C">
        <w:trPr>
          <w:trHeight w:val="101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left="520" w:firstLine="0"/>
              <w:jc w:val="left"/>
              <w:rPr>
                <w:rFonts w:ascii="Garamond" w:eastAsia="Times New Roman" w:hAnsi="Garamond"/>
                <w:sz w:val="20"/>
                <w:szCs w:val="20"/>
                <w:lang w:val="sq-AL"/>
              </w:rPr>
            </w:pPr>
            <w:r>
              <w:rPr>
                <w:rFonts w:ascii="Garamond" w:eastAsia="Times New Roman" w:hAnsi="Garamond"/>
                <w:i/>
                <w:iCs/>
                <w:sz w:val="20"/>
                <w:szCs w:val="20"/>
                <w:lang w:val="sq-AL"/>
              </w:rPr>
              <w:t>5.4 Kryeni një analizë të thelluar të sektorit për të identifikuar sektorët dhe propozimet e vlerës për nxitjen e investimeve rajonale, me lidhje të qarta horizontale në shtyllën e MAP REA mbi specializimin e zgjuar.</w:t>
            </w: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5.4.1. Zgjidhni dhe/ose propozoni 3 sektorë për nxitjen e investimeve rajonale bazuar në prioritetet e sektorit të ekonomisë.</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 dhe ministritë e interesuara</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Sektorët prioritar për nxitjen rajonal të propozuar. </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 t’u përcaktuar</w:t>
            </w:r>
          </w:p>
        </w:tc>
        <w:tc>
          <w:tcPr>
            <w:tcW w:w="4268"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5.4.2. Diskutoni dhe bini dakord për një sektor pilot që do të jetë prioritet për nxitjen rajonal përmes platformës të formalizuar sipas 5.1.</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Shtator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 dhe ministritë e interesuara</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Marrëveshja dhe vendimi për sektorin për projektin pilot rajonal për nxitjen e investimeve.</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5.4.3. Diskutoni dhe bini dakord mbi formatin (p.sh. PPT, hartë dhe/ose sektorin rajonal, shkurtimisht ...) të propozimit të vlerës dhe të dhënave mbështetëse për sektorin e përzgjedhur për projektin pilot rajonal të nxitjes së investimeve përmes platformës së formalizuar sipas 5.1.</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Shtator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Marrëveshja përfundimtare dhe përzgjedhja e formatit/formateve për zhvillimin e propozimit të vlerës dhe materialeve promovuese dhe përmbajtjes për sektorin e përzgjedhur për projektin pilot rajonal të nxitjes së investimeve.</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5.4.4. Mbështesni krijimin e një sistemi bazë M &amp; V për projektin pilot rajonal të nxitjes së investimeve </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Shtator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Sistemi i M &amp; E themelor dhe i thjeshtë i krijuar (d.m.th. Numri i hiteve në internet, numri i pyetjeve ...).</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RCC/GBB- BB-PNI </w:t>
            </w:r>
          </w:p>
        </w:tc>
        <w:tc>
          <w:tcPr>
            <w:tcW w:w="426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iCs/>
                <w:sz w:val="20"/>
                <w:szCs w:val="20"/>
                <w:lang w:val="sq-AL"/>
              </w:rPr>
              <w:t>Dialogu rajonal do të mbajë rezultatet periodike të M &amp; E, megjithatë vlerësimet aktuale mund të kryhen edhe nga një palë e jashtme.</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5.4.5. Vlerësoni rezultatet e projektit pilot rajonal për nxitjen e investimeve dhe vendosni nëse do të zgjeroni </w:t>
            </w:r>
            <w:r>
              <w:rPr>
                <w:rFonts w:ascii="Garamond" w:eastAsia="Times New Roman" w:hAnsi="Garamond"/>
                <w:sz w:val="20"/>
                <w:szCs w:val="20"/>
                <w:lang w:val="sq-AL"/>
              </w:rPr>
              <w:lastRenderedPageBreak/>
              <w:t>projektin pilot në sektorë të tjerë.</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Shtator 2020</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AIDA</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Vendimi për vazhdimin, zgjerimin ose përfundimin e projektit pilot rajonal për nxitjen e investimeve.</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i/>
                <w:sz w:val="20"/>
                <w:szCs w:val="20"/>
                <w:lang w:val="sq-AL"/>
              </w:rPr>
            </w:pPr>
          </w:p>
        </w:tc>
      </w:tr>
      <w:tr w:rsidR="0096095C" w:rsidTr="0096095C">
        <w:trPr>
          <w:trHeight w:val="334"/>
          <w:jc w:val="center"/>
        </w:trPr>
        <w:tc>
          <w:tcPr>
            <w:tcW w:w="15428" w:type="dxa"/>
            <w:gridSpan w:val="7"/>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i/>
                <w:iCs/>
                <w:color w:val="000000"/>
                <w:sz w:val="20"/>
                <w:szCs w:val="20"/>
                <w:lang w:val="sq-AL"/>
              </w:rPr>
              <w:t xml:space="preserve">6. Incentivat e duhura dhe përmirësimi i transparencës dhe qeverisjes së tyre </w:t>
            </w:r>
          </w:p>
        </w:tc>
      </w:tr>
      <w:tr w:rsidR="0096095C" w:rsidTr="0096095C">
        <w:trPr>
          <w:trHeight w:val="101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left="520" w:firstLine="0"/>
              <w:jc w:val="left"/>
              <w:rPr>
                <w:rFonts w:ascii="Garamond" w:eastAsia="Times New Roman" w:hAnsi="Garamond"/>
                <w:sz w:val="20"/>
                <w:szCs w:val="20"/>
                <w:lang w:val="sq-AL"/>
              </w:rPr>
            </w:pPr>
            <w:r>
              <w:rPr>
                <w:rFonts w:ascii="Garamond" w:eastAsia="Times New Roman" w:hAnsi="Garamond"/>
                <w:i/>
                <w:sz w:val="20"/>
                <w:szCs w:val="20"/>
                <w:lang w:val="sq-AL"/>
              </w:rPr>
              <w:t>6.1 Zbatimi i standardeve dhe parimeve të nxitjes në lidhje me transparencën, qeverisjen dhe parashikueshmërinë në përputhje me detyrimet që rrjedhin nga procesi i para anëtarësimit në BE (kapitulli mbi konkurrencën dhe ndihmën shtetërore).</w:t>
            </w: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6.1.1 Përmirësimi i transparencës në incentivat e ndihmës shtetërore</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Komisioni i Ndihmës Shtetërore</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Inventar gjithëpërfshirës i skemave ekzistuese të ndihmës shtetërore.</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Harta e ndihmës shtetërore rajonale përfundoi.</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i/>
                <w:sz w:val="20"/>
                <w:szCs w:val="20"/>
                <w:lang w:val="sq-AL"/>
              </w:rPr>
            </w:pPr>
            <w:r>
              <w:rPr>
                <w:rFonts w:ascii="Garamond" w:hAnsi="Garamond"/>
                <w:i/>
                <w:sz w:val="20"/>
                <w:szCs w:val="20"/>
                <w:lang w:val="sq-AL"/>
              </w:rPr>
              <w:t>Inventari i ndihmës shtetërore duhet të jetë një bazë të dhënash e kërkueshme me informacion mbi hartimin e çdo mase të ndihmës shtetërore, identitetin e përfituesve individualë dhe ndihmën shtetërore të dhënë, kur ky i fundit tejkalon pragun minimal.</w:t>
            </w:r>
          </w:p>
          <w:p w:rsidR="0096095C" w:rsidRDefault="0096095C">
            <w:pPr>
              <w:spacing w:after="0" w:line="240" w:lineRule="auto"/>
              <w:ind w:firstLine="0"/>
              <w:jc w:val="left"/>
              <w:rPr>
                <w:rFonts w:ascii="Garamond" w:hAnsi="Garamond"/>
                <w:i/>
                <w:sz w:val="20"/>
                <w:szCs w:val="20"/>
                <w:lang w:val="sq-AL"/>
              </w:rPr>
            </w:pPr>
            <w:r>
              <w:rPr>
                <w:rFonts w:ascii="Garamond" w:hAnsi="Garamond"/>
                <w:i/>
                <w:sz w:val="20"/>
                <w:szCs w:val="20"/>
                <w:lang w:val="sq-AL"/>
              </w:rPr>
              <w:t>Harta duhet të identifikojë zonat gjeografike ku kompanitë mund të marrin ndihmë shtetërore dhe nivelet e ndihmës në dispozicion.</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6.1.2 Forcimi i raportimit dhe rishikimit të ndihmës shtetërore </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Komisioni i Ndihmës Shtetërore</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Rritja e kapacitetit zbatues të Komisionit të Ndihmës Shtetërore dhe rritja e mbajtjes së shënimeve.</w:t>
            </w:r>
          </w:p>
        </w:tc>
        <w:tc>
          <w:tcPr>
            <w:tcW w:w="139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p>
        </w:tc>
        <w:tc>
          <w:tcPr>
            <w:tcW w:w="426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i/>
                <w:sz w:val="20"/>
                <w:szCs w:val="20"/>
                <w:lang w:val="sq-AL"/>
              </w:rPr>
            </w:pP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6.1.3 Ndarja e informacionit mbi incentivat e ndihmës shtetërore përmes portalit të investimeve rajonale </w:t>
            </w:r>
          </w:p>
          <w:p w:rsidR="0096095C" w:rsidRDefault="0096095C">
            <w:pPr>
              <w:spacing w:after="0" w:line="240" w:lineRule="auto"/>
              <w:ind w:firstLine="0"/>
              <w:jc w:val="left"/>
              <w:rPr>
                <w:rFonts w:ascii="Garamond" w:eastAsia="Times New Roman" w:hAnsi="Garamond"/>
                <w:sz w:val="20"/>
                <w:szCs w:val="20"/>
                <w:lang w:val="sq-AL"/>
              </w:rPr>
            </w:pP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Komisioni i Ndihmës Shtetërore</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hAnsi="Garamond"/>
                <w:sz w:val="20"/>
                <w:szCs w:val="20"/>
                <w:lang w:val="sq-AL"/>
              </w:rPr>
              <w:t>Informacion mbi vendimet e ndihmës shtetërore, hartën rajonale etj., të ndara në portalin e investimeve rajonale (</w:t>
            </w:r>
            <w:r>
              <w:rPr>
                <w:rFonts w:ascii="Garamond" w:hAnsi="Garamond"/>
                <w:color w:val="0000FF"/>
                <w:sz w:val="20"/>
                <w:szCs w:val="20"/>
                <w:u w:val="single"/>
                <w:lang w:val="sq-AL"/>
              </w:rPr>
              <w:t>www.investinsee.com</w:t>
            </w:r>
            <w:r>
              <w:rPr>
                <w:rFonts w:ascii="Garamond" w:hAnsi="Garamond"/>
                <w:sz w:val="20"/>
                <w:szCs w:val="20"/>
                <w:lang w:val="sq-AL"/>
              </w:rPr>
              <w:t>) së bashku me inventarin e incentivave ose sigurimi i një lidhje me informacionin përkatës</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6.1.4 Harmonizimi i praktikave dhe ligjeve me standardet dhe politikat e BE-së për ndihmën shtetërore.</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Legjislacioni kombëtar i harmonizuar me legjislacionin e BE-së mbi kontrollin e ndihmës shtetërore.</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101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left="520" w:firstLine="0"/>
              <w:jc w:val="left"/>
              <w:rPr>
                <w:rFonts w:ascii="Garamond" w:eastAsia="Times New Roman" w:hAnsi="Garamond"/>
                <w:i/>
                <w:sz w:val="20"/>
                <w:szCs w:val="20"/>
                <w:lang w:val="sq-AL"/>
              </w:rPr>
            </w:pPr>
            <w:r>
              <w:rPr>
                <w:rFonts w:ascii="Garamond" w:eastAsia="Times New Roman" w:hAnsi="Garamond"/>
                <w:i/>
                <w:sz w:val="20"/>
                <w:szCs w:val="20"/>
                <w:lang w:val="sq-AL"/>
              </w:rPr>
              <w:lastRenderedPageBreak/>
              <w:t>6.2 Përmirësimi i aksesit në informacion mbi incentivat duke publikuar inventarët e nivelit ekonomik që centralizojnë dispozitat kryesore dhe të dhënat që lidhen me këto instrumente.</w:t>
            </w:r>
          </w:p>
          <w:p w:rsidR="0096095C" w:rsidRDefault="0096095C">
            <w:pPr>
              <w:spacing w:after="0" w:line="240" w:lineRule="auto"/>
              <w:ind w:left="520" w:firstLine="0"/>
              <w:jc w:val="left"/>
              <w:rPr>
                <w:rFonts w:ascii="Garamond" w:eastAsia="Times New Roman" w:hAnsi="Garamond"/>
                <w:i/>
                <w:sz w:val="20"/>
                <w:szCs w:val="20"/>
                <w:lang w:val="sq-AL"/>
              </w:rPr>
            </w:pPr>
          </w:p>
          <w:p w:rsidR="0096095C" w:rsidRDefault="0096095C">
            <w:pPr>
              <w:spacing w:after="0" w:line="240" w:lineRule="auto"/>
              <w:ind w:left="520"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6.2.1 Kryeni një rishikim të detajuar të incentivave në dispozicion në të gjitha nivelet e qeverisë dhe hartoni një inventar gjithëpërfshirës dhe të përditësuar të incentivave për Shqipërinë </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Shtator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w:t>
            </w:r>
          </w:p>
        </w:tc>
        <w:tc>
          <w:tcPr>
            <w:tcW w:w="219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Inventari i incentivave të investimeve, përfshirë masat e ndihmës shtetërore të konsoliduara në një inventar të vetëm.</w:t>
            </w:r>
          </w:p>
          <w:p w:rsidR="0096095C" w:rsidRDefault="0096095C">
            <w:pPr>
              <w:spacing w:after="0" w:line="240" w:lineRule="auto"/>
              <w:ind w:firstLine="0"/>
              <w:jc w:val="left"/>
              <w:rPr>
                <w:rFonts w:ascii="Garamond" w:eastAsia="Times New Roman" w:hAnsi="Garamond"/>
                <w:sz w:val="20"/>
                <w:szCs w:val="20"/>
                <w:lang w:val="sq-AL"/>
              </w:rPr>
            </w:pP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 xml:space="preserve">Nuk nevojitet </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 xml:space="preserve">Inventari duhet të synojë të përfshijë: </w:t>
            </w:r>
          </w:p>
          <w:p w:rsidR="0096095C" w:rsidRDefault="0096095C" w:rsidP="00192808">
            <w:pPr>
              <w:numPr>
                <w:ilvl w:val="0"/>
                <w:numId w:val="2"/>
              </w:numPr>
              <w:spacing w:after="0" w:line="240" w:lineRule="auto"/>
              <w:contextualSpacing/>
              <w:jc w:val="left"/>
              <w:rPr>
                <w:rFonts w:ascii="Garamond" w:eastAsia="Times New Roman" w:hAnsi="Garamond"/>
                <w:i/>
                <w:sz w:val="20"/>
                <w:szCs w:val="20"/>
                <w:lang w:val="sq-AL"/>
              </w:rPr>
            </w:pPr>
            <w:r>
              <w:rPr>
                <w:rFonts w:ascii="Garamond" w:eastAsia="Times New Roman" w:hAnsi="Garamond"/>
                <w:i/>
                <w:iCs/>
                <w:sz w:val="20"/>
                <w:szCs w:val="20"/>
                <w:lang w:val="sq-AL"/>
              </w:rPr>
              <w:t>Renditjen e sektorit të aplikueshëm</w:t>
            </w:r>
          </w:p>
          <w:p w:rsidR="0096095C" w:rsidRDefault="0096095C" w:rsidP="00192808">
            <w:pPr>
              <w:numPr>
                <w:ilvl w:val="0"/>
                <w:numId w:val="2"/>
              </w:numPr>
              <w:spacing w:after="0" w:line="240" w:lineRule="auto"/>
              <w:contextualSpacing/>
              <w:jc w:val="left"/>
              <w:rPr>
                <w:rFonts w:ascii="Garamond" w:eastAsia="Times New Roman" w:hAnsi="Garamond"/>
                <w:i/>
                <w:sz w:val="20"/>
                <w:szCs w:val="20"/>
                <w:lang w:val="sq-AL"/>
              </w:rPr>
            </w:pPr>
            <w:r>
              <w:rPr>
                <w:rFonts w:ascii="Garamond" w:eastAsia="Times New Roman" w:hAnsi="Garamond"/>
                <w:i/>
                <w:sz w:val="20"/>
                <w:szCs w:val="20"/>
                <w:lang w:val="sq-AL"/>
              </w:rPr>
              <w:t>Kriteret e përshtatshmërisë për përfitimin nga incentivat</w:t>
            </w:r>
          </w:p>
          <w:p w:rsidR="0096095C" w:rsidRDefault="0096095C" w:rsidP="00192808">
            <w:pPr>
              <w:numPr>
                <w:ilvl w:val="0"/>
                <w:numId w:val="2"/>
              </w:numPr>
              <w:spacing w:after="0" w:line="240" w:lineRule="auto"/>
              <w:contextualSpacing/>
              <w:jc w:val="left"/>
              <w:rPr>
                <w:rFonts w:ascii="Garamond" w:eastAsia="Times New Roman" w:hAnsi="Garamond"/>
                <w:i/>
                <w:sz w:val="20"/>
                <w:szCs w:val="20"/>
                <w:lang w:val="sq-AL"/>
              </w:rPr>
            </w:pPr>
            <w:r>
              <w:rPr>
                <w:rFonts w:ascii="Garamond" w:eastAsia="Times New Roman" w:hAnsi="Garamond"/>
                <w:i/>
                <w:sz w:val="20"/>
                <w:szCs w:val="20"/>
                <w:lang w:val="sq-AL"/>
              </w:rPr>
              <w:t>Procedurat për të marrë incentiva (dokumentet që duhet të plotësohen, regjistrimi i biznesit, certifikatat për të marrë etj.)</w:t>
            </w:r>
          </w:p>
          <w:p w:rsidR="0096095C" w:rsidRDefault="0096095C" w:rsidP="00192808">
            <w:pPr>
              <w:numPr>
                <w:ilvl w:val="0"/>
                <w:numId w:val="2"/>
              </w:numPr>
              <w:spacing w:after="0" w:line="240" w:lineRule="auto"/>
              <w:contextualSpacing/>
              <w:jc w:val="left"/>
              <w:rPr>
                <w:rFonts w:ascii="Garamond" w:eastAsia="Times New Roman" w:hAnsi="Garamond"/>
                <w:i/>
                <w:sz w:val="20"/>
                <w:szCs w:val="20"/>
                <w:lang w:val="sq-AL"/>
              </w:rPr>
            </w:pPr>
            <w:r>
              <w:rPr>
                <w:rFonts w:ascii="Garamond" w:eastAsia="Times New Roman" w:hAnsi="Garamond"/>
                <w:i/>
                <w:sz w:val="20"/>
                <w:szCs w:val="20"/>
                <w:lang w:val="sq-AL"/>
              </w:rPr>
              <w:t>Lidhje me ligjin përkatës</w:t>
            </w:r>
          </w:p>
          <w:p w:rsidR="0096095C" w:rsidRDefault="0096095C" w:rsidP="00192808">
            <w:pPr>
              <w:numPr>
                <w:ilvl w:val="0"/>
                <w:numId w:val="2"/>
              </w:numPr>
              <w:spacing w:after="0" w:line="240" w:lineRule="auto"/>
              <w:contextualSpacing/>
              <w:jc w:val="left"/>
              <w:rPr>
                <w:rFonts w:ascii="Garamond" w:eastAsia="Times New Roman" w:hAnsi="Garamond"/>
                <w:i/>
                <w:sz w:val="20"/>
                <w:szCs w:val="20"/>
                <w:lang w:val="sq-AL"/>
              </w:rPr>
            </w:pPr>
            <w:r>
              <w:rPr>
                <w:rFonts w:ascii="Garamond" w:eastAsia="Times New Roman" w:hAnsi="Garamond"/>
                <w:i/>
                <w:sz w:val="20"/>
                <w:szCs w:val="20"/>
                <w:lang w:val="sq-AL"/>
              </w:rPr>
              <w:t>Identifikimi i agjencisë zbatuese dhe informacioneve të kontaktit</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6.2.2 Vleftësoni inventarin me palët e interesuara dhe publikoni në format të mirë kuptueshëm </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Inventari i kompletuar dhe i vërtetuar i incentivave publikohet në një faqe të vetme interneti, gazetë zyrtare ose publikime të tjera përkatëse të ministrisë.</w:t>
            </w:r>
          </w:p>
          <w:p w:rsidR="0096095C" w:rsidRDefault="0096095C">
            <w:pPr>
              <w:spacing w:after="0" w:line="240" w:lineRule="auto"/>
              <w:ind w:firstLine="0"/>
              <w:jc w:val="left"/>
              <w:rPr>
                <w:rFonts w:ascii="Garamond" w:eastAsia="Times New Roman" w:hAnsi="Garamond"/>
                <w:sz w:val="20"/>
                <w:szCs w:val="20"/>
                <w:lang w:val="sq-AL"/>
              </w:rPr>
            </w:pPr>
            <w:r>
              <w:rPr>
                <w:rFonts w:ascii="Garamond" w:hAnsi="Garamond"/>
                <w:sz w:val="20"/>
                <w:szCs w:val="20"/>
                <w:lang w:val="sq-AL"/>
              </w:rPr>
              <w:t>Inventari ndahet (publikohet) në portalin CIF.</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 xml:space="preserve">Inventari duhet të publikohet në gjuhën shqipe, angleze dhe të tjera gjuhë përkatëse, sipas zgjedhjes të qeverisë. </w:t>
            </w:r>
          </w:p>
        </w:tc>
      </w:tr>
      <w:tr w:rsidR="0096095C" w:rsidTr="0096095C">
        <w:trPr>
          <w:trHeight w:val="1684"/>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6.2.3 Institucionalizimi i procesit të mbajtjes së inventarit publik të incentivave </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2020</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Ministria e Ekonomisë dhe Financave </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Përditësimi i inventarit të incentivave institucionalizohet nëpërmjet aktit të qeverisë.</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sz w:val="20"/>
                <w:szCs w:val="20"/>
                <w:lang w:val="sq-AL"/>
              </w:rPr>
            </w:pPr>
            <w:r>
              <w:rPr>
                <w:rFonts w:ascii="Garamond" w:hAnsi="Garamond"/>
                <w:i/>
                <w:iCs/>
                <w:sz w:val="20"/>
                <w:szCs w:val="20"/>
                <w:lang w:val="sq-AL"/>
              </w:rPr>
              <w:t>Rezultati do të përfshinte mbajtjen e inventarit në baza të rregullta siç përcaktohet dhe konsiderohet e përshtatshme nga qeveria.</w:t>
            </w:r>
          </w:p>
        </w:tc>
      </w:tr>
      <w:tr w:rsidR="0096095C" w:rsidTr="0096095C">
        <w:trPr>
          <w:trHeight w:val="101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left="520" w:firstLine="0"/>
              <w:jc w:val="left"/>
              <w:rPr>
                <w:rFonts w:ascii="Garamond" w:eastAsia="Calibri Light" w:hAnsi="Garamond"/>
                <w:i/>
                <w:sz w:val="20"/>
                <w:szCs w:val="20"/>
                <w:lang w:val="sq-AL"/>
              </w:rPr>
            </w:pPr>
            <w:r>
              <w:rPr>
                <w:rFonts w:ascii="Garamond" w:eastAsia="Times New Roman" w:hAnsi="Garamond"/>
                <w:i/>
                <w:sz w:val="20"/>
                <w:szCs w:val="20"/>
                <w:lang w:val="sq-AL"/>
              </w:rPr>
              <w:t xml:space="preserve">6.3 </w:t>
            </w:r>
            <w:r>
              <w:rPr>
                <w:rFonts w:ascii="Garamond" w:eastAsia="Calibri Light" w:hAnsi="Garamond"/>
                <w:i/>
                <w:sz w:val="20"/>
                <w:szCs w:val="20"/>
                <w:lang w:val="sq-AL"/>
              </w:rPr>
              <w:t xml:space="preserve">Angazhimi në të mësuarit ndërmjet kolegëve mbi metodologjitë për vlerësimin e kostos dhe përfitimit dhe përvojat mbi qeverisjen dhe administrimin e </w:t>
            </w:r>
            <w:r>
              <w:rPr>
                <w:rFonts w:ascii="Garamond" w:eastAsia="Calibri Light" w:hAnsi="Garamond"/>
                <w:i/>
                <w:sz w:val="20"/>
                <w:szCs w:val="20"/>
                <w:lang w:val="sq-AL"/>
              </w:rPr>
              <w:lastRenderedPageBreak/>
              <w:t>incentivave në kontekstin e Grupit të Përbashkët të Punës mbi Investimet EJLIC-CEFTA.</w:t>
            </w:r>
          </w:p>
          <w:p w:rsidR="0096095C" w:rsidRDefault="0096095C">
            <w:pPr>
              <w:spacing w:after="0" w:line="240" w:lineRule="auto"/>
              <w:ind w:left="520" w:firstLine="0"/>
              <w:jc w:val="left"/>
              <w:rPr>
                <w:rFonts w:ascii="Garamond" w:eastAsia="Times New Roman" w:hAnsi="Garamond"/>
                <w:i/>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6.3.1 Mbështetja për angazhimin rajonal ndërmjet kolegëve nëpërmjet formimit të një grupi teknik kombëtar nënpune si pjesë e Grupit të Përbashkët të Punës mbi Investimet (JWGI) të EJLIC-CEFTA-s.</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w:t>
            </w:r>
          </w:p>
        </w:tc>
        <w:tc>
          <w:tcPr>
            <w:tcW w:w="219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Përfaqësuesit e duhur të emëruar rast pas rasti sipas temave të grupit specifik teknik të nënpunës.</w:t>
            </w:r>
          </w:p>
          <w:p w:rsidR="0096095C" w:rsidRDefault="0096095C">
            <w:pPr>
              <w:spacing w:after="0" w:line="240" w:lineRule="auto"/>
              <w:ind w:firstLine="0"/>
              <w:jc w:val="left"/>
              <w:rPr>
                <w:rFonts w:ascii="Garamond" w:eastAsia="Times New Roman" w:hAnsi="Garamond"/>
                <w:sz w:val="20"/>
                <w:szCs w:val="20"/>
                <w:lang w:val="sq-AL"/>
              </w:rPr>
            </w:pP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JWGI do të punojë për të harmonizuar prioritetet e MAP REA me ato të përcaktuara nga Strategjia për Evropën Juglindore 2020 dhe CEFTA.</w:t>
            </w:r>
          </w:p>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Të emëruarit duhet të jenë nga ministritë/agjencitë që janë përfaqësuese të fushave teknike (në këtë rast inventivat).</w:t>
            </w:r>
          </w:p>
          <w:p w:rsidR="0096095C" w:rsidRDefault="0096095C">
            <w:pPr>
              <w:spacing w:after="0" w:line="240" w:lineRule="auto"/>
              <w:ind w:firstLine="0"/>
              <w:jc w:val="left"/>
              <w:rPr>
                <w:rFonts w:ascii="Garamond" w:eastAsia="Times New Roman" w:hAnsi="Garamond"/>
                <w:i/>
                <w:sz w:val="20"/>
                <w:szCs w:val="20"/>
                <w:lang w:val="sq-AL"/>
              </w:rPr>
            </w:pPr>
          </w:p>
        </w:tc>
      </w:tr>
      <w:tr w:rsidR="0096095C" w:rsidTr="0096095C">
        <w:trPr>
          <w:trHeight w:val="68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6.3.2 Përdorni portalin e investimeve rajonale si një mjet për të lehtësuar të nxënit peer-to-peer dhe shkëmbimin e praktikave më të mira.</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Qershor2020</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hAnsi="Garamond"/>
                <w:sz w:val="20"/>
                <w:szCs w:val="20"/>
                <w:lang w:val="sq-AL"/>
              </w:rPr>
            </w:pPr>
            <w:r>
              <w:rPr>
                <w:rFonts w:ascii="Garamond" w:hAnsi="Garamond"/>
                <w:sz w:val="20"/>
                <w:szCs w:val="20"/>
                <w:lang w:val="sq-AL"/>
              </w:rPr>
              <w:t>Raportet e rregullta rajonale ndahen përmes portalit të investimeve rajonale (</w:t>
            </w:r>
            <w:hyperlink r:id="rId7" w:history="1">
              <w:r>
                <w:rPr>
                  <w:rStyle w:val="Hyperlink"/>
                  <w:rFonts w:ascii="Garamond" w:hAnsi="Garamond"/>
                  <w:color w:val="auto"/>
                  <w:sz w:val="20"/>
                  <w:szCs w:val="20"/>
                  <w:u w:val="none"/>
                  <w:lang w:val="sq-AL"/>
                </w:rPr>
                <w:t>www.investinEJL.com</w:t>
              </w:r>
            </w:hyperlink>
            <w:r>
              <w:rPr>
                <w:rFonts w:ascii="Garamond" w:hAnsi="Garamond"/>
                <w:sz w:val="20"/>
                <w:szCs w:val="20"/>
                <w:lang w:val="sq-AL"/>
              </w:rPr>
              <w:t>)</w:t>
            </w:r>
            <w:hyperlink/>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i/>
                <w:iCs/>
                <w:sz w:val="20"/>
                <w:szCs w:val="20"/>
                <w:lang w:val="sq-AL"/>
              </w:rPr>
            </w:pPr>
            <w:r>
              <w:rPr>
                <w:rFonts w:ascii="Garamond" w:eastAsia="Times New Roman" w:hAnsi="Garamond"/>
                <w:i/>
                <w:iCs/>
                <w:sz w:val="20"/>
                <w:szCs w:val="20"/>
                <w:lang w:val="sq-AL"/>
              </w:rPr>
              <w:t>Informacioni mund të përfshijë metoda për monitorimin dhe vlerësimin, analizën kosto-përfitim, zbatimin e praktikave të mira ndërkombëtare, materialet e trajnimit, anketat e motivimit të investitorëve etj.</w:t>
            </w: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i/>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6.3.3 Vlerësimi i nevojave për trajnim në lidhje me hartimin dhe administrimin e incentivave dhe praktikat e mira, si dhe marrja pjesë në programe trajnimi, workshope, seminare etj., të cilat konsiderohen të dobishme.</w:t>
            </w: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w:t>
            </w:r>
          </w:p>
        </w:tc>
        <w:tc>
          <w:tcPr>
            <w:tcW w:w="219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Është përgatitur lista e programeve të nevojshme për ndërtimin e kapaciteteve që mund të bëhen në baza rajonale.</w:t>
            </w:r>
          </w:p>
          <w:p w:rsidR="0096095C" w:rsidRDefault="0096095C">
            <w:pPr>
              <w:spacing w:after="0" w:line="240" w:lineRule="auto"/>
              <w:ind w:firstLine="0"/>
              <w:jc w:val="left"/>
              <w:rPr>
                <w:rFonts w:ascii="Garamond" w:eastAsia="Times New Roman" w:hAnsi="Garamond"/>
                <w:sz w:val="20"/>
                <w:szCs w:val="20"/>
                <w:lang w:val="sq-AL"/>
              </w:rPr>
            </w:pP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Nuk nevojitet</w:t>
            </w:r>
          </w:p>
        </w:tc>
        <w:tc>
          <w:tcPr>
            <w:tcW w:w="4268"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rPr>
                <w:rFonts w:ascii="Garamond" w:eastAsia="Times New Roman" w:hAnsi="Garamond"/>
                <w:i/>
                <w:sz w:val="20"/>
                <w:szCs w:val="20"/>
                <w:lang w:val="sq-AL"/>
              </w:rPr>
            </w:pPr>
            <w:r>
              <w:rPr>
                <w:rFonts w:ascii="Garamond" w:eastAsia="Times New Roman" w:hAnsi="Garamond"/>
                <w:i/>
                <w:sz w:val="20"/>
                <w:szCs w:val="20"/>
                <w:lang w:val="sq-AL"/>
              </w:rPr>
              <w:t>Lista do të përdoret si kontribut për zhvillimin e një analize të kërkesës për ndërtimin e kapaciteteve/trajnimeve rajonale, së bashku me informacionet e siguruara nga ekonomitë e tjera pjesëmarrëse nga rajoni.</w:t>
            </w:r>
          </w:p>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Bazuar në këtë vlerësim, një grup modulesh të mundshme të trajnimit me interes të përbashkët do të përpilohet nga RCC me mbështetjen e projektit WBG-WB IPP. Identifikimi i ofruesve të përshtatshëm të trajnimit dhe zbatimi aktual i moduleve të trajnimit varet nga mundësia e financimit.</w:t>
            </w:r>
          </w:p>
        </w:tc>
      </w:tr>
      <w:tr w:rsidR="0096095C" w:rsidTr="0096095C">
        <w:trPr>
          <w:trHeight w:val="1015"/>
          <w:jc w:val="center"/>
        </w:trPr>
        <w:tc>
          <w:tcPr>
            <w:tcW w:w="2425" w:type="dxa"/>
            <w:vMerge w:val="restart"/>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left="520" w:firstLine="0"/>
              <w:jc w:val="left"/>
              <w:rPr>
                <w:rFonts w:ascii="Garamond" w:eastAsia="Times New Roman" w:hAnsi="Garamond"/>
                <w:i/>
                <w:sz w:val="20"/>
                <w:szCs w:val="20"/>
                <w:lang w:val="sq-AL"/>
              </w:rPr>
            </w:pPr>
            <w:r>
              <w:rPr>
                <w:rFonts w:ascii="Garamond" w:eastAsia="Times New Roman" w:hAnsi="Garamond"/>
                <w:i/>
                <w:sz w:val="20"/>
                <w:szCs w:val="20"/>
                <w:lang w:val="sq-AL"/>
              </w:rPr>
              <w:t>6.4 Angazhimi sistematikisht në monitorimin dhe vlerësimin e incentivave për të vlerësuar efektivitetin dhe konsideratat kosto-përfitim në nivel ekonomie.</w:t>
            </w:r>
          </w:p>
          <w:p w:rsidR="0096095C" w:rsidRDefault="0096095C">
            <w:pPr>
              <w:spacing w:after="0" w:line="240" w:lineRule="auto"/>
              <w:ind w:left="520"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6.4.1 Forcimi i monitorimit dhe vlerësimit të ndihmës shtetërore </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Qershor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w:t>
            </w:r>
          </w:p>
        </w:tc>
        <w:tc>
          <w:tcPr>
            <w:tcW w:w="2190"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Përmirësim i pavarësisë operative të Komisionit të Ndihmës Shtetërore.</w:t>
            </w:r>
          </w:p>
          <w:p w:rsidR="0096095C" w:rsidRDefault="0096095C">
            <w:pPr>
              <w:spacing w:after="0" w:line="240" w:lineRule="auto"/>
              <w:ind w:firstLine="0"/>
              <w:jc w:val="left"/>
              <w:rPr>
                <w:rFonts w:ascii="Garamond" w:eastAsia="Times New Roman" w:hAnsi="Garamond"/>
                <w:sz w:val="20"/>
                <w:szCs w:val="20"/>
                <w:lang w:val="sq-AL"/>
              </w:rPr>
            </w:pP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Nuk nevojitet </w:t>
            </w:r>
          </w:p>
        </w:tc>
        <w:tc>
          <w:tcPr>
            <w:tcW w:w="4268"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101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6.4.2 Zbatimi i metodave të monitorimit dhe vlerësimit për të gjitha programet e incentivave për të siguruar që incentivat përmbushin qëllimet e tyre dhe shërbejnë si përfitim për ekonominë </w:t>
            </w:r>
          </w:p>
          <w:p w:rsidR="0096095C" w:rsidRDefault="0096095C">
            <w:pPr>
              <w:spacing w:after="0" w:line="240" w:lineRule="auto"/>
              <w:ind w:firstLine="0"/>
              <w:jc w:val="left"/>
              <w:rPr>
                <w:rFonts w:ascii="Garamond" w:eastAsia="Times New Roman" w:hAnsi="Garamond"/>
                <w:sz w:val="20"/>
                <w:szCs w:val="20"/>
                <w:lang w:val="sq-AL"/>
              </w:rPr>
            </w:pPr>
          </w:p>
        </w:tc>
        <w:tc>
          <w:tcPr>
            <w:tcW w:w="1105"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53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 (Departamenti i Politikave Fiskale)</w:t>
            </w:r>
          </w:p>
        </w:tc>
        <w:tc>
          <w:tcPr>
            <w:tcW w:w="21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Kriteret e specifikuara të përshtatshmërisë për të gjitha programet e incentivave</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Lidhje të qarta të krijuara midis programeve nxitëse dhe objektivave specifikë të politikave.</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Zbatimi i një sistemi të përshtatshëm monitorimi dhe vlerësimi për çdo incentivë.</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Mbledhja e të dhënave të nevojshme për të lejuar një vlerësim të besueshëm</w:t>
            </w:r>
          </w:p>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Publikimi i rezultateve në gazetën zyrtare ose </w:t>
            </w:r>
            <w:r>
              <w:rPr>
                <w:rFonts w:ascii="Garamond" w:eastAsia="Times New Roman" w:hAnsi="Garamond"/>
                <w:sz w:val="20"/>
                <w:szCs w:val="20"/>
                <w:lang w:val="sq-AL"/>
              </w:rPr>
              <w:lastRenderedPageBreak/>
              <w:t>publikime të tjera përkatëse të ministrisë.</w:t>
            </w:r>
          </w:p>
        </w:tc>
        <w:tc>
          <w:tcPr>
            <w:tcW w:w="1390" w:type="dxa"/>
            <w:tcBorders>
              <w:top w:val="single" w:sz="4" w:space="0" w:color="FFFFFF"/>
              <w:left w:val="single" w:sz="4" w:space="0" w:color="FFFFFF"/>
              <w:bottom w:val="single" w:sz="4" w:space="0" w:color="FFFFFF"/>
              <w:right w:val="single" w:sz="4" w:space="0" w:color="FFFFFF"/>
            </w:tcBorders>
            <w:shd w:val="clear" w:color="auto" w:fill="B4C6E7"/>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lastRenderedPageBreak/>
              <w:t>Nevojitet, nuk është siguruar</w:t>
            </w:r>
          </w:p>
        </w:tc>
        <w:tc>
          <w:tcPr>
            <w:tcW w:w="4268" w:type="dxa"/>
            <w:tcBorders>
              <w:top w:val="single" w:sz="4" w:space="0" w:color="FFFFFF"/>
              <w:left w:val="single" w:sz="4" w:space="0" w:color="FFFFFF"/>
              <w:bottom w:val="single" w:sz="4" w:space="0" w:color="FFFFFF"/>
              <w:right w:val="single" w:sz="4" w:space="0" w:color="FFFFFF"/>
            </w:tcBorders>
            <w:shd w:val="clear" w:color="auto" w:fill="B4C6E7"/>
          </w:tcPr>
          <w:p w:rsidR="0096095C" w:rsidRDefault="0096095C">
            <w:pPr>
              <w:spacing w:after="0" w:line="240" w:lineRule="auto"/>
              <w:ind w:firstLine="0"/>
              <w:jc w:val="left"/>
              <w:rPr>
                <w:rFonts w:ascii="Garamond" w:eastAsia="Times New Roman" w:hAnsi="Garamond"/>
                <w:sz w:val="20"/>
                <w:szCs w:val="20"/>
                <w:lang w:val="sq-AL"/>
              </w:rPr>
            </w:pPr>
          </w:p>
        </w:tc>
      </w:tr>
      <w:tr w:rsidR="0096095C" w:rsidTr="0096095C">
        <w:trPr>
          <w:trHeight w:val="505"/>
          <w:jc w:val="center"/>
        </w:trPr>
        <w:tc>
          <w:tcPr>
            <w:tcW w:w="15428" w:type="dxa"/>
            <w:vMerge/>
            <w:tcBorders>
              <w:top w:val="single" w:sz="4" w:space="0" w:color="FFFFFF"/>
              <w:left w:val="single" w:sz="4" w:space="0" w:color="FFFFFF"/>
              <w:bottom w:val="single" w:sz="4" w:space="0" w:color="FFFFFF"/>
              <w:right w:val="single" w:sz="4" w:space="0" w:color="FFFFFF"/>
            </w:tcBorders>
            <w:vAlign w:val="center"/>
            <w:hideMark/>
          </w:tcPr>
          <w:p w:rsidR="0096095C" w:rsidRDefault="0096095C">
            <w:pPr>
              <w:spacing w:after="0"/>
              <w:ind w:firstLine="0"/>
              <w:jc w:val="left"/>
              <w:rPr>
                <w:rFonts w:ascii="Garamond" w:eastAsia="Times New Roman" w:hAnsi="Garamond"/>
                <w:sz w:val="20"/>
                <w:szCs w:val="20"/>
                <w:lang w:val="sq-AL"/>
              </w:rPr>
            </w:pPr>
          </w:p>
        </w:tc>
        <w:tc>
          <w:tcPr>
            <w:tcW w:w="252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6.4.3 Angazhimi në programet e incentivave të analizës kosto-përfitim mbi një bazë të vazhdueshme për të informuar vendimet e politikave mbi programin dhe dizajnin e incentivave </w:t>
            </w:r>
          </w:p>
        </w:tc>
        <w:tc>
          <w:tcPr>
            <w:tcW w:w="1105"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Dhjetor 2019</w:t>
            </w:r>
          </w:p>
        </w:tc>
        <w:tc>
          <w:tcPr>
            <w:tcW w:w="153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Ekonomisë dhe Financave (Departamenti i Politikave Fiskale)</w:t>
            </w:r>
          </w:p>
        </w:tc>
        <w:tc>
          <w:tcPr>
            <w:tcW w:w="21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Miratimi i një metodologjie të përshtatshme për të vlerësuar në mënyrë efektive kostot e shpenzimeve të incentivave kundrejt përfitimeve të lidhura.</w:t>
            </w:r>
          </w:p>
        </w:tc>
        <w:tc>
          <w:tcPr>
            <w:tcW w:w="1390" w:type="dxa"/>
            <w:tcBorders>
              <w:top w:val="single" w:sz="4" w:space="0" w:color="FFFFFF"/>
              <w:left w:val="single" w:sz="4" w:space="0" w:color="FFFFFF"/>
              <w:bottom w:val="single" w:sz="4" w:space="0" w:color="FFFFFF"/>
              <w:right w:val="single" w:sz="4" w:space="0" w:color="FFFFFF"/>
            </w:tcBorders>
            <w:shd w:val="clear" w:color="auto" w:fill="D9E2F3"/>
            <w:hideMark/>
          </w:tcPr>
          <w:p w:rsidR="0096095C" w:rsidRDefault="0096095C">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Nevojitet, nuk është siguruar</w:t>
            </w:r>
          </w:p>
        </w:tc>
        <w:tc>
          <w:tcPr>
            <w:tcW w:w="4268" w:type="dxa"/>
            <w:tcBorders>
              <w:top w:val="single" w:sz="4" w:space="0" w:color="FFFFFF"/>
              <w:left w:val="single" w:sz="4" w:space="0" w:color="FFFFFF"/>
              <w:bottom w:val="single" w:sz="4" w:space="0" w:color="FFFFFF"/>
              <w:right w:val="single" w:sz="4" w:space="0" w:color="FFFFFF"/>
            </w:tcBorders>
            <w:shd w:val="clear" w:color="auto" w:fill="D9E2F3"/>
          </w:tcPr>
          <w:p w:rsidR="0096095C" w:rsidRDefault="0096095C">
            <w:pPr>
              <w:spacing w:after="0" w:line="240" w:lineRule="auto"/>
              <w:ind w:firstLine="0"/>
              <w:jc w:val="left"/>
              <w:rPr>
                <w:rFonts w:ascii="Garamond" w:eastAsia="Times New Roman" w:hAnsi="Garamond"/>
                <w:i/>
                <w:sz w:val="20"/>
                <w:szCs w:val="20"/>
                <w:lang w:val="sq-AL"/>
              </w:rPr>
            </w:pPr>
            <w:r>
              <w:rPr>
                <w:rFonts w:ascii="Garamond" w:eastAsia="Times New Roman" w:hAnsi="Garamond"/>
                <w:i/>
                <w:sz w:val="20"/>
                <w:szCs w:val="20"/>
                <w:lang w:val="sq-AL"/>
              </w:rPr>
              <w:t>Duhet të trajtohen shpenzimet tatimore dhe shpenzimet e tjera për çdo program të incentivave; të dhënat e mbledhura duhet të përdoren për të analizuar kthimet e investimeve; rezultatet duhet të vihen në dispozicion të qeverisë.</w:t>
            </w:r>
          </w:p>
          <w:p w:rsidR="0096095C" w:rsidRDefault="0096095C">
            <w:pPr>
              <w:spacing w:after="0" w:line="240" w:lineRule="auto"/>
              <w:ind w:firstLine="0"/>
              <w:jc w:val="left"/>
              <w:rPr>
                <w:rFonts w:ascii="Garamond" w:eastAsia="Times New Roman" w:hAnsi="Garamond"/>
                <w:sz w:val="20"/>
                <w:szCs w:val="20"/>
                <w:lang w:val="sq-AL"/>
              </w:rPr>
            </w:pPr>
          </w:p>
        </w:tc>
      </w:tr>
    </w:tbl>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lang w:val="sq-AL"/>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pStyle w:val="Paragrafi"/>
        <w:rPr>
          <w:rFonts w:eastAsia="Times New Roman"/>
          <w:spacing w:val="-4"/>
          <w:lang w:val="sq-AL" w:eastAsia="en-GB"/>
        </w:rPr>
      </w:pPr>
    </w:p>
    <w:p w:rsidR="0096095C" w:rsidRDefault="0096095C" w:rsidP="0096095C">
      <w:pPr>
        <w:spacing w:after="0" w:line="240" w:lineRule="auto"/>
        <w:ind w:firstLine="0"/>
        <w:jc w:val="left"/>
        <w:rPr>
          <w:rFonts w:ascii="Garamond" w:eastAsia="Times New Roman" w:hAnsi="Garamond" w:cs="CG Times"/>
          <w:spacing w:val="-4"/>
          <w:sz w:val="24"/>
          <w:lang w:val="sq-AL" w:eastAsia="en-GB"/>
        </w:rPr>
        <w:sectPr w:rsidR="0096095C" w:rsidSect="0096095C">
          <w:pgSz w:w="16840" w:h="11907" w:orient="landscape"/>
          <w:pgMar w:top="1134" w:right="720" w:bottom="1134" w:left="720" w:header="851" w:footer="851" w:gutter="0"/>
          <w:cols w:space="720"/>
        </w:sectPr>
      </w:pPr>
    </w:p>
    <w:p w:rsidR="0096095C" w:rsidRDefault="0096095C" w:rsidP="0096095C">
      <w:pPr>
        <w:pStyle w:val="Paragrafi"/>
        <w:jc w:val="center"/>
        <w:rPr>
          <w:lang w:val="sq-AL"/>
        </w:rPr>
      </w:pPr>
      <w:r>
        <w:rPr>
          <w:lang w:val="sq-AL"/>
        </w:rPr>
        <w:lastRenderedPageBreak/>
        <w:t>SHTOJCË</w:t>
      </w:r>
    </w:p>
    <w:p w:rsidR="0096095C" w:rsidRDefault="0096095C" w:rsidP="0096095C">
      <w:pPr>
        <w:pStyle w:val="Paragrafi"/>
        <w:jc w:val="center"/>
        <w:rPr>
          <w:lang w:val="sq-AL"/>
        </w:rPr>
      </w:pPr>
      <w:r>
        <w:rPr>
          <w:lang w:val="sq-AL"/>
        </w:rPr>
        <w:t>PËRSHKRIMI SHTESË I VEPRIMEVE TË ZGJEDHURA IRAP</w:t>
      </w:r>
    </w:p>
    <w:p w:rsidR="0096095C" w:rsidRDefault="0096095C" w:rsidP="0096095C">
      <w:pPr>
        <w:pStyle w:val="Paragrafi"/>
        <w:rPr>
          <w:rFonts w:eastAsia="SimSun"/>
          <w:b/>
          <w:sz w:val="14"/>
          <w:lang w:val="sq-AL"/>
        </w:rPr>
      </w:pPr>
    </w:p>
    <w:p w:rsidR="0096095C" w:rsidRDefault="0096095C" w:rsidP="0096095C">
      <w:pPr>
        <w:pStyle w:val="Paragrafi"/>
        <w:rPr>
          <w:rFonts w:eastAsia="SimSun"/>
          <w:b/>
          <w:lang w:val="sq-AL"/>
        </w:rPr>
      </w:pPr>
      <w:r>
        <w:rPr>
          <w:rFonts w:eastAsia="SimSun"/>
          <w:b/>
          <w:lang w:val="sq-AL"/>
        </w:rPr>
        <w:t>Veprimi IRAP 1.1.2</w:t>
      </w:r>
    </w:p>
    <w:p w:rsidR="0096095C" w:rsidRDefault="0096095C" w:rsidP="0096095C">
      <w:pPr>
        <w:pStyle w:val="Paragrafi"/>
        <w:rPr>
          <w:rFonts w:eastAsia="Batang"/>
          <w:lang w:val="sq-AL"/>
        </w:rPr>
      </w:pPr>
      <w:r>
        <w:rPr>
          <w:rFonts w:eastAsia="Batang"/>
          <w:lang w:val="sq-AL"/>
        </w:rPr>
        <w:t>Analiza e mospërputhshmërisë të hyrjes do të përfshijë shqyrtimin tërësor të ligjeve dhe rregulloreve të brendshme për kufizimet ligjore mbi hyrjen dhe krijimin e investimeve të huaja direkte. Ushtrimi kontribuon në disa objektiva:</w:t>
      </w:r>
    </w:p>
    <w:p w:rsidR="0096095C" w:rsidRDefault="0096095C" w:rsidP="0096095C">
      <w:pPr>
        <w:pStyle w:val="Paragrafi"/>
        <w:rPr>
          <w:rFonts w:eastAsia="Batang"/>
          <w:lang w:val="sq-AL"/>
        </w:rPr>
      </w:pPr>
      <w:bookmarkStart w:id="8" w:name="_Hlk529930192"/>
      <w:r>
        <w:rPr>
          <w:rFonts w:eastAsia="Batang"/>
          <w:lang w:val="sq-AL"/>
        </w:rPr>
        <w:t>1. Rrit transparencën për investitorët e huaj duke thjeshtuar aksesin në informacion: një inventar i përditësuar i pengesave ligjore të hyrjes do të sigurojë një burim ku renditen kufizimet për investitorët e huaj. Kjo lehtëson procesin e vendimmarrjes së investitorëve të mundshëm dhe të investitorëve ekzistues që dëshirojnë të shtrijnë projektet e tyre.</w:t>
      </w:r>
    </w:p>
    <w:p w:rsidR="0096095C" w:rsidRDefault="0096095C" w:rsidP="0096095C">
      <w:pPr>
        <w:pStyle w:val="Paragrafi"/>
        <w:rPr>
          <w:rFonts w:eastAsia="Batang"/>
          <w:spacing w:val="-4"/>
          <w:lang w:val="sq-AL"/>
        </w:rPr>
      </w:pPr>
      <w:r>
        <w:rPr>
          <w:rFonts w:eastAsia="Batang"/>
          <w:spacing w:val="-4"/>
          <w:lang w:val="sq-AL"/>
        </w:rPr>
        <w:t>2. Siguron qartësi në nivelin aktual të kufizimit dhe formulimit të politikave të ndihmës: një vlerësim i ligjeve dhe rregulloreve të brendshme u mundëson qeverive të marrin në konsideratë të gjitha pengesat e ndryshme ligjore hyrëse që ekzistojnë për investitorët, gjë që lehtëson kryerjen e një analize nëse niveli aktual i kufizimit pasqyron siç duhet qëndrimin e dëshiruar të politikave dhe ofron një bazë për reformat e mundshme.</w:t>
      </w:r>
    </w:p>
    <w:p w:rsidR="0096095C" w:rsidRDefault="0096095C" w:rsidP="0096095C">
      <w:pPr>
        <w:pStyle w:val="Paragrafi"/>
        <w:rPr>
          <w:rFonts w:eastAsia="Batang"/>
          <w:lang w:val="sq-AL"/>
        </w:rPr>
      </w:pPr>
      <w:r>
        <w:rPr>
          <w:rFonts w:eastAsia="Batang"/>
          <w:lang w:val="sq-AL"/>
        </w:rPr>
        <w:t>3. Ofron udhëzime për hartimin e shtojcave për MNI-të e ardhshme që listojnë masa jo të përshtatshme (NCMs, shikoni më poshtë)</w:t>
      </w:r>
      <w:r>
        <w:rPr>
          <w:vertAlign w:val="superscript"/>
        </w:rPr>
        <w:footnoteReference w:id="5"/>
      </w:r>
      <w:r>
        <w:rPr>
          <w:rFonts w:eastAsia="Batang"/>
          <w:lang w:val="sq-AL"/>
        </w:rPr>
        <w:t xml:space="preserve">. </w:t>
      </w:r>
    </w:p>
    <w:p w:rsidR="0096095C" w:rsidRDefault="0096095C" w:rsidP="0096095C">
      <w:pPr>
        <w:pStyle w:val="Paragrafi"/>
        <w:rPr>
          <w:rFonts w:eastAsia="Batang"/>
          <w:lang w:val="sq-AL"/>
        </w:rPr>
      </w:pPr>
      <w:r>
        <w:rPr>
          <w:rFonts w:eastAsia="Batang"/>
          <w:lang w:val="sq-AL"/>
        </w:rPr>
        <w:t xml:space="preserve">4. Lehtëson procesin e pranimit në BE: Duke pasur një listë gjithëpërfshirëse të pengesave hyrëse ligjore ndihmon për t’u lidhur me kapitullin 3 të </w:t>
      </w:r>
      <w:r>
        <w:rPr>
          <w:rFonts w:eastAsia="Batang"/>
          <w:i/>
          <w:lang w:val="sq-AL"/>
        </w:rPr>
        <w:t>acquis communautaire</w:t>
      </w:r>
      <w:r>
        <w:rPr>
          <w:rFonts w:eastAsia="Batang"/>
          <w:lang w:val="sq-AL"/>
        </w:rPr>
        <w:t xml:space="preserve"> të BE-së (shikoni më poshtë) dhe përfundimisht për të përmbushur kriteret e pranimit.</w:t>
      </w:r>
    </w:p>
    <w:p w:rsidR="0096095C" w:rsidRDefault="0096095C" w:rsidP="0096095C">
      <w:pPr>
        <w:pStyle w:val="Paragrafi"/>
        <w:rPr>
          <w:rFonts w:eastAsia="Batang"/>
          <w:lang w:val="sq-AL"/>
        </w:rPr>
      </w:pPr>
      <w:r>
        <w:rPr>
          <w:rFonts w:eastAsia="Batang"/>
          <w:lang w:val="sq-AL"/>
        </w:rPr>
        <w:t>5. Mund të përdoret për negociatat e OBT-së të Listës së Shërbimeve të Angazhimeve sipas Marrëveshjes së Përgjithshme mbi Tregtinë e Shërbimeve (GATS), posaçërisht për tregtimin e shërbimeve mode 3 (prania tregtare)</w:t>
      </w:r>
      <w:r>
        <w:rPr>
          <w:vertAlign w:val="superscript"/>
        </w:rPr>
        <w:footnoteReference w:id="6"/>
      </w:r>
      <w:r>
        <w:rPr>
          <w:rFonts w:eastAsia="Batang"/>
          <w:lang w:val="sq-AL"/>
        </w:rPr>
        <w:t>.</w:t>
      </w:r>
    </w:p>
    <w:p w:rsidR="0096095C" w:rsidRDefault="0096095C" w:rsidP="0096095C">
      <w:pPr>
        <w:pStyle w:val="Paragrafi"/>
        <w:rPr>
          <w:b/>
          <w:lang w:val="sq-AL"/>
        </w:rPr>
      </w:pPr>
      <w:r>
        <w:rPr>
          <w:b/>
          <w:lang w:val="sq-AL"/>
        </w:rPr>
        <w:t>Objekti thelbësor i analizës</w:t>
      </w:r>
    </w:p>
    <w:p w:rsidR="0096095C" w:rsidRDefault="0096095C" w:rsidP="0096095C">
      <w:pPr>
        <w:pStyle w:val="Paragrafi"/>
        <w:rPr>
          <w:lang w:val="sq-AL"/>
        </w:rPr>
      </w:pPr>
      <w:r>
        <w:rPr>
          <w:lang w:val="sq-AL"/>
        </w:rPr>
        <w:t>Objekti thelbësor i analizës përfshin parimet e mëposhtme:</w:t>
      </w:r>
    </w:p>
    <w:p w:rsidR="0096095C" w:rsidRDefault="0096095C" w:rsidP="0096095C">
      <w:pPr>
        <w:pStyle w:val="Paragrafi"/>
        <w:rPr>
          <w:lang w:val="sq-AL"/>
        </w:rPr>
      </w:pPr>
      <w:r>
        <w:rPr>
          <w:lang w:val="sq-AL"/>
        </w:rPr>
        <w:t>- Jodiskriminimi</w:t>
      </w:r>
      <w:r>
        <w:rPr>
          <w:vertAlign w:val="superscript"/>
        </w:rPr>
        <w:footnoteReference w:id="7"/>
      </w:r>
      <w:r>
        <w:rPr>
          <w:lang w:val="sq-AL"/>
        </w:rPr>
        <w:t>: duke siguruar që asnjë ekonomi, nëpërmjet ligjeve ose rregulloreve të brendshme, të mos diskriminojë drejtpërdrejt ose tërthorazi në favor të investitorëve të vet ose në favor të një ekonomie të huaj mbi ekonomitë e tjera të huaja</w:t>
      </w:r>
      <w:r>
        <w:rPr>
          <w:vertAlign w:val="superscript"/>
        </w:rPr>
        <w:footnoteReference w:id="8"/>
      </w:r>
      <w:r>
        <w:rPr>
          <w:lang w:val="sq-AL"/>
        </w:rPr>
        <w:t>;</w:t>
      </w:r>
    </w:p>
    <w:p w:rsidR="0096095C" w:rsidRDefault="0096095C" w:rsidP="0096095C">
      <w:pPr>
        <w:pStyle w:val="Paragrafi"/>
        <w:rPr>
          <w:lang w:val="sq-AL"/>
        </w:rPr>
      </w:pPr>
      <w:r>
        <w:rPr>
          <w:lang w:val="sq-AL"/>
        </w:rPr>
        <w:t xml:space="preserve">- kërkesat e performancës: përcaktimi se asnjë ekonomi nuk do të kërkojë që investitorët e huaj të përmbushin disa qëllime të caktuara në lidhje me veprimet e tyre në ekonominë pritëse; </w:t>
      </w:r>
    </w:p>
    <w:p w:rsidR="0096095C" w:rsidRDefault="0096095C" w:rsidP="0096095C">
      <w:pPr>
        <w:pStyle w:val="Paragrafi"/>
        <w:rPr>
          <w:rFonts w:eastAsia="Batang"/>
          <w:lang w:val="sq-AL"/>
        </w:rPr>
      </w:pPr>
      <w:r>
        <w:rPr>
          <w:lang w:val="sq-AL"/>
        </w:rPr>
        <w:t>- aksesi në treg: duke siguruar që asnjë ekonomi nuk mund të vendosë kufizime sasiore jodiskriminuese për pranimin dhe krijimin e investitorëve të huaj; p.sh.</w:t>
      </w:r>
    </w:p>
    <w:p w:rsidR="0096095C" w:rsidRDefault="0096095C" w:rsidP="0096095C">
      <w:pPr>
        <w:pStyle w:val="Paragrafi"/>
        <w:rPr>
          <w:rFonts w:eastAsia="Batang"/>
          <w:lang w:val="sq-AL"/>
        </w:rPr>
      </w:pPr>
      <w:r>
        <w:rPr>
          <w:lang w:val="sq-AL"/>
        </w:rPr>
        <w:t>- Ndalimi i investimeve të huaja në sektorë të caktuar</w:t>
      </w:r>
    </w:p>
    <w:p w:rsidR="0096095C" w:rsidRDefault="0096095C" w:rsidP="0096095C">
      <w:pPr>
        <w:pStyle w:val="Paragrafi"/>
        <w:rPr>
          <w:rFonts w:eastAsia="Batang"/>
          <w:lang w:val="sq-AL"/>
        </w:rPr>
      </w:pPr>
      <w:r>
        <w:rPr>
          <w:lang w:val="sq-AL"/>
        </w:rPr>
        <w:t>- kërkesat minimale të kapitalit;</w:t>
      </w:r>
    </w:p>
    <w:p w:rsidR="0096095C" w:rsidRDefault="0096095C" w:rsidP="0096095C">
      <w:pPr>
        <w:pStyle w:val="Paragrafi"/>
        <w:rPr>
          <w:rFonts w:eastAsia="Batang"/>
          <w:lang w:val="sq-AL"/>
        </w:rPr>
      </w:pPr>
      <w:r>
        <w:rPr>
          <w:lang w:val="sq-AL"/>
        </w:rPr>
        <w:t>- kufijtë e kapitalit të huaj;</w:t>
      </w:r>
    </w:p>
    <w:p w:rsidR="0096095C" w:rsidRDefault="0096095C" w:rsidP="0096095C">
      <w:pPr>
        <w:pStyle w:val="Paragrafi"/>
        <w:rPr>
          <w:rFonts w:eastAsia="Batang"/>
          <w:lang w:val="sq-AL"/>
        </w:rPr>
      </w:pPr>
      <w:r>
        <w:rPr>
          <w:rFonts w:eastAsia="Batang"/>
          <w:lang w:val="sq-AL"/>
        </w:rPr>
        <w:t>- niveli i lartë drejtues/bordi i drejtorëve: me kusht që investitorët e huaj kanë të drejtë të angazhojnë personelin e lartë drejtues sipas zgjedhjes së tyre, pavarësisht nga kombësia.</w:t>
      </w:r>
    </w:p>
    <w:p w:rsidR="0096095C" w:rsidRDefault="0096095C" w:rsidP="0096095C">
      <w:pPr>
        <w:pStyle w:val="Paragrafi"/>
        <w:rPr>
          <w:rFonts w:eastAsia="Batang"/>
          <w:lang w:val="sq-AL"/>
        </w:rPr>
      </w:pPr>
      <w:r>
        <w:rPr>
          <w:rFonts w:eastAsia="Batang"/>
          <w:lang w:val="sq-AL"/>
        </w:rPr>
        <w:t>Sa herë që një ligj ose rregullore shkel një nga parimet e listuar më lart, kjo përbën një pengesë ligjore hyrëse për investitorët e huaj dhe për këtë arsye duhet të vendoset në listë për të rritur transparencën. Ajo që është e rëndësishme është se kjo nuk do të thotë që ligji ose rregullorja specifike duhet të ndryshohet ose të hiqet si e tillë, pasi mund të ketë qëllime të rëndësishme të politikës, por mund të rishikohet në dritën e faktit nëse ajo në të vërtetë e nxit qëllimin e synuar.</w:t>
      </w:r>
    </w:p>
    <w:p w:rsidR="0096095C" w:rsidRDefault="0096095C" w:rsidP="0096095C">
      <w:pPr>
        <w:pStyle w:val="Paragrafi"/>
        <w:rPr>
          <w:rFonts w:eastAsia="Batang"/>
          <w:lang w:val="sq-AL"/>
        </w:rPr>
      </w:pPr>
      <w:r>
        <w:rPr>
          <w:rFonts w:eastAsia="Batang"/>
          <w:lang w:val="sq-AL"/>
        </w:rPr>
        <w:t xml:space="preserve">Objekti thelbësor i analizës bazohet në garancitë bazë të parashikuara përgjithësisht në Marrëveshjet Ndërkombëtare të Investimeve (MNI) të përcaktuara në legjislacionin e brendshëm për investimet. Është e ngjashme me analizën që kryhet për krijimin e një të ashtuquajturi plan i masave jo të përshtatshme </w:t>
      </w:r>
      <w:r>
        <w:rPr>
          <w:rFonts w:eastAsia="Batang"/>
          <w:lang w:val="sq-AL"/>
        </w:rPr>
        <w:lastRenderedPageBreak/>
        <w:t>(NCMs)</w:t>
      </w:r>
      <w:r>
        <w:rPr>
          <w:vertAlign w:val="superscript"/>
          <w:lang w:val="sq-AL"/>
        </w:rPr>
        <w:footnoteReference w:id="9"/>
      </w:r>
      <w:r>
        <w:rPr>
          <w:lang w:val="sq-AL"/>
        </w:rPr>
        <w:t xml:space="preserve">, </w:t>
      </w:r>
      <w:r>
        <w:rPr>
          <w:rFonts w:eastAsia="Batang"/>
          <w:lang w:val="sq-AL"/>
        </w:rPr>
        <w:t>dhe për këtë arsye lista që rezulton nga analiza mund të përdoret për krijimin e një skeme të tillë duke e përshtatur atë me angazhimet specifike që një ekonomi ndërmerr në atë MNI.</w:t>
      </w:r>
    </w:p>
    <w:p w:rsidR="0096095C" w:rsidRDefault="0096095C" w:rsidP="0096095C">
      <w:pPr>
        <w:pStyle w:val="Paragrafi"/>
        <w:rPr>
          <w:rFonts w:eastAsia="Batang"/>
          <w:lang w:val="sq-AL"/>
        </w:rPr>
      </w:pPr>
      <w:r>
        <w:rPr>
          <w:rFonts w:eastAsia="Batang"/>
          <w:lang w:val="sq-AL"/>
        </w:rPr>
        <w:t xml:space="preserve">Për më tepër, në pikëpamjen e pranimit të ardhshëm në BE, analiza do të vlerësojë konfliktin e mundshëm të masave specifike me të drejtën e BE-së në lidhje me të drejtën e themelimit sikurse përcaktohet në Traktatin e BE-së dhe të specifikuar në ‘Direktivën e Shërbimeve’. Qëllimi i këtij vlerësimi është të lehtësojë harmonizimin me kapitullin 3 të </w:t>
      </w:r>
      <w:r>
        <w:rPr>
          <w:rFonts w:eastAsia="Batang"/>
          <w:i/>
          <w:lang w:val="sq-AL"/>
        </w:rPr>
        <w:t>acquis commmunautaire</w:t>
      </w:r>
      <w:r>
        <w:rPr>
          <w:rFonts w:eastAsia="Batang"/>
          <w:lang w:val="sq-AL"/>
        </w:rPr>
        <w:t xml:space="preserve"> si pjesë e procesit të pranimit në BE.</w:t>
      </w:r>
    </w:p>
    <w:p w:rsidR="0096095C" w:rsidRDefault="0096095C" w:rsidP="0096095C">
      <w:pPr>
        <w:pStyle w:val="Paragrafi"/>
        <w:rPr>
          <w:rFonts w:eastAsia="Batang"/>
          <w:lang w:val="sq-AL"/>
        </w:rPr>
      </w:pPr>
      <w:r>
        <w:rPr>
          <w:rFonts w:eastAsia="Batang"/>
          <w:lang w:val="sq-AL"/>
        </w:rPr>
        <w:t>Për më tepër, në pikëpamjen e pranimit të ardhshëm në BE, analiza do të vlerësojë konfliktin e mundshëm të masave specifike me të drejtën e BE-së në lidhje me të drejtën e themelimit sikurse përcaktohet në Traktatin e BE-së</w:t>
      </w:r>
      <w:r>
        <w:rPr>
          <w:vertAlign w:val="superscript"/>
          <w:lang w:val="sq-AL"/>
        </w:rPr>
        <w:footnoteReference w:id="10"/>
      </w:r>
      <w:r>
        <w:rPr>
          <w:lang w:val="sq-AL"/>
        </w:rPr>
        <w:t xml:space="preserve"> </w:t>
      </w:r>
      <w:r>
        <w:rPr>
          <w:rFonts w:eastAsia="Batang"/>
          <w:lang w:val="sq-AL"/>
        </w:rPr>
        <w:t>dhe të specifikuar në ‘Direktivën e Shërbimeve’</w:t>
      </w:r>
      <w:r>
        <w:rPr>
          <w:vertAlign w:val="superscript"/>
          <w:lang w:val="sq-AL"/>
        </w:rPr>
        <w:footnoteReference w:id="11"/>
      </w:r>
      <w:r>
        <w:rPr>
          <w:lang w:val="sq-AL"/>
        </w:rPr>
        <w:t xml:space="preserve">. </w:t>
      </w:r>
      <w:r>
        <w:rPr>
          <w:rFonts w:eastAsia="Batang"/>
          <w:lang w:val="sq-AL"/>
        </w:rPr>
        <w:t>Qëllimi i këtij vlerësimi është të lehtësojë harmonizimin me Kapitullin 3 të acquis commmunautaire</w:t>
      </w:r>
      <w:r>
        <w:rPr>
          <w:vertAlign w:val="superscript"/>
          <w:lang w:val="sq-AL"/>
        </w:rPr>
        <w:footnoteReference w:id="12"/>
      </w:r>
      <w:r>
        <w:rPr>
          <w:rFonts w:eastAsia="Batang"/>
          <w:lang w:val="sq-AL"/>
        </w:rPr>
        <w:t>,</w:t>
      </w:r>
      <w:r>
        <w:rPr>
          <w:lang w:val="sq-AL"/>
        </w:rPr>
        <w:t xml:space="preserve"> </w:t>
      </w:r>
      <w:r>
        <w:rPr>
          <w:rFonts w:eastAsia="Batang"/>
          <w:lang w:val="sq-AL"/>
        </w:rPr>
        <w:t>si pjesë e procesit të pranimit në BE.</w:t>
      </w:r>
    </w:p>
    <w:p w:rsidR="0096095C" w:rsidRDefault="0096095C" w:rsidP="0096095C">
      <w:pPr>
        <w:pStyle w:val="Paragrafi"/>
        <w:rPr>
          <w:b/>
          <w:lang w:val="sq-AL"/>
        </w:rPr>
      </w:pPr>
      <w:r>
        <w:rPr>
          <w:b/>
          <w:lang w:val="sq-AL"/>
        </w:rPr>
        <w:t>Objekti i mbulimit të analizës</w:t>
      </w:r>
    </w:p>
    <w:p w:rsidR="0096095C" w:rsidRDefault="0096095C" w:rsidP="0096095C">
      <w:pPr>
        <w:pStyle w:val="Paragrafi"/>
        <w:rPr>
          <w:rFonts w:eastAsia="Batang"/>
          <w:lang w:val="sq-AL"/>
        </w:rPr>
      </w:pPr>
      <w:r>
        <w:rPr>
          <w:lang w:val="sq-AL"/>
        </w:rPr>
        <w:t>Në varësi nga burimet dhe kapacitetet e disponueshme në një ekonomi specifike, mund të përftohen opsione të ndryshme se si të bëhet analiza. Këto opsione ndryshojnë nëse analiza përfshin instrumente juridikë nënkombëtarë (thellësi) dhe nëse përfshin një rishikim të ligjeve dhe legjislacioneve horizontale ose fokusohet në sektorë të veçantë (gjerësi)</w:t>
      </w:r>
      <w:r>
        <w:rPr>
          <w:rFonts w:eastAsia="Batang"/>
          <w:lang w:val="sq-AL"/>
        </w:rPr>
        <w:t>:</w:t>
      </w:r>
    </w:p>
    <w:p w:rsidR="0096095C" w:rsidRDefault="0096095C" w:rsidP="0096095C">
      <w:pPr>
        <w:pStyle w:val="Paragrafi"/>
        <w:rPr>
          <w:rFonts w:eastAsia="Batang"/>
          <w:lang w:val="sq-AL"/>
        </w:rPr>
      </w:pPr>
    </w:p>
    <w:p w:rsidR="0096095C" w:rsidRDefault="0096095C" w:rsidP="0096095C">
      <w:pPr>
        <w:pStyle w:val="Paragrafi"/>
        <w:jc w:val="center"/>
        <w:rPr>
          <w:rFonts w:eastAsia="Batang"/>
          <w:lang w:val="sq-AL"/>
        </w:rPr>
      </w:pPr>
      <w:r>
        <w:rPr>
          <w:rFonts w:eastAsia="Batang"/>
          <w:noProof/>
        </w:rPr>
        <w:drawing>
          <wp:inline distT="0" distB="0" distL="0" distR="0">
            <wp:extent cx="2409190" cy="1463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6667" r="11299"/>
                    <a:stretch>
                      <a:fillRect/>
                    </a:stretch>
                  </pic:blipFill>
                  <pic:spPr bwMode="auto">
                    <a:xfrm>
                      <a:off x="0" y="0"/>
                      <a:ext cx="2409190" cy="1463040"/>
                    </a:xfrm>
                    <a:prstGeom prst="rect">
                      <a:avLst/>
                    </a:prstGeom>
                    <a:noFill/>
                    <a:ln>
                      <a:noFill/>
                    </a:ln>
                  </pic:spPr>
                </pic:pic>
              </a:graphicData>
            </a:graphic>
          </wp:inline>
        </w:drawing>
      </w:r>
    </w:p>
    <w:p w:rsidR="0096095C" w:rsidRDefault="0096095C" w:rsidP="0096095C">
      <w:pPr>
        <w:pStyle w:val="Paragrafi"/>
        <w:rPr>
          <w:rFonts w:eastAsia="Batang"/>
          <w:lang w:val="sq-AL"/>
        </w:rPr>
      </w:pPr>
    </w:p>
    <w:p w:rsidR="0096095C" w:rsidRDefault="0096095C" w:rsidP="0096095C">
      <w:pPr>
        <w:pStyle w:val="Paragrafi"/>
        <w:rPr>
          <w:rFonts w:eastAsia="Batang"/>
          <w:lang w:val="sq-AL"/>
        </w:rPr>
      </w:pPr>
      <w:r>
        <w:rPr>
          <w:rFonts w:eastAsia="Batang"/>
          <w:lang w:val="sq-AL"/>
        </w:rPr>
        <w:t>Vetëm një analizë horizontale, si dhe një analizë sektoriale e të gjitha niveleve federale dhe nënkombëtare të qeverisë do të sigurojë marrjen e një pamje të plotë. Një analizë specifike e kufizuar e sektorit mund të jetë e dobishme nëse, për shembull, një sektor specifik, si pjesë e një analize paraprake, është identifikuar të jetë veçanërisht e mbyllur ose jo transparente ose nëse disa sektorë janë zgjedhur për të qenë me rëndësi strategjike.</w:t>
      </w:r>
    </w:p>
    <w:p w:rsidR="0096095C" w:rsidRDefault="0096095C" w:rsidP="0096095C">
      <w:pPr>
        <w:pStyle w:val="Paragrafi"/>
        <w:rPr>
          <w:rFonts w:eastAsia="Batang"/>
          <w:lang w:val="sq-AL"/>
        </w:rPr>
      </w:pPr>
      <w:r>
        <w:rPr>
          <w:rFonts w:eastAsia="Batang"/>
          <w:lang w:val="sq-AL"/>
        </w:rPr>
        <w:t>Një faktor i rëndësishëm që ndikon sesi objekti i mbulimit është i mundshëm për një ekonomi specifike është disponueshmëria e një baze të dhënash digjitale dhe të kërkueshme që mbulon të gjitha ligjet dhe rregulloret përkatëse. Ekzistenca e një baze të tillë të dhënash lehtëson së tepërmi aksesin dhe identifikimin e ligjeve dhe rregulloreve përkatëse. Për më tepër, një faktor tjetër që ndikon në objektin e mbulimit që mund të menaxhohet në mënyrë efektive është se deri ç’masë përfshihen ministritë e linjës dhe autoritetet e sektorit dhe kontribuojnë në rishikim.</w:t>
      </w:r>
    </w:p>
    <w:p w:rsidR="0096095C" w:rsidRDefault="0096095C" w:rsidP="0096095C">
      <w:pPr>
        <w:pStyle w:val="Paragrafi"/>
        <w:rPr>
          <w:rFonts w:eastAsia="SimSun"/>
          <w:b/>
          <w:lang w:val="sq-AL"/>
        </w:rPr>
      </w:pPr>
      <w:r>
        <w:rPr>
          <w:rFonts w:eastAsia="SimSun"/>
          <w:b/>
          <w:lang w:val="sq-AL"/>
        </w:rPr>
        <w:t>Formati i rezultatit</w:t>
      </w:r>
    </w:p>
    <w:p w:rsidR="0096095C" w:rsidRDefault="0096095C" w:rsidP="0096095C">
      <w:pPr>
        <w:pStyle w:val="Paragrafi"/>
        <w:rPr>
          <w:rFonts w:eastAsia="SimSun"/>
          <w:lang w:val="sq-AL"/>
        </w:rPr>
      </w:pPr>
      <w:r>
        <w:rPr>
          <w:rFonts w:eastAsia="SimSun"/>
          <w:lang w:val="sq-AL"/>
        </w:rPr>
        <w:t>Lista që rezulton, e cila mund të jetë në formatin Excel, duhet të përfshijë fushat e mëposhtme për çdo masë (treguese):</w:t>
      </w:r>
    </w:p>
    <w:p w:rsidR="0096095C" w:rsidRDefault="0096095C" w:rsidP="0096095C">
      <w:pPr>
        <w:spacing w:after="0" w:line="240" w:lineRule="auto"/>
        <w:ind w:firstLine="0"/>
        <w:jc w:val="left"/>
        <w:rPr>
          <w:rFonts w:ascii="Garamond" w:eastAsia="SimSun" w:hAnsi="Garamond" w:cs="CG Times"/>
          <w:sz w:val="24"/>
          <w:lang w:val="sq-AL"/>
        </w:rPr>
      </w:pPr>
    </w:p>
    <w:p w:rsidR="0096095C" w:rsidRDefault="0096095C" w:rsidP="0096095C">
      <w:pPr>
        <w:spacing w:after="0" w:line="240" w:lineRule="auto"/>
        <w:ind w:firstLine="0"/>
        <w:jc w:val="left"/>
        <w:rPr>
          <w:rFonts w:ascii="Garamond" w:eastAsia="SimSun" w:hAnsi="Garamond" w:cs="CG Times"/>
          <w:sz w:val="24"/>
          <w:lang w:val="sq-AL"/>
        </w:rPr>
      </w:pPr>
    </w:p>
    <w:p w:rsidR="0096095C" w:rsidRDefault="0096095C" w:rsidP="0096095C">
      <w:pPr>
        <w:spacing w:after="0" w:line="240" w:lineRule="auto"/>
        <w:ind w:firstLine="0"/>
        <w:jc w:val="left"/>
        <w:rPr>
          <w:rFonts w:ascii="Garamond" w:eastAsia="SimSun" w:hAnsi="Garamond" w:cs="CG Times"/>
          <w:sz w:val="24"/>
          <w:lang w:val="sq-AL"/>
        </w:rPr>
      </w:pPr>
    </w:p>
    <w:p w:rsidR="0096095C" w:rsidRDefault="0096095C" w:rsidP="0096095C">
      <w:pPr>
        <w:spacing w:after="0" w:line="240" w:lineRule="auto"/>
        <w:ind w:firstLine="0"/>
        <w:jc w:val="left"/>
        <w:rPr>
          <w:rFonts w:ascii="Garamond" w:eastAsia="SimSun" w:hAnsi="Garamond" w:cs="CG Times"/>
          <w:sz w:val="24"/>
          <w:lang w:val="sq-AL"/>
        </w:rPr>
      </w:pPr>
    </w:p>
    <w:p w:rsidR="0096095C" w:rsidRDefault="0096095C" w:rsidP="0096095C">
      <w:pPr>
        <w:spacing w:after="0" w:line="240" w:lineRule="auto"/>
        <w:ind w:firstLine="0"/>
        <w:jc w:val="left"/>
        <w:rPr>
          <w:rFonts w:ascii="Garamond" w:eastAsia="SimSun" w:hAnsi="Garamond" w:cs="CG Times"/>
          <w:sz w:val="24"/>
          <w:lang w:val="sq-AL"/>
        </w:rPr>
      </w:pPr>
    </w:p>
    <w:p w:rsidR="0096095C" w:rsidRDefault="0096095C" w:rsidP="0096095C">
      <w:pPr>
        <w:spacing w:after="0" w:line="240" w:lineRule="auto"/>
        <w:ind w:firstLine="0"/>
        <w:jc w:val="left"/>
        <w:rPr>
          <w:rFonts w:ascii="Garamond" w:eastAsia="SimSun" w:hAnsi="Garamond" w:cs="CG Times"/>
          <w:sz w:val="24"/>
          <w:lang w:val="sq-AL"/>
        </w:rPr>
        <w:sectPr w:rsidR="0096095C" w:rsidSect="0096095C">
          <w:pgSz w:w="11907" w:h="16840"/>
          <w:pgMar w:top="720" w:right="1134" w:bottom="720" w:left="1134" w:header="851" w:footer="851" w:gutter="0"/>
          <w:cols w:space="454"/>
        </w:sectPr>
      </w:pPr>
    </w:p>
    <w:p w:rsidR="0096095C" w:rsidRDefault="0096095C" w:rsidP="0096095C">
      <w:pPr>
        <w:pStyle w:val="Paragrafi"/>
        <w:ind w:firstLine="0"/>
        <w:rPr>
          <w:rFonts w:eastAsia="SimSun"/>
          <w:sz w:val="12"/>
          <w:lang w:val="sq-AL"/>
        </w:rPr>
      </w:pPr>
    </w:p>
    <w:tbl>
      <w:tblPr>
        <w:tblW w:w="4988" w:type="pct"/>
        <w:tblLook w:val="04A0" w:firstRow="1" w:lastRow="0" w:firstColumn="1" w:lastColumn="0" w:noHBand="0" w:noVBand="1"/>
      </w:tblPr>
      <w:tblGrid>
        <w:gridCol w:w="456"/>
        <w:gridCol w:w="2106"/>
        <w:gridCol w:w="1892"/>
        <w:gridCol w:w="2501"/>
        <w:gridCol w:w="1383"/>
        <w:gridCol w:w="1268"/>
      </w:tblGrid>
      <w:tr w:rsidR="0096095C" w:rsidTr="0096095C">
        <w:trPr>
          <w:trHeight w:val="630"/>
        </w:trPr>
        <w:tc>
          <w:tcPr>
            <w:tcW w:w="237" w:type="pct"/>
            <w:tcBorders>
              <w:top w:val="single" w:sz="4" w:space="0" w:color="auto"/>
              <w:left w:val="single" w:sz="4" w:space="0" w:color="auto"/>
              <w:bottom w:val="single" w:sz="4" w:space="0" w:color="auto"/>
              <w:right w:val="single" w:sz="4" w:space="0" w:color="auto"/>
            </w:tcBorders>
            <w:shd w:val="clear" w:color="auto" w:fill="CCCCFF"/>
            <w:vAlign w:val="center"/>
            <w:hideMark/>
          </w:tcPr>
          <w:p w:rsidR="0096095C" w:rsidRDefault="0096095C">
            <w:pPr>
              <w:pStyle w:val="Paragrafi"/>
              <w:spacing w:line="276" w:lineRule="auto"/>
              <w:ind w:firstLine="0"/>
              <w:jc w:val="center"/>
              <w:rPr>
                <w:b/>
                <w:sz w:val="20"/>
                <w:szCs w:val="20"/>
                <w:lang w:val="sq-AL"/>
              </w:rPr>
            </w:pPr>
            <w:r>
              <w:rPr>
                <w:rFonts w:eastAsia="Batang"/>
                <w:b/>
                <w:sz w:val="20"/>
                <w:szCs w:val="20"/>
                <w:lang w:val="sq-AL"/>
              </w:rPr>
              <w:lastRenderedPageBreak/>
              <w:t>#</w:t>
            </w:r>
          </w:p>
        </w:tc>
        <w:tc>
          <w:tcPr>
            <w:tcW w:w="1096" w:type="pct"/>
            <w:tcBorders>
              <w:top w:val="single" w:sz="4" w:space="0" w:color="auto"/>
              <w:left w:val="nil"/>
              <w:bottom w:val="single" w:sz="4" w:space="0" w:color="auto"/>
              <w:right w:val="single" w:sz="4" w:space="0" w:color="auto"/>
            </w:tcBorders>
            <w:shd w:val="clear" w:color="auto" w:fill="CCCCFF"/>
            <w:vAlign w:val="center"/>
            <w:hideMark/>
          </w:tcPr>
          <w:p w:rsidR="0096095C" w:rsidRDefault="0096095C">
            <w:pPr>
              <w:pStyle w:val="Paragrafi"/>
              <w:spacing w:line="276" w:lineRule="auto"/>
              <w:ind w:firstLine="0"/>
              <w:jc w:val="center"/>
              <w:rPr>
                <w:rFonts w:eastAsia="Batang"/>
                <w:b/>
                <w:sz w:val="20"/>
                <w:szCs w:val="20"/>
                <w:lang w:val="sq-AL"/>
              </w:rPr>
            </w:pPr>
            <w:r>
              <w:rPr>
                <w:rFonts w:eastAsia="Batang"/>
                <w:b/>
                <w:sz w:val="20"/>
                <w:szCs w:val="20"/>
                <w:lang w:val="sq-AL"/>
              </w:rPr>
              <w:t>Sektori</w:t>
            </w:r>
          </w:p>
        </w:tc>
        <w:tc>
          <w:tcPr>
            <w:tcW w:w="985" w:type="pct"/>
            <w:tcBorders>
              <w:top w:val="single" w:sz="4" w:space="0" w:color="auto"/>
              <w:left w:val="nil"/>
              <w:bottom w:val="single" w:sz="4" w:space="0" w:color="auto"/>
              <w:right w:val="single" w:sz="4" w:space="0" w:color="auto"/>
            </w:tcBorders>
            <w:shd w:val="clear" w:color="auto" w:fill="CCCCFF"/>
            <w:vAlign w:val="center"/>
            <w:hideMark/>
          </w:tcPr>
          <w:p w:rsidR="0096095C" w:rsidRDefault="0096095C">
            <w:pPr>
              <w:pStyle w:val="Paragrafi"/>
              <w:spacing w:line="276" w:lineRule="auto"/>
              <w:ind w:firstLine="0"/>
              <w:jc w:val="center"/>
              <w:rPr>
                <w:rFonts w:eastAsia="Batang"/>
                <w:b/>
                <w:sz w:val="20"/>
                <w:szCs w:val="20"/>
                <w:lang w:val="sq-AL"/>
              </w:rPr>
            </w:pPr>
            <w:r>
              <w:rPr>
                <w:rFonts w:eastAsia="Batang"/>
                <w:b/>
                <w:sz w:val="20"/>
                <w:szCs w:val="20"/>
                <w:lang w:val="sq-AL"/>
              </w:rPr>
              <w:t>Parimet përkatëse</w:t>
            </w:r>
          </w:p>
        </w:tc>
        <w:tc>
          <w:tcPr>
            <w:tcW w:w="1302" w:type="pct"/>
            <w:tcBorders>
              <w:top w:val="single" w:sz="4" w:space="0" w:color="auto"/>
              <w:left w:val="nil"/>
              <w:bottom w:val="single" w:sz="4" w:space="0" w:color="auto"/>
              <w:right w:val="single" w:sz="4" w:space="0" w:color="auto"/>
            </w:tcBorders>
            <w:shd w:val="clear" w:color="auto" w:fill="CCCCFF"/>
            <w:vAlign w:val="center"/>
            <w:hideMark/>
          </w:tcPr>
          <w:p w:rsidR="0096095C" w:rsidRDefault="0096095C">
            <w:pPr>
              <w:pStyle w:val="Paragrafi"/>
              <w:spacing w:line="276" w:lineRule="auto"/>
              <w:ind w:firstLine="0"/>
              <w:jc w:val="center"/>
              <w:rPr>
                <w:rFonts w:eastAsia="Batang"/>
                <w:b/>
                <w:sz w:val="20"/>
                <w:szCs w:val="20"/>
                <w:lang w:val="sq-AL"/>
              </w:rPr>
            </w:pPr>
            <w:r>
              <w:rPr>
                <w:rFonts w:eastAsia="Batang"/>
                <w:b/>
                <w:sz w:val="20"/>
                <w:szCs w:val="20"/>
                <w:lang w:val="sq-AL"/>
              </w:rPr>
              <w:t>Konflikti i mundshëm me ligjin e BE-së (Direktiva e Shërbimeve)</w:t>
            </w:r>
          </w:p>
        </w:tc>
        <w:tc>
          <w:tcPr>
            <w:tcW w:w="720" w:type="pct"/>
            <w:tcBorders>
              <w:top w:val="single" w:sz="4" w:space="0" w:color="auto"/>
              <w:left w:val="nil"/>
              <w:bottom w:val="single" w:sz="4" w:space="0" w:color="auto"/>
              <w:right w:val="single" w:sz="4" w:space="0" w:color="auto"/>
            </w:tcBorders>
            <w:shd w:val="clear" w:color="auto" w:fill="CCCCFF"/>
            <w:vAlign w:val="center"/>
            <w:hideMark/>
          </w:tcPr>
          <w:p w:rsidR="0096095C" w:rsidRDefault="0096095C">
            <w:pPr>
              <w:pStyle w:val="Paragrafi"/>
              <w:spacing w:line="276" w:lineRule="auto"/>
              <w:ind w:firstLine="0"/>
              <w:jc w:val="center"/>
              <w:rPr>
                <w:rFonts w:eastAsia="Batang"/>
                <w:b/>
                <w:sz w:val="20"/>
                <w:szCs w:val="20"/>
                <w:lang w:val="sq-AL"/>
              </w:rPr>
            </w:pPr>
            <w:r>
              <w:rPr>
                <w:rFonts w:eastAsia="Batang"/>
                <w:b/>
                <w:sz w:val="20"/>
                <w:szCs w:val="20"/>
                <w:lang w:val="sq-AL"/>
              </w:rPr>
              <w:t>Masat</w:t>
            </w:r>
          </w:p>
        </w:tc>
        <w:tc>
          <w:tcPr>
            <w:tcW w:w="661" w:type="pct"/>
            <w:tcBorders>
              <w:top w:val="single" w:sz="4" w:space="0" w:color="auto"/>
              <w:left w:val="nil"/>
              <w:bottom w:val="single" w:sz="4" w:space="0" w:color="auto"/>
              <w:right w:val="single" w:sz="4" w:space="0" w:color="auto"/>
            </w:tcBorders>
            <w:shd w:val="clear" w:color="auto" w:fill="CCCCFF"/>
            <w:vAlign w:val="center"/>
            <w:hideMark/>
          </w:tcPr>
          <w:p w:rsidR="0096095C" w:rsidRDefault="0096095C">
            <w:pPr>
              <w:pStyle w:val="Paragrafi"/>
              <w:spacing w:line="276" w:lineRule="auto"/>
              <w:ind w:firstLine="0"/>
              <w:jc w:val="center"/>
              <w:rPr>
                <w:rFonts w:eastAsia="Batang"/>
                <w:b/>
                <w:sz w:val="20"/>
                <w:szCs w:val="20"/>
                <w:lang w:val="sq-AL"/>
              </w:rPr>
            </w:pPr>
            <w:r>
              <w:rPr>
                <w:rFonts w:eastAsia="Batang"/>
                <w:b/>
                <w:sz w:val="20"/>
                <w:szCs w:val="20"/>
                <w:lang w:val="sq-AL"/>
              </w:rPr>
              <w:t>Përshkrimi</w:t>
            </w:r>
          </w:p>
        </w:tc>
      </w:tr>
      <w:tr w:rsidR="0096095C" w:rsidTr="0096095C">
        <w:trPr>
          <w:trHeight w:val="300"/>
        </w:trPr>
        <w:tc>
          <w:tcPr>
            <w:tcW w:w="237" w:type="pct"/>
            <w:tcBorders>
              <w:top w:val="nil"/>
              <w:left w:val="single" w:sz="4" w:space="0" w:color="auto"/>
              <w:bottom w:val="single" w:sz="4" w:space="0" w:color="auto"/>
              <w:right w:val="single" w:sz="4" w:space="0" w:color="auto"/>
            </w:tcBorders>
            <w:noWrap/>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1</w:t>
            </w:r>
          </w:p>
        </w:tc>
        <w:tc>
          <w:tcPr>
            <w:tcW w:w="1096" w:type="pct"/>
            <w:tcBorders>
              <w:top w:val="nil"/>
              <w:left w:val="nil"/>
              <w:bottom w:val="single" w:sz="4" w:space="0" w:color="auto"/>
              <w:right w:val="single" w:sz="4" w:space="0" w:color="auto"/>
            </w:tcBorders>
            <w:noWrap/>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xml:space="preserve">Shërbimet e ndërtimit </w:t>
            </w:r>
          </w:p>
        </w:tc>
        <w:tc>
          <w:tcPr>
            <w:tcW w:w="985" w:type="pct"/>
            <w:tcBorders>
              <w:top w:val="nil"/>
              <w:left w:val="nil"/>
              <w:bottom w:val="single" w:sz="4" w:space="0" w:color="auto"/>
              <w:right w:val="single" w:sz="4" w:space="0" w:color="auto"/>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xml:space="preserve"> Jodiskriminimi </w:t>
            </w:r>
          </w:p>
        </w:tc>
        <w:tc>
          <w:tcPr>
            <w:tcW w:w="1302" w:type="pct"/>
            <w:tcBorders>
              <w:top w:val="nil"/>
              <w:left w:val="nil"/>
              <w:bottom w:val="single" w:sz="4" w:space="0" w:color="auto"/>
              <w:right w:val="single" w:sz="4" w:space="0" w:color="auto"/>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Direktiva e shërbimeve, neni 14 (1) (a)</w:t>
            </w:r>
          </w:p>
        </w:tc>
        <w:tc>
          <w:tcPr>
            <w:tcW w:w="720" w:type="pct"/>
            <w:tcBorders>
              <w:top w:val="nil"/>
              <w:left w:val="nil"/>
              <w:bottom w:val="single" w:sz="4" w:space="0" w:color="auto"/>
              <w:right w:val="single" w:sz="4" w:space="0" w:color="auto"/>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Rregullorja e Qeverisë X</w:t>
            </w:r>
          </w:p>
        </w:tc>
        <w:tc>
          <w:tcPr>
            <w:tcW w:w="661" w:type="pct"/>
            <w:tcBorders>
              <w:top w:val="single" w:sz="4" w:space="0" w:color="auto"/>
              <w:left w:val="nil"/>
              <w:bottom w:val="single" w:sz="4" w:space="0" w:color="auto"/>
              <w:right w:val="single" w:sz="4" w:space="0" w:color="000000"/>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Pronësia e kapitalit të huaj maksimumi. 49%</w:t>
            </w:r>
          </w:p>
        </w:tc>
      </w:tr>
      <w:tr w:rsidR="0096095C" w:rsidTr="0096095C">
        <w:trPr>
          <w:trHeight w:val="50"/>
        </w:trPr>
        <w:tc>
          <w:tcPr>
            <w:tcW w:w="237" w:type="pct"/>
            <w:tcBorders>
              <w:top w:val="nil"/>
              <w:left w:val="single" w:sz="4" w:space="0" w:color="auto"/>
              <w:bottom w:val="single" w:sz="4" w:space="0" w:color="auto"/>
              <w:right w:val="single" w:sz="4" w:space="0" w:color="auto"/>
            </w:tcBorders>
            <w:noWrap/>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w:t>
            </w:r>
          </w:p>
        </w:tc>
        <w:tc>
          <w:tcPr>
            <w:tcW w:w="1096" w:type="pct"/>
            <w:tcBorders>
              <w:top w:val="nil"/>
              <w:left w:val="nil"/>
              <w:bottom w:val="single" w:sz="4" w:space="0" w:color="auto"/>
              <w:right w:val="single" w:sz="4" w:space="0" w:color="auto"/>
            </w:tcBorders>
            <w:noWrap/>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w:t>
            </w:r>
          </w:p>
        </w:tc>
        <w:tc>
          <w:tcPr>
            <w:tcW w:w="985" w:type="pct"/>
            <w:tcBorders>
              <w:top w:val="nil"/>
              <w:left w:val="nil"/>
              <w:bottom w:val="single" w:sz="4" w:space="0" w:color="auto"/>
              <w:right w:val="single" w:sz="4" w:space="0" w:color="auto"/>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w:t>
            </w:r>
          </w:p>
        </w:tc>
        <w:tc>
          <w:tcPr>
            <w:tcW w:w="1302" w:type="pct"/>
            <w:tcBorders>
              <w:top w:val="nil"/>
              <w:left w:val="nil"/>
              <w:bottom w:val="single" w:sz="4" w:space="0" w:color="auto"/>
              <w:right w:val="single" w:sz="4" w:space="0" w:color="auto"/>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w:t>
            </w:r>
          </w:p>
        </w:tc>
        <w:tc>
          <w:tcPr>
            <w:tcW w:w="720" w:type="pct"/>
            <w:tcBorders>
              <w:top w:val="nil"/>
              <w:left w:val="nil"/>
              <w:bottom w:val="single" w:sz="4" w:space="0" w:color="auto"/>
              <w:right w:val="single" w:sz="4" w:space="0" w:color="auto"/>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w:t>
            </w:r>
          </w:p>
        </w:tc>
        <w:tc>
          <w:tcPr>
            <w:tcW w:w="661" w:type="pct"/>
            <w:tcBorders>
              <w:top w:val="single" w:sz="4" w:space="0" w:color="auto"/>
              <w:left w:val="nil"/>
              <w:bottom w:val="single" w:sz="4" w:space="0" w:color="auto"/>
              <w:right w:val="single" w:sz="4" w:space="0" w:color="000000"/>
            </w:tcBorders>
            <w:hideMark/>
          </w:tcPr>
          <w:p w:rsidR="0096095C" w:rsidRDefault="0096095C">
            <w:pPr>
              <w:pStyle w:val="Paragrafi"/>
              <w:spacing w:line="276" w:lineRule="auto"/>
              <w:ind w:firstLine="0"/>
              <w:rPr>
                <w:rFonts w:eastAsia="Batang"/>
                <w:sz w:val="20"/>
                <w:szCs w:val="20"/>
                <w:lang w:val="sq-AL"/>
              </w:rPr>
            </w:pPr>
            <w:r>
              <w:rPr>
                <w:rFonts w:eastAsia="Batang"/>
                <w:sz w:val="20"/>
                <w:szCs w:val="20"/>
                <w:lang w:val="sq-AL"/>
              </w:rPr>
              <w:t> </w:t>
            </w:r>
          </w:p>
        </w:tc>
      </w:tr>
    </w:tbl>
    <w:p w:rsidR="0096095C" w:rsidRDefault="0096095C" w:rsidP="0096095C">
      <w:pPr>
        <w:pStyle w:val="Paragrafi"/>
        <w:rPr>
          <w:rFonts w:eastAsia="SimSun"/>
          <w:lang w:val="sq-AL"/>
        </w:rPr>
      </w:pPr>
    </w:p>
    <w:p w:rsidR="0096095C" w:rsidRDefault="0096095C" w:rsidP="0096095C">
      <w:pPr>
        <w:pStyle w:val="Paragrafi"/>
        <w:rPr>
          <w:lang w:val="sq-AL"/>
        </w:rPr>
      </w:pPr>
      <w:r>
        <w:rPr>
          <w:rFonts w:eastAsia="Batang"/>
          <w:lang w:val="sq-AL"/>
        </w:rPr>
        <w:t>- Sektori: sektori i ekonomisë për të cilën zbatohet masa. Sektorët mund të klasifikohen sipas klasifikimeve ndërkombëtare, për shembull Klasifikimi i Standardeve Industriale Ndërkombëtare të të gjitha aktiviteteve ekonomike (ISIC), ose sipas një klasifikimi kombëtar;</w:t>
      </w:r>
    </w:p>
    <w:p w:rsidR="0096095C" w:rsidRDefault="0096095C" w:rsidP="0096095C">
      <w:pPr>
        <w:pStyle w:val="Paragrafi"/>
        <w:rPr>
          <w:rFonts w:eastAsia="Batang"/>
          <w:lang w:val="sq-AL"/>
        </w:rPr>
      </w:pPr>
      <w:r>
        <w:rPr>
          <w:rFonts w:eastAsia="Batang"/>
          <w:lang w:val="sq-AL"/>
        </w:rPr>
        <w:t>- Parimet përkatëse: parimi/et që është/janë në përputhje me masën e përfshirë në listë;</w:t>
      </w:r>
    </w:p>
    <w:p w:rsidR="0096095C" w:rsidRDefault="0096095C" w:rsidP="0096095C">
      <w:pPr>
        <w:pStyle w:val="Paragrafi"/>
        <w:rPr>
          <w:rFonts w:eastAsia="Batang"/>
          <w:lang w:val="sq-AL"/>
        </w:rPr>
      </w:pPr>
      <w:r>
        <w:rPr>
          <w:rFonts w:eastAsia="Batang"/>
          <w:lang w:val="sq-AL"/>
        </w:rPr>
        <w:t xml:space="preserve">- Konflikti me të drejtën e BE-së: konflikti specifik me të drejtën e themelimit sipas ligjit të BE-së; </w:t>
      </w:r>
    </w:p>
    <w:p w:rsidR="0096095C" w:rsidRDefault="0096095C" w:rsidP="0096095C">
      <w:pPr>
        <w:pStyle w:val="Paragrafi"/>
        <w:rPr>
          <w:rFonts w:eastAsia="Batang"/>
          <w:lang w:val="sq-AL"/>
        </w:rPr>
      </w:pPr>
      <w:r>
        <w:rPr>
          <w:rFonts w:eastAsia="Batang"/>
          <w:lang w:val="sq-AL"/>
        </w:rPr>
        <w:t>- Masa: ligji ose rregullorja që është ose mund të jetë e papajtueshme me parimet ose ligjet specifike të BE-së;</w:t>
      </w:r>
    </w:p>
    <w:p w:rsidR="0096095C" w:rsidRDefault="0096095C" w:rsidP="0096095C">
      <w:pPr>
        <w:pStyle w:val="Paragrafi"/>
        <w:rPr>
          <w:rFonts w:eastAsia="Batang"/>
          <w:lang w:val="sq-AL"/>
        </w:rPr>
      </w:pPr>
      <w:r>
        <w:rPr>
          <w:rFonts w:eastAsia="Batang"/>
          <w:lang w:val="sq-AL"/>
        </w:rPr>
        <w:t xml:space="preserve">- Përshkrimi: një shpjegim përse masa e shënuar është në përputhje me parimin. </w:t>
      </w:r>
    </w:p>
    <w:p w:rsidR="0096095C" w:rsidRDefault="0096095C" w:rsidP="0096095C">
      <w:pPr>
        <w:pStyle w:val="Paragrafi"/>
        <w:rPr>
          <w:rFonts w:eastAsia="Batang"/>
          <w:lang w:val="sq-AL"/>
        </w:rPr>
      </w:pPr>
      <w:r>
        <w:rPr>
          <w:rFonts w:eastAsia="Batang"/>
          <w:lang w:val="sq-AL"/>
        </w:rPr>
        <w:t xml:space="preserve">Produkti që merr formën e një fletë Excel do të lejonte përdorimin e funksioneve të klasifikimit ose filtrimit dhe në këtë mënyrë do të lehtësonte përdorimin e tij për qëllime të ndryshme, të tilla si krijimi i një skeme të NCM për një rregullim të MNI-së, të harmonizimit të </w:t>
      </w:r>
      <w:r>
        <w:rPr>
          <w:rFonts w:eastAsia="Batang"/>
          <w:i/>
          <w:lang w:val="sq-AL"/>
        </w:rPr>
        <w:t>acquis communautaire</w:t>
      </w:r>
      <w:r>
        <w:rPr>
          <w:rFonts w:eastAsia="Batang"/>
          <w:lang w:val="sq-AL"/>
        </w:rPr>
        <w:t xml:space="preserve"> të BE-së ose krahasimi i kufizimeve në sektorë të veçantë me ekonomitë e tjera të WB6.</w:t>
      </w:r>
    </w:p>
    <w:p w:rsidR="0096095C" w:rsidRDefault="0096095C" w:rsidP="0096095C">
      <w:pPr>
        <w:pStyle w:val="Paragrafi"/>
        <w:rPr>
          <w:b/>
          <w:lang w:val="sq-AL"/>
        </w:rPr>
      </w:pPr>
      <w:r>
        <w:rPr>
          <w:b/>
          <w:lang w:val="sq-AL"/>
        </w:rPr>
        <w:t>Veprimi IRAP 2.1.1</w:t>
      </w:r>
    </w:p>
    <w:p w:rsidR="0096095C" w:rsidRDefault="0096095C" w:rsidP="0096095C">
      <w:pPr>
        <w:pStyle w:val="Paragrafi"/>
        <w:rPr>
          <w:lang w:val="sq-AL"/>
        </w:rPr>
      </w:pPr>
      <w:r>
        <w:rPr>
          <w:lang w:val="sq-AL"/>
        </w:rPr>
        <w:t>- Procedurat për themelimin dhe funksionimin e një biznesi që do të përfshihet në “Investoni në SEE” përfshijnë, por jo vetëm:</w:t>
      </w:r>
    </w:p>
    <w:p w:rsidR="0096095C" w:rsidRDefault="0096095C" w:rsidP="0096095C">
      <w:pPr>
        <w:pStyle w:val="Paragrafi"/>
        <w:rPr>
          <w:lang w:val="sq-AL"/>
        </w:rPr>
      </w:pPr>
      <w:r>
        <w:rPr>
          <w:lang w:val="sq-AL"/>
        </w:rPr>
        <w:t>- Procedurat e regjistrimit të biznesit për të gjitha llojet e ndryshme të subjekteve të biznesit (partneriteti, sh.p.k., shoqëri aksionare, pronarët e vetëm, degët, zyrat e përfaqësimit etj.);</w:t>
      </w:r>
    </w:p>
    <w:p w:rsidR="0096095C" w:rsidRDefault="0096095C" w:rsidP="0096095C">
      <w:pPr>
        <w:pStyle w:val="Paragrafi"/>
        <w:rPr>
          <w:lang w:val="sq-AL"/>
        </w:rPr>
      </w:pPr>
      <w:r>
        <w:rPr>
          <w:lang w:val="sq-AL"/>
        </w:rPr>
        <w:t>- Regjistrimi paraprak (p.sh. verifikimi i emrit, rezervimi);</w:t>
      </w:r>
    </w:p>
    <w:p w:rsidR="0096095C" w:rsidRDefault="0096095C" w:rsidP="0096095C">
      <w:pPr>
        <w:pStyle w:val="Paragrafi"/>
        <w:rPr>
          <w:lang w:val="sq-AL"/>
        </w:rPr>
      </w:pPr>
      <w:r>
        <w:rPr>
          <w:lang w:val="sq-AL"/>
        </w:rPr>
        <w:t>- Pagesa e taksave (tatimi mbi vlerën e shtuar, tatimi mbi të ardhurat e korporatave, tatimet dhe kontributet për punonjësit etj.);</w:t>
      </w:r>
    </w:p>
    <w:p w:rsidR="0096095C" w:rsidRDefault="0096095C" w:rsidP="0096095C">
      <w:pPr>
        <w:pStyle w:val="Paragrafi"/>
        <w:rPr>
          <w:lang w:val="sq-AL"/>
        </w:rPr>
      </w:pPr>
      <w:r>
        <w:rPr>
          <w:lang w:val="sq-AL"/>
        </w:rPr>
        <w:t>- Regjistrimi në një komunë;</w:t>
      </w:r>
    </w:p>
    <w:p w:rsidR="0096095C" w:rsidRDefault="0096095C" w:rsidP="0096095C">
      <w:pPr>
        <w:pStyle w:val="Paragrafi"/>
        <w:rPr>
          <w:lang w:val="sq-AL"/>
        </w:rPr>
      </w:pPr>
      <w:r>
        <w:rPr>
          <w:lang w:val="sq-AL"/>
        </w:rPr>
        <w:t>- Regjistrimi i pronës (p.sh. kontrolli nëse ndaj pronës ka barrë, pagesa e taksave të pronës, titulli i depozitimit);</w:t>
      </w:r>
    </w:p>
    <w:p w:rsidR="0096095C" w:rsidRDefault="0096095C" w:rsidP="0096095C">
      <w:pPr>
        <w:pStyle w:val="Paragrafi"/>
        <w:rPr>
          <w:lang w:val="sq-AL"/>
        </w:rPr>
      </w:pPr>
      <w:r>
        <w:rPr>
          <w:lang w:val="sq-AL"/>
        </w:rPr>
        <w:t>- Furnizimi me energji elektrike (certifikata e sigurisë, lejet, inspektimet, njoftimet, kontratat e furnizimit)</w:t>
      </w:r>
    </w:p>
    <w:p w:rsidR="0096095C" w:rsidRDefault="0096095C" w:rsidP="0096095C">
      <w:pPr>
        <w:pStyle w:val="Paragrafi"/>
        <w:rPr>
          <w:lang w:val="sq-AL"/>
        </w:rPr>
      </w:pPr>
      <w:r>
        <w:rPr>
          <w:lang w:val="sq-AL"/>
        </w:rPr>
        <w:t>- Hapja e një llogarie bankare;</w:t>
      </w:r>
    </w:p>
    <w:p w:rsidR="0096095C" w:rsidRDefault="0096095C" w:rsidP="0096095C">
      <w:pPr>
        <w:pStyle w:val="Paragrafi"/>
        <w:rPr>
          <w:lang w:val="sq-AL"/>
        </w:rPr>
      </w:pPr>
      <w:r>
        <w:rPr>
          <w:lang w:val="sq-AL"/>
        </w:rPr>
        <w:t>- Regjistrimi i punonjësve (p.sh. sigurimet shoqërore, përfitimet shëndetësore);</w:t>
      </w:r>
    </w:p>
    <w:p w:rsidR="0096095C" w:rsidRDefault="0096095C" w:rsidP="0096095C">
      <w:pPr>
        <w:pStyle w:val="Paragrafi"/>
        <w:rPr>
          <w:lang w:val="sq-AL"/>
        </w:rPr>
      </w:pPr>
      <w:r>
        <w:rPr>
          <w:lang w:val="sq-AL"/>
        </w:rPr>
        <w:t>- Marrja e licencave ose lejeve të tjera specifike të sektorit;</w:t>
      </w:r>
    </w:p>
    <w:p w:rsidR="0096095C" w:rsidRDefault="0096095C" w:rsidP="0096095C">
      <w:pPr>
        <w:pStyle w:val="Paragrafi"/>
        <w:rPr>
          <w:lang w:val="sq-AL"/>
        </w:rPr>
      </w:pPr>
      <w:r>
        <w:rPr>
          <w:lang w:val="sq-AL"/>
        </w:rPr>
        <w:t>Për çdo procedurë, çdo hap i vetëm duhet të renditet. Për secilën nga hapat, si dhe për procedurën në përgjithësi, duhen dhënë detajet e mëposhtme:</w:t>
      </w:r>
    </w:p>
    <w:p w:rsidR="0096095C" w:rsidRDefault="0096095C" w:rsidP="0096095C">
      <w:pPr>
        <w:pStyle w:val="Paragrafi"/>
        <w:rPr>
          <w:lang w:val="sq-AL"/>
        </w:rPr>
      </w:pPr>
      <w:r>
        <w:rPr>
          <w:lang w:val="sq-AL"/>
        </w:rPr>
        <w:t>- Institucionet e përfshira në hapin/ procedurën dhe llojin e përfshirjes;</w:t>
      </w:r>
    </w:p>
    <w:p w:rsidR="0096095C" w:rsidRDefault="0096095C" w:rsidP="0096095C">
      <w:pPr>
        <w:pStyle w:val="Paragrafi"/>
        <w:rPr>
          <w:lang w:val="sq-AL"/>
        </w:rPr>
      </w:pPr>
      <w:r>
        <w:rPr>
          <w:lang w:val="sq-AL"/>
        </w:rPr>
        <w:t>- Dokumentet që rezultojnë nga përfundimi i suksesshëm i hapit/procedurës;</w:t>
      </w:r>
    </w:p>
    <w:p w:rsidR="0096095C" w:rsidRDefault="0096095C" w:rsidP="0096095C">
      <w:pPr>
        <w:pStyle w:val="Paragrafi"/>
        <w:rPr>
          <w:lang w:val="sq-AL"/>
        </w:rPr>
      </w:pPr>
      <w:r>
        <w:rPr>
          <w:lang w:val="sq-AL"/>
        </w:rPr>
        <w:t>- Dokumentet e nevojshme për hapin/ procedurën;</w:t>
      </w:r>
    </w:p>
    <w:p w:rsidR="0096095C" w:rsidRDefault="0096095C" w:rsidP="0096095C">
      <w:pPr>
        <w:pStyle w:val="Paragrafi"/>
        <w:rPr>
          <w:lang w:val="sq-AL"/>
        </w:rPr>
      </w:pPr>
      <w:r>
        <w:rPr>
          <w:lang w:val="sq-AL"/>
        </w:rPr>
        <w:t>- Vlerësimi i kostos së hapit/procedurës;</w:t>
      </w:r>
    </w:p>
    <w:p w:rsidR="0096095C" w:rsidRDefault="0096095C" w:rsidP="0096095C">
      <w:pPr>
        <w:pStyle w:val="Paragrafi"/>
        <w:rPr>
          <w:lang w:val="sq-AL"/>
        </w:rPr>
      </w:pPr>
      <w:r>
        <w:rPr>
          <w:lang w:val="sq-AL"/>
        </w:rPr>
        <w:t>- Vlerësimi i kohëzgjatjes totale të hapit/ procedurës;</w:t>
      </w:r>
    </w:p>
    <w:p w:rsidR="0096095C" w:rsidRDefault="0096095C" w:rsidP="0096095C">
      <w:pPr>
        <w:pStyle w:val="Paragrafi"/>
        <w:rPr>
          <w:lang w:val="sq-AL"/>
        </w:rPr>
      </w:pPr>
      <w:r>
        <w:rPr>
          <w:lang w:val="sq-AL"/>
        </w:rPr>
        <w:t>- Ligjet që justifikojnë hapin/procedurën;</w:t>
      </w:r>
    </w:p>
    <w:p w:rsidR="0096095C" w:rsidRDefault="0096095C" w:rsidP="0096095C">
      <w:pPr>
        <w:pStyle w:val="Paragrafi"/>
        <w:rPr>
          <w:lang w:val="sq-AL"/>
        </w:rPr>
      </w:pPr>
      <w:r>
        <w:rPr>
          <w:lang w:val="sq-AL"/>
        </w:rPr>
        <w:t>- Informacione shtesë të dobishme.</w:t>
      </w:r>
    </w:p>
    <w:p w:rsidR="0096095C" w:rsidRDefault="0096095C" w:rsidP="0096095C">
      <w:pPr>
        <w:pStyle w:val="Paragrafi"/>
        <w:rPr>
          <w:lang w:val="sq-AL"/>
        </w:rPr>
      </w:pPr>
      <w:r>
        <w:rPr>
          <w:b/>
          <w:lang w:val="sq-AL"/>
        </w:rPr>
        <w:t>Veprimi IRAP 2.2.1</w:t>
      </w:r>
    </w:p>
    <w:p w:rsidR="0096095C" w:rsidRDefault="0096095C" w:rsidP="0096095C">
      <w:pPr>
        <w:pStyle w:val="Paragrafi"/>
        <w:rPr>
          <w:lang w:val="sq-AL"/>
        </w:rPr>
      </w:pPr>
      <w:r>
        <w:rPr>
          <w:lang w:val="sq-AL"/>
        </w:rPr>
        <w:t>Kërkesat e regjistrimit të biznesit që do të krahasohen përbëhen:</w:t>
      </w:r>
    </w:p>
    <w:p w:rsidR="0096095C" w:rsidRDefault="0096095C" w:rsidP="0096095C">
      <w:pPr>
        <w:pStyle w:val="Paragrafi"/>
        <w:rPr>
          <w:lang w:val="sq-AL"/>
        </w:rPr>
      </w:pPr>
      <w:r>
        <w:rPr>
          <w:lang w:val="sq-AL"/>
        </w:rPr>
        <w:t>- Llojet e mundshme të formave ligjore të subjekteve të biznesit, kërkesat e tyre specifike dhe hapat e regjistrimit;</w:t>
      </w:r>
    </w:p>
    <w:p w:rsidR="0096095C" w:rsidRDefault="0096095C" w:rsidP="0096095C">
      <w:pPr>
        <w:pStyle w:val="Paragrafi"/>
        <w:rPr>
          <w:lang w:val="sq-AL"/>
        </w:rPr>
      </w:pPr>
      <w:r>
        <w:rPr>
          <w:lang w:val="sq-AL"/>
        </w:rPr>
        <w:t>- Pagesa e tarifave të regjistrimit;</w:t>
      </w:r>
    </w:p>
    <w:p w:rsidR="0096095C" w:rsidRDefault="0096095C" w:rsidP="0096095C">
      <w:pPr>
        <w:pStyle w:val="Paragrafi"/>
        <w:rPr>
          <w:lang w:val="sq-AL"/>
        </w:rPr>
      </w:pPr>
      <w:r>
        <w:rPr>
          <w:lang w:val="sq-AL"/>
        </w:rPr>
        <w:t>- Nevoja e miratimit të noterëve për secilin nga hapat;</w:t>
      </w:r>
    </w:p>
    <w:p w:rsidR="0096095C" w:rsidRDefault="0096095C" w:rsidP="0096095C">
      <w:pPr>
        <w:pStyle w:val="Paragrafi"/>
        <w:rPr>
          <w:lang w:val="sq-AL"/>
        </w:rPr>
      </w:pPr>
      <w:r>
        <w:rPr>
          <w:lang w:val="sq-AL"/>
        </w:rPr>
        <w:t>- Kërkesat minimale të kapitalit;</w:t>
      </w:r>
    </w:p>
    <w:p w:rsidR="0096095C" w:rsidRDefault="0096095C" w:rsidP="0096095C">
      <w:pPr>
        <w:pStyle w:val="Paragrafi"/>
        <w:rPr>
          <w:lang w:val="sq-AL"/>
        </w:rPr>
      </w:pPr>
      <w:r>
        <w:rPr>
          <w:lang w:val="sq-AL"/>
        </w:rPr>
        <w:t>Regjistrimi i detyrueshëm dhe proceset e regjistrimit me institucionet e veçanta qeveritare (p.sh. inspektimi i tregut, komuna, autoriteti tatimor);</w:t>
      </w:r>
    </w:p>
    <w:p w:rsidR="0096095C" w:rsidRDefault="0096095C" w:rsidP="0096095C">
      <w:pPr>
        <w:pStyle w:val="Paragrafi"/>
        <w:rPr>
          <w:lang w:val="sq-AL"/>
        </w:rPr>
      </w:pPr>
      <w:r>
        <w:rPr>
          <w:lang w:val="sq-AL"/>
        </w:rPr>
        <w:t xml:space="preserve">- Sigurimi i klauzolave të objektivave të përgjithshëm; </w:t>
      </w:r>
    </w:p>
    <w:p w:rsidR="0096095C" w:rsidRDefault="0096095C" w:rsidP="0096095C">
      <w:pPr>
        <w:pStyle w:val="Paragrafi"/>
        <w:rPr>
          <w:lang w:val="sq-AL"/>
        </w:rPr>
      </w:pPr>
      <w:r>
        <w:rPr>
          <w:lang w:val="sq-AL"/>
        </w:rPr>
        <w:lastRenderedPageBreak/>
        <w:t>- Nevoja e marrjes së lejeve ose certifikatave (p.sh. mjedisi, shëndeti);</w:t>
      </w:r>
    </w:p>
    <w:p w:rsidR="0096095C" w:rsidRDefault="0096095C" w:rsidP="0096095C">
      <w:pPr>
        <w:spacing w:after="0" w:line="240" w:lineRule="auto"/>
        <w:ind w:firstLine="0"/>
        <w:jc w:val="left"/>
        <w:rPr>
          <w:rFonts w:ascii="Garamond" w:eastAsia="Batang" w:hAnsi="Garamond" w:cs="CG Times"/>
          <w:sz w:val="24"/>
          <w:lang w:val="sq-AL"/>
        </w:rPr>
      </w:pPr>
    </w:p>
    <w:p w:rsidR="0096095C" w:rsidRDefault="0096095C" w:rsidP="0096095C">
      <w:pPr>
        <w:pStyle w:val="Paragrafi"/>
        <w:rPr>
          <w:lang w:val="sq-AL"/>
        </w:rPr>
      </w:pPr>
      <w:r>
        <w:rPr>
          <w:lang w:val="sq-AL"/>
        </w:rPr>
        <w:t>- Regjistrimi i punonjësve (përfitimet shëndetësore, sigurimet shoqërore);</w:t>
      </w:r>
    </w:p>
    <w:p w:rsidR="0096095C" w:rsidRDefault="0096095C" w:rsidP="0096095C">
      <w:pPr>
        <w:pStyle w:val="Paragrafi"/>
        <w:rPr>
          <w:lang w:val="sq-AL"/>
        </w:rPr>
      </w:pPr>
      <w:r>
        <w:rPr>
          <w:lang w:val="sq-AL"/>
        </w:rPr>
        <w:t>- Dorëzimi i dokumenteve.</w:t>
      </w:r>
    </w:p>
    <w:p w:rsidR="0096095C" w:rsidRDefault="0096095C" w:rsidP="0096095C">
      <w:pPr>
        <w:pStyle w:val="Paragrafi"/>
        <w:rPr>
          <w:b/>
          <w:lang w:val="sq-AL"/>
        </w:rPr>
      </w:pPr>
      <w:r>
        <w:rPr>
          <w:b/>
          <w:lang w:val="sq-AL"/>
        </w:rPr>
        <w:t>Veprimi IRAP 3.1.1</w:t>
      </w:r>
    </w:p>
    <w:p w:rsidR="0096095C" w:rsidRDefault="0096095C" w:rsidP="0096095C">
      <w:pPr>
        <w:pStyle w:val="Paragrafi"/>
        <w:rPr>
          <w:rFonts w:eastAsia="SimSun"/>
          <w:lang w:val="sq-AL"/>
        </w:rPr>
      </w:pPr>
      <w:r>
        <w:rPr>
          <w:rFonts w:eastAsia="SimSun"/>
          <w:lang w:val="sq-AL"/>
        </w:rPr>
        <w:t>Qëllimi i analizës përfshin klauzolat e mëposhtme IIA:</w:t>
      </w:r>
    </w:p>
    <w:p w:rsidR="0096095C" w:rsidRDefault="0096095C" w:rsidP="0096095C">
      <w:pPr>
        <w:pStyle w:val="Paragrafi"/>
        <w:rPr>
          <w:lang w:val="sq-AL"/>
        </w:rPr>
      </w:pPr>
      <w:r>
        <w:rPr>
          <w:lang w:val="sq-AL"/>
        </w:rPr>
        <w:t>- Objekti i zbatimit të MNI-së;</w:t>
      </w:r>
    </w:p>
    <w:p w:rsidR="0096095C" w:rsidRDefault="0096095C" w:rsidP="0096095C">
      <w:pPr>
        <w:pStyle w:val="Paragrafi"/>
        <w:rPr>
          <w:lang w:val="sq-AL"/>
        </w:rPr>
      </w:pPr>
      <w:r>
        <w:rPr>
          <w:lang w:val="sq-AL"/>
        </w:rPr>
        <w:t>- Krijimi paraprak kundrejt mbulimit pas krijimit;</w:t>
      </w:r>
    </w:p>
    <w:p w:rsidR="0096095C" w:rsidRDefault="0096095C" w:rsidP="0096095C">
      <w:pPr>
        <w:pStyle w:val="Paragrafi"/>
        <w:rPr>
          <w:lang w:val="sq-AL"/>
        </w:rPr>
      </w:pPr>
      <w:r>
        <w:rPr>
          <w:lang w:val="sq-AL"/>
        </w:rPr>
        <w:t>- Përkufizimi i investimit;</w:t>
      </w:r>
    </w:p>
    <w:p w:rsidR="0096095C" w:rsidRDefault="0096095C" w:rsidP="0096095C">
      <w:pPr>
        <w:pStyle w:val="Paragrafi"/>
        <w:rPr>
          <w:lang w:val="sq-AL"/>
        </w:rPr>
      </w:pPr>
      <w:r>
        <w:rPr>
          <w:lang w:val="sq-AL"/>
        </w:rPr>
        <w:t>- Përkufizimi i investitorit;</w:t>
      </w:r>
    </w:p>
    <w:p w:rsidR="0096095C" w:rsidRDefault="0096095C" w:rsidP="0096095C">
      <w:pPr>
        <w:pStyle w:val="Paragrafi"/>
        <w:rPr>
          <w:lang w:val="sq-AL"/>
        </w:rPr>
      </w:pPr>
      <w:r>
        <w:rPr>
          <w:lang w:val="sq-AL"/>
        </w:rPr>
        <w:t>- Mohimi i klauzolës së përfitimeve;</w:t>
      </w:r>
    </w:p>
    <w:p w:rsidR="0096095C" w:rsidRDefault="0096095C" w:rsidP="0096095C">
      <w:pPr>
        <w:pStyle w:val="Paragrafi"/>
        <w:rPr>
          <w:lang w:val="sq-AL"/>
        </w:rPr>
      </w:pPr>
      <w:r>
        <w:rPr>
          <w:lang w:val="sq-AL"/>
        </w:rPr>
        <w:t>- Shtrirja e përkohshme;</w:t>
      </w:r>
    </w:p>
    <w:p w:rsidR="0096095C" w:rsidRDefault="0096095C" w:rsidP="0096095C">
      <w:pPr>
        <w:pStyle w:val="Paragrafi"/>
        <w:rPr>
          <w:lang w:val="sq-AL"/>
        </w:rPr>
      </w:pPr>
      <w:r>
        <w:rPr>
          <w:lang w:val="sq-AL"/>
        </w:rPr>
        <w:t>- Standardet e trajtimit;</w:t>
      </w:r>
    </w:p>
    <w:p w:rsidR="0096095C" w:rsidRDefault="0096095C" w:rsidP="0096095C">
      <w:pPr>
        <w:pStyle w:val="Paragrafi"/>
        <w:rPr>
          <w:lang w:val="sq-AL"/>
        </w:rPr>
      </w:pPr>
      <w:r>
        <w:rPr>
          <w:lang w:val="sq-AL"/>
        </w:rPr>
        <w:t>- Trajtimi kombëtar;</w:t>
      </w:r>
    </w:p>
    <w:p w:rsidR="0096095C" w:rsidRDefault="0096095C" w:rsidP="0096095C">
      <w:pPr>
        <w:pStyle w:val="Paragrafi"/>
        <w:rPr>
          <w:lang w:val="sq-AL"/>
        </w:rPr>
      </w:pPr>
      <w:r>
        <w:rPr>
          <w:lang w:val="sq-AL"/>
        </w:rPr>
        <w:t xml:space="preserve">- Trajtimi i kombit më të favorizuar; </w:t>
      </w:r>
    </w:p>
    <w:p w:rsidR="0096095C" w:rsidRDefault="0096095C" w:rsidP="0096095C">
      <w:pPr>
        <w:pStyle w:val="Paragrafi"/>
        <w:rPr>
          <w:lang w:val="sq-AL"/>
        </w:rPr>
      </w:pPr>
      <w:r>
        <w:rPr>
          <w:lang w:val="sq-AL"/>
        </w:rPr>
        <w:t>- Standardi minimal i trajtimit;</w:t>
      </w:r>
    </w:p>
    <w:p w:rsidR="0096095C" w:rsidRDefault="0096095C" w:rsidP="0096095C">
      <w:pPr>
        <w:pStyle w:val="Paragrafi"/>
        <w:rPr>
          <w:lang w:val="sq-AL"/>
        </w:rPr>
      </w:pPr>
      <w:r>
        <w:rPr>
          <w:lang w:val="sq-AL"/>
        </w:rPr>
        <w:t>- Shpronësimi;</w:t>
      </w:r>
    </w:p>
    <w:p w:rsidR="0096095C" w:rsidRDefault="0096095C" w:rsidP="0096095C">
      <w:pPr>
        <w:pStyle w:val="Paragrafi"/>
        <w:rPr>
          <w:lang w:val="sq-AL"/>
        </w:rPr>
      </w:pPr>
      <w:r>
        <w:rPr>
          <w:lang w:val="sq-AL"/>
        </w:rPr>
        <w:t>- Mbrojtja nga mosmarrëveshjet;</w:t>
      </w:r>
    </w:p>
    <w:p w:rsidR="0096095C" w:rsidRDefault="0096095C" w:rsidP="0096095C">
      <w:pPr>
        <w:pStyle w:val="Paragrafi"/>
        <w:rPr>
          <w:lang w:val="sq-AL"/>
        </w:rPr>
      </w:pPr>
      <w:r>
        <w:rPr>
          <w:lang w:val="sq-AL"/>
        </w:rPr>
        <w:t>- Transferimi i fondeve;</w:t>
      </w:r>
    </w:p>
    <w:p w:rsidR="0096095C" w:rsidRDefault="0096095C" w:rsidP="0096095C">
      <w:pPr>
        <w:pStyle w:val="Paragrafi"/>
        <w:rPr>
          <w:lang w:val="sq-AL"/>
        </w:rPr>
      </w:pPr>
      <w:r>
        <w:rPr>
          <w:lang w:val="sq-AL"/>
        </w:rPr>
        <w:t xml:space="preserve">- Niveli i lartë drejtues; </w:t>
      </w:r>
    </w:p>
    <w:p w:rsidR="0096095C" w:rsidRDefault="0096095C" w:rsidP="0096095C">
      <w:pPr>
        <w:pStyle w:val="Paragrafi"/>
        <w:rPr>
          <w:lang w:val="sq-AL"/>
        </w:rPr>
      </w:pPr>
      <w:r>
        <w:rPr>
          <w:lang w:val="sq-AL"/>
        </w:rPr>
        <w:t xml:space="preserve">- Kërkesat e performancës; </w:t>
      </w:r>
    </w:p>
    <w:p w:rsidR="0096095C" w:rsidRDefault="0096095C" w:rsidP="0096095C">
      <w:pPr>
        <w:pStyle w:val="Paragrafi"/>
        <w:rPr>
          <w:lang w:val="sq-AL"/>
        </w:rPr>
      </w:pPr>
      <w:r>
        <w:rPr>
          <w:lang w:val="sq-AL"/>
        </w:rPr>
        <w:t>- Bilanci ndërmjet mbrojtjes së investimeve dhe rregullimit të politikave publike;</w:t>
      </w:r>
    </w:p>
    <w:p w:rsidR="0096095C" w:rsidRDefault="0096095C" w:rsidP="0096095C">
      <w:pPr>
        <w:pStyle w:val="Paragrafi"/>
        <w:rPr>
          <w:lang w:val="sq-AL"/>
        </w:rPr>
      </w:pPr>
      <w:r>
        <w:rPr>
          <w:lang w:val="sq-AL"/>
        </w:rPr>
        <w:t>- Përjashtime dhe rezerva;</w:t>
      </w:r>
    </w:p>
    <w:p w:rsidR="0096095C" w:rsidRDefault="0096095C" w:rsidP="0096095C">
      <w:pPr>
        <w:pStyle w:val="Paragrafi"/>
        <w:rPr>
          <w:lang w:val="sq-AL"/>
        </w:rPr>
      </w:pPr>
      <w:r>
        <w:rPr>
          <w:lang w:val="sq-AL"/>
        </w:rPr>
        <w:t>- Referenca për të drejtën për të rregulluar;</w:t>
      </w:r>
    </w:p>
    <w:p w:rsidR="0096095C" w:rsidRDefault="0096095C" w:rsidP="0096095C">
      <w:pPr>
        <w:pStyle w:val="Paragrafi"/>
        <w:rPr>
          <w:lang w:val="sq-AL"/>
        </w:rPr>
      </w:pPr>
      <w:r>
        <w:rPr>
          <w:lang w:val="sq-AL"/>
        </w:rPr>
        <w:t>- Shëndeti dhe mjedisi;</w:t>
      </w:r>
    </w:p>
    <w:p w:rsidR="0096095C" w:rsidRDefault="0096095C" w:rsidP="0096095C">
      <w:pPr>
        <w:pStyle w:val="Paragrafi"/>
        <w:rPr>
          <w:lang w:val="sq-AL"/>
        </w:rPr>
      </w:pPr>
      <w:r>
        <w:rPr>
          <w:lang w:val="sq-AL"/>
        </w:rPr>
        <w:t>- Standardet e punës;</w:t>
      </w:r>
    </w:p>
    <w:p w:rsidR="0096095C" w:rsidRDefault="0096095C" w:rsidP="0096095C">
      <w:pPr>
        <w:pStyle w:val="Paragrafi"/>
        <w:rPr>
          <w:lang w:val="sq-AL"/>
        </w:rPr>
      </w:pPr>
      <w:r>
        <w:rPr>
          <w:lang w:val="sq-AL"/>
        </w:rPr>
        <w:t>- Përgjegjësia sociale e korporatave;</w:t>
      </w:r>
    </w:p>
    <w:p w:rsidR="0096095C" w:rsidRDefault="0096095C" w:rsidP="0096095C">
      <w:pPr>
        <w:pStyle w:val="Paragrafi"/>
        <w:rPr>
          <w:lang w:val="sq-AL"/>
        </w:rPr>
      </w:pPr>
      <w:r>
        <w:rPr>
          <w:lang w:val="sq-AL"/>
        </w:rPr>
        <w:t>- Korrupsioni;</w:t>
      </w:r>
    </w:p>
    <w:p w:rsidR="0096095C" w:rsidRDefault="0096095C" w:rsidP="0096095C">
      <w:pPr>
        <w:pStyle w:val="Paragrafi"/>
        <w:rPr>
          <w:lang w:val="sq-AL"/>
        </w:rPr>
      </w:pPr>
      <w:r>
        <w:rPr>
          <w:lang w:val="sq-AL"/>
        </w:rPr>
        <w:t>- Transparenca;</w:t>
      </w:r>
    </w:p>
    <w:p w:rsidR="0096095C" w:rsidRDefault="0096095C" w:rsidP="0096095C">
      <w:pPr>
        <w:pStyle w:val="Paragrafi"/>
        <w:rPr>
          <w:lang w:val="sq-AL"/>
        </w:rPr>
      </w:pPr>
      <w:r>
        <w:rPr>
          <w:lang w:val="sq-AL"/>
        </w:rPr>
        <w:t xml:space="preserve">- Zgjidhja e mosmarrëveshjeve; </w:t>
      </w:r>
    </w:p>
    <w:p w:rsidR="0096095C" w:rsidRDefault="0096095C" w:rsidP="0096095C">
      <w:pPr>
        <w:pStyle w:val="Paragrafi"/>
        <w:rPr>
          <w:lang w:val="sq-AL"/>
        </w:rPr>
      </w:pPr>
      <w:r>
        <w:rPr>
          <w:lang w:val="sq-AL"/>
        </w:rPr>
        <w:t xml:space="preserve">- Shteti ndaj shtetit; </w:t>
      </w:r>
    </w:p>
    <w:p w:rsidR="0096095C" w:rsidRDefault="0096095C" w:rsidP="0096095C">
      <w:pPr>
        <w:pStyle w:val="Paragrafi"/>
        <w:rPr>
          <w:lang w:val="sq-AL"/>
        </w:rPr>
      </w:pPr>
      <w:r>
        <w:rPr>
          <w:lang w:val="sq-AL"/>
        </w:rPr>
        <w:t>- Zgjidhja e mosmarrëveshjeve ndërmjet investitorit-shtetit (ISDS);</w:t>
      </w:r>
    </w:p>
    <w:p w:rsidR="0096095C" w:rsidRDefault="0096095C" w:rsidP="0096095C">
      <w:pPr>
        <w:pStyle w:val="Paragrafi"/>
        <w:rPr>
          <w:lang w:val="sq-AL"/>
        </w:rPr>
      </w:pPr>
      <w:r>
        <w:rPr>
          <w:lang w:val="sq-AL"/>
        </w:rPr>
        <w:t xml:space="preserve">- Klauzola të tjera; </w:t>
      </w:r>
    </w:p>
    <w:p w:rsidR="0096095C" w:rsidRDefault="0096095C" w:rsidP="0096095C">
      <w:pPr>
        <w:pStyle w:val="Paragrafi"/>
        <w:rPr>
          <w:lang w:val="sq-AL"/>
        </w:rPr>
      </w:pPr>
      <w:r>
        <w:rPr>
          <w:lang w:val="sq-AL"/>
        </w:rPr>
        <w:t>- Klauzola e zëvendësimit;</w:t>
      </w:r>
    </w:p>
    <w:p w:rsidR="0096095C" w:rsidRDefault="0096095C" w:rsidP="0096095C">
      <w:pPr>
        <w:pStyle w:val="Paragrafi"/>
        <w:rPr>
          <w:lang w:val="sq-AL"/>
        </w:rPr>
      </w:pPr>
      <w:r>
        <w:rPr>
          <w:lang w:val="sq-AL"/>
        </w:rPr>
        <w:t xml:space="preserve">- Klauzola e joshmangies; </w:t>
      </w:r>
    </w:p>
    <w:p w:rsidR="0096095C" w:rsidRDefault="0096095C" w:rsidP="0096095C">
      <w:pPr>
        <w:pStyle w:val="Paragrafi"/>
        <w:rPr>
          <w:lang w:val="sq-AL"/>
        </w:rPr>
      </w:pPr>
      <w:r>
        <w:rPr>
          <w:lang w:val="sq-AL"/>
        </w:rPr>
        <w:t>- Klauzola ombrellë;</w:t>
      </w:r>
    </w:p>
    <w:p w:rsidR="0096095C" w:rsidRDefault="0096095C" w:rsidP="0096095C">
      <w:pPr>
        <w:pStyle w:val="Paragrafi"/>
        <w:rPr>
          <w:lang w:val="sq-AL"/>
        </w:rPr>
      </w:pPr>
      <w:r>
        <w:rPr>
          <w:lang w:val="sq-AL"/>
        </w:rPr>
        <w:t>- Klauzolat e ndërprerjes.</w:t>
      </w:r>
    </w:p>
    <w:p w:rsidR="0096095C" w:rsidRDefault="0096095C" w:rsidP="0096095C">
      <w:pPr>
        <w:pStyle w:val="Paragrafi"/>
        <w:rPr>
          <w:rFonts w:eastAsia="SimSun"/>
          <w:b/>
          <w:lang w:val="sq-AL"/>
        </w:rPr>
      </w:pPr>
      <w:r>
        <w:rPr>
          <w:rFonts w:eastAsia="SimSun"/>
          <w:b/>
          <w:lang w:val="sq-AL"/>
        </w:rPr>
        <w:t>Veprimi IRAP 3.2.1</w:t>
      </w:r>
    </w:p>
    <w:p w:rsidR="0096095C" w:rsidRDefault="0096095C" w:rsidP="0096095C">
      <w:pPr>
        <w:pStyle w:val="Paragrafi"/>
        <w:rPr>
          <w:rFonts w:eastAsia="SimSun"/>
          <w:lang w:val="sq-AL"/>
        </w:rPr>
      </w:pPr>
      <w:r>
        <w:rPr>
          <w:rFonts w:eastAsia="SimSun"/>
          <w:lang w:val="sq-AL"/>
        </w:rPr>
        <w:t>- Objekti i analizës përfshin:</w:t>
      </w:r>
    </w:p>
    <w:p w:rsidR="0096095C" w:rsidRDefault="0096095C" w:rsidP="0096095C">
      <w:pPr>
        <w:pStyle w:val="Paragrafi"/>
        <w:rPr>
          <w:rFonts w:eastAsia="SimSun"/>
          <w:lang w:val="sq-AL"/>
        </w:rPr>
      </w:pPr>
      <w:r>
        <w:rPr>
          <w:rFonts w:eastAsia="SimSun"/>
          <w:lang w:val="sq-AL"/>
        </w:rPr>
        <w:t>- Përcaktimi i investimeve/investitorëve;</w:t>
      </w:r>
    </w:p>
    <w:p w:rsidR="0096095C" w:rsidRDefault="0096095C" w:rsidP="0096095C">
      <w:pPr>
        <w:pStyle w:val="Paragrafi"/>
        <w:rPr>
          <w:rFonts w:eastAsia="SimSun"/>
          <w:lang w:val="sq-AL"/>
        </w:rPr>
      </w:pPr>
      <w:r>
        <w:rPr>
          <w:rFonts w:eastAsia="SimSun"/>
          <w:lang w:val="sq-AL"/>
        </w:rPr>
        <w:t>- Sigurimi i trajtimit të drejtë dhe të barabartë</w:t>
      </w:r>
    </w:p>
    <w:p w:rsidR="0096095C" w:rsidRDefault="0096095C" w:rsidP="0096095C">
      <w:pPr>
        <w:pStyle w:val="Paragrafi"/>
        <w:rPr>
          <w:rFonts w:eastAsia="SimSun"/>
          <w:lang w:val="sq-AL"/>
        </w:rPr>
      </w:pPr>
      <w:r>
        <w:rPr>
          <w:rFonts w:eastAsia="SimSun"/>
          <w:lang w:val="sq-AL"/>
        </w:rPr>
        <w:t>- Mundësia dhe lehtësia e transferimit të fondeve;</w:t>
      </w:r>
    </w:p>
    <w:p w:rsidR="0096095C" w:rsidRDefault="0096095C" w:rsidP="0096095C">
      <w:pPr>
        <w:pStyle w:val="Paragrafi"/>
        <w:rPr>
          <w:rFonts w:eastAsia="SimSun"/>
          <w:lang w:val="sq-AL"/>
        </w:rPr>
      </w:pPr>
      <w:r>
        <w:rPr>
          <w:rFonts w:eastAsia="SimSun"/>
          <w:lang w:val="sq-AL"/>
        </w:rPr>
        <w:t>- Mjetet e zgjidhjes së mosmarrëveshjeve në dispozicion në Shqipëri.</w:t>
      </w:r>
    </w:p>
    <w:p w:rsidR="0096095C" w:rsidRDefault="0096095C" w:rsidP="0096095C">
      <w:pPr>
        <w:pStyle w:val="Paragrafi"/>
        <w:rPr>
          <w:b/>
          <w:lang w:val="sq-AL"/>
        </w:rPr>
      </w:pPr>
      <w:r>
        <w:rPr>
          <w:b/>
          <w:lang w:val="sq-AL"/>
        </w:rPr>
        <w:t>Veprimi IRAP 4.1.1</w:t>
      </w:r>
    </w:p>
    <w:p w:rsidR="0096095C" w:rsidRDefault="0096095C" w:rsidP="0096095C">
      <w:pPr>
        <w:pStyle w:val="Paragrafi"/>
        <w:rPr>
          <w:rFonts w:eastAsia="SimSun"/>
          <w:lang w:val="sq-AL"/>
        </w:rPr>
      </w:pPr>
      <w:r>
        <w:rPr>
          <w:rFonts w:eastAsia="SimSun"/>
          <w:lang w:val="sq-AL"/>
        </w:rPr>
        <w:t>Diagnostikimi përfshin sa vijon:</w:t>
      </w:r>
    </w:p>
    <w:p w:rsidR="0096095C" w:rsidRDefault="0096095C" w:rsidP="0096095C">
      <w:pPr>
        <w:pStyle w:val="Paragrafi"/>
        <w:rPr>
          <w:rFonts w:eastAsia="SimSun"/>
          <w:lang w:val="sq-AL"/>
        </w:rPr>
      </w:pPr>
      <w:r>
        <w:rPr>
          <w:rFonts w:eastAsia="SimSun"/>
          <w:lang w:val="sq-AL"/>
        </w:rPr>
        <w:t>- Identifikimi i profilit të ankesave të investitorëve (lloji i masave, profili i investitorëve, agjencia e përfshirë);</w:t>
      </w:r>
    </w:p>
    <w:p w:rsidR="0096095C" w:rsidRDefault="0096095C" w:rsidP="0096095C">
      <w:pPr>
        <w:pStyle w:val="Paragrafi"/>
        <w:rPr>
          <w:rFonts w:eastAsia="SimSun"/>
          <w:lang w:val="sq-AL"/>
        </w:rPr>
      </w:pPr>
      <w:r>
        <w:rPr>
          <w:rFonts w:eastAsia="SimSun"/>
          <w:lang w:val="sq-AL"/>
        </w:rPr>
        <w:t>- Ndikimi i ankesave tek investitorët;</w:t>
      </w:r>
    </w:p>
    <w:p w:rsidR="0096095C" w:rsidRDefault="0096095C" w:rsidP="0096095C">
      <w:pPr>
        <w:pStyle w:val="Paragrafi"/>
        <w:rPr>
          <w:rFonts w:eastAsia="SimSun"/>
          <w:lang w:val="sq-AL"/>
        </w:rPr>
      </w:pPr>
      <w:r>
        <w:rPr>
          <w:rFonts w:eastAsia="SimSun"/>
          <w:lang w:val="sq-AL"/>
        </w:rPr>
        <w:t>- Mekanizmat ekzistues të zgjidhjes së ankesave;</w:t>
      </w:r>
    </w:p>
    <w:p w:rsidR="0096095C" w:rsidRDefault="0096095C" w:rsidP="0096095C">
      <w:pPr>
        <w:pStyle w:val="Paragrafi"/>
        <w:rPr>
          <w:rFonts w:eastAsia="SimSun"/>
          <w:lang w:val="sq-AL"/>
        </w:rPr>
      </w:pPr>
      <w:r>
        <w:rPr>
          <w:rFonts w:eastAsia="SimSun"/>
          <w:lang w:val="sq-AL"/>
        </w:rPr>
        <w:t>- Diagnostikimi institucional dhe ligjor që mbulon kompetencat e agjencive përkatëse, kuadri i investimeve dhe mosmarrëveshjeve, si dhe ekonomia politike e ankesave;</w:t>
      </w:r>
    </w:p>
    <w:p w:rsidR="0096095C" w:rsidRDefault="0096095C" w:rsidP="0096095C">
      <w:pPr>
        <w:pStyle w:val="Paragrafi"/>
        <w:rPr>
          <w:rFonts w:eastAsia="SimSun"/>
          <w:lang w:val="sq-AL"/>
        </w:rPr>
      </w:pPr>
      <w:r>
        <w:rPr>
          <w:rFonts w:eastAsia="SimSun"/>
          <w:lang w:val="sq-AL"/>
        </w:rPr>
        <w:t>- Identifikimi i ndryshimeve ligjore që mund të jenë të nevojshme për ngritjen dhe funksionalizimin e një mekanizmi të menaxhimit të ankesave.</w:t>
      </w:r>
    </w:p>
    <w:p w:rsidR="0096095C" w:rsidRDefault="0096095C" w:rsidP="0096095C">
      <w:pPr>
        <w:pStyle w:val="Paragrafi"/>
        <w:rPr>
          <w:rFonts w:eastAsia="SimSun"/>
          <w:spacing w:val="-4"/>
          <w:lang w:val="sq-AL"/>
        </w:rPr>
      </w:pPr>
      <w:r>
        <w:rPr>
          <w:rFonts w:eastAsia="SimSun"/>
          <w:spacing w:val="-4"/>
          <w:lang w:val="sq-AL"/>
        </w:rPr>
        <w:t>Diagnostikimi shërben si bazë për të zhvilluar rekomandime për një mekanizëm të përshtatshëm të ankesave të mishëruara në strukturën institucionale të Shqipërisë. Këto rekomandime duhet të vlerësohen më tej në një proces konsultimi me palët e interesit publik dhe privat.</w:t>
      </w:r>
    </w:p>
    <w:p w:rsidR="0096095C" w:rsidRDefault="0096095C" w:rsidP="0096095C"/>
    <w:p w:rsidR="0096095C" w:rsidRDefault="0096095C" w:rsidP="0096095C">
      <w:pPr>
        <w:spacing w:after="0" w:line="240" w:lineRule="auto"/>
        <w:ind w:firstLine="0"/>
        <w:jc w:val="left"/>
        <w:rPr>
          <w:rFonts w:ascii="Garamond" w:eastAsia="Batang" w:hAnsi="Garamond" w:cs="CG Times"/>
          <w:sz w:val="24"/>
          <w:lang w:val="sq-AL"/>
        </w:rPr>
        <w:sectPr w:rsidR="0096095C" w:rsidSect="0096095C">
          <w:type w:val="continuous"/>
          <w:pgSz w:w="11907" w:h="16840"/>
          <w:pgMar w:top="720" w:right="1134" w:bottom="720" w:left="1134" w:header="851" w:footer="851" w:gutter="0"/>
          <w:cols w:space="720"/>
        </w:sectPr>
      </w:pPr>
    </w:p>
    <w:bookmarkEnd w:id="8"/>
    <w:p w:rsidR="00BF6590" w:rsidRDefault="00BF6590" w:rsidP="0096095C">
      <w:pPr>
        <w:pStyle w:val="Paragrafi"/>
      </w:pPr>
    </w:p>
    <w:sectPr w:rsidR="00BF6590" w:rsidSect="009609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95C" w:rsidRDefault="0096095C" w:rsidP="0096095C">
      <w:pPr>
        <w:spacing w:after="0" w:line="240" w:lineRule="auto"/>
      </w:pPr>
      <w:r>
        <w:separator/>
      </w:r>
    </w:p>
  </w:endnote>
  <w:endnote w:type="continuationSeparator" w:id="0">
    <w:p w:rsidR="0096095C" w:rsidRDefault="0096095C" w:rsidP="0096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95C" w:rsidRDefault="0096095C" w:rsidP="0096095C">
      <w:pPr>
        <w:spacing w:after="0" w:line="240" w:lineRule="auto"/>
      </w:pPr>
      <w:r>
        <w:separator/>
      </w:r>
    </w:p>
  </w:footnote>
  <w:footnote w:type="continuationSeparator" w:id="0">
    <w:p w:rsidR="0096095C" w:rsidRDefault="0096095C" w:rsidP="0096095C">
      <w:pPr>
        <w:spacing w:after="0" w:line="240" w:lineRule="auto"/>
      </w:pPr>
      <w:r>
        <w:continuationSeparator/>
      </w:r>
    </w:p>
  </w:footnote>
  <w:footnote w:id="1">
    <w:p w:rsidR="0096095C" w:rsidRDefault="0096095C" w:rsidP="0096095C">
      <w:pPr>
        <w:pStyle w:val="FootnoteText"/>
        <w:rPr>
          <w:rFonts w:ascii="Garamond" w:hAnsi="Garamond"/>
        </w:rPr>
      </w:pPr>
      <w:r>
        <w:rPr>
          <w:rStyle w:val="FootnoteReference"/>
          <w:rFonts w:ascii="Garamond" w:hAnsi="Garamond"/>
        </w:rPr>
        <w:footnoteRef/>
      </w:r>
      <w:r>
        <w:rPr>
          <w:rFonts w:ascii="Garamond" w:hAnsi="Garamond"/>
        </w:rPr>
        <w:t xml:space="preserve"> Portali është online dhe aksesohet në adresën </w:t>
      </w:r>
      <w:hyperlink r:id="rId1" w:history="1">
        <w:r>
          <w:rPr>
            <w:rStyle w:val="Hyperlink"/>
            <w:rFonts w:ascii="Garamond" w:hAnsi="Garamond"/>
            <w:lang w:val="en-US"/>
          </w:rPr>
          <w:t>http://www.investinsee.com</w:t>
        </w:r>
      </w:hyperlink>
    </w:p>
  </w:footnote>
  <w:footnote w:id="2">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Kolektivisht, çdo marrëveshje ndërkombëtare që rregullon investimet referohet si Marrëveshje Ndërkombëtare e Investimeve (IIA). Angazhimet e investimeve ndërkombëtare janë të përcaktuara në traktate, ose dypalëshe, ose në marrëveshje rajonale ose multilaterale. Disa traktate merren vetëm me investime të huaja (zakonisht të referuara si traktate dypalëshe të investimeve ose “TDI”). Të tjerët trajtojnë investime së bashku me çështje të tjera të lidhura, siç janë tregtia, prokurimi nga qeveria, konkurrenca dhe pronësia intelektuale (marrëveshjet preferenciale ose të tregtisë së lirë, ose “MPT”). Për më tepër, ekzistojnë disa traktate shumëpalëshe që ofrojnë mbrojtje të veçantë në sektorin e energjisë (“Traktati i Kartës së Energjisë”) ose që sigurojnë akses në organe të posaçme për zgjidhjen e mosmarrëveshjeve (Marrëveshja e ICSID). Më tej, instrumente të shumta ligjore, duke përfshirë për shembull traktatet e tatimit të dyfishtë (TTD)</w:t>
      </w:r>
    </w:p>
  </w:footnote>
  <w:footnote w:id="3">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Marrëveshja </w:t>
      </w:r>
      <w:r>
        <w:rPr>
          <w:rFonts w:ascii="Garamond" w:hAnsi="Garamond"/>
        </w:rPr>
        <w:t>CEFTA nuk do të preket nga ky veprim i reformës.</w:t>
      </w:r>
    </w:p>
  </w:footnote>
  <w:footnote w:id="4">
    <w:p w:rsidR="0096095C" w:rsidRDefault="0096095C" w:rsidP="0096095C">
      <w:pPr>
        <w:pStyle w:val="FootnoteText"/>
        <w:ind w:firstLine="0"/>
        <w:rPr>
          <w:rFonts w:ascii="Garamond" w:hAnsi="Garamond"/>
          <w:lang w:val="en-US"/>
        </w:rPr>
      </w:pPr>
      <w:r>
        <w:rPr>
          <w:rStyle w:val="FootnoteReference"/>
          <w:rFonts w:ascii="Garamond" w:hAnsi="Garamond"/>
        </w:rPr>
        <w:footnoteRef/>
      </w:r>
      <w:r>
        <w:rPr>
          <w:rFonts w:ascii="Garamond" w:hAnsi="Garamond"/>
        </w:rPr>
        <w:t xml:space="preserve"> </w:t>
      </w:r>
      <w:r>
        <w:rPr>
          <w:rFonts w:ascii="Garamond" w:hAnsi="Garamond"/>
        </w:rPr>
        <w:t xml:space="preserve">Mundësitë </w:t>
      </w:r>
      <w:r>
        <w:rPr>
          <w:rFonts w:ascii="Garamond" w:hAnsi="Garamond"/>
        </w:rPr>
        <w:t xml:space="preserve">për t’u lidhur me financimin WBIF (EIF) do të eksplorohen për veprimet e reformës mbi nxitjen e investimit ku </w:t>
      </w:r>
      <w:r>
        <w:rPr>
          <w:rFonts w:ascii="Garamond" w:hAnsi="Garamond" w:cs="Calibri"/>
        </w:rPr>
        <w:t>ë</w:t>
      </w:r>
      <w:r>
        <w:rPr>
          <w:rFonts w:ascii="Garamond" w:hAnsi="Garamond"/>
        </w:rPr>
        <w:t>shtë e mundur dhe e përshtatshme.</w:t>
      </w:r>
    </w:p>
  </w:footnote>
  <w:footnote w:id="5">
    <w:p w:rsidR="0096095C" w:rsidRDefault="0096095C" w:rsidP="0096095C">
      <w:pPr>
        <w:pStyle w:val="FootnoteText"/>
        <w:ind w:firstLine="0"/>
        <w:rPr>
          <w:rFonts w:ascii="Garamond" w:hAnsi="Garamond"/>
        </w:rPr>
      </w:pPr>
      <w:r>
        <w:rPr>
          <w:rStyle w:val="FootnoteReference"/>
          <w:rFonts w:ascii="Garamond" w:hAnsi="Garamond" w:cs="Calibri"/>
        </w:rPr>
        <w:footnoteRef/>
      </w:r>
      <w:r>
        <w:rPr>
          <w:rFonts w:ascii="Garamond" w:hAnsi="Garamond" w:cs="Calibri"/>
        </w:rPr>
        <w:t xml:space="preserve"> </w:t>
      </w:r>
      <w:r>
        <w:rPr>
          <w:rFonts w:ascii="Garamond" w:hAnsi="Garamond"/>
        </w:rPr>
        <w:t xml:space="preserve">MNI </w:t>
      </w:r>
      <w:r>
        <w:rPr>
          <w:rFonts w:ascii="Garamond" w:hAnsi="Garamond"/>
        </w:rPr>
        <w:t>që përdorin një përqasje të listës negative zakonisht përfshijnë, në aneks, një listë të të gjitha ligjeve dhe rregulloreve që përbëjnë pengesa për investitorët e huaj të cilët nuk janë në përputhje me angazhimet e përgjithshme të MNI, të cilat quhen masa të papërshtatshme. Ekonomitë, si: SHBA-ja, Kanadaja apo Japonia përdorin një qasje të listave negative në MNI-të e tyre, gjë që kërkon krijimin e një plani NCM.</w:t>
      </w:r>
    </w:p>
  </w:footnote>
  <w:footnote w:id="6">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Tregtia </w:t>
      </w:r>
      <w:r>
        <w:rPr>
          <w:rFonts w:ascii="Garamond" w:hAnsi="Garamond"/>
        </w:rPr>
        <w:t>e Shërbimeve Mode 3 mbulon shërbimet e ofruara nga një ofrues i shërbimeve të një anëtari të OBT-së, nëpërmjet prezencës tregtare, në territorin e çdo anëtari tjetër.</w:t>
      </w:r>
    </w:p>
  </w:footnote>
  <w:footnote w:id="7">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Në </w:t>
      </w:r>
      <w:r>
        <w:rPr>
          <w:rFonts w:ascii="Garamond" w:hAnsi="Garamond"/>
        </w:rPr>
        <w:t>MNI, jodiskriminimi garantohet si trajtim kombëtar (NT), duke siguruar që asnjë ekonomi nuk duhet të diskriminojë në favor të investitorëve të saj dhe trajtimi i kombit (MFN) më të favorshëm, duke siguruar që asnjë ekonomi nuk do të diskriminojë në favor të një ekonomie të huaj mbi ekonomitë e tjera të huaja.</w:t>
      </w:r>
    </w:p>
  </w:footnote>
  <w:footnote w:id="8">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Kjo përjashton diskriminimin bazuar në faktin se investitorëve nga ekonomi të ndryshme mund t'u jepen të drejta ose garanci të ndryshme për shkak të ekzistencës së MNI, por është e kufizuar në diskriminim përmes ligjeve ose rregulloreve të brendshme.</w:t>
      </w:r>
    </w:p>
  </w:footnote>
  <w:footnote w:id="9">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MNI që përdorin një përqasje të listës negative zakonisht përfshijnë, si aneks, një listë të të gjitha ligjeve dhe rregulloreve që përbëjnë pengesa për investitorët e huaj që nuk janë në përputhje me angazhimet e përgjithshme të MNI. Këto pengesa quhen masa jo të përshtatshme. Ekonomitë, si: SHBA-ja, Kanadaja apo Japonia përdorin një qasje negative të listave në MNI-të e tyre, gjë që kërkon krijimin e një plani NCM</w:t>
      </w:r>
    </w:p>
  </w:footnote>
  <w:footnote w:id="10">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Traktati </w:t>
      </w:r>
      <w:r>
        <w:rPr>
          <w:rFonts w:ascii="Garamond" w:hAnsi="Garamond"/>
        </w:rPr>
        <w:t>mbi Funksionimin e Bashkimit Evropian, titulli IV, kapitulli 2.</w:t>
      </w:r>
    </w:p>
  </w:footnote>
  <w:footnote w:id="11">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Shërbimet </w:t>
      </w:r>
      <w:r>
        <w:rPr>
          <w:rFonts w:ascii="Garamond" w:hAnsi="Garamond"/>
        </w:rPr>
        <w:t>në Direktivën e Brendshme të Tregut 2006/123/EC; Link: https://eur-lex.europa.eu/legal-content/EN/TXT/?uri=CELEX:32006L0123.</w:t>
      </w:r>
    </w:p>
  </w:footnote>
  <w:footnote w:id="12">
    <w:p w:rsidR="0096095C" w:rsidRDefault="0096095C" w:rsidP="0096095C">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Kapitulli </w:t>
      </w:r>
      <w:r>
        <w:rPr>
          <w:rFonts w:ascii="Garamond" w:hAnsi="Garamond"/>
        </w:rPr>
        <w:t xml:space="preserve">3 i acquiscommunautaire titullohet “E drejta e vendosjes dhe liria për të ofruar shërbime”, shikoni </w:t>
      </w:r>
      <w:hyperlink r:id="rId2" w:history="1">
        <w:r>
          <w:rPr>
            <w:rStyle w:val="Hyperlink"/>
            <w:rFonts w:ascii="Garamond" w:hAnsi="Garamond"/>
          </w:rPr>
          <w:t>https://ec.europa.eu/neighbourhood-enlargement/policy/conditions-membership/chapters-of-the-acquis_en</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EE7528"/>
    <w:multiLevelType w:val="hybridMultilevel"/>
    <w:tmpl w:val="FFFFFFFF"/>
    <w:lvl w:ilvl="0" w:tplc="88C2ED4A">
      <w:start w:val="1"/>
      <w:numFmt w:val="bullet"/>
      <w:lvlText w:val=""/>
      <w:lvlJc w:val="left"/>
      <w:pPr>
        <w:ind w:left="720" w:hanging="360"/>
      </w:pPr>
      <w:rPr>
        <w:rFonts w:ascii="Symbol" w:hAnsi="Symbol" w:hint="default"/>
      </w:rPr>
    </w:lvl>
    <w:lvl w:ilvl="1" w:tplc="D6EC9402">
      <w:start w:val="1"/>
      <w:numFmt w:val="bullet"/>
      <w:lvlText w:val="o"/>
      <w:lvlJc w:val="left"/>
      <w:pPr>
        <w:ind w:left="1440" w:hanging="360"/>
      </w:pPr>
      <w:rPr>
        <w:rFonts w:ascii="Courier New" w:hAnsi="Courier New" w:cs="Times New Roman" w:hint="default"/>
      </w:rPr>
    </w:lvl>
    <w:lvl w:ilvl="2" w:tplc="A79A5562">
      <w:start w:val="1"/>
      <w:numFmt w:val="bullet"/>
      <w:lvlText w:val=""/>
      <w:lvlJc w:val="left"/>
      <w:pPr>
        <w:ind w:left="2160" w:hanging="360"/>
      </w:pPr>
      <w:rPr>
        <w:rFonts w:ascii="Wingdings" w:hAnsi="Wingdings" w:hint="default"/>
      </w:rPr>
    </w:lvl>
    <w:lvl w:ilvl="3" w:tplc="169E1694">
      <w:start w:val="1"/>
      <w:numFmt w:val="bullet"/>
      <w:lvlText w:val=""/>
      <w:lvlJc w:val="left"/>
      <w:pPr>
        <w:ind w:left="2880" w:hanging="360"/>
      </w:pPr>
      <w:rPr>
        <w:rFonts w:ascii="Symbol" w:hAnsi="Symbol" w:hint="default"/>
      </w:rPr>
    </w:lvl>
    <w:lvl w:ilvl="4" w:tplc="855CB280">
      <w:start w:val="1"/>
      <w:numFmt w:val="bullet"/>
      <w:lvlText w:val="o"/>
      <w:lvlJc w:val="left"/>
      <w:pPr>
        <w:ind w:left="3600" w:hanging="360"/>
      </w:pPr>
      <w:rPr>
        <w:rFonts w:ascii="Courier New" w:hAnsi="Courier New" w:cs="Times New Roman" w:hint="default"/>
      </w:rPr>
    </w:lvl>
    <w:lvl w:ilvl="5" w:tplc="6B96B142">
      <w:start w:val="1"/>
      <w:numFmt w:val="bullet"/>
      <w:lvlText w:val=""/>
      <w:lvlJc w:val="left"/>
      <w:pPr>
        <w:ind w:left="4320" w:hanging="360"/>
      </w:pPr>
      <w:rPr>
        <w:rFonts w:ascii="Wingdings" w:hAnsi="Wingdings" w:hint="default"/>
      </w:rPr>
    </w:lvl>
    <w:lvl w:ilvl="6" w:tplc="A52887A2">
      <w:start w:val="1"/>
      <w:numFmt w:val="bullet"/>
      <w:lvlText w:val=""/>
      <w:lvlJc w:val="left"/>
      <w:pPr>
        <w:ind w:left="5040" w:hanging="360"/>
      </w:pPr>
      <w:rPr>
        <w:rFonts w:ascii="Symbol" w:hAnsi="Symbol" w:hint="default"/>
      </w:rPr>
    </w:lvl>
    <w:lvl w:ilvl="7" w:tplc="E020F11C">
      <w:start w:val="1"/>
      <w:numFmt w:val="bullet"/>
      <w:lvlText w:val="o"/>
      <w:lvlJc w:val="left"/>
      <w:pPr>
        <w:ind w:left="5760" w:hanging="360"/>
      </w:pPr>
      <w:rPr>
        <w:rFonts w:ascii="Courier New" w:hAnsi="Courier New" w:cs="Times New Roman" w:hint="default"/>
      </w:rPr>
    </w:lvl>
    <w:lvl w:ilvl="8" w:tplc="46267A74">
      <w:start w:val="1"/>
      <w:numFmt w:val="bullet"/>
      <w:lvlText w:val=""/>
      <w:lvlJc w:val="left"/>
      <w:pPr>
        <w:ind w:left="6480" w:hanging="360"/>
      </w:pPr>
      <w:rPr>
        <w:rFonts w:ascii="Wingdings" w:hAnsi="Wingdings" w:hint="default"/>
      </w:rPr>
    </w:lvl>
  </w:abstractNum>
  <w:abstractNum w:abstractNumId="1" w15:restartNumberingAfterBreak="0">
    <w:nsid w:val="59C068D9"/>
    <w:multiLevelType w:val="multilevel"/>
    <w:tmpl w:val="CFD0D3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95C"/>
    <w:rsid w:val="0096095C"/>
    <w:rsid w:val="00BF6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E423D-4333-4DC3-B5AB-B15099D6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95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6095C"/>
    <w:rPr>
      <w:color w:val="0000FF"/>
      <w:u w:val="singl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semiHidden/>
    <w:locked/>
    <w:rsid w:val="0096095C"/>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qFormat/>
    <w:rsid w:val="0096095C"/>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96095C"/>
    <w:rPr>
      <w:rFonts w:ascii="Calibri" w:eastAsia="Calibri" w:hAnsi="Calibri" w:cs="Times New Roman"/>
      <w:sz w:val="20"/>
      <w:szCs w:val="20"/>
    </w:rPr>
  </w:style>
  <w:style w:type="character" w:customStyle="1" w:styleId="ParagrafiChar">
    <w:name w:val="Paragrafi Char"/>
    <w:basedOn w:val="DefaultParagraphFont"/>
    <w:link w:val="Paragrafi"/>
    <w:locked/>
    <w:rsid w:val="0096095C"/>
    <w:rPr>
      <w:rFonts w:ascii="Garamond" w:eastAsia="MS Mincho" w:hAnsi="Garamond" w:cs="CG Times"/>
      <w:sz w:val="24"/>
    </w:rPr>
  </w:style>
  <w:style w:type="paragraph" w:customStyle="1" w:styleId="Paragrafi">
    <w:name w:val="Paragrafi"/>
    <w:link w:val="ParagrafiChar"/>
    <w:qFormat/>
    <w:rsid w:val="0096095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96095C"/>
    <w:rPr>
      <w:rFonts w:ascii="Garamond" w:eastAsia="MS Mincho" w:hAnsi="Garamond" w:cs="CG Times"/>
      <w:sz w:val="24"/>
      <w:lang w:val="en-GB"/>
    </w:rPr>
  </w:style>
  <w:style w:type="paragraph" w:customStyle="1" w:styleId="NeniNr">
    <w:name w:val="Neni_Nr"/>
    <w:next w:val="Normal"/>
    <w:link w:val="NeniNrChar"/>
    <w:qFormat/>
    <w:rsid w:val="0096095C"/>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96095C"/>
    <w:rPr>
      <w:rFonts w:ascii="Garamond" w:eastAsia="MS Mincho" w:hAnsi="Garamond" w:cs="CG Times"/>
      <w:b/>
      <w:bCs/>
      <w:sz w:val="24"/>
      <w:lang w:val="en-GB"/>
    </w:rPr>
  </w:style>
  <w:style w:type="paragraph" w:customStyle="1" w:styleId="NeniTitull">
    <w:name w:val="Neni_Titull"/>
    <w:next w:val="Normal"/>
    <w:link w:val="NeniTitullChar"/>
    <w:qFormat/>
    <w:rsid w:val="0096095C"/>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uiPriority w:val="99"/>
    <w:qFormat/>
    <w:rsid w:val="0096095C"/>
    <w:rPr>
      <w:sz w:val="14"/>
      <w:szCs w:val="2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96095C"/>
    <w:rPr>
      <w:vertAlign w:val="superscript"/>
    </w:rPr>
  </w:style>
  <w:style w:type="paragraph" w:customStyle="1" w:styleId="Char2">
    <w:name w:val="Char2"/>
    <w:basedOn w:val="Normal"/>
    <w:link w:val="FootnoteReference"/>
    <w:uiPriority w:val="99"/>
    <w:qFormat/>
    <w:rsid w:val="0096095C"/>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3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investinEJ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neighbourhood-enlargement/policy/conditions-membership/chapters-of-the-acquis_en" TargetMode="External"/><Relationship Id="rId1" Type="http://schemas.openxmlformats.org/officeDocument/2006/relationships/hyperlink" Target="http://www.investins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6963</Words>
  <Characters>39695</Characters>
  <Application>Microsoft Office Word</Application>
  <DocSecurity>0</DocSecurity>
  <Lines>330</Lines>
  <Paragraphs>93</Paragraphs>
  <ScaleCrop>false</ScaleCrop>
  <Company/>
  <LinksUpToDate>false</LinksUpToDate>
  <CharactersWithSpaces>46565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2019-02-25T08:51:00Z</dcterms:created>
  <dcterms:modified xsi:type="dcterms:W3CDTF">2019-02-25T08:55:00Z</dcterms:modified>
</cp:coreProperties>
</file>