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0BD2" w:rsidRDefault="005C0BD2" w:rsidP="005C0BD2">
      <w:pPr>
        <w:pStyle w:val="NeniTitull"/>
        <w:rPr>
          <w:spacing w:val="-4"/>
          <w:lang w:val="sq-AL"/>
        </w:rPr>
      </w:pPr>
      <w:r>
        <w:rPr>
          <w:spacing w:val="-4"/>
          <w:lang w:val="sq-AL"/>
        </w:rPr>
        <w:t>VENDIM</w:t>
      </w:r>
    </w:p>
    <w:p w:rsidR="005C0BD2" w:rsidRDefault="005C0BD2" w:rsidP="005C0BD2">
      <w:pPr>
        <w:pStyle w:val="NeniTitull"/>
        <w:rPr>
          <w:spacing w:val="-4"/>
          <w:lang w:val="sq-AL"/>
        </w:rPr>
      </w:pPr>
      <w:r>
        <w:rPr>
          <w:spacing w:val="-4"/>
          <w:lang w:val="sq-AL"/>
        </w:rPr>
        <w:t xml:space="preserve">Nr. </w:t>
      </w:r>
      <w:bookmarkStart w:id="0" w:name="_GoBack"/>
      <w:r>
        <w:rPr>
          <w:spacing w:val="-4"/>
          <w:lang w:val="sq-AL"/>
        </w:rPr>
        <w:t>80, datë 20.2.2019</w:t>
      </w:r>
      <w:bookmarkEnd w:id="0"/>
    </w:p>
    <w:p w:rsidR="005C0BD2" w:rsidRDefault="005C0BD2" w:rsidP="005C0BD2">
      <w:pPr>
        <w:pStyle w:val="Paragrafi"/>
        <w:rPr>
          <w:spacing w:val="-4"/>
          <w:sz w:val="14"/>
          <w:lang w:val="sq-AL"/>
        </w:rPr>
      </w:pPr>
    </w:p>
    <w:p w:rsidR="005C0BD2" w:rsidRDefault="005C0BD2" w:rsidP="005C0BD2">
      <w:pPr>
        <w:pStyle w:val="NeniTitull"/>
        <w:rPr>
          <w:spacing w:val="-4"/>
          <w:lang w:val="sq-AL"/>
        </w:rPr>
      </w:pPr>
      <w:r>
        <w:rPr>
          <w:spacing w:val="-4"/>
          <w:lang w:val="sq-AL"/>
        </w:rPr>
        <w:t xml:space="preserve"> PËR MIRATIMIN E MARRËVESHJES SË FINANCIMIT, NDËRMJET REPUBLIKËS SË SHQIPËRISË, PËRFAQËSUAR NGA MINISTRIA E FINANCAVE DHE EKONOMISË (MARRËSI), DHE KfW, FRANKFURT AM MAIN (KfW), PËR FINANCIMIN NGA FONDI I PËRBASHKËT EVROPIAN I BALLKANIT PERËNDIMOR (</w:t>
      </w:r>
      <w:r>
        <w:rPr>
          <w:i/>
          <w:spacing w:val="-4"/>
          <w:lang w:val="sq-AL"/>
        </w:rPr>
        <w:t>EWBJF/WBIF</w:t>
      </w:r>
      <w:r>
        <w:rPr>
          <w:spacing w:val="-4"/>
          <w:lang w:val="sq-AL"/>
        </w:rPr>
        <w:t>) TË STUDIMEVE TË FIZIBILITETIT, ANALIZAVE KOSTO–PËRFITIM, VLERËSIMEVE TË NDIKIMIT MJEDISOR, PROJEKTEVE PARAPRAKE NË KONTEKSTIN E PROGRAMIT TË PERFORMANCËS DHE INVESTIMIT NË SEKTORIN E UJIT, SHQIPËRI/ INFRASTRUKTURA BASHKIAKE V</w:t>
      </w:r>
    </w:p>
    <w:p w:rsidR="005C0BD2" w:rsidRDefault="005C0BD2" w:rsidP="005C0BD2">
      <w:pPr>
        <w:pStyle w:val="Paragrafi"/>
        <w:rPr>
          <w:spacing w:val="-4"/>
          <w:sz w:val="14"/>
          <w:lang w:val="sq-AL"/>
        </w:rPr>
      </w:pPr>
    </w:p>
    <w:p w:rsidR="005C0BD2" w:rsidRDefault="005C0BD2" w:rsidP="005C0BD2">
      <w:pPr>
        <w:pStyle w:val="Paragrafi"/>
        <w:rPr>
          <w:spacing w:val="-4"/>
          <w:lang w:val="sq-AL"/>
        </w:rPr>
      </w:pPr>
      <w:r>
        <w:rPr>
          <w:spacing w:val="-4"/>
          <w:lang w:val="sq-AL"/>
        </w:rPr>
        <w:t>Në mbështetje të nenit 100 të Kushtetutës dhe të nenit 19, të ligjit nr. 43/2016, “Për marrëveshjet ndërkombëtare në Republikën e Shqipërisë”, me propozimin e ministrit të Financave dhe Ekonomisë, Këshilli i Ministrave</w:t>
      </w:r>
    </w:p>
    <w:p w:rsidR="005C0BD2" w:rsidRDefault="005C0BD2" w:rsidP="005C0BD2">
      <w:pPr>
        <w:pStyle w:val="Paragrafi"/>
        <w:rPr>
          <w:spacing w:val="-4"/>
          <w:sz w:val="14"/>
          <w:lang w:val="sq-AL"/>
        </w:rPr>
      </w:pPr>
    </w:p>
    <w:p w:rsidR="005C0BD2" w:rsidRDefault="005C0BD2" w:rsidP="005C0BD2">
      <w:pPr>
        <w:pStyle w:val="NeniNr"/>
        <w:rPr>
          <w:spacing w:val="-4"/>
          <w:lang w:val="sq-AL"/>
        </w:rPr>
      </w:pPr>
      <w:r>
        <w:rPr>
          <w:spacing w:val="-4"/>
          <w:lang w:val="sq-AL"/>
        </w:rPr>
        <w:t>VENDOSI:</w:t>
      </w:r>
    </w:p>
    <w:p w:rsidR="005C0BD2" w:rsidRDefault="005C0BD2" w:rsidP="005C0BD2">
      <w:pPr>
        <w:pStyle w:val="Paragrafi"/>
        <w:rPr>
          <w:spacing w:val="-4"/>
          <w:sz w:val="14"/>
          <w:lang w:val="sq-AL"/>
        </w:rPr>
      </w:pPr>
    </w:p>
    <w:p w:rsidR="005C0BD2" w:rsidRDefault="005C0BD2" w:rsidP="005C0BD2">
      <w:pPr>
        <w:pStyle w:val="Paragrafi"/>
        <w:rPr>
          <w:spacing w:val="-4"/>
          <w:lang w:val="sq-AL"/>
        </w:rPr>
      </w:pPr>
      <w:r>
        <w:rPr>
          <w:spacing w:val="-4"/>
          <w:lang w:val="sq-AL"/>
        </w:rPr>
        <w:t>Miratimin e marrëveshjes së financimit, ndërmjet Republikës së Shqipërisë, përfaqësuar nga Ministria e Financave dhe Ekonomisë (Marrësi), dhe KfW, Frankfurt am Main (KfW), për financimin nga Fondi i Përbashkët Evropian i Ballkanit Perëndimor (EWBJF/WBIF) të studimeve të fizibilitetit, analizave kosto–përfitim, vlerësimeve të ndikimit mjedisor, projekteve paraprake në kontekstin e programit të performancës dhe investimit në sektorin e ujit, Shqipëri/infrastruktura bashkiake V, me një grant në shumën 1 400 000.00 (një milion e katërqind mijë) euro, sipas tekstit bashkëlidhur këtij vendimi.</w:t>
      </w:r>
    </w:p>
    <w:p w:rsidR="005C0BD2" w:rsidRDefault="005C0BD2" w:rsidP="005C0BD2">
      <w:pPr>
        <w:pStyle w:val="Paragrafi"/>
        <w:rPr>
          <w:spacing w:val="-4"/>
          <w:lang w:val="sq-AL"/>
        </w:rPr>
      </w:pPr>
      <w:r>
        <w:rPr>
          <w:spacing w:val="-4"/>
          <w:lang w:val="sq-AL"/>
        </w:rPr>
        <w:t>Ky vendim hyn në fuqi pas botimit në Fletoren Zyrtare.</w:t>
      </w:r>
    </w:p>
    <w:p w:rsidR="005C0BD2" w:rsidRDefault="005C0BD2" w:rsidP="005C0BD2">
      <w:pPr>
        <w:pStyle w:val="Heading1"/>
        <w:keepNext w:val="0"/>
        <w:widowControl w:val="0"/>
        <w:spacing w:before="0"/>
        <w:ind w:firstLine="284"/>
        <w:rPr>
          <w:rFonts w:ascii="Garamond" w:hAnsi="Garamond"/>
          <w:spacing w:val="-4"/>
          <w:sz w:val="12"/>
          <w:szCs w:val="24"/>
          <w:lang w:val="sq-AL"/>
        </w:rPr>
      </w:pPr>
    </w:p>
    <w:p w:rsidR="005C0BD2" w:rsidRDefault="005C0BD2" w:rsidP="005C0BD2">
      <w:pPr>
        <w:widowControl w:val="0"/>
        <w:spacing w:after="0" w:line="240" w:lineRule="auto"/>
        <w:jc w:val="right"/>
        <w:rPr>
          <w:rFonts w:ascii="Garamond" w:hAnsi="Garamond"/>
          <w:spacing w:val="-4"/>
          <w:sz w:val="24"/>
          <w:szCs w:val="24"/>
          <w:lang w:val="sq-AL" w:eastAsia="zh-CN"/>
        </w:rPr>
      </w:pPr>
      <w:r>
        <w:rPr>
          <w:rFonts w:ascii="Garamond" w:hAnsi="Garamond"/>
          <w:spacing w:val="-4"/>
          <w:sz w:val="24"/>
          <w:szCs w:val="24"/>
          <w:lang w:val="sq-AL" w:eastAsia="zh-CN"/>
        </w:rPr>
        <w:t>KRYEMINISTRI</w:t>
      </w:r>
    </w:p>
    <w:p w:rsidR="005C0BD2" w:rsidRDefault="005C0BD2" w:rsidP="005C0BD2">
      <w:pPr>
        <w:widowControl w:val="0"/>
        <w:spacing w:after="0" w:line="240" w:lineRule="auto"/>
        <w:jc w:val="right"/>
        <w:rPr>
          <w:rFonts w:ascii="Garamond" w:hAnsi="Garamond"/>
          <w:b/>
          <w:spacing w:val="-4"/>
          <w:sz w:val="24"/>
          <w:szCs w:val="24"/>
          <w:lang w:val="sq-AL" w:eastAsia="zh-CN"/>
        </w:rPr>
      </w:pPr>
      <w:r>
        <w:rPr>
          <w:rFonts w:ascii="Garamond" w:hAnsi="Garamond"/>
          <w:b/>
          <w:spacing w:val="-4"/>
          <w:sz w:val="24"/>
          <w:szCs w:val="24"/>
          <w:lang w:val="sq-AL" w:eastAsia="zh-CN"/>
        </w:rPr>
        <w:t>Edi Rama</w:t>
      </w:r>
    </w:p>
    <w:p w:rsidR="005C0BD2" w:rsidRDefault="005C0BD2" w:rsidP="005C0BD2">
      <w:pPr>
        <w:widowControl w:val="0"/>
        <w:spacing w:after="0" w:line="240" w:lineRule="auto"/>
        <w:rPr>
          <w:rFonts w:ascii="Garamond" w:hAnsi="Garamond"/>
          <w:spacing w:val="-4"/>
          <w:sz w:val="24"/>
          <w:szCs w:val="24"/>
          <w:lang w:val="sq-AL" w:eastAsia="zh-CN"/>
        </w:rPr>
      </w:pPr>
    </w:p>
    <w:p w:rsidR="005C0BD2" w:rsidRDefault="005C0BD2" w:rsidP="005C0BD2">
      <w:pPr>
        <w:widowControl w:val="0"/>
        <w:spacing w:after="0" w:line="240" w:lineRule="auto"/>
        <w:rPr>
          <w:rFonts w:ascii="Garamond" w:hAnsi="Garamond"/>
          <w:spacing w:val="-4"/>
          <w:sz w:val="24"/>
          <w:szCs w:val="24"/>
          <w:lang w:val="sq-AL" w:eastAsia="zh-CN"/>
        </w:rPr>
      </w:pPr>
    </w:p>
    <w:p w:rsidR="005C0BD2" w:rsidRDefault="005C0BD2" w:rsidP="005C0BD2">
      <w:pPr>
        <w:widowControl w:val="0"/>
        <w:spacing w:after="0" w:line="240" w:lineRule="auto"/>
        <w:rPr>
          <w:rFonts w:ascii="Garamond" w:hAnsi="Garamond"/>
          <w:spacing w:val="-4"/>
          <w:sz w:val="24"/>
          <w:szCs w:val="24"/>
          <w:lang w:val="sq-AL" w:eastAsia="zh-CN"/>
        </w:rPr>
      </w:pPr>
    </w:p>
    <w:p w:rsidR="005C0BD2" w:rsidRDefault="005C0BD2" w:rsidP="005C0BD2">
      <w:pPr>
        <w:widowControl w:val="0"/>
        <w:spacing w:after="0" w:line="240" w:lineRule="auto"/>
        <w:rPr>
          <w:rFonts w:ascii="Garamond" w:hAnsi="Garamond"/>
          <w:spacing w:val="-4"/>
          <w:sz w:val="24"/>
          <w:szCs w:val="24"/>
          <w:lang w:val="sq-AL" w:eastAsia="zh-CN"/>
        </w:rPr>
      </w:pPr>
    </w:p>
    <w:p w:rsidR="005C0BD2" w:rsidRDefault="005C0BD2" w:rsidP="005C0BD2">
      <w:pPr>
        <w:pStyle w:val="NeniTitull"/>
        <w:rPr>
          <w:spacing w:val="-4"/>
          <w:lang w:val="sq-AL"/>
        </w:rPr>
      </w:pPr>
      <w:r>
        <w:rPr>
          <w:spacing w:val="-4"/>
          <w:lang w:val="sq-AL"/>
        </w:rPr>
        <w:t>MARRËVESHJE FINANCIMI</w:t>
      </w:r>
    </w:p>
    <w:p w:rsidR="005C0BD2" w:rsidRDefault="005C0BD2" w:rsidP="005C0BD2">
      <w:pPr>
        <w:pStyle w:val="NeniNr"/>
        <w:rPr>
          <w:spacing w:val="-4"/>
          <w:lang w:val="sq-AL"/>
        </w:rPr>
      </w:pPr>
      <w:r>
        <w:rPr>
          <w:spacing w:val="-4"/>
          <w:lang w:val="sq-AL"/>
        </w:rPr>
        <w:t xml:space="preserve">E DATËS 18.12.2018 </w:t>
      </w:r>
    </w:p>
    <w:p w:rsidR="005C0BD2" w:rsidRDefault="005C0BD2" w:rsidP="005C0BD2">
      <w:pPr>
        <w:pStyle w:val="NeniNr"/>
        <w:rPr>
          <w:spacing w:val="-4"/>
          <w:lang w:val="sq-AL"/>
        </w:rPr>
      </w:pPr>
      <w:r>
        <w:rPr>
          <w:spacing w:val="-4"/>
          <w:lang w:val="sq-AL"/>
        </w:rPr>
        <w:t xml:space="preserve">NDËRMJET KfW, FRANKFURT AM MAIN (“KfW”) DHE REPUBLIKËS SË SHQIPËRISË TË PËRFAQËSUAR NGA MINISTRIA E FINANCAVE DHE EKONOMISË (“MARRËSI”) PËR SHUMËN </w:t>
      </w:r>
    </w:p>
    <w:p w:rsidR="005C0BD2" w:rsidRDefault="005C0BD2" w:rsidP="005C0BD2">
      <w:pPr>
        <w:pStyle w:val="NeniNr"/>
        <w:rPr>
          <w:spacing w:val="-4"/>
          <w:lang w:val="sq-AL"/>
        </w:rPr>
      </w:pPr>
      <w:r>
        <w:rPr>
          <w:spacing w:val="-4"/>
          <w:lang w:val="sq-AL"/>
        </w:rPr>
        <w:t>1,400,000,00 EURO</w:t>
      </w:r>
    </w:p>
    <w:p w:rsidR="005C0BD2" w:rsidRDefault="005C0BD2" w:rsidP="005C0BD2">
      <w:pPr>
        <w:pStyle w:val="NeniNr"/>
        <w:rPr>
          <w:spacing w:val="-4"/>
          <w:lang w:val="sq-AL"/>
        </w:rPr>
      </w:pPr>
      <w:r>
        <w:rPr>
          <w:spacing w:val="-4"/>
          <w:lang w:val="sq-AL"/>
        </w:rPr>
        <w:t>- SHQIPËRI, PROGRAMI I PERFORMANCËS DHE INVESTIMEVE NË SEKTORIN E UJIT/INFRASTRUKTURA KOMUNALE V:</w:t>
      </w:r>
    </w:p>
    <w:p w:rsidR="005C0BD2" w:rsidRDefault="005C0BD2" w:rsidP="005C0BD2">
      <w:pPr>
        <w:pStyle w:val="NeniNr"/>
        <w:rPr>
          <w:spacing w:val="-4"/>
          <w:lang w:val="sq-AL"/>
        </w:rPr>
      </w:pPr>
      <w:r>
        <w:rPr>
          <w:spacing w:val="-4"/>
          <w:lang w:val="sq-AL"/>
        </w:rPr>
        <w:t>STUDIMET E FIZIBILITETIT, ANALIZA KOSTO–PËRFITIM,</w:t>
      </w:r>
    </w:p>
    <w:p w:rsidR="005C0BD2" w:rsidRDefault="005C0BD2" w:rsidP="005C0BD2">
      <w:pPr>
        <w:pStyle w:val="NeniNr"/>
        <w:rPr>
          <w:spacing w:val="-4"/>
          <w:lang w:val="sq-AL"/>
        </w:rPr>
      </w:pPr>
      <w:r>
        <w:rPr>
          <w:spacing w:val="-4"/>
          <w:lang w:val="sq-AL"/>
        </w:rPr>
        <w:t>VLERËSIMET E NDIKIMIT MJEDISOR, PROJEKTET PARAPRAKE</w:t>
      </w:r>
    </w:p>
    <w:p w:rsidR="005C0BD2" w:rsidRDefault="005C0BD2" w:rsidP="005C0BD2">
      <w:pPr>
        <w:pStyle w:val="NeniNr"/>
        <w:rPr>
          <w:spacing w:val="-4"/>
          <w:lang w:val="sq-AL"/>
        </w:rPr>
      </w:pPr>
      <w:r>
        <w:rPr>
          <w:spacing w:val="-4"/>
          <w:lang w:val="sq-AL"/>
        </w:rPr>
        <w:t>Numri i grantit: WB 18-ALB-ENV-01</w:t>
      </w:r>
    </w:p>
    <w:p w:rsidR="005C0BD2" w:rsidRDefault="005C0BD2" w:rsidP="005C0BD2">
      <w:pPr>
        <w:pStyle w:val="NeniNr"/>
        <w:rPr>
          <w:spacing w:val="-4"/>
          <w:lang w:val="sq-AL"/>
        </w:rPr>
      </w:pPr>
      <w:r>
        <w:rPr>
          <w:spacing w:val="-4"/>
          <w:lang w:val="sq-AL"/>
        </w:rPr>
        <w:t>BMZ-nr.: 3020 00 099</w:t>
      </w:r>
    </w:p>
    <w:p w:rsidR="005C0BD2" w:rsidRDefault="005C0BD2" w:rsidP="005C0BD2">
      <w:pPr>
        <w:widowControl w:val="0"/>
        <w:spacing w:after="0" w:line="240" w:lineRule="auto"/>
        <w:rPr>
          <w:rFonts w:ascii="Garamond" w:hAnsi="Garamond"/>
          <w:spacing w:val="-4"/>
          <w:sz w:val="10"/>
          <w:szCs w:val="24"/>
          <w:lang w:val="sq-AL" w:eastAsia="zh-CN"/>
        </w:rPr>
      </w:pP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KfW-ja dhe Marrësi synojnë të lidhin marrëveshje për “Programin e Performancës dhe Investimeve në Sektorin e Ujit (PPISW)/ Programi i Infrastrukturës Komunale V (Programi). Për të plotësuar fondet e siguruara nga Qeveria Gjermane për përgatitjen e Programit, Fondi i Përbashkët Evropian i Ballkanit Perëndimor (“EWBJF”) do t’i sigurojë Marrësit fonde shtesë të WBIF-it nëpërmjet KfW-së.</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Në bazë të kushteve të përgjithshme të EWBJF-së të datës 7 nëntor 2006, të ndryshuara herë pas here dhe Formularit të Grantit të datës 13 dhjetor 2017, të ndryshuar herë pas here (së bashku të referuara si “Dokumentacioni i WBIF-it”), Marrësi dhe KfW-ja lidhin këtë Marrëveshje Financimi:</w:t>
      </w:r>
    </w:p>
    <w:p w:rsidR="005C0BD2" w:rsidRDefault="005C0BD2" w:rsidP="005C0BD2">
      <w:pPr>
        <w:widowControl w:val="0"/>
        <w:spacing w:after="0" w:line="240" w:lineRule="auto"/>
        <w:rPr>
          <w:rFonts w:ascii="Garamond" w:hAnsi="Garamond" w:cs="Arial"/>
          <w:spacing w:val="-4"/>
          <w:sz w:val="8"/>
          <w:szCs w:val="24"/>
          <w:lang w:val="sq-AL"/>
        </w:rPr>
      </w:pPr>
    </w:p>
    <w:p w:rsidR="005C0BD2" w:rsidRDefault="005C0BD2" w:rsidP="005C0BD2">
      <w:pPr>
        <w:pStyle w:val="NeniNr"/>
        <w:rPr>
          <w:spacing w:val="-4"/>
          <w:lang w:val="sq-AL"/>
        </w:rPr>
      </w:pPr>
      <w:r>
        <w:rPr>
          <w:spacing w:val="-4"/>
          <w:lang w:val="sq-AL"/>
        </w:rPr>
        <w:t xml:space="preserve">Neni 1 </w:t>
      </w:r>
    </w:p>
    <w:p w:rsidR="005C0BD2" w:rsidRDefault="005C0BD2" w:rsidP="005C0BD2">
      <w:pPr>
        <w:pStyle w:val="NeniTitull"/>
        <w:rPr>
          <w:spacing w:val="-4"/>
          <w:lang w:val="sq-AL"/>
        </w:rPr>
      </w:pPr>
      <w:r>
        <w:rPr>
          <w:spacing w:val="-4"/>
          <w:lang w:val="sq-AL"/>
        </w:rPr>
        <w:t>Shuma dhe qëllimi i kontributit financiar</w:t>
      </w:r>
    </w:p>
    <w:p w:rsidR="005C0BD2" w:rsidRDefault="005C0BD2" w:rsidP="005C0BD2">
      <w:pPr>
        <w:widowControl w:val="0"/>
        <w:spacing w:after="0" w:line="240" w:lineRule="auto"/>
        <w:rPr>
          <w:rFonts w:ascii="Garamond" w:hAnsi="Garamond" w:cs="Arial"/>
          <w:spacing w:val="-4"/>
          <w:sz w:val="8"/>
          <w:szCs w:val="24"/>
          <w:lang w:val="sq-AL"/>
        </w:rPr>
      </w:pP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1.1 KfW-ja do t’i japë Marrësit një kontribut financiar që nuk tejkalon</w:t>
      </w:r>
    </w:p>
    <w:p w:rsidR="005C0BD2" w:rsidRDefault="005C0BD2" w:rsidP="005C0BD2">
      <w:pPr>
        <w:widowControl w:val="0"/>
        <w:spacing w:after="0" w:line="240" w:lineRule="auto"/>
        <w:outlineLvl w:val="0"/>
        <w:rPr>
          <w:rFonts w:ascii="Garamond" w:hAnsi="Garamond" w:cs="Arial"/>
          <w:spacing w:val="-4"/>
          <w:sz w:val="24"/>
          <w:szCs w:val="24"/>
          <w:lang w:val="sq-AL"/>
        </w:rPr>
      </w:pPr>
      <w:r>
        <w:rPr>
          <w:rFonts w:ascii="Garamond" w:hAnsi="Garamond" w:cs="Arial"/>
          <w:spacing w:val="-4"/>
          <w:sz w:val="24"/>
          <w:szCs w:val="24"/>
          <w:u w:val="single"/>
          <w:lang w:val="sq-AL"/>
        </w:rPr>
        <w:t>1,400,000.00 EURO</w:t>
      </w:r>
      <w:r>
        <w:rPr>
          <w:rFonts w:ascii="Garamond" w:hAnsi="Garamond" w:cs="Arial"/>
          <w:spacing w:val="-4"/>
          <w:sz w:val="24"/>
          <w:szCs w:val="24"/>
          <w:lang w:val="sq-AL"/>
        </w:rPr>
        <w:t xml:space="preserve"> (“Kontributi financiar”).</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Ky kontribut financiar nuk do të shlyhet, përveç nëse parashikohet ndryshe në nenin 3.2.</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1.2 Marrësi do të përdorë kontributin financiar ekskluzivisht për financimin e shërbimeve të ekspertëve në vijim:</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lastRenderedPageBreak/>
        <w:t>Mbështetje për Ministrinë e Infrastrukturës dhe Energjisë, Agjencinë Kombëtare të Furnizimit me Ujë dhe Kanalizimeve dhe Infrastrukturës së Mbetjeve (duke vepruar si Njësi Koordinuese e Programit, “NJKP”) gjatë fazës përgatitore të Programit, duke përpunuar studimet e fizibilitetit dhe analizën e kostos–përfitimit, duke përfshirë studimet e vlerësimit të ndikimit mjedisor (dhe social) për vendndodhjen e projekteve të përzgjedhura (“Shërbimet e ekspertëve”) dhe kryesisht për të financuar kostot e këmbimit valutor.</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1.3 Taksat dhe detyrimet e tjera publike që do t’i lindin Marrësit dhe tatimet e importit nuk financohen nga kontributi financiar.</w:t>
      </w:r>
    </w:p>
    <w:p w:rsidR="005C0BD2" w:rsidRPr="005C0BD2" w:rsidRDefault="005C0BD2" w:rsidP="005C0BD2">
      <w:pPr>
        <w:widowControl w:val="0"/>
        <w:spacing w:after="0" w:line="240" w:lineRule="auto"/>
        <w:rPr>
          <w:rFonts w:ascii="Garamond" w:hAnsi="Garamond" w:cs="Arial"/>
          <w:spacing w:val="-4"/>
          <w:sz w:val="14"/>
          <w:szCs w:val="24"/>
          <w:lang w:val="sq-AL"/>
        </w:rPr>
      </w:pPr>
    </w:p>
    <w:p w:rsidR="005C0BD2" w:rsidRDefault="005C0BD2" w:rsidP="005C0BD2">
      <w:pPr>
        <w:pStyle w:val="NeniNr"/>
        <w:rPr>
          <w:spacing w:val="-4"/>
          <w:lang w:val="sq-AL"/>
        </w:rPr>
      </w:pPr>
      <w:r>
        <w:rPr>
          <w:spacing w:val="-4"/>
          <w:lang w:val="sq-AL"/>
        </w:rPr>
        <w:t xml:space="preserve">Neni 2 </w:t>
      </w:r>
    </w:p>
    <w:p w:rsidR="005C0BD2" w:rsidRDefault="005C0BD2" w:rsidP="005C0BD2">
      <w:pPr>
        <w:pStyle w:val="NeniTitull"/>
        <w:rPr>
          <w:spacing w:val="-4"/>
          <w:lang w:val="sq-AL"/>
        </w:rPr>
      </w:pPr>
      <w:r>
        <w:rPr>
          <w:spacing w:val="-4"/>
          <w:lang w:val="sq-AL"/>
        </w:rPr>
        <w:t>Disbursimi</w:t>
      </w:r>
    </w:p>
    <w:p w:rsidR="005C0BD2" w:rsidRDefault="005C0BD2" w:rsidP="005C0BD2">
      <w:pPr>
        <w:widowControl w:val="0"/>
        <w:spacing w:after="0" w:line="240" w:lineRule="auto"/>
        <w:rPr>
          <w:rFonts w:ascii="Garamond" w:hAnsi="Garamond" w:cs="Arial"/>
          <w:spacing w:val="-4"/>
          <w:sz w:val="12"/>
          <w:szCs w:val="24"/>
          <w:lang w:val="sq-AL"/>
        </w:rPr>
      </w:pP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2.1 Marrësi, nëpërmjet NJKP-së, autorizon KfW-në që të kryejë pagesa fillestare, të përkohshme dhe përfundimtare nga kontributi financiar për konsulentët (“Konsulentët”) që ofrojnë shërbimet e ekspertëve. Këto pagesa do të kryhen në përputhje me ecurinë e Shërbimeve të Ekspertëve në bazë të faturave origjinale të paraqitura pranë KfW-së (në vëmendje të NJKP-së) dhe në përputhje me kontratat e konsulencës që do të lidhen ndërmjet Marrësit nëpërmjet NJKP-së dhe Konsulentëve (“Konsultimi i kontratave”). Ky autorizim nga Marrësi do të konsiderohet të jetë një kërkesë për disbursim për të gjitha pagesat e lartpërmendura.</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2.2 Në bazë të nenit 3, KfW-ja do të jetë e detyruar të kryejë disbursime sipas kësaj Marrëveshjeje nëse dhe në atë masë që KfW-ja ka marrë fondet korresponduese sipas dokumentacionit të WBIF-it.</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2.3 Për pagesat e kryera në një monedhë tjetër përveç asaj të përdorur (“Valuta e huaj”), KfW-ja do të debitoj</w:t>
      </w:r>
      <w:r>
        <w:rPr>
          <w:rFonts w:ascii="Garamond" w:hAnsi="Garamond"/>
          <w:color w:val="212121"/>
          <w:spacing w:val="-4"/>
          <w:sz w:val="24"/>
          <w:szCs w:val="24"/>
          <w:lang w:val="sq-AL"/>
        </w:rPr>
        <w:t>ë</w:t>
      </w:r>
      <w:r>
        <w:rPr>
          <w:rFonts w:ascii="Garamond" w:hAnsi="Garamond" w:cs="Arial"/>
          <w:spacing w:val="-4"/>
          <w:sz w:val="24"/>
          <w:szCs w:val="24"/>
          <w:lang w:val="sq-AL"/>
        </w:rPr>
        <w:t xml:space="preserve"> Marrësin me një shumë të tillë në euro, siç ishte shpenzuar nga KfW-ja për prokurimin e valutës së huaj, duke përfshirë shpenzimet e rastit.</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2.4 KfW-ja nuk do të jetë përgjegjëse për vonesat e shkaktuara nga institucionet bankare transferuese në disbursimin ose dërgimin e pagesave nga KfW-ja. Nëse ndonjë vonesë shkaktohet nga KfW-ja, përgjegjësia e saj do të kufizohet në pagesën e interesit të akumuluar.</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2.5 KfW-ja ka të drejtë të refuzojë të kryejë disbursime pas datës 31 dhjetor 2021.</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2.6 Kontratat e konsulencës do të përfshijnë një dispozitë që përcakton se çdo rimbursim, garanci ose pagesë e ngjashme e kërkueshme dhe çdo pagesë sigurimi duhet të kryhet për llogari të Marrësit në llogarinë e KfW, Frankfurt am Main, IBAN:</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 xml:space="preserve"> DE53 5002 0400 3800 0000 00, </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SIC: KFWIDEFF, me kreditimin e KfW-së të këtyre pagesave në llogarinë e Marrësit.</w:t>
      </w:r>
    </w:p>
    <w:p w:rsidR="005C0BD2" w:rsidRDefault="005C0BD2" w:rsidP="005C0BD2">
      <w:pPr>
        <w:pStyle w:val="Hapesira7"/>
        <w:rPr>
          <w:lang w:val="sq-AL"/>
        </w:rPr>
      </w:pPr>
    </w:p>
    <w:p w:rsidR="005C0BD2" w:rsidRDefault="005C0BD2" w:rsidP="005C0BD2">
      <w:pPr>
        <w:pStyle w:val="NeniNr"/>
        <w:rPr>
          <w:spacing w:val="-4"/>
          <w:lang w:val="sq-AL"/>
        </w:rPr>
      </w:pPr>
      <w:r>
        <w:rPr>
          <w:spacing w:val="-4"/>
          <w:lang w:val="sq-AL"/>
        </w:rPr>
        <w:t xml:space="preserve">Neni 3 </w:t>
      </w:r>
    </w:p>
    <w:p w:rsidR="005C0BD2" w:rsidRDefault="005C0BD2" w:rsidP="005C0BD2">
      <w:pPr>
        <w:pStyle w:val="NeniTitull"/>
        <w:rPr>
          <w:spacing w:val="-4"/>
          <w:lang w:val="sq-AL"/>
        </w:rPr>
      </w:pPr>
      <w:r>
        <w:rPr>
          <w:spacing w:val="-4"/>
          <w:lang w:val="sq-AL"/>
        </w:rPr>
        <w:t>Pezullimi i disbursimit dhe shlyerja</w:t>
      </w:r>
    </w:p>
    <w:p w:rsidR="005C0BD2" w:rsidRDefault="005C0BD2" w:rsidP="005C0BD2">
      <w:pPr>
        <w:pStyle w:val="Hapesira7"/>
        <w:rPr>
          <w:lang w:val="sq-AL"/>
        </w:rPr>
      </w:pP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3.1 KfW-ja nuk mund të pezullojë disbursimet, përveç nëse:</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a) Marrësi nuk i përmbush detyrimet e tij ndaj KfW-së për të kryer pagesat, kur janë të kërkueshme;</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b) detyrimet sipas kësaj Marrëveshjeje janë shkelur;</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c) Marrësi nuk mund të provojë se të gjitha shumat e disbursuara janë përdorur për qëllimin e caktuar;</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 xml:space="preserve">d) përmbushja e detyrimeve të KfW-së sipas kësaj Marrëveshjeje shkel ligjin në fuqi; </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e) pagesat janë pezulluar plotësisht ose pjesërisht në bazë të dokumentacionit të WBIF-it;</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f) KfW-së i kërkohet që të kërkojë shlyerjen e kontributit financiar të papërdorur në përputhje me dokumentacionin e WBIF-it;</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g) dokumentacioni i WBIF-it pushon së qeni i vlefshëm, efektiv, i zbatueshëm ose skadon;</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h) lindin rrethana të jashtëzakonshme që pengojnë ose rrezikojnë seriozisht zbatimin, funksionimin ose qëllimin e shërbimeve të ekspertëve; ose</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i) çdo kontratë konsulence që do të lidhet ndërmjet Marrësit nëpërmjet NJKP-s</w:t>
      </w:r>
      <w:r>
        <w:rPr>
          <w:rFonts w:ascii="Garamond" w:hAnsi="Garamond"/>
          <w:color w:val="212121"/>
          <w:spacing w:val="-4"/>
          <w:sz w:val="24"/>
          <w:szCs w:val="24"/>
          <w:lang w:val="sq-AL"/>
        </w:rPr>
        <w:t>ë</w:t>
      </w:r>
      <w:r>
        <w:rPr>
          <w:rFonts w:ascii="Garamond" w:hAnsi="Garamond" w:cs="Arial"/>
          <w:spacing w:val="-4"/>
          <w:sz w:val="24"/>
          <w:szCs w:val="24"/>
          <w:lang w:val="sq-AL"/>
        </w:rPr>
        <w:t xml:space="preserve"> dhe Konsulentit, është shkelur, ndërprerë ose anuluar.</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3.2 Nëse ka ndodhur ndonjë nga situatat e specifikuara në nenet 3.1 b), c), d) ose f) dhe nuk është eliminuar brenda një periudhe të përcaktuar nga KfW-ja, e cila duhet të jetë të paktën 30 ditë, KfW-ja:</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 xml:space="preserve">a) në rastet e përcaktuara në nenin 3.1 b), mund të kërkojë shlyerjen e menjëhershme të të gjitha shumave të disbursuara në rastin e nenit 3.1 d) mund të </w:t>
      </w:r>
      <w:r>
        <w:rPr>
          <w:rFonts w:ascii="Garamond" w:hAnsi="Garamond" w:cs="Arial"/>
          <w:color w:val="000000" w:themeColor="text1"/>
          <w:spacing w:val="-4"/>
          <w:sz w:val="24"/>
          <w:szCs w:val="24"/>
          <w:lang w:val="sq-AL"/>
        </w:rPr>
        <w:t xml:space="preserve">kërkojë shlyerjen e menjëhershme të shumave të tilla, pagesa e të cilave për Marrësin </w:t>
      </w:r>
      <w:r>
        <w:rPr>
          <w:rFonts w:ascii="Garamond" w:hAnsi="Garamond" w:cs="Arial"/>
          <w:spacing w:val="-4"/>
          <w:sz w:val="24"/>
          <w:szCs w:val="24"/>
          <w:lang w:val="sq-AL"/>
        </w:rPr>
        <w:t>ose largimi nga Marrësi përbën shkelje të ligjit në fuqi;</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b) në rastet e përcaktuara në nenin 3.1 c) ose f), mund të kërkojë shlyerjen e menjëhershme të shumave të tilla të cilat Marrësi nuk mund të provojë se janë përdorur për qëllimin e caktuar.</w:t>
      </w:r>
    </w:p>
    <w:p w:rsidR="005C0BD2" w:rsidRDefault="005C0BD2" w:rsidP="005C0BD2">
      <w:pPr>
        <w:widowControl w:val="0"/>
        <w:spacing w:after="0" w:line="240" w:lineRule="auto"/>
        <w:rPr>
          <w:rFonts w:ascii="Garamond" w:hAnsi="Garamond" w:cs="Arial"/>
          <w:spacing w:val="-4"/>
          <w:sz w:val="24"/>
          <w:szCs w:val="24"/>
          <w:lang w:val="sq-AL"/>
        </w:rPr>
      </w:pPr>
    </w:p>
    <w:p w:rsidR="005C0BD2" w:rsidRDefault="005C0BD2" w:rsidP="005C0BD2">
      <w:pPr>
        <w:widowControl w:val="0"/>
        <w:spacing w:after="0" w:line="240" w:lineRule="auto"/>
        <w:rPr>
          <w:rFonts w:ascii="Garamond" w:hAnsi="Garamond" w:cs="Arial"/>
          <w:spacing w:val="-4"/>
          <w:sz w:val="24"/>
          <w:szCs w:val="24"/>
          <w:lang w:val="sq-AL"/>
        </w:rPr>
      </w:pPr>
    </w:p>
    <w:p w:rsidR="005C0BD2" w:rsidRDefault="005C0BD2" w:rsidP="005C0BD2">
      <w:pPr>
        <w:pStyle w:val="NeniNr"/>
        <w:rPr>
          <w:spacing w:val="-4"/>
          <w:lang w:val="sq-AL"/>
        </w:rPr>
      </w:pPr>
      <w:r>
        <w:rPr>
          <w:spacing w:val="-4"/>
          <w:lang w:val="sq-AL"/>
        </w:rPr>
        <w:lastRenderedPageBreak/>
        <w:t xml:space="preserve">Neni 4 </w:t>
      </w:r>
    </w:p>
    <w:p w:rsidR="005C0BD2" w:rsidRDefault="005C0BD2" w:rsidP="005C0BD2">
      <w:pPr>
        <w:pStyle w:val="NeniTitull"/>
        <w:rPr>
          <w:spacing w:val="-4"/>
          <w:lang w:val="sq-AL"/>
        </w:rPr>
      </w:pPr>
      <w:r>
        <w:rPr>
          <w:spacing w:val="-4"/>
          <w:lang w:val="sq-AL"/>
        </w:rPr>
        <w:t>Kostot dhe detyrimet publike</w:t>
      </w:r>
    </w:p>
    <w:p w:rsidR="005C0BD2" w:rsidRDefault="005C0BD2" w:rsidP="005C0BD2">
      <w:pPr>
        <w:pStyle w:val="Hapesira7"/>
        <w:rPr>
          <w:lang w:val="sq-AL"/>
        </w:rPr>
      </w:pP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Marrësi do të mbulojë të gjitha taksat dhe detyrimet e tjera publike që lindin jashtë Republikës Federale të Gjermanisë për lidhjen dhe ekzekutimin e kësaj Marrëveshjeje, si dhe të gjitha kostot e transferimit dhe konvertimit që lindin në lidhje me disbursimin e kontributit financiar.</w:t>
      </w:r>
    </w:p>
    <w:p w:rsidR="005C0BD2" w:rsidRDefault="005C0BD2" w:rsidP="005C0BD2">
      <w:pPr>
        <w:pStyle w:val="Hapesira7"/>
        <w:rPr>
          <w:lang w:val="sq-AL"/>
        </w:rPr>
      </w:pPr>
    </w:p>
    <w:p w:rsidR="005C0BD2" w:rsidRDefault="005C0BD2" w:rsidP="005C0BD2">
      <w:pPr>
        <w:pStyle w:val="NeniNr"/>
        <w:rPr>
          <w:spacing w:val="-4"/>
          <w:lang w:val="sq-AL"/>
        </w:rPr>
      </w:pPr>
      <w:r>
        <w:rPr>
          <w:spacing w:val="-4"/>
          <w:lang w:val="sq-AL"/>
        </w:rPr>
        <w:t xml:space="preserve">Neni 5 </w:t>
      </w:r>
    </w:p>
    <w:p w:rsidR="005C0BD2" w:rsidRDefault="005C0BD2" w:rsidP="005C0BD2">
      <w:pPr>
        <w:pStyle w:val="NeniTitull"/>
        <w:rPr>
          <w:spacing w:val="-4"/>
          <w:lang w:val="sq-AL"/>
        </w:rPr>
      </w:pPr>
      <w:r>
        <w:rPr>
          <w:spacing w:val="-4"/>
          <w:lang w:val="sq-AL"/>
        </w:rPr>
        <w:t>Deklaratat kontraktuale dhe fuqia e përfaqësimit</w:t>
      </w:r>
    </w:p>
    <w:p w:rsidR="005C0BD2" w:rsidRDefault="005C0BD2" w:rsidP="005C0BD2">
      <w:pPr>
        <w:pStyle w:val="Hapesira7"/>
        <w:rPr>
          <w:lang w:val="sq-AL"/>
        </w:rPr>
      </w:pP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5.1 Ministri i Financave dhe Ekonomisë dhe persona të tillë të caktuar prej tij ose KfW-ja dhe të autorizuar me nënshkrimet e ekzemplarëve të vërtetuara prej tij ose saj, do të përfaqësojnë Përfituesin në ekzekutimin e kësaj Marrëveshjeje. Fuqia e përfaqësimit nuk do të skadojë derisa revokimi i shprehur nga përfaqësuesi i Marrësit të autorizuar në atë kohë të jetë marrë nga KfW-ja.</w:t>
      </w:r>
    </w:p>
    <w:p w:rsidR="005C0BD2" w:rsidRDefault="005C0BD2" w:rsidP="005C0BD2">
      <w:pPr>
        <w:widowControl w:val="0"/>
        <w:spacing w:after="0" w:line="240" w:lineRule="auto"/>
        <w:rPr>
          <w:rFonts w:ascii="Garamond" w:hAnsi="Garamond" w:cs="Arial"/>
          <w:spacing w:val="-4"/>
          <w:sz w:val="24"/>
          <w:szCs w:val="24"/>
          <w:lang w:val="sq-AL"/>
        </w:rPr>
      </w:pPr>
      <w:r>
        <w:rPr>
          <w:rFonts w:ascii="Garamond" w:hAnsi="Garamond" w:cs="Arial"/>
          <w:spacing w:val="-4"/>
          <w:sz w:val="24"/>
          <w:szCs w:val="24"/>
          <w:lang w:val="sq-AL"/>
        </w:rPr>
        <w:t>5.2 Ndryshimet ose shtesat e kësaj Marrëveshjeje dhe çdo njoftim dhe deklaratat e dorëzuara nga palët kontraktuese sipas kësaj Marrëveshjeje do të bëhen me shkrim. Ministri i Financave dhe Ekonomisë është i autorizuar të nënshkruajë çdo amendament që duhet të miratohet nga Këshilli i Ministrave. Ndryshimet në këtë Marrëveshje që ndikojnë vetëm periudhën e disponueshmërisë (neni 3.2) nuk do të kërkojnë miratim paraprak nga Këshilli i Ministrave. Çdo njoftim ose deklaratë do të merret pasi të jetë dërguar në adresën e mëposhtme të palës kontraktuese përkatëse ose në atë adresë tjetër të palës kontraktuese përkatëse që i njoftohet palës tjetër kontraktuese:</w:t>
      </w:r>
    </w:p>
    <w:p w:rsidR="005C0BD2" w:rsidRDefault="005C0BD2" w:rsidP="005C0BD2">
      <w:pPr>
        <w:pStyle w:val="Hapesira7"/>
        <w:rPr>
          <w:lang w:val="sq-AL"/>
        </w:rPr>
      </w:pPr>
    </w:p>
    <w:p w:rsidR="005C0BD2" w:rsidRDefault="005C0BD2" w:rsidP="005C0BD2">
      <w:pPr>
        <w:widowControl w:val="0"/>
        <w:spacing w:after="0" w:line="240" w:lineRule="auto"/>
        <w:ind w:firstLine="0"/>
        <w:rPr>
          <w:rFonts w:ascii="Garamond" w:hAnsi="Garamond"/>
          <w:spacing w:val="-4"/>
          <w:sz w:val="24"/>
          <w:szCs w:val="24"/>
          <w:lang w:val="sq-AL"/>
        </w:rPr>
      </w:pPr>
      <w:r>
        <w:rPr>
          <w:rFonts w:ascii="Garamond" w:hAnsi="Garamond"/>
          <w:b/>
          <w:spacing w:val="-4"/>
          <w:sz w:val="24"/>
          <w:szCs w:val="24"/>
          <w:lang w:val="sq-AL"/>
        </w:rPr>
        <w:t>Për KfW-në</w:t>
      </w:r>
      <w:r>
        <w:rPr>
          <w:rFonts w:ascii="Garamond" w:hAnsi="Garamond"/>
          <w:spacing w:val="-4"/>
          <w:sz w:val="24"/>
          <w:szCs w:val="24"/>
          <w:lang w:val="sq-AL"/>
        </w:rPr>
        <w:t>:  KfW</w:t>
      </w:r>
    </w:p>
    <w:p w:rsidR="005C0BD2" w:rsidRDefault="005C0BD2" w:rsidP="005C0BD2">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Postfach 11 11 41</w:t>
      </w:r>
    </w:p>
    <w:p w:rsidR="005C0BD2" w:rsidRDefault="005C0BD2" w:rsidP="005C0BD2">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 xml:space="preserve">60046 Frankfurt am Main </w:t>
      </w:r>
    </w:p>
    <w:p w:rsidR="005C0BD2" w:rsidRDefault="005C0BD2" w:rsidP="005C0BD2">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Republika Federale e Gjermanisë</w:t>
      </w:r>
    </w:p>
    <w:p w:rsidR="005C0BD2" w:rsidRDefault="005C0BD2" w:rsidP="005C0BD2">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Faks: +49 69 7 43 1-2944</w:t>
      </w:r>
    </w:p>
    <w:p w:rsidR="005C0BD2" w:rsidRDefault="005C0BD2" w:rsidP="005C0BD2">
      <w:pPr>
        <w:pStyle w:val="Hapesira7"/>
        <w:rPr>
          <w:lang w:val="sq-AL"/>
        </w:rPr>
      </w:pPr>
    </w:p>
    <w:p w:rsidR="005C0BD2" w:rsidRDefault="005C0BD2" w:rsidP="005C0BD2">
      <w:pPr>
        <w:widowControl w:val="0"/>
        <w:spacing w:after="0" w:line="240" w:lineRule="auto"/>
        <w:ind w:firstLine="0"/>
        <w:rPr>
          <w:rFonts w:ascii="Garamond" w:hAnsi="Garamond"/>
          <w:spacing w:val="-4"/>
          <w:sz w:val="24"/>
          <w:szCs w:val="24"/>
          <w:lang w:val="sq-AL"/>
        </w:rPr>
      </w:pPr>
      <w:r>
        <w:rPr>
          <w:rFonts w:ascii="Garamond" w:hAnsi="Garamond"/>
          <w:b/>
          <w:spacing w:val="-4"/>
          <w:sz w:val="24"/>
          <w:szCs w:val="24"/>
          <w:lang w:val="sq-AL"/>
        </w:rPr>
        <w:t>Për Marrësin</w:t>
      </w:r>
      <w:r>
        <w:rPr>
          <w:rFonts w:ascii="Garamond" w:hAnsi="Garamond"/>
          <w:spacing w:val="-4"/>
          <w:sz w:val="24"/>
          <w:szCs w:val="24"/>
          <w:lang w:val="sq-AL"/>
        </w:rPr>
        <w:t>: Republika e Shqipërisë,</w:t>
      </w:r>
    </w:p>
    <w:p w:rsidR="005C0BD2" w:rsidRDefault="005C0BD2" w:rsidP="005C0BD2">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e përfaqësuar nga Ministria e Financave dhe Ekonomisë</w:t>
      </w:r>
    </w:p>
    <w:p w:rsidR="005C0BD2" w:rsidRDefault="005C0BD2" w:rsidP="005C0BD2">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Blv. “D</w:t>
      </w:r>
      <w:r>
        <w:rPr>
          <w:rFonts w:ascii="Garamond" w:hAnsi="Garamond" w:cs="Arial"/>
          <w:spacing w:val="-4"/>
          <w:sz w:val="24"/>
          <w:szCs w:val="24"/>
          <w:lang w:val="sq-AL"/>
        </w:rPr>
        <w:t>ë</w:t>
      </w:r>
      <w:r>
        <w:rPr>
          <w:rFonts w:ascii="Garamond" w:hAnsi="Garamond"/>
          <w:spacing w:val="-4"/>
          <w:sz w:val="24"/>
          <w:szCs w:val="24"/>
          <w:lang w:val="sq-AL"/>
        </w:rPr>
        <w:t>shmor</w:t>
      </w:r>
      <w:r>
        <w:rPr>
          <w:rFonts w:ascii="Garamond" w:hAnsi="Garamond" w:cs="Arial"/>
          <w:spacing w:val="-4"/>
          <w:sz w:val="24"/>
          <w:szCs w:val="24"/>
          <w:lang w:val="sq-AL"/>
        </w:rPr>
        <w:t>ë</w:t>
      </w:r>
      <w:r>
        <w:rPr>
          <w:rFonts w:ascii="Garamond" w:hAnsi="Garamond"/>
          <w:spacing w:val="-4"/>
          <w:sz w:val="24"/>
          <w:szCs w:val="24"/>
          <w:lang w:val="sq-AL"/>
        </w:rPr>
        <w:t>t e Kombit”, nr. 3</w:t>
      </w:r>
    </w:p>
    <w:p w:rsidR="005C0BD2" w:rsidRDefault="005C0BD2" w:rsidP="005C0BD2">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Tiranë</w:t>
      </w:r>
    </w:p>
    <w:p w:rsidR="005C0BD2" w:rsidRDefault="005C0BD2" w:rsidP="005C0BD2">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Shqipëri</w:t>
      </w:r>
    </w:p>
    <w:p w:rsidR="005C0BD2" w:rsidRDefault="005C0BD2" w:rsidP="005C0BD2">
      <w:pPr>
        <w:widowControl w:val="0"/>
        <w:spacing w:after="0" w:line="240" w:lineRule="auto"/>
        <w:ind w:firstLine="0"/>
        <w:rPr>
          <w:rFonts w:ascii="Garamond" w:hAnsi="Garamond"/>
          <w:spacing w:val="-4"/>
          <w:sz w:val="24"/>
          <w:szCs w:val="24"/>
          <w:lang w:val="sq-AL"/>
        </w:rPr>
      </w:pPr>
      <w:r>
        <w:rPr>
          <w:rFonts w:ascii="Garamond" w:hAnsi="Garamond"/>
          <w:spacing w:val="-4"/>
          <w:sz w:val="24"/>
          <w:szCs w:val="24"/>
          <w:lang w:val="sq-AL"/>
        </w:rPr>
        <w:t>Faks: +35542228494</w:t>
      </w:r>
    </w:p>
    <w:p w:rsidR="005C0BD2" w:rsidRPr="005C0BD2" w:rsidRDefault="005C0BD2" w:rsidP="005C0BD2">
      <w:pPr>
        <w:widowControl w:val="0"/>
        <w:spacing w:after="0" w:line="240" w:lineRule="auto"/>
        <w:rPr>
          <w:rFonts w:ascii="Garamond" w:hAnsi="Garamond"/>
          <w:spacing w:val="-4"/>
          <w:sz w:val="14"/>
          <w:szCs w:val="24"/>
          <w:lang w:val="sq-AL"/>
        </w:rPr>
      </w:pPr>
    </w:p>
    <w:p w:rsidR="005C0BD2" w:rsidRDefault="005C0BD2" w:rsidP="005C0BD2">
      <w:pPr>
        <w:pStyle w:val="NeniNr"/>
        <w:rPr>
          <w:spacing w:val="-4"/>
          <w:lang w:val="sq-AL"/>
        </w:rPr>
      </w:pPr>
      <w:r>
        <w:rPr>
          <w:spacing w:val="-4"/>
          <w:lang w:val="sq-AL"/>
        </w:rPr>
        <w:t xml:space="preserve">Neni 6 </w:t>
      </w:r>
    </w:p>
    <w:p w:rsidR="005C0BD2" w:rsidRDefault="005C0BD2" w:rsidP="005C0BD2">
      <w:pPr>
        <w:pStyle w:val="NeniTitull"/>
        <w:rPr>
          <w:spacing w:val="-4"/>
          <w:lang w:val="sq-AL"/>
        </w:rPr>
      </w:pPr>
      <w:r>
        <w:rPr>
          <w:spacing w:val="-4"/>
          <w:lang w:val="sq-AL"/>
        </w:rPr>
        <w:t>Shërbimet e ekspertëve</w:t>
      </w:r>
    </w:p>
    <w:p w:rsidR="005C0BD2" w:rsidRDefault="005C0BD2" w:rsidP="005C0BD2">
      <w:pPr>
        <w:pStyle w:val="Hapesira7"/>
        <w:rPr>
          <w:lang w:val="sq-AL"/>
        </w:rPr>
      </w:pP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6.1 Marrësi</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a) do të caktojë, nëpërmjet NJKP-së, shërbimet e ekspertëve për konsulentët e pavarur të kualifikuar me praktika të qëndrueshme financiare dhe inxhinierike, në përputhje me standardet mjedisore dhe sociale dhe kryesisht në përputhje me plan-projektin që duhet të bien dakord ndërmjet Marrësit dhe KfW-së për shërbimet e ekspertëve;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b) nëpërmjet NJKP-së, do të japë kontratat për konsulentët e pavarur të kualifikuar pas zgjedhjes paraprake dhe ofertimit konkurrues publik ndërkombëtar. Procedura e dhënies së kontratave rregullohet nga “Udhëzuesi për caktimin e konsulentëve në bashkëpunimin financiar me vendet në zhvillim” (shtojca 2), i cili përbën pjesë integrale të kësaj Marrëveshjeje dhe në përputhje me kriteret e përjashtimit të BFEP-it, siç detajohet në nenet 6.2–6.4 të kësaj Marrëveshjeje;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c) do të sigurojë, nëpërmjet NJKP-së, financimin e plotë të shërbimeve të ekspertëve dhe me kërkesë të KfW-s</w:t>
      </w:r>
      <w:r>
        <w:rPr>
          <w:rFonts w:ascii="Garamond" w:hAnsi="Garamond"/>
          <w:color w:val="212121"/>
          <w:spacing w:val="-4"/>
          <w:sz w:val="24"/>
          <w:szCs w:val="24"/>
          <w:lang w:val="sq-AL"/>
        </w:rPr>
        <w:t>ë</w:t>
      </w:r>
      <w:r>
        <w:rPr>
          <w:rFonts w:ascii="Garamond" w:hAnsi="Garamond"/>
          <w:spacing w:val="-4"/>
          <w:sz w:val="24"/>
          <w:szCs w:val="24"/>
          <w:lang w:val="sq-AL"/>
        </w:rPr>
        <w:t>, t’i paraqesë KfW-së prova që vërtetojnë se shpenzimet e papaguara nga ky kontribut financiar, janë mbuluar;</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d) do të fillojë, nëpërmjet NJKP-së, përgatitjen e termave të referencës për shërbimet e ekspertëve para datës 13.12.2018;</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e) do të fillojë, nëpërmjet NJKP-së, zbatimin e shërbimeve të ekspertëve para datës 13.12.2019;</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f) do të përfundojë, nëpërmjet NJKP-s</w:t>
      </w:r>
      <w:r>
        <w:rPr>
          <w:rFonts w:ascii="Garamond" w:hAnsi="Garamond"/>
          <w:color w:val="212121"/>
          <w:spacing w:val="-4"/>
          <w:sz w:val="24"/>
          <w:szCs w:val="24"/>
          <w:lang w:val="sq-AL"/>
        </w:rPr>
        <w:t>ë,</w:t>
      </w:r>
      <w:r>
        <w:rPr>
          <w:rFonts w:ascii="Garamond" w:hAnsi="Garamond"/>
          <w:spacing w:val="-4"/>
          <w:sz w:val="24"/>
          <w:szCs w:val="24"/>
          <w:lang w:val="sq-AL"/>
        </w:rPr>
        <w:t xml:space="preserve"> zbatimin e shërbimeve të ekspertëve deri më 13.12.2021;</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g) do t</w:t>
      </w:r>
      <w:r>
        <w:rPr>
          <w:rFonts w:ascii="Garamond" w:hAnsi="Garamond"/>
          <w:color w:val="212121"/>
          <w:spacing w:val="-4"/>
          <w:sz w:val="24"/>
          <w:szCs w:val="24"/>
          <w:lang w:val="sq-AL"/>
        </w:rPr>
        <w:t>ë</w:t>
      </w:r>
      <w:r>
        <w:rPr>
          <w:rFonts w:ascii="Garamond" w:hAnsi="Garamond"/>
          <w:spacing w:val="-4"/>
          <w:sz w:val="24"/>
          <w:szCs w:val="24"/>
          <w:lang w:val="sq-AL"/>
        </w:rPr>
        <w:t xml:space="preserve"> p</w:t>
      </w:r>
      <w:r>
        <w:rPr>
          <w:rFonts w:ascii="Garamond" w:hAnsi="Garamond"/>
          <w:color w:val="212121"/>
          <w:spacing w:val="-4"/>
          <w:sz w:val="24"/>
          <w:szCs w:val="24"/>
          <w:lang w:val="sq-AL"/>
        </w:rPr>
        <w:t>ë</w:t>
      </w:r>
      <w:r>
        <w:rPr>
          <w:rFonts w:ascii="Garamond" w:hAnsi="Garamond"/>
          <w:spacing w:val="-4"/>
          <w:sz w:val="24"/>
          <w:szCs w:val="24"/>
          <w:lang w:val="sq-AL"/>
        </w:rPr>
        <w:t>rmbush</w:t>
      </w:r>
      <w:r>
        <w:rPr>
          <w:rFonts w:ascii="Garamond" w:hAnsi="Garamond"/>
          <w:color w:val="212121"/>
          <w:spacing w:val="-4"/>
          <w:sz w:val="24"/>
          <w:szCs w:val="24"/>
          <w:lang w:val="sq-AL"/>
        </w:rPr>
        <w:t>ë,</w:t>
      </w:r>
      <w:r>
        <w:rPr>
          <w:rFonts w:ascii="Garamond" w:hAnsi="Garamond"/>
          <w:spacing w:val="-4"/>
          <w:sz w:val="24"/>
          <w:szCs w:val="24"/>
          <w:lang w:val="sq-AL"/>
        </w:rPr>
        <w:t xml:space="preserve"> nëpërmjet NJKP-së, detyrimet e tij që do të përcaktohen në kontratat e konsulenc</w:t>
      </w:r>
      <w:r>
        <w:rPr>
          <w:rFonts w:ascii="Garamond" w:hAnsi="Garamond"/>
          <w:color w:val="212121"/>
          <w:spacing w:val="-4"/>
          <w:sz w:val="24"/>
          <w:szCs w:val="24"/>
          <w:lang w:val="sq-AL"/>
        </w:rPr>
        <w:t>ë</w:t>
      </w:r>
      <w:r>
        <w:rPr>
          <w:rFonts w:ascii="Garamond" w:hAnsi="Garamond"/>
          <w:spacing w:val="-4"/>
          <w:sz w:val="24"/>
          <w:szCs w:val="24"/>
          <w:lang w:val="sq-AL"/>
        </w:rPr>
        <w:t>s;</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h) nëpërmjet NJKP-së, do të mbajë ose do të marrë masa për mbajtjen e librave dhe regjistrave që tregojnë qartë të gjitha kostot e shkaktuara në lidhje me shërbimet e ekspertëve dhe që identifikojnë qartë shërbimet e financuara nga kontributi financiar;</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lastRenderedPageBreak/>
        <w:t>i) nëpërmjet NJKP-së, do t’u mundësojë përfaqësuesve në çdo kohë që të inspektojnë librat dhe regjistrat në fjalë dhe çdo dokumentacion tjetër përkatës për ekzekutimin e shërbimeve të ekspertëve;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j) do t’i ofrojë KfW-së, n</w:t>
      </w:r>
      <w:r>
        <w:rPr>
          <w:rFonts w:ascii="Garamond" w:hAnsi="Garamond"/>
          <w:color w:val="212121"/>
          <w:spacing w:val="-4"/>
          <w:sz w:val="24"/>
          <w:szCs w:val="24"/>
          <w:lang w:val="sq-AL"/>
        </w:rPr>
        <w:t>ë</w:t>
      </w:r>
      <w:r>
        <w:rPr>
          <w:rFonts w:ascii="Garamond" w:hAnsi="Garamond"/>
          <w:spacing w:val="-4"/>
          <w:sz w:val="24"/>
          <w:szCs w:val="24"/>
          <w:lang w:val="sq-AL"/>
        </w:rPr>
        <w:t>p</w:t>
      </w:r>
      <w:r>
        <w:rPr>
          <w:rFonts w:ascii="Garamond" w:hAnsi="Garamond"/>
          <w:color w:val="212121"/>
          <w:spacing w:val="-4"/>
          <w:sz w:val="24"/>
          <w:szCs w:val="24"/>
          <w:lang w:val="sq-AL"/>
        </w:rPr>
        <w:t>ë</w:t>
      </w:r>
      <w:r>
        <w:rPr>
          <w:rFonts w:ascii="Garamond" w:hAnsi="Garamond"/>
          <w:spacing w:val="-4"/>
          <w:sz w:val="24"/>
          <w:szCs w:val="24"/>
          <w:lang w:val="sq-AL"/>
        </w:rPr>
        <w:t>rmjet NJKP -së, të gjitha informacionet dhe raportet e tilla mbi shërbimet e ekspertëve dhe për progresin e tyre të mëtejshëm, siç mund të kërkojë KfW-ja, duke përfshirë, por pa u kufizuar në informacione dhe raporte të nevojshme për përmbushjen e detyrimeve të raportimit të WBIF-it, në veçanti: i) raportet vjetore të zbatimit në fund të muajit shkurt të çdo viti, duke përfshirë një pjesë narrative dhe financiare; si dhe ii) të dhëna përkatëse për përditësimet gjashtëmujore në Sistemin Informativ të Menaxhimit të WBIF-it</w:t>
      </w:r>
      <w:r>
        <w:rPr>
          <w:rFonts w:ascii="Garamond" w:hAnsi="Garamond"/>
          <w:color w:val="212121"/>
          <w:spacing w:val="-4"/>
          <w:sz w:val="24"/>
          <w:szCs w:val="24"/>
          <w:lang w:val="sq-AL"/>
        </w:rPr>
        <w:t xml:space="preserve"> </w:t>
      </w:r>
      <w:r>
        <w:rPr>
          <w:rFonts w:ascii="Garamond" w:hAnsi="Garamond"/>
          <w:spacing w:val="-4"/>
          <w:sz w:val="24"/>
          <w:szCs w:val="24"/>
          <w:lang w:val="sq-AL"/>
        </w:rPr>
        <w:t>deri në fund të muajit mars dhe shtator të çdo viti;</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k) me pëlqimin e vet, nëpërmjet NJKP-së, do të informojë menjëherë KfW-në për të gjitha rrethanat që pengojnë, vonojnë ose rrezikojnë seriozisht ekzekutimin e shërbimeve të ekspertëve ose qëllimin e tyre;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l) nëpërmjet NJKP-së, do të marrë masa efektive dhe proporcionale për të zbutur rrezikun e shfaqjes së praktikave të ndaluara ose ndonjë aktiviteti tjetër të paligjshëm në lidhje me shfrytëzimin e kontributit financiar dhe /ose zbatimin e shërbimeve të ekspertëve. Të gjitha rastet e praktikave të ndaluara në lidhje me kontributin financiar dhe/ose zbatimin e shërbimeve të ekspertëve, si dhe masat që lidhen me to, të marra nga Marrësi, duhet të raportohen menjëherë te KfW-ja. Marrësi, nëpërmjet NJKP-së, duhet të ndërmarrë veprime për të përfunduar kontratat me kontraktuesit në lidhje me të cilat është përcaktuar që kontraktuesit e tillë janë përfshirë në praktikat e ndaluara në lidhje me zbatimin e shërbimeve të ekspertëve dhe duhet të marrë masat e duhura për të mbuluar/kompensuar kontributin financiar ose pjesë të tij që janë keqpërdorur.</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“Praktikat e ndaluara” nënkupton një ose më shumë nga sa më poshtë:</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i. një praktikë shtrënguese, siç përcaktohet në shtojcën 1; </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ii. një praktikë e fshehtë, siç përcaktohet në shtojcën 1; </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iii. një praktikë korruptive, siç përcaktohet në shtojcën 1;</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iv. një praktikë mashtruese, siç përcaktohet në shtojcën 1; dhe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v. një vjedhje që nënkupton keqpërdorimin /përvetësimin e pronës që i përket një pale tjetër.</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m) do t’i mundësojë Komisionit Evropian dhe Gjykatës Evropiane të Audituesve ose ndonjë përfaqësuesi të autorizuar të kryejnë rishikime rivlerësimi dhe kontrolle në vend për përdorimin e kontributit financiar (duke përfshirë procedurat për dhënien e kontratave të financuara nga kontributi financiar) në bazë të dokumenteve mbështetëse kontabël dhe dokumenteve të tjera të lidhura me financimin e shërbimeve të ekspertëve;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n) do t’i mundësojë Zyrës Evropiane kundër Mashtrimit (në vijim e referuar si “ZEKM”), që të kryejë hetime, duke përfshirë kontrolle në vend, në përputhje me dispozitat e parashikuara nga ligji i BE-së për mbrojtjen e interesave financiare të BE-së kundër mashtrimit, korrupsionit dhe çdo veprimtarie tjetër të paligjshme dhe, në rastet e zbatueshme, çdo marrëveshje administrative bashkëpunimi të lidhur ndërmjet ZEKM-së dhe organeve kundër mashtrimit të KfW-së;</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o) do të marrë përsipër që t</w:t>
      </w:r>
      <w:r>
        <w:rPr>
          <w:rFonts w:ascii="Garamond" w:hAnsi="Garamond"/>
          <w:color w:val="212121"/>
          <w:spacing w:val="-4"/>
          <w:sz w:val="24"/>
          <w:szCs w:val="24"/>
          <w:lang w:val="sq-AL"/>
        </w:rPr>
        <w:t>u</w:t>
      </w:r>
      <w:r>
        <w:rPr>
          <w:rFonts w:ascii="Garamond" w:hAnsi="Garamond"/>
          <w:spacing w:val="-4"/>
          <w:sz w:val="24"/>
          <w:szCs w:val="24"/>
          <w:lang w:val="sq-AL"/>
        </w:rPr>
        <w:t xml:space="preserve"> ofroj</w:t>
      </w:r>
      <w:r>
        <w:rPr>
          <w:rFonts w:ascii="Garamond" w:hAnsi="Garamond"/>
          <w:color w:val="212121"/>
          <w:spacing w:val="-4"/>
          <w:sz w:val="24"/>
          <w:szCs w:val="24"/>
          <w:lang w:val="sq-AL"/>
        </w:rPr>
        <w:t>ë</w:t>
      </w:r>
      <w:r>
        <w:rPr>
          <w:rFonts w:ascii="Garamond" w:hAnsi="Garamond"/>
          <w:spacing w:val="-4"/>
          <w:sz w:val="24"/>
          <w:szCs w:val="24"/>
          <w:lang w:val="sq-AL"/>
        </w:rPr>
        <w:t xml:space="preserve"> zyrtarëve t</w:t>
      </w:r>
      <w:r>
        <w:rPr>
          <w:rFonts w:ascii="Garamond" w:hAnsi="Garamond"/>
          <w:color w:val="212121"/>
          <w:spacing w:val="-4"/>
          <w:sz w:val="24"/>
          <w:szCs w:val="24"/>
          <w:lang w:val="sq-AL"/>
        </w:rPr>
        <w:t>ë</w:t>
      </w:r>
      <w:r>
        <w:rPr>
          <w:rFonts w:ascii="Garamond" w:hAnsi="Garamond"/>
          <w:spacing w:val="-4"/>
          <w:sz w:val="24"/>
          <w:szCs w:val="24"/>
          <w:lang w:val="sq-AL"/>
        </w:rPr>
        <w:t xml:space="preserve"> Komisionit Evropian, ZEKM-së dhe Gjykatës Evropiane të Audituesve dhe agjentëve t</w:t>
      </w:r>
      <w:r>
        <w:rPr>
          <w:rFonts w:ascii="Garamond" w:hAnsi="Garamond"/>
          <w:color w:val="212121"/>
          <w:spacing w:val="-4"/>
          <w:sz w:val="24"/>
          <w:szCs w:val="24"/>
          <w:lang w:val="sq-AL"/>
        </w:rPr>
        <w:t>ë</w:t>
      </w:r>
      <w:r>
        <w:rPr>
          <w:rFonts w:ascii="Garamond" w:hAnsi="Garamond"/>
          <w:spacing w:val="-4"/>
          <w:sz w:val="24"/>
          <w:szCs w:val="24"/>
          <w:lang w:val="sq-AL"/>
        </w:rPr>
        <w:t xml:space="preserve"> tyre të autorizuar, informacion dhe akses në çdo dokument dhe të dhëna të kompjuterizuara në lidhje me menaxhimin teknik dhe financiar të veprimeve të financuara sipas kësaj Marrëveshjeje, si dhe t’u japë atyre akses në vendet dhe mjediset në të cilat kryhen veprime të tilla. Dokumentet dhe të dhënat e kompjuterizuara mund të përfshijnë informacione që Marrësi i konsideron konfidenciale në përputhje me rregullat dhe rregulloret e tij të përcaktuara ose që rregullohen me marrëveshje kontraktuale. Një informacion i tillë i ofruar njëherë Komisionit Evropian, ZEKM-it, Gjykatës Evropiane të Audituesve ose ndonjë përfaqësuesi tjetër të autorizuar do të trajtohet në përputhje me rregullat dhe legjislacionin e konfidencialitetit të BE-së. Dokumentet duhet të jenë të aksesueshme dhe të depozitohen në një mënyrë që lejon kontrollet, ndërsa Marrësi do të ketë detyrimin ligjor që të informojë Komisionin Evropian, ZEKM-në ose Gjykatën Evropiane të Audituesve për vendndodhjen e saktë në të cilën mbahen. Kur është e nevojshme, palët mund të bien dakord që të dërgojnë kopje të këtyre dokumenteve për rishikim rivlerësimi;</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p) do të sigurojë që të gjitha botimet apo informacione të tjera promovuese që lidhen me shërbimet e ekspertëve të përfshijnë një referencë ndaj faktit se shërbimet e ekspertëve janë financuar / mbështetur nga EWBJF-ja;</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q) nëpërmjet NJKP-së, do të komentojë mbi raportet e konsulentëve ose do të konfirmojë miratimin e tij të përmbajtjes, duke sigluar raportet; dhe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r) nëpërmjet NJKP-së, do të marrë vendimet e veta për të gjitha skicat, raportet, studimet dhe zëvendësimin e anëtarëve të personelit të Konsulentit në marrëveshje me KfW-në.</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s) do t</w:t>
      </w:r>
      <w:r>
        <w:rPr>
          <w:rFonts w:ascii="Garamond" w:hAnsi="Garamond"/>
          <w:color w:val="212121"/>
          <w:spacing w:val="-4"/>
          <w:sz w:val="24"/>
          <w:szCs w:val="24"/>
          <w:lang w:val="sq-AL"/>
        </w:rPr>
        <w:t>ë</w:t>
      </w:r>
      <w:r>
        <w:rPr>
          <w:rFonts w:ascii="Garamond" w:hAnsi="Garamond"/>
          <w:spacing w:val="-4"/>
          <w:sz w:val="24"/>
          <w:szCs w:val="24"/>
          <w:lang w:val="sq-AL"/>
        </w:rPr>
        <w:t xml:space="preserve"> monitoroj</w:t>
      </w:r>
      <w:r>
        <w:rPr>
          <w:rFonts w:ascii="Garamond" w:hAnsi="Garamond"/>
          <w:color w:val="212121"/>
          <w:spacing w:val="-4"/>
          <w:sz w:val="24"/>
          <w:szCs w:val="24"/>
          <w:lang w:val="sq-AL"/>
        </w:rPr>
        <w:t>ë,</w:t>
      </w:r>
      <w:r>
        <w:rPr>
          <w:rFonts w:ascii="Garamond" w:hAnsi="Garamond"/>
          <w:spacing w:val="-4"/>
          <w:sz w:val="24"/>
          <w:szCs w:val="24"/>
          <w:lang w:val="sq-AL"/>
        </w:rPr>
        <w:t xml:space="preserve"> nëp</w:t>
      </w:r>
      <w:r>
        <w:rPr>
          <w:rFonts w:ascii="Garamond" w:hAnsi="Garamond"/>
          <w:color w:val="212121"/>
          <w:spacing w:val="-4"/>
          <w:sz w:val="24"/>
          <w:szCs w:val="24"/>
          <w:lang w:val="sq-AL"/>
        </w:rPr>
        <w:t>ë</w:t>
      </w:r>
      <w:r>
        <w:rPr>
          <w:rFonts w:ascii="Garamond" w:hAnsi="Garamond"/>
          <w:spacing w:val="-4"/>
          <w:sz w:val="24"/>
          <w:szCs w:val="24"/>
          <w:lang w:val="sq-AL"/>
        </w:rPr>
        <w:t>rmjet NJKP-s</w:t>
      </w:r>
      <w:r>
        <w:rPr>
          <w:rFonts w:ascii="Garamond" w:hAnsi="Garamond"/>
          <w:color w:val="212121"/>
          <w:spacing w:val="-4"/>
          <w:sz w:val="24"/>
          <w:szCs w:val="24"/>
          <w:lang w:val="sq-AL"/>
        </w:rPr>
        <w:t>ë,</w:t>
      </w:r>
      <w:r>
        <w:rPr>
          <w:rFonts w:ascii="Garamond" w:hAnsi="Garamond"/>
          <w:spacing w:val="-4"/>
          <w:sz w:val="24"/>
          <w:szCs w:val="24"/>
          <w:lang w:val="sq-AL"/>
        </w:rPr>
        <w:t xml:space="preserve"> ekzekutimin e shërbimeve në përputhje me kontratat e konsulencës dhe do të informojë menjëherë dhe kërkojë nga KfW-ja që të pezullojë pagesat në rast të ndonjë problemi serioz të shërbimeve ose mospërmbushjes nga konsulenti ose ndonjë çështje tjetër që do të justifikonte një pezullim pages</w:t>
      </w:r>
      <w:r>
        <w:rPr>
          <w:rFonts w:ascii="Garamond" w:hAnsi="Garamond"/>
          <w:color w:val="212121"/>
          <w:spacing w:val="-4"/>
          <w:sz w:val="24"/>
          <w:szCs w:val="24"/>
          <w:lang w:val="sq-AL"/>
        </w:rPr>
        <w:t>e</w:t>
      </w:r>
      <w:r>
        <w:rPr>
          <w:rFonts w:ascii="Garamond" w:hAnsi="Garamond"/>
          <w:spacing w:val="-4"/>
          <w:sz w:val="24"/>
          <w:szCs w:val="24"/>
          <w:lang w:val="sq-AL"/>
        </w:rPr>
        <w:t xml:space="preserve"> bazuar në kontratat e konsulencës.</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lastRenderedPageBreak/>
        <w:t xml:space="preserve">6.2 Marrësi, nëpërmjet NJPK-së, </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a) do të marrë masa të arsyeshme, në përputhje me rregulloret dhe rregullat e veta, për të siguruar që kandidatët e mundshëm ose tenderuesit dhe aplikuesit të përjashtohen nga pjesëmarrja në një procedurë prokurimi dhe nga dhënia e një kontrate prokurimi të financuar nga fondet e BE-së /WBIF-it, nëse Marrësi vihet në dijeni se këto subjekte: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i. ose persona që kanë kompetenca për përfaqësim, vendimmarrje ose kontroll mbi ta, kanë qenë objekt i një vendimi të formës së prerë ose një vendimi administrativ të formës së prerë për mashtrim, korrupsion, përfshirje në një organizatë kriminale, pastrim parash, veprave të lidhura me terrorizmin, punësim të f</w:t>
      </w:r>
      <w:r>
        <w:rPr>
          <w:rFonts w:ascii="Garamond" w:hAnsi="Garamond"/>
          <w:color w:val="212121"/>
          <w:spacing w:val="-4"/>
          <w:sz w:val="24"/>
          <w:szCs w:val="24"/>
          <w:lang w:val="sq-AL"/>
        </w:rPr>
        <w:t>ë</w:t>
      </w:r>
      <w:r>
        <w:rPr>
          <w:rFonts w:ascii="Garamond" w:hAnsi="Garamond"/>
          <w:spacing w:val="-4"/>
          <w:sz w:val="24"/>
          <w:szCs w:val="24"/>
          <w:lang w:val="sq-AL"/>
        </w:rPr>
        <w:t>mijëve ose trafikim të q</w:t>
      </w:r>
      <w:r>
        <w:rPr>
          <w:rFonts w:ascii="Garamond" w:hAnsi="Garamond"/>
          <w:color w:val="212121"/>
          <w:spacing w:val="-4"/>
          <w:sz w:val="24"/>
          <w:szCs w:val="24"/>
          <w:lang w:val="sq-AL"/>
        </w:rPr>
        <w:t>e</w:t>
      </w:r>
      <w:r>
        <w:rPr>
          <w:rFonts w:ascii="Garamond" w:hAnsi="Garamond"/>
          <w:spacing w:val="-4"/>
          <w:sz w:val="24"/>
          <w:szCs w:val="24"/>
          <w:lang w:val="sq-AL"/>
        </w:rPr>
        <w:t>nieve njerëzore.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ii. ose persona që kanë kompetenca për përfaqësim, vendimmarrje ose kontroll mbi ta, kanë qenë objekt i një vendimi të formës së prerë ose vendimi administrativ të formës së prerë për një parregullsi që ndikon në interesin financiar të BE-së;</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iii. janë fajtorë për paraqitje të gabuar në dhënien e informacionit të kërkuar si kusht për pjesëmarrje në procedurë ose nëse ata nuk e dorëzojnë këtë informacion;</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b) informon Komisionin Evropian nëse në lidhje me zbatimin e sh</w:t>
      </w:r>
      <w:r>
        <w:rPr>
          <w:rFonts w:ascii="Garamond" w:hAnsi="Garamond"/>
          <w:color w:val="212121"/>
          <w:spacing w:val="-4"/>
          <w:sz w:val="24"/>
          <w:szCs w:val="24"/>
          <w:lang w:val="sq-AL"/>
        </w:rPr>
        <w:t>ë</w:t>
      </w:r>
      <w:r>
        <w:rPr>
          <w:rFonts w:ascii="Garamond" w:hAnsi="Garamond"/>
          <w:spacing w:val="-4"/>
          <w:sz w:val="24"/>
          <w:szCs w:val="24"/>
          <w:lang w:val="sq-AL"/>
        </w:rPr>
        <w:t>rbimeve të ekspertëve, ka konstatuar se një palë e tretë është përfshirë në një nga situatat e përmendura në nenin 6.2 a) i) dhe ii) ose nëse ka zbuluar një tjetër mashtrim dhe /ose parregullsi. Komisioni Evropian do të vendosë këtë informacion në Sistemin e Zbulimit të Hershëm dhe Përjashtimit. Marrësi do të informojë Komisionin Evropian kur të jetë në dijeni se informacioni i transmetuar duhet të korrigjohet, përditësohet ose hiqet. Marrësi do të sigurojë që subjekti i interesuar të informohet se të dhënat e tij janë transmetuar te Komisioni Evropian dhe mund të përfshihen në Sistemin e Zbulimit të Hershëm dhe Përjashtimit dhe të publikohen në faqen e internetit të Komisionit Evropian.</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6.3 Marrësi mund të marrë në konsideratë, sipas rastit dhe në përgjegjësinë e tij, informacionin e përfshirë në Sistemin e Zbulimit të Hershëm dhe Përjashtimit, gjatë dhënies së kontratave. Aksesi në informacion mund të sigurohet nëpërmjet personave të autorizuar ose konsultimit në Komisionin Evropian.</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6.4 Menjëherë pas përfundimit të shërbimeve të ekspertëve të autorizuar, KfW-ja do t</w:t>
      </w:r>
      <w:r>
        <w:rPr>
          <w:rFonts w:ascii="Garamond" w:hAnsi="Garamond"/>
          <w:color w:val="212121"/>
          <w:spacing w:val="-4"/>
          <w:sz w:val="24"/>
          <w:szCs w:val="24"/>
          <w:lang w:val="sq-AL"/>
        </w:rPr>
        <w:t>ë</w:t>
      </w:r>
      <w:r>
        <w:rPr>
          <w:rFonts w:ascii="Garamond" w:hAnsi="Garamond"/>
          <w:spacing w:val="-4"/>
          <w:sz w:val="24"/>
          <w:szCs w:val="24"/>
          <w:lang w:val="sq-AL"/>
        </w:rPr>
        <w:t xml:space="preserve"> pajiset me një num</w:t>
      </w:r>
      <w:r>
        <w:rPr>
          <w:rFonts w:ascii="Garamond" w:hAnsi="Garamond"/>
          <w:color w:val="212121"/>
          <w:spacing w:val="-4"/>
          <w:sz w:val="24"/>
          <w:szCs w:val="24"/>
          <w:lang w:val="sq-AL"/>
        </w:rPr>
        <w:t>ë</w:t>
      </w:r>
      <w:r>
        <w:rPr>
          <w:rFonts w:ascii="Garamond" w:hAnsi="Garamond"/>
          <w:spacing w:val="-4"/>
          <w:sz w:val="24"/>
          <w:szCs w:val="24"/>
          <w:lang w:val="sq-AL"/>
        </w:rPr>
        <w:t>r t</w:t>
      </w:r>
      <w:r>
        <w:rPr>
          <w:rFonts w:ascii="Garamond" w:hAnsi="Garamond"/>
          <w:color w:val="212121"/>
          <w:spacing w:val="-4"/>
          <w:sz w:val="24"/>
          <w:szCs w:val="24"/>
          <w:lang w:val="sq-AL"/>
        </w:rPr>
        <w:t>ë</w:t>
      </w:r>
      <w:r>
        <w:rPr>
          <w:rFonts w:ascii="Garamond" w:hAnsi="Garamond"/>
          <w:spacing w:val="-4"/>
          <w:sz w:val="24"/>
          <w:szCs w:val="24"/>
          <w:lang w:val="sq-AL"/>
        </w:rPr>
        <w:t xml:space="preserve"> till</w:t>
      </w:r>
      <w:r>
        <w:rPr>
          <w:rFonts w:ascii="Garamond" w:hAnsi="Garamond"/>
          <w:color w:val="212121"/>
          <w:spacing w:val="-4"/>
          <w:sz w:val="24"/>
          <w:szCs w:val="24"/>
          <w:lang w:val="sq-AL"/>
        </w:rPr>
        <w:t>ë</w:t>
      </w:r>
      <w:r>
        <w:rPr>
          <w:rFonts w:ascii="Garamond" w:hAnsi="Garamond"/>
          <w:spacing w:val="-4"/>
          <w:sz w:val="24"/>
          <w:szCs w:val="24"/>
          <w:lang w:val="sq-AL"/>
        </w:rPr>
        <w:t xml:space="preserve"> të kopjeve të t</w:t>
      </w:r>
      <w:r>
        <w:rPr>
          <w:rFonts w:ascii="Garamond" w:hAnsi="Garamond"/>
          <w:color w:val="212121"/>
          <w:spacing w:val="-4"/>
          <w:sz w:val="24"/>
          <w:szCs w:val="24"/>
          <w:lang w:val="sq-AL"/>
        </w:rPr>
        <w:t>ë</w:t>
      </w:r>
      <w:r>
        <w:rPr>
          <w:rFonts w:ascii="Garamond" w:hAnsi="Garamond"/>
          <w:spacing w:val="-4"/>
          <w:sz w:val="24"/>
          <w:szCs w:val="24"/>
          <w:lang w:val="sq-AL"/>
        </w:rPr>
        <w:t xml:space="preserve"> gjitha skicave, raporteve, studimeve të hartuara nga Konsulenti, siç KfW-ja mund të k</w:t>
      </w:r>
      <w:r>
        <w:rPr>
          <w:rFonts w:ascii="Garamond" w:hAnsi="Garamond"/>
          <w:color w:val="212121"/>
          <w:spacing w:val="-4"/>
          <w:sz w:val="24"/>
          <w:szCs w:val="24"/>
          <w:lang w:val="sq-AL"/>
        </w:rPr>
        <w:t>ë</w:t>
      </w:r>
      <w:r>
        <w:rPr>
          <w:rFonts w:ascii="Garamond" w:hAnsi="Garamond"/>
          <w:spacing w:val="-4"/>
          <w:sz w:val="24"/>
          <w:szCs w:val="24"/>
          <w:lang w:val="sq-AL"/>
        </w:rPr>
        <w:t>rkoj</w:t>
      </w:r>
      <w:r>
        <w:rPr>
          <w:rFonts w:ascii="Garamond" w:hAnsi="Garamond"/>
          <w:color w:val="212121"/>
          <w:spacing w:val="-4"/>
          <w:sz w:val="24"/>
          <w:szCs w:val="24"/>
          <w:lang w:val="sq-AL"/>
        </w:rPr>
        <w:t>ë</w:t>
      </w:r>
      <w:r>
        <w:rPr>
          <w:rFonts w:ascii="Garamond" w:hAnsi="Garamond"/>
          <w:spacing w:val="-4"/>
          <w:sz w:val="24"/>
          <w:szCs w:val="24"/>
          <w:lang w:val="sq-AL"/>
        </w:rPr>
        <w:t>. KfW-ja mund të ketë vlerësuar studimet e lartpërmendura.</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6.5 Nga financimi i shërbimeve të ekspertëve, Marrësi nuk mund të përfitojë të drejtën për financimin e projektit të përgatitur nga shërbimet e ekspertëve.</w:t>
      </w:r>
    </w:p>
    <w:p w:rsidR="005C0BD2" w:rsidRPr="005C0BD2" w:rsidRDefault="005C0BD2" w:rsidP="005C0BD2">
      <w:pPr>
        <w:pStyle w:val="Hapesira7"/>
        <w:rPr>
          <w:lang w:val="sq-AL"/>
        </w:rPr>
      </w:pPr>
    </w:p>
    <w:p w:rsidR="005C0BD2" w:rsidRDefault="005C0BD2" w:rsidP="005C0BD2">
      <w:pPr>
        <w:pStyle w:val="NeniNr"/>
        <w:rPr>
          <w:spacing w:val="-4"/>
          <w:lang w:val="sq-AL"/>
        </w:rPr>
      </w:pPr>
      <w:r>
        <w:rPr>
          <w:spacing w:val="-4"/>
          <w:lang w:val="sq-AL"/>
        </w:rPr>
        <w:t xml:space="preserve">Neni 7 </w:t>
      </w:r>
    </w:p>
    <w:p w:rsidR="005C0BD2" w:rsidRDefault="005C0BD2" w:rsidP="005C0BD2">
      <w:pPr>
        <w:pStyle w:val="NeniTitull"/>
        <w:rPr>
          <w:spacing w:val="-4"/>
          <w:lang w:val="sq-AL"/>
        </w:rPr>
      </w:pPr>
      <w:r>
        <w:rPr>
          <w:spacing w:val="-4"/>
          <w:lang w:val="sq-AL"/>
        </w:rPr>
        <w:t>Shërbimet e konsulentëve</w:t>
      </w:r>
    </w:p>
    <w:p w:rsidR="005C0BD2" w:rsidRDefault="005C0BD2" w:rsidP="005C0BD2">
      <w:pPr>
        <w:pStyle w:val="Hapesira7"/>
        <w:rPr>
          <w:lang w:val="sq-AL"/>
        </w:rPr>
      </w:pP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7.1 Detyrat e konsulentëve për vendet përkatëse të Projektit do të përbëjnë:</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rishikimin dhe specifikimin e masave investuese të parashikuara;</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krahasimin e masave alternative teknike;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analizën e fizibilitetit teknik, si dhe aspektet e kostos dhe përfitimit të masave investuese të parashikuara;</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analizën dhe vlerësimin e ndikimeve mjedisore dhe sociale.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7.2 KfW-ja do të zotërojë të drejtën e pakufizuar për të përdorur dhe shfrytëzuar rezultatet e shërbimeve të ekspertëve dhe të gjitha dokumentet e financuara nga ky kontribut financiar në çdo koh</w:t>
      </w:r>
      <w:r>
        <w:rPr>
          <w:rFonts w:ascii="Garamond" w:hAnsi="Garamond"/>
          <w:color w:val="212121"/>
          <w:spacing w:val="-4"/>
          <w:sz w:val="24"/>
          <w:szCs w:val="24"/>
          <w:lang w:val="sq-AL"/>
        </w:rPr>
        <w:t>ë</w:t>
      </w:r>
      <w:r>
        <w:rPr>
          <w:rFonts w:ascii="Garamond" w:hAnsi="Garamond"/>
          <w:spacing w:val="-4"/>
          <w:sz w:val="24"/>
          <w:szCs w:val="24"/>
          <w:lang w:val="sq-AL"/>
        </w:rPr>
        <w:t xml:space="preserve"> dhe në të gjitha vendet, sipas diskrecionit të vet.</w:t>
      </w:r>
    </w:p>
    <w:p w:rsidR="005C0BD2" w:rsidRDefault="005C0BD2" w:rsidP="005C0BD2">
      <w:pPr>
        <w:widowControl w:val="0"/>
        <w:spacing w:after="0" w:line="240" w:lineRule="auto"/>
        <w:ind w:firstLine="0"/>
        <w:rPr>
          <w:rFonts w:ascii="Garamond" w:hAnsi="Garamond"/>
          <w:spacing w:val="-4"/>
          <w:sz w:val="14"/>
          <w:szCs w:val="24"/>
          <w:lang w:val="sq-AL"/>
        </w:rPr>
      </w:pPr>
    </w:p>
    <w:p w:rsidR="005C0BD2" w:rsidRDefault="005C0BD2" w:rsidP="005C0BD2">
      <w:pPr>
        <w:pStyle w:val="NeniNr"/>
        <w:rPr>
          <w:spacing w:val="-4"/>
          <w:lang w:val="sq-AL"/>
        </w:rPr>
      </w:pPr>
      <w:r>
        <w:rPr>
          <w:spacing w:val="-4"/>
          <w:lang w:val="sq-AL"/>
        </w:rPr>
        <w:t xml:space="preserve">Neni 8 </w:t>
      </w:r>
    </w:p>
    <w:p w:rsidR="005C0BD2" w:rsidRDefault="005C0BD2" w:rsidP="005C0BD2">
      <w:pPr>
        <w:pStyle w:val="NeniTitull"/>
        <w:rPr>
          <w:spacing w:val="-4"/>
          <w:lang w:val="sq-AL"/>
        </w:rPr>
      </w:pPr>
      <w:r>
        <w:rPr>
          <w:spacing w:val="-4"/>
          <w:lang w:val="sq-AL"/>
        </w:rPr>
        <w:t>Publikimi dhe transferimi i informacionit të lidhur me shërbimet e ekspertëve</w:t>
      </w:r>
    </w:p>
    <w:p w:rsidR="005C0BD2" w:rsidRDefault="005C0BD2" w:rsidP="005C0BD2">
      <w:pPr>
        <w:pStyle w:val="Hapesira7"/>
        <w:rPr>
          <w:lang w:val="sq-AL"/>
        </w:rPr>
      </w:pP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8.1 Për të qenë në përputhje me parimet e pranuara ndërkombëtarisht të transparencës dhe efikasitetit maksimal në bashkëpunimin për zhvillim, KfW-ja publikon informacione të përzgjedhura (duke përfshirë raportet e vlerësimit) për shërbimet e ekspertëve dhe mënyrën sesi ato financohen gjatë bisedimeve parakontraktuale, ndërsa marrëveshja/et e lidhura me shërbimet e ekspertëve është/janë duke u zbatuar dhe në fazën paskontraktuale (në vijim e referuar si “E gjithë periudha”).</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Informacioni publikohet rregullisht në faqen e internetit të KfW-s</w:t>
      </w:r>
      <w:r>
        <w:rPr>
          <w:rFonts w:ascii="Garamond" w:hAnsi="Garamond"/>
          <w:color w:val="212121"/>
          <w:spacing w:val="-4"/>
          <w:sz w:val="24"/>
          <w:szCs w:val="24"/>
          <w:lang w:val="sq-AL"/>
        </w:rPr>
        <w:t>ë</w:t>
      </w:r>
      <w:r>
        <w:rPr>
          <w:rFonts w:ascii="Garamond" w:hAnsi="Garamond"/>
          <w:spacing w:val="-4"/>
          <w:sz w:val="24"/>
          <w:szCs w:val="24"/>
          <w:lang w:val="sq-AL"/>
        </w:rPr>
        <w:t xml:space="preserve"> për fushën e saj të biznesit “KfW</w:t>
      </w:r>
      <w:r>
        <w:rPr>
          <w:rFonts w:ascii="Garamond" w:hAnsi="Garamond"/>
          <w:spacing w:val="-4"/>
          <w:sz w:val="2"/>
          <w:szCs w:val="24"/>
          <w:lang w:val="sq-AL"/>
        </w:rPr>
        <w:t xml:space="preserve"> </w:t>
      </w:r>
      <w:r>
        <w:rPr>
          <w:rFonts w:ascii="Garamond" w:hAnsi="Garamond"/>
          <w:spacing w:val="-4"/>
          <w:sz w:val="24"/>
          <w:szCs w:val="24"/>
          <w:lang w:val="sq-AL"/>
        </w:rPr>
        <w:t>Development Bank” (</w:t>
      </w:r>
      <w:hyperlink r:id="rId7" w:history="1">
        <w:r>
          <w:rPr>
            <w:rStyle w:val="Hyperlink"/>
            <w:rFonts w:ascii="Garamond" w:hAnsi="Garamond"/>
            <w:spacing w:val="-4"/>
            <w:szCs w:val="24"/>
            <w:lang w:val="sq-AL"/>
          </w:rPr>
          <w:t>http://transparenz.kfw-entwicklungsbank.de/</w:t>
        </w:r>
      </w:hyperlink>
      <w:r>
        <w:rPr>
          <w:rFonts w:ascii="Garamond" w:hAnsi="Garamond"/>
          <w:spacing w:val="-4"/>
          <w:sz w:val="24"/>
          <w:szCs w:val="24"/>
          <w:lang w:val="sq-AL"/>
        </w:rPr>
        <w:t>).</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Publikimi i informacionit (ose nga KfW-ja, ose palët e treta në pajtim me nenin 8.3 më poshtë) në lidhje me shërbimet e ekspertëve dhe mënyrën sesi ato financohen, nuk përfshin asnjë dokumentacion kontraktual ose informacion të detajuar sensitiv financiar ose të lidhur me biznesin për palët e përfshira në shërbimet e eksperteve ose financimin e tyre, të tillë si:</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a) informacion për të dhënat e brendshme financiare;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lastRenderedPageBreak/>
        <w:t>b) strategji biznesi;</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c) udhëzime dhe raporte të brendshme të korporatës;</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d) të dhëna personale të personave fizikë;</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e) klasifikimi i brendshëm i KfW-s</w:t>
      </w:r>
      <w:r>
        <w:rPr>
          <w:rFonts w:ascii="Garamond" w:hAnsi="Garamond"/>
          <w:color w:val="212121"/>
          <w:spacing w:val="-4"/>
          <w:sz w:val="24"/>
          <w:szCs w:val="24"/>
          <w:lang w:val="sq-AL"/>
        </w:rPr>
        <w:t>ë</w:t>
      </w:r>
      <w:r>
        <w:rPr>
          <w:rFonts w:ascii="Garamond" w:hAnsi="Garamond"/>
          <w:spacing w:val="-4"/>
          <w:sz w:val="24"/>
          <w:szCs w:val="24"/>
          <w:lang w:val="sq-AL"/>
        </w:rPr>
        <w:t xml:space="preserve"> për pozicionin financiar të palëve.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8.2 KfW-ja ndan informacionin e përzgjedhur për shërbimet e ekspertëve dhe mënyrën sesi ato financohen gjatë të gjithë periudhës me subjektet e përmendura më poshtë, veçanërisht për të siguruar transparencë dhe efikasitet:</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a) filialet e KfW-së;</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b) Republika Federale e Gjermanisë dhe organet, autoritetet, institucionet, agjencitë ose subjektet e saj kompetente;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c) organizata të tjera zbatuese të përfshira në bashkëpunimin dypalësh gjerman për zhvillim, veçanërisht Deutsche Gesellschaft f</w:t>
      </w:r>
      <w:r>
        <w:rPr>
          <w:rFonts w:ascii="Garamond" w:hAnsi="Garamond" w:cs="Times"/>
          <w:spacing w:val="-4"/>
          <w:sz w:val="24"/>
          <w:szCs w:val="24"/>
          <w:lang w:val="sq-AL"/>
        </w:rPr>
        <w:t>ü</w:t>
      </w:r>
      <w:r>
        <w:rPr>
          <w:rFonts w:ascii="Garamond" w:hAnsi="Garamond"/>
          <w:spacing w:val="-4"/>
          <w:sz w:val="24"/>
          <w:szCs w:val="24"/>
          <w:lang w:val="sq-AL"/>
        </w:rPr>
        <w:t>r Internacionale Zusammenarbeit (GIZ) GmbH;</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d) organizatat ndërkombëtare, të përfshira në mbledhjen e të dhënave statistikore dhe anëtarë të tyre, veçanërisht, Organizata për Bashkëpunim Ekonomik dhe Zhvillim (OECD) dhe anëtarët e saj;</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e) palët e kushteve të përgjithshme të EWBJF-së;</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f) institucionet që administrojnë EWBJF-në;</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g) Bashkimi Evropian dhe institucionet e tij.</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8.3 Gjithashtu, Republika Federale e Gjermanisë i ka kërkuar KfW-së që të ndajë Informacionin e përzgjedhur për shërbimet e ekspertëve dhe mënyrën sesi financohet gjatë të gjithë periudhës me subjektet e mëposhtme, të cilat publikojnë pjesët e lidhura me qëllimin:</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a) Republika Federale e Gjermanisë, për qëllime të Nismës për Transparencën e Ndihmës Ndërkombëtare (http://www. bmz de /de /was_ wir_machen /wege / transparenz-fuer-mehr- Wirksamkeit /index.html);</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b) Germany Trade &amp; Invest (GTAI) për qëllimet e informacionit të tregut</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(http://www.gtai.de/GTAI/Navigation/DE/trade.FOO);</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c) OECD-ja, për qëllim të raportimit të flukseve financiare në kuadrin e bashkëpunimit për zhvillim (http://stats.oecd.org/);</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d) Instituti Gjerman për Vlerësimin e Zhvillimit (DEval) për qëllimet e vlerësimit të bashkëpunimit të përgjithshëm gjerman për zhvillim, për të siguruar</w:t>
      </w:r>
      <w:r>
        <w:rPr>
          <w:rFonts w:ascii="Garamond" w:hAnsi="Garamond"/>
          <w:spacing w:val="-4"/>
          <w:sz w:val="8"/>
          <w:szCs w:val="24"/>
          <w:lang w:val="sq-AL"/>
        </w:rPr>
        <w:t xml:space="preserve"> </w:t>
      </w:r>
      <w:r>
        <w:rPr>
          <w:rFonts w:ascii="Garamond" w:hAnsi="Garamond"/>
          <w:spacing w:val="-4"/>
          <w:sz w:val="24"/>
          <w:szCs w:val="24"/>
          <w:lang w:val="sq-AL"/>
        </w:rPr>
        <w:t>transparencë</w:t>
      </w:r>
      <w:r>
        <w:rPr>
          <w:rFonts w:ascii="Garamond" w:hAnsi="Garamond"/>
          <w:spacing w:val="-4"/>
          <w:sz w:val="12"/>
          <w:szCs w:val="24"/>
          <w:lang w:val="sq-AL"/>
        </w:rPr>
        <w:t xml:space="preserve"> </w:t>
      </w:r>
      <w:r>
        <w:rPr>
          <w:rFonts w:ascii="Garamond" w:hAnsi="Garamond"/>
          <w:spacing w:val="-4"/>
          <w:sz w:val="24"/>
          <w:szCs w:val="24"/>
          <w:lang w:val="sq-AL"/>
        </w:rPr>
        <w:t>dhe</w:t>
      </w:r>
      <w:r>
        <w:rPr>
          <w:rFonts w:ascii="Garamond" w:hAnsi="Garamond"/>
          <w:spacing w:val="-4"/>
          <w:sz w:val="12"/>
          <w:szCs w:val="24"/>
          <w:lang w:val="sq-AL"/>
        </w:rPr>
        <w:t xml:space="preserve"> </w:t>
      </w:r>
      <w:r>
        <w:rPr>
          <w:rFonts w:ascii="Garamond" w:hAnsi="Garamond"/>
          <w:spacing w:val="-4"/>
          <w:sz w:val="24"/>
          <w:szCs w:val="24"/>
          <w:lang w:val="sq-AL"/>
        </w:rPr>
        <w:t>efikasitet (</w:t>
      </w:r>
      <w:r>
        <w:rPr>
          <w:rFonts w:ascii="Garamond" w:hAnsi="Garamond"/>
          <w:spacing w:val="-4"/>
          <w:szCs w:val="24"/>
          <w:lang w:val="sq-AL"/>
        </w:rPr>
        <w:t>http://www.deval.org/de/);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e) Palët në kushtet e përgjithshme të EWBJF-së;</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f) institucionet që administrojnë EWBJF-në;</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g) Bashkimi Evropian dhe institucionet e tij.</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8.4 KfW-ja më tej rezervon të drejtën për të transferuar (duke përfshirë për qëllime të publikimit) informacion mbi shërbimet e ekspertëve dhe mënyrën sesi ato financohen gjatë të </w:t>
      </w:r>
      <w:r>
        <w:rPr>
          <w:rFonts w:ascii="Garamond" w:hAnsi="Garamond"/>
          <w:b/>
          <w:spacing w:val="-4"/>
          <w:sz w:val="24"/>
          <w:szCs w:val="24"/>
          <w:lang w:val="sq-AL"/>
        </w:rPr>
        <w:t>gjithë periudhës</w:t>
      </w:r>
      <w:r>
        <w:rPr>
          <w:rFonts w:ascii="Garamond" w:hAnsi="Garamond"/>
          <w:spacing w:val="-4"/>
          <w:sz w:val="24"/>
          <w:szCs w:val="24"/>
          <w:lang w:val="sq-AL"/>
        </w:rPr>
        <w:t xml:space="preserve"> për palët e tjera të treta, në mënyrë që të mbrojnë interesat e ligjshme.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Informacioni nuk transferohet nga KfW-ja te palët e tjera të treta, nëse interesat e përligjura të Marrësit në informacionin që nuk transferohen tejkalojnë interesat e KfW-së në informacionin që transferohet. Interesat e përligjura të Marrësit, në veçanti përfshijnë konfidencialitetin e informacionit sensitiv të përmendur në nenin 8.1, i cili përjashtohet nga publikimi.</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Gjithashtu, KfW-ja ka të drejtë të transferojë informacion te palët e treta nëse kjo është e nevojshme për shkak të kërkesave ligjore ose rregullatore ose për të mbështetur ose mbrojtur pretendimet ose të drejtat e tjera ligjore në gjykatë ose procedime administrative.</w:t>
      </w:r>
    </w:p>
    <w:p w:rsidR="005C0BD2" w:rsidRDefault="005C0BD2" w:rsidP="005C0BD2">
      <w:pPr>
        <w:pStyle w:val="Hapesira7"/>
        <w:ind w:firstLine="0"/>
        <w:rPr>
          <w:lang w:val="sq-AL"/>
        </w:rPr>
      </w:pPr>
    </w:p>
    <w:p w:rsidR="005C0BD2" w:rsidRDefault="005C0BD2" w:rsidP="005C0BD2">
      <w:pPr>
        <w:pStyle w:val="NeniNr"/>
        <w:rPr>
          <w:spacing w:val="-4"/>
          <w:lang w:val="sq-AL"/>
        </w:rPr>
      </w:pPr>
      <w:r>
        <w:rPr>
          <w:spacing w:val="-4"/>
          <w:lang w:val="sq-AL"/>
        </w:rPr>
        <w:t xml:space="preserve">Neni 9 </w:t>
      </w:r>
    </w:p>
    <w:p w:rsidR="005C0BD2" w:rsidRDefault="005C0BD2" w:rsidP="005C0BD2">
      <w:pPr>
        <w:pStyle w:val="NeniTitull"/>
        <w:rPr>
          <w:spacing w:val="-4"/>
          <w:lang w:val="sq-AL"/>
        </w:rPr>
      </w:pPr>
      <w:r>
        <w:rPr>
          <w:spacing w:val="-4"/>
          <w:lang w:val="sq-AL"/>
        </w:rPr>
        <w:t>Dispozita të ndryshme</w:t>
      </w:r>
    </w:p>
    <w:p w:rsidR="005C0BD2" w:rsidRDefault="005C0BD2" w:rsidP="005C0BD2">
      <w:pPr>
        <w:pStyle w:val="Hapesira7"/>
        <w:rPr>
          <w:lang w:val="sq-AL"/>
        </w:rPr>
      </w:pP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9.1 Marrësi merr përsipër të përmbushë, në çdo kohë, detyrimet e përcaktuara në shtojcën 1 (Angazhimet e pajtueshmërisë).</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9.2 Nëse ndonjë nga dispozitat e kësaj Marrëveshjeje është e pavlefshme, të gjitha dispozitat e tjera do të mbeten të pacenuara në këtë mënyrë. Çdo boshllëk që rezulton prej tyre duhet të plotësohet nga një dispozitë në përputhje me qëllimin e kësaj Marrëveshjeje.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9.3 Marrësi nuk mund të delegojë ose transferojë, lërë peng ose hipotekojë detyrime nga kjo Marrëveshje.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9.4 Kjo Marrëveshje rregullohet nga ligji i Republikës Federale të Gjermanisë. Vendi i përmbushjes do të jetë Frankfurt am Main.</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9.5 Marrëdhëniet juridike të përcaktuara nga kjo Marrëveshje ndërmjet KfW-s</w:t>
      </w:r>
      <w:r>
        <w:rPr>
          <w:rFonts w:ascii="Garamond" w:hAnsi="Garamond"/>
          <w:color w:val="212121"/>
          <w:spacing w:val="-4"/>
          <w:sz w:val="24"/>
          <w:szCs w:val="24"/>
          <w:lang w:val="sq-AL"/>
        </w:rPr>
        <w:t>ë</w:t>
      </w:r>
      <w:r>
        <w:rPr>
          <w:rFonts w:ascii="Garamond" w:hAnsi="Garamond"/>
          <w:spacing w:val="-4"/>
          <w:sz w:val="24"/>
          <w:szCs w:val="24"/>
          <w:lang w:val="sq-AL"/>
        </w:rPr>
        <w:t xml:space="preserve"> dhe Marrësit do të përfundojnë me fundin e kohëzgjatjes operacionale të Shërbimeve të Ekspertëve, por jo më vonë se 15 vjet pas nënshkrimit të kësaj Marrëveshjeje.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9.6 Kjo Marrëveshje Financimi do të hyjë në fuqi pasi KfW-ja të ketë marrë njoftimin me shkrim të </w:t>
      </w:r>
      <w:r>
        <w:rPr>
          <w:rFonts w:ascii="Garamond" w:hAnsi="Garamond"/>
          <w:spacing w:val="-4"/>
          <w:sz w:val="24"/>
          <w:szCs w:val="24"/>
          <w:lang w:val="sq-AL"/>
        </w:rPr>
        <w:lastRenderedPageBreak/>
        <w:t>Marrësit se procedurat e brendshme që duhet të përmbushen nga Marrësi janë plotësuar.</w:t>
      </w:r>
    </w:p>
    <w:p w:rsidR="005C0BD2" w:rsidRDefault="005C0BD2" w:rsidP="005C0BD2">
      <w:pPr>
        <w:widowControl w:val="0"/>
        <w:spacing w:after="0" w:line="240" w:lineRule="auto"/>
        <w:outlineLvl w:val="0"/>
        <w:rPr>
          <w:rFonts w:ascii="Garamond" w:hAnsi="Garamond"/>
          <w:spacing w:val="-4"/>
          <w:sz w:val="24"/>
          <w:szCs w:val="24"/>
          <w:lang w:val="sq-AL"/>
        </w:rPr>
      </w:pPr>
      <w:r>
        <w:rPr>
          <w:rFonts w:ascii="Garamond" w:hAnsi="Garamond"/>
          <w:spacing w:val="-4"/>
          <w:sz w:val="24"/>
          <w:szCs w:val="24"/>
          <w:lang w:val="sq-AL"/>
        </w:rPr>
        <w:t>Bërë në dy origjinale në gjuhën angleze</w:t>
      </w:r>
    </w:p>
    <w:p w:rsidR="005C0BD2" w:rsidRDefault="005C0BD2" w:rsidP="005C0BD2">
      <w:pPr>
        <w:widowControl w:val="0"/>
        <w:spacing w:after="0" w:line="240" w:lineRule="auto"/>
        <w:outlineLvl w:val="0"/>
        <w:rPr>
          <w:rFonts w:ascii="Garamond" w:hAnsi="Garamond"/>
          <w:spacing w:val="-4"/>
          <w:sz w:val="24"/>
          <w:szCs w:val="24"/>
          <w:lang w:val="sq-AL"/>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450"/>
      </w:tblGrid>
      <w:tr w:rsidR="005C0BD2" w:rsidTr="005C0BD2">
        <w:trPr>
          <w:trHeight w:val="512"/>
        </w:trPr>
        <w:tc>
          <w:tcPr>
            <w:tcW w:w="2340" w:type="dxa"/>
            <w:hideMark/>
          </w:tcPr>
          <w:p w:rsidR="005C0BD2" w:rsidRDefault="005C0BD2">
            <w:pPr>
              <w:widowControl w:val="0"/>
              <w:spacing w:after="0" w:line="240" w:lineRule="auto"/>
              <w:jc w:val="center"/>
              <w:rPr>
                <w:rFonts w:ascii="Garamond" w:hAnsi="Garamond"/>
                <w:b/>
                <w:spacing w:val="-4"/>
                <w:sz w:val="22"/>
                <w:szCs w:val="22"/>
                <w:lang w:val="sq-AL"/>
              </w:rPr>
            </w:pPr>
            <w:r>
              <w:rPr>
                <w:rFonts w:ascii="Garamond" w:hAnsi="Garamond"/>
                <w:b/>
                <w:spacing w:val="-4"/>
                <w:lang w:val="sq-AL"/>
              </w:rPr>
              <w:t>Frankfurt am Main,</w:t>
            </w:r>
          </w:p>
        </w:tc>
        <w:tc>
          <w:tcPr>
            <w:tcW w:w="2450" w:type="dxa"/>
            <w:hideMark/>
          </w:tcPr>
          <w:p w:rsidR="005C0BD2" w:rsidRDefault="005C0BD2">
            <w:pPr>
              <w:widowControl w:val="0"/>
              <w:spacing w:after="0" w:line="240" w:lineRule="auto"/>
              <w:jc w:val="center"/>
              <w:rPr>
                <w:rFonts w:ascii="Garamond" w:hAnsi="Garamond"/>
                <w:spacing w:val="-4"/>
                <w:lang w:val="sq-AL"/>
              </w:rPr>
            </w:pPr>
            <w:r>
              <w:rPr>
                <w:rFonts w:ascii="Garamond" w:hAnsi="Garamond"/>
                <w:spacing w:val="-4"/>
                <w:lang w:val="sq-AL"/>
              </w:rPr>
              <w:t>Tiranë,</w:t>
            </w:r>
          </w:p>
        </w:tc>
      </w:tr>
      <w:tr w:rsidR="005C0BD2" w:rsidTr="005C0BD2">
        <w:tc>
          <w:tcPr>
            <w:tcW w:w="2340" w:type="dxa"/>
          </w:tcPr>
          <w:p w:rsidR="005C0BD2" w:rsidRDefault="005C0BD2">
            <w:pPr>
              <w:widowControl w:val="0"/>
              <w:spacing w:after="0" w:line="240" w:lineRule="auto"/>
              <w:jc w:val="center"/>
              <w:rPr>
                <w:rFonts w:ascii="Garamond" w:hAnsi="Garamond"/>
                <w:spacing w:val="-4"/>
                <w:lang w:val="sq-AL"/>
              </w:rPr>
            </w:pPr>
            <w:r>
              <w:rPr>
                <w:rFonts w:ascii="Garamond" w:hAnsi="Garamond"/>
                <w:spacing w:val="-4"/>
                <w:lang w:val="sq-AL"/>
              </w:rPr>
              <w:t>Në datën 18 dhjetor 2018</w:t>
            </w:r>
          </w:p>
          <w:p w:rsidR="005C0BD2" w:rsidRDefault="005C0BD2">
            <w:pPr>
              <w:widowControl w:val="0"/>
              <w:spacing w:after="0" w:line="240" w:lineRule="auto"/>
              <w:ind w:firstLine="0"/>
              <w:jc w:val="center"/>
              <w:outlineLvl w:val="0"/>
              <w:rPr>
                <w:rFonts w:ascii="Garamond" w:hAnsi="Garamond"/>
                <w:spacing w:val="-4"/>
                <w:lang w:val="sq-AL"/>
              </w:rPr>
            </w:pPr>
          </w:p>
        </w:tc>
        <w:tc>
          <w:tcPr>
            <w:tcW w:w="2450" w:type="dxa"/>
          </w:tcPr>
          <w:p w:rsidR="005C0BD2" w:rsidRDefault="005C0BD2">
            <w:pPr>
              <w:widowControl w:val="0"/>
              <w:spacing w:after="0" w:line="240" w:lineRule="auto"/>
              <w:jc w:val="left"/>
              <w:rPr>
                <w:rFonts w:ascii="Garamond" w:hAnsi="Garamond"/>
                <w:spacing w:val="-4"/>
                <w:lang w:val="sq-AL"/>
              </w:rPr>
            </w:pPr>
            <w:r>
              <w:rPr>
                <w:rFonts w:ascii="Garamond" w:hAnsi="Garamond"/>
                <w:spacing w:val="-4"/>
                <w:lang w:val="sq-AL"/>
              </w:rPr>
              <w:t>Në datën 18 dhjetor 2018</w:t>
            </w:r>
          </w:p>
          <w:p w:rsidR="005C0BD2" w:rsidRDefault="005C0BD2">
            <w:pPr>
              <w:widowControl w:val="0"/>
              <w:spacing w:after="0" w:line="240" w:lineRule="auto"/>
              <w:ind w:firstLine="0"/>
              <w:jc w:val="left"/>
              <w:outlineLvl w:val="0"/>
              <w:rPr>
                <w:rFonts w:ascii="Garamond" w:hAnsi="Garamond"/>
                <w:spacing w:val="-4"/>
                <w:lang w:val="sq-AL"/>
              </w:rPr>
            </w:pPr>
          </w:p>
        </w:tc>
      </w:tr>
      <w:tr w:rsidR="005C0BD2" w:rsidTr="005C0BD2">
        <w:trPr>
          <w:trHeight w:val="323"/>
        </w:trPr>
        <w:tc>
          <w:tcPr>
            <w:tcW w:w="2340" w:type="dxa"/>
          </w:tcPr>
          <w:p w:rsidR="005C0BD2" w:rsidRDefault="005C0BD2">
            <w:pPr>
              <w:widowControl w:val="0"/>
              <w:spacing w:after="0" w:line="240" w:lineRule="auto"/>
              <w:jc w:val="center"/>
              <w:rPr>
                <w:rFonts w:ascii="Garamond" w:hAnsi="Garamond"/>
                <w:b/>
                <w:spacing w:val="-4"/>
                <w:lang w:val="sq-AL"/>
              </w:rPr>
            </w:pPr>
            <w:r>
              <w:rPr>
                <w:rFonts w:ascii="Garamond" w:hAnsi="Garamond"/>
                <w:b/>
                <w:spacing w:val="-4"/>
                <w:lang w:val="sq-AL"/>
              </w:rPr>
              <w:t>KfW</w:t>
            </w:r>
          </w:p>
          <w:p w:rsidR="005C0BD2" w:rsidRDefault="005C0BD2">
            <w:pPr>
              <w:widowControl w:val="0"/>
              <w:spacing w:after="0" w:line="240" w:lineRule="auto"/>
              <w:jc w:val="center"/>
              <w:rPr>
                <w:rFonts w:ascii="Garamond" w:hAnsi="Garamond"/>
                <w:spacing w:val="-4"/>
                <w:lang w:val="sq-AL"/>
              </w:rPr>
            </w:pPr>
          </w:p>
        </w:tc>
        <w:tc>
          <w:tcPr>
            <w:tcW w:w="2450" w:type="dxa"/>
            <w:hideMark/>
          </w:tcPr>
          <w:p w:rsidR="005C0BD2" w:rsidRDefault="005C0BD2">
            <w:pPr>
              <w:widowControl w:val="0"/>
              <w:spacing w:after="0" w:line="240" w:lineRule="auto"/>
              <w:jc w:val="center"/>
              <w:rPr>
                <w:rFonts w:ascii="Garamond" w:hAnsi="Garamond"/>
                <w:spacing w:val="-4"/>
                <w:lang w:val="sq-AL"/>
              </w:rPr>
            </w:pPr>
            <w:r>
              <w:rPr>
                <w:rFonts w:ascii="Garamond" w:hAnsi="Garamond"/>
                <w:spacing w:val="-4"/>
                <w:lang w:val="sq-AL"/>
              </w:rPr>
              <w:t>Arben Ahmetaj</w:t>
            </w:r>
          </w:p>
        </w:tc>
      </w:tr>
      <w:tr w:rsidR="005C0BD2" w:rsidTr="005C0BD2">
        <w:trPr>
          <w:trHeight w:val="278"/>
        </w:trPr>
        <w:tc>
          <w:tcPr>
            <w:tcW w:w="2340" w:type="dxa"/>
          </w:tcPr>
          <w:p w:rsidR="005C0BD2" w:rsidRDefault="005C0BD2">
            <w:pPr>
              <w:widowControl w:val="0"/>
              <w:spacing w:after="0" w:line="240" w:lineRule="auto"/>
              <w:ind w:firstLine="0"/>
              <w:jc w:val="center"/>
              <w:outlineLvl w:val="0"/>
              <w:rPr>
                <w:rFonts w:ascii="Garamond" w:hAnsi="Garamond"/>
                <w:spacing w:val="-4"/>
                <w:lang w:val="sq-AL"/>
              </w:rPr>
            </w:pPr>
          </w:p>
        </w:tc>
        <w:tc>
          <w:tcPr>
            <w:tcW w:w="2450" w:type="dxa"/>
            <w:hideMark/>
          </w:tcPr>
          <w:p w:rsidR="005C0BD2" w:rsidRDefault="005C0BD2">
            <w:pPr>
              <w:widowControl w:val="0"/>
              <w:spacing w:after="0" w:line="240" w:lineRule="auto"/>
              <w:jc w:val="center"/>
              <w:rPr>
                <w:rFonts w:ascii="Garamond" w:hAnsi="Garamond"/>
                <w:b/>
                <w:spacing w:val="-4"/>
                <w:lang w:val="sq-AL"/>
              </w:rPr>
            </w:pPr>
            <w:r>
              <w:rPr>
                <w:rFonts w:ascii="Garamond" w:hAnsi="Garamond"/>
                <w:b/>
                <w:spacing w:val="-4"/>
                <w:lang w:val="sq-AL"/>
              </w:rPr>
              <w:t>Ministër</w:t>
            </w:r>
          </w:p>
        </w:tc>
      </w:tr>
      <w:tr w:rsidR="005C0BD2" w:rsidTr="005C0BD2">
        <w:trPr>
          <w:trHeight w:val="1214"/>
        </w:trPr>
        <w:tc>
          <w:tcPr>
            <w:tcW w:w="2340" w:type="dxa"/>
          </w:tcPr>
          <w:p w:rsidR="005C0BD2" w:rsidRDefault="005C0BD2">
            <w:pPr>
              <w:widowControl w:val="0"/>
              <w:spacing w:after="0" w:line="240" w:lineRule="auto"/>
              <w:ind w:firstLine="0"/>
              <w:outlineLvl w:val="0"/>
              <w:rPr>
                <w:rFonts w:ascii="Garamond" w:hAnsi="Garamond"/>
                <w:spacing w:val="-4"/>
                <w:lang w:val="sq-AL"/>
              </w:rPr>
            </w:pPr>
          </w:p>
        </w:tc>
        <w:tc>
          <w:tcPr>
            <w:tcW w:w="2450" w:type="dxa"/>
            <w:hideMark/>
          </w:tcPr>
          <w:p w:rsidR="005C0BD2" w:rsidRDefault="005C0BD2">
            <w:pPr>
              <w:widowControl w:val="0"/>
              <w:spacing w:after="0" w:line="240" w:lineRule="auto"/>
              <w:jc w:val="center"/>
              <w:outlineLvl w:val="0"/>
              <w:rPr>
                <w:rFonts w:ascii="Garamond" w:hAnsi="Garamond"/>
                <w:spacing w:val="-4"/>
                <w:lang w:val="sq-AL"/>
              </w:rPr>
            </w:pPr>
            <w:r>
              <w:rPr>
                <w:rFonts w:ascii="Garamond" w:hAnsi="Garamond"/>
                <w:spacing w:val="-4"/>
                <w:lang w:val="sq-AL"/>
              </w:rPr>
              <w:t>Republika e Shqipërisë,</w:t>
            </w:r>
          </w:p>
          <w:p w:rsidR="005C0BD2" w:rsidRDefault="005C0BD2">
            <w:pPr>
              <w:widowControl w:val="0"/>
              <w:spacing w:after="0" w:line="240" w:lineRule="auto"/>
              <w:jc w:val="center"/>
              <w:rPr>
                <w:rFonts w:ascii="Garamond" w:hAnsi="Garamond"/>
                <w:spacing w:val="-4"/>
                <w:lang w:val="sq-AL"/>
              </w:rPr>
            </w:pPr>
            <w:r>
              <w:rPr>
                <w:rFonts w:ascii="Garamond" w:hAnsi="Garamond"/>
                <w:spacing w:val="-4"/>
                <w:lang w:val="sq-AL"/>
              </w:rPr>
              <w:t>e përfaqësuar nga</w:t>
            </w:r>
          </w:p>
          <w:p w:rsidR="005C0BD2" w:rsidRDefault="005C0BD2">
            <w:pPr>
              <w:widowControl w:val="0"/>
              <w:spacing w:after="0" w:line="240" w:lineRule="auto"/>
              <w:ind w:firstLine="0"/>
              <w:jc w:val="center"/>
              <w:outlineLvl w:val="0"/>
              <w:rPr>
                <w:rFonts w:ascii="Garamond" w:hAnsi="Garamond"/>
                <w:spacing w:val="-4"/>
                <w:lang w:val="sq-AL"/>
              </w:rPr>
            </w:pPr>
            <w:r>
              <w:rPr>
                <w:rFonts w:ascii="Garamond" w:hAnsi="Garamond"/>
                <w:spacing w:val="-4"/>
                <w:lang w:val="sq-AL"/>
              </w:rPr>
              <w:t>Ministria e Financave dhe Ekonomis</w:t>
            </w:r>
            <w:r>
              <w:rPr>
                <w:rFonts w:ascii="Garamond" w:hAnsi="Garamond"/>
                <w:color w:val="212121"/>
                <w:spacing w:val="-4"/>
                <w:lang w:val="sq-AL"/>
              </w:rPr>
              <w:t>ë</w:t>
            </w:r>
          </w:p>
        </w:tc>
      </w:tr>
      <w:tr w:rsidR="005C0BD2" w:rsidTr="005C0BD2">
        <w:trPr>
          <w:trHeight w:val="287"/>
        </w:trPr>
        <w:tc>
          <w:tcPr>
            <w:tcW w:w="2340" w:type="dxa"/>
          </w:tcPr>
          <w:p w:rsidR="005C0BD2" w:rsidRDefault="005C0BD2">
            <w:pPr>
              <w:widowControl w:val="0"/>
              <w:spacing w:after="0" w:line="240" w:lineRule="auto"/>
              <w:ind w:firstLine="0"/>
              <w:outlineLvl w:val="0"/>
              <w:rPr>
                <w:rFonts w:ascii="Garamond" w:hAnsi="Garamond"/>
                <w:spacing w:val="-4"/>
                <w:lang w:val="sq-AL"/>
              </w:rPr>
            </w:pPr>
          </w:p>
        </w:tc>
        <w:tc>
          <w:tcPr>
            <w:tcW w:w="2450" w:type="dxa"/>
            <w:hideMark/>
          </w:tcPr>
          <w:p w:rsidR="005C0BD2" w:rsidRDefault="005C0BD2">
            <w:pPr>
              <w:widowControl w:val="0"/>
              <w:spacing w:after="0" w:line="240" w:lineRule="auto"/>
              <w:jc w:val="center"/>
              <w:rPr>
                <w:rFonts w:ascii="Garamond" w:hAnsi="Garamond"/>
                <w:spacing w:val="-4"/>
                <w:lang w:val="sq-AL"/>
              </w:rPr>
            </w:pPr>
            <w:r>
              <w:rPr>
                <w:rFonts w:ascii="Garamond" w:hAnsi="Garamond"/>
                <w:spacing w:val="-4"/>
                <w:lang w:val="sq-AL"/>
              </w:rPr>
              <w:t>Damian Gjiknuri</w:t>
            </w:r>
          </w:p>
        </w:tc>
      </w:tr>
      <w:tr w:rsidR="005C0BD2" w:rsidTr="005C0BD2">
        <w:tc>
          <w:tcPr>
            <w:tcW w:w="2340" w:type="dxa"/>
          </w:tcPr>
          <w:p w:rsidR="005C0BD2" w:rsidRDefault="005C0BD2">
            <w:pPr>
              <w:widowControl w:val="0"/>
              <w:spacing w:after="0" w:line="240" w:lineRule="auto"/>
              <w:ind w:firstLine="0"/>
              <w:outlineLvl w:val="0"/>
              <w:rPr>
                <w:rFonts w:ascii="Garamond" w:hAnsi="Garamond"/>
                <w:spacing w:val="-4"/>
                <w:lang w:val="sq-AL"/>
              </w:rPr>
            </w:pPr>
          </w:p>
        </w:tc>
        <w:tc>
          <w:tcPr>
            <w:tcW w:w="2450" w:type="dxa"/>
            <w:hideMark/>
          </w:tcPr>
          <w:p w:rsidR="005C0BD2" w:rsidRDefault="005C0BD2">
            <w:pPr>
              <w:widowControl w:val="0"/>
              <w:spacing w:after="0" w:line="240" w:lineRule="auto"/>
              <w:jc w:val="center"/>
              <w:rPr>
                <w:rFonts w:ascii="Garamond" w:hAnsi="Garamond"/>
                <w:b/>
                <w:spacing w:val="-4"/>
                <w:lang w:val="sq-AL"/>
              </w:rPr>
            </w:pPr>
            <w:r>
              <w:rPr>
                <w:rFonts w:ascii="Garamond" w:hAnsi="Garamond"/>
                <w:b/>
                <w:spacing w:val="-4"/>
                <w:lang w:val="sq-AL"/>
              </w:rPr>
              <w:t>Ministër</w:t>
            </w:r>
          </w:p>
        </w:tc>
      </w:tr>
      <w:tr w:rsidR="005C0BD2" w:rsidTr="005C0BD2">
        <w:tc>
          <w:tcPr>
            <w:tcW w:w="2340" w:type="dxa"/>
          </w:tcPr>
          <w:p w:rsidR="005C0BD2" w:rsidRDefault="005C0BD2">
            <w:pPr>
              <w:widowControl w:val="0"/>
              <w:spacing w:after="0" w:line="240" w:lineRule="auto"/>
              <w:ind w:firstLine="0"/>
              <w:outlineLvl w:val="0"/>
              <w:rPr>
                <w:rFonts w:ascii="Garamond" w:hAnsi="Garamond"/>
                <w:spacing w:val="-4"/>
                <w:lang w:val="sq-AL"/>
              </w:rPr>
            </w:pPr>
          </w:p>
        </w:tc>
        <w:tc>
          <w:tcPr>
            <w:tcW w:w="2450" w:type="dxa"/>
          </w:tcPr>
          <w:p w:rsidR="005C0BD2" w:rsidRDefault="005C0BD2">
            <w:pPr>
              <w:widowControl w:val="0"/>
              <w:spacing w:after="0" w:line="240" w:lineRule="auto"/>
              <w:jc w:val="center"/>
              <w:outlineLvl w:val="0"/>
              <w:rPr>
                <w:rFonts w:ascii="Garamond" w:hAnsi="Garamond"/>
                <w:spacing w:val="-4"/>
                <w:lang w:val="sq-AL"/>
              </w:rPr>
            </w:pPr>
            <w:r>
              <w:rPr>
                <w:rFonts w:ascii="Garamond" w:hAnsi="Garamond"/>
                <w:spacing w:val="-4"/>
                <w:lang w:val="sq-AL"/>
              </w:rPr>
              <w:t>Lexuar dhe rënë dakord</w:t>
            </w:r>
          </w:p>
          <w:p w:rsidR="005C0BD2" w:rsidRDefault="005C0BD2">
            <w:pPr>
              <w:widowControl w:val="0"/>
              <w:spacing w:after="0" w:line="240" w:lineRule="auto"/>
              <w:jc w:val="center"/>
              <w:rPr>
                <w:rFonts w:ascii="Garamond" w:hAnsi="Garamond"/>
                <w:spacing w:val="-4"/>
                <w:lang w:val="sq-AL"/>
              </w:rPr>
            </w:pPr>
            <w:r>
              <w:rPr>
                <w:rFonts w:ascii="Garamond" w:hAnsi="Garamond"/>
                <w:spacing w:val="-4"/>
                <w:lang w:val="sq-AL"/>
              </w:rPr>
              <w:t>Ministria e Infrastrukturës dhe Energjis</w:t>
            </w:r>
            <w:r>
              <w:rPr>
                <w:rFonts w:ascii="Garamond" w:hAnsi="Garamond"/>
                <w:color w:val="212121"/>
                <w:spacing w:val="-4"/>
                <w:lang w:val="sq-AL"/>
              </w:rPr>
              <w:t>ë</w:t>
            </w:r>
          </w:p>
          <w:p w:rsidR="005C0BD2" w:rsidRDefault="005C0BD2">
            <w:pPr>
              <w:widowControl w:val="0"/>
              <w:spacing w:after="0" w:line="240" w:lineRule="auto"/>
              <w:ind w:firstLine="0"/>
              <w:jc w:val="center"/>
              <w:outlineLvl w:val="0"/>
              <w:rPr>
                <w:rFonts w:ascii="Garamond" w:hAnsi="Garamond"/>
                <w:spacing w:val="-4"/>
                <w:lang w:val="sq-AL"/>
              </w:rPr>
            </w:pPr>
          </w:p>
        </w:tc>
      </w:tr>
    </w:tbl>
    <w:p w:rsidR="005C0BD2" w:rsidRDefault="005C0BD2" w:rsidP="005C0BD2">
      <w:pPr>
        <w:pStyle w:val="Paragrafi"/>
        <w:rPr>
          <w:spacing w:val="-4"/>
          <w:lang w:val="sq-AL"/>
        </w:rPr>
      </w:pPr>
    </w:p>
    <w:p w:rsidR="005C0BD2" w:rsidRDefault="005C0BD2" w:rsidP="005C0BD2">
      <w:pPr>
        <w:pStyle w:val="Paragrafi"/>
        <w:rPr>
          <w:spacing w:val="-4"/>
          <w:lang w:val="sq-AL"/>
        </w:rPr>
      </w:pPr>
    </w:p>
    <w:p w:rsidR="005C0BD2" w:rsidRDefault="005C0BD2" w:rsidP="005C0BD2">
      <w:pPr>
        <w:pStyle w:val="Paragrafi"/>
        <w:rPr>
          <w:spacing w:val="-4"/>
          <w:lang w:val="sq-AL"/>
        </w:rPr>
      </w:pPr>
    </w:p>
    <w:p w:rsidR="005C0BD2" w:rsidRDefault="005C0BD2" w:rsidP="005C0BD2">
      <w:pPr>
        <w:pStyle w:val="Paragrafi"/>
        <w:rPr>
          <w:spacing w:val="-4"/>
          <w:lang w:val="sq-AL"/>
        </w:rPr>
      </w:pPr>
      <w:r>
        <w:rPr>
          <w:spacing w:val="-4"/>
          <w:lang w:val="sq-AL"/>
        </w:rPr>
        <w:t>Shtojca 1:  Angazhimet e pajtueshmërisë</w:t>
      </w:r>
    </w:p>
    <w:p w:rsidR="005C0BD2" w:rsidRDefault="005C0BD2" w:rsidP="005C0BD2">
      <w:pPr>
        <w:pStyle w:val="Paragrafi"/>
        <w:rPr>
          <w:spacing w:val="-4"/>
          <w:lang w:val="sq-AL"/>
        </w:rPr>
      </w:pPr>
      <w:r>
        <w:rPr>
          <w:spacing w:val="-4"/>
          <w:lang w:val="sq-AL"/>
        </w:rPr>
        <w:t>Shtojca 2: “Udhëzime për caktimin e konsulentëve në bashkëpunimin financiar me vendet partnere “(FI037122)</w:t>
      </w:r>
    </w:p>
    <w:p w:rsidR="005C0BD2" w:rsidRDefault="005C0BD2" w:rsidP="005C0BD2">
      <w:pPr>
        <w:pStyle w:val="Paragrafi"/>
        <w:rPr>
          <w:spacing w:val="-4"/>
          <w:lang w:val="sq-AL"/>
        </w:rPr>
      </w:pPr>
    </w:p>
    <w:p w:rsidR="005C0BD2" w:rsidRDefault="005C0BD2" w:rsidP="005C0BD2">
      <w:pPr>
        <w:pStyle w:val="NeniTitull"/>
        <w:rPr>
          <w:b w:val="0"/>
          <w:spacing w:val="-4"/>
          <w:lang w:val="sq-AL"/>
        </w:rPr>
      </w:pPr>
      <w:r>
        <w:rPr>
          <w:b w:val="0"/>
          <w:spacing w:val="-4"/>
          <w:lang w:val="sq-AL"/>
        </w:rPr>
        <w:t>SHTOJCA 1</w:t>
      </w:r>
    </w:p>
    <w:p w:rsidR="005C0BD2" w:rsidRDefault="005C0BD2" w:rsidP="005C0BD2">
      <w:pPr>
        <w:widowControl w:val="0"/>
        <w:spacing w:after="0" w:line="240" w:lineRule="auto"/>
        <w:jc w:val="center"/>
        <w:outlineLvl w:val="0"/>
        <w:rPr>
          <w:rFonts w:ascii="Garamond" w:hAnsi="Garamond"/>
          <w:spacing w:val="-4"/>
          <w:sz w:val="24"/>
          <w:szCs w:val="24"/>
          <w:lang w:val="sq-AL"/>
        </w:rPr>
      </w:pPr>
      <w:r>
        <w:rPr>
          <w:rFonts w:ascii="Garamond" w:hAnsi="Garamond"/>
          <w:spacing w:val="-4"/>
          <w:sz w:val="24"/>
          <w:szCs w:val="24"/>
          <w:lang w:val="sq-AL"/>
        </w:rPr>
        <w:t>ANGAZHIMET E PAJTUESHMËRISË</w:t>
      </w:r>
    </w:p>
    <w:p w:rsidR="005C0BD2" w:rsidRDefault="005C0BD2" w:rsidP="005C0BD2">
      <w:pPr>
        <w:pStyle w:val="Hapesira7"/>
        <w:rPr>
          <w:sz w:val="20"/>
          <w:lang w:val="sq-AL"/>
        </w:rPr>
      </w:pPr>
    </w:p>
    <w:p w:rsidR="005C0BD2" w:rsidRDefault="005C0BD2" w:rsidP="005C0BD2">
      <w:pPr>
        <w:widowControl w:val="0"/>
        <w:spacing w:after="0" w:line="240" w:lineRule="auto"/>
        <w:rPr>
          <w:rFonts w:ascii="Garamond" w:hAnsi="Garamond"/>
          <w:spacing w:val="-4"/>
          <w:sz w:val="24"/>
          <w:szCs w:val="24"/>
          <w:u w:val="single"/>
          <w:lang w:val="sq-AL"/>
        </w:rPr>
      </w:pPr>
      <w:r>
        <w:rPr>
          <w:rFonts w:ascii="Garamond" w:hAnsi="Garamond"/>
          <w:spacing w:val="-4"/>
          <w:sz w:val="24"/>
          <w:szCs w:val="24"/>
          <w:lang w:val="sq-AL"/>
        </w:rPr>
        <w:t>1. PËRKUFIZIME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“Praktikë shtrënguese”: dëmtimi ose dëmi, ose kërcënimi për të dëmtuar, drejtpërdrejt ose tërthorazi, ndonjë person ose pasuri të personit, me qëllim që të ndikojë në mënyrë të papërshtatshme në veprimet e një personi.</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“Praktikë e fshehtë”: një marrëveshje ndërmjet dy ose më shumë personave, e planifikuar për të arritur një qëllim të papërshtatshëm, duke përfshirë ndikimin në mënyrë të papërshtatshme në veprimet e një personi tjetër.</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“Praktikë korruptive”: premtimi, ofrimi, dhënia, marrja, këmbëngulja, pranimi ose kërkimi, drejtpërdrejt ose tërthorazi, i ndonjë pagese të paligjshme ose avantazhi i paligjshëm i çdo natyre, për ose nga ndonjë person, me qëllim të ndikimit në veprimet e ndonjë personi ose duke shkaktuar që ndonjë person të frenohet nga ndonjë veprim.</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“Praktikë mashtruese”: çdo veprim apo mosveprim, duke përfshirë paraqitjen e gabuar, i cili me dashje ose nga pakujdesia mashtron ose synon të mashtrojë një person për të marrë një përfitim financiar ose për të shmangur një detyrim.</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“Praktikë penguese”: i) shkatërrimi i qëllimshëm, falsifikimi, ndryshimi ose fshehja e provave materiale për hetimin ose bërja e deklaratave të rreme për hetuesit, në mënyrë që të pengojë materialisht një hetim zyrtar në pretendimet për një praktikë korruptive, praktikë mashtruese, praktikë shtrënguese ose praktikë të fshehtë, ose kërcënimi, ngacmimi ose frikësimi i ndonjë personi për ta parandaluar atë që të zbulojë njohuritë e tij për çështjet e lidhura me hetimin ose ndjekjen e hetimit; ose ii) çdo veprim që synon të pengojë materialisht ushtrimin e aksesit të KfW-së në informacionet e kërkuara kontraktuale në lidhje me një hetim zyrtar në pretendimet për një praktikë korruptive, praktikë mashtruese, praktikë shtrënguese ose praktikë të fshehtë.</w:t>
      </w:r>
    </w:p>
    <w:p w:rsidR="005C0BD2" w:rsidRDefault="005C0BD2" w:rsidP="005C0BD2">
      <w:pPr>
        <w:widowControl w:val="0"/>
        <w:spacing w:after="0" w:line="240" w:lineRule="auto"/>
        <w:outlineLvl w:val="0"/>
        <w:rPr>
          <w:rFonts w:ascii="Garamond" w:hAnsi="Garamond"/>
          <w:spacing w:val="-4"/>
          <w:sz w:val="24"/>
          <w:szCs w:val="24"/>
          <w:lang w:val="sq-AL"/>
        </w:rPr>
      </w:pPr>
      <w:r>
        <w:rPr>
          <w:rFonts w:ascii="Garamond" w:hAnsi="Garamond"/>
          <w:spacing w:val="-4"/>
          <w:sz w:val="24"/>
          <w:szCs w:val="24"/>
          <w:lang w:val="sq-AL"/>
        </w:rPr>
        <w:t>“Person”: çdo person fizik, person juridik, partneritet ose shoqatë e painkorporuar.</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“Praktikë e sanksionueshme”: çdo praktikë shtrënguese, praktikë e fshehtë, praktikë korruptuese, praktikë mashtruese ose praktikë penguese (siç termat e tillë përkufizohen këtu), e cila: i) është e paligjshme sipas ligjit </w:t>
      </w:r>
      <w:r>
        <w:rPr>
          <w:rFonts w:ascii="Garamond" w:hAnsi="Garamond"/>
          <w:color w:val="000000" w:themeColor="text1"/>
          <w:spacing w:val="-4"/>
          <w:sz w:val="24"/>
          <w:szCs w:val="24"/>
          <w:lang w:val="sq-AL"/>
        </w:rPr>
        <w:t>gjerman ose ndonjë ligj tjetër i zbatueshëm; dhe ii) e cila ka ose mund të kishte pasur ndikim material ligjor ose reputacional në këtë Marrëveshje ndërmjet Marrësit dhe KfW-së ose zbatimit të saj.</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 xml:space="preserve">“Sanksionet”: ligjet, rregulloret, embargot ose masat kufizuese ekonomike, financiare ose tregtare, të </w:t>
      </w:r>
      <w:r>
        <w:rPr>
          <w:rFonts w:ascii="Garamond" w:hAnsi="Garamond"/>
          <w:spacing w:val="-4"/>
          <w:sz w:val="24"/>
          <w:szCs w:val="24"/>
          <w:lang w:val="sq-AL"/>
        </w:rPr>
        <w:lastRenderedPageBreak/>
        <w:t>administruara, të miratuara ose të zbatuara nga ndonjë organ sanksionues.</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“Organ sanksionues”: cilido nga Këshilli i Sigurimit i Kombeve të Bashkuara, Bashkimi Evropian dhe Republika Federale e Gjermanisë.</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“Lista e sanksioneve”: çdo listë e personave, grupeve ose subjekteve të caktuara posaçërisht, të cilat i nënshtrohen sanksioneve të nxjerra nga ndonjë organ sanksionues.</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2. SIPËRMARRJA E INFORMIMIT</w:t>
      </w:r>
    </w:p>
    <w:p w:rsidR="005C0BD2" w:rsidRDefault="005C0BD2" w:rsidP="005C0BD2">
      <w:pPr>
        <w:widowControl w:val="0"/>
        <w:spacing w:after="0" w:line="240" w:lineRule="auto"/>
        <w:outlineLvl w:val="0"/>
        <w:rPr>
          <w:rFonts w:ascii="Garamond" w:hAnsi="Garamond"/>
          <w:spacing w:val="-4"/>
          <w:sz w:val="24"/>
          <w:szCs w:val="24"/>
          <w:lang w:val="sq-AL"/>
        </w:rPr>
      </w:pPr>
      <w:r>
        <w:rPr>
          <w:rFonts w:ascii="Garamond" w:hAnsi="Garamond"/>
          <w:spacing w:val="-4"/>
          <w:sz w:val="24"/>
          <w:szCs w:val="24"/>
          <w:lang w:val="sq-AL"/>
        </w:rPr>
        <w:t xml:space="preserve">Marrësi: </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a) do të vërë menjëherë në dispozicion të KfW-së, me kërkesë, të gjithë informacionin përkatës “njihni klientin tuaj” ose informacione të ngjashme në lidhje me Marrësin që mund të kërkojë KfW-ja;</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b) nëpërmjet NJPK-së, do t’i dorëzojë menjëherë KfW-së, me kërkesë, të gjitha informacionet dhe dokumentet e lidhura me shërbimet e ekspertëve të Marrësit dhe (nën)kontraktuesit të tij dhe palëve të tjera të lidhura që KfW-ja kërkon për të përmbushur detyrimet e saj për të parandaluar çdo praktikë të sanksionueshme, pastrim të parave dhe/ose financim të terrorizmit, si dhe për monitorimin e vazhdueshëm të marrëdhënieve të biznesit me Marrësin që është i nevojshëm për këtë qëllim:</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c) nëpërmjet NJPK-së, do të informojë KfW-në menjëherë dhe me pëlqimin e vet, sapo të vihet në dijeni ose dyshojë për ndonjë praktikë të sanksionueshme, veprim të pastrimit të parave dhe/ose financimit të terrorizmit që lidhet me shërbimet e ekspertëve;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d) nëpërmjet NJPK-së, do t’i ofrojë KfW-së çdo informacion dhe raporte të tilla për shërbimet e ekspertëve dhe progresin e mëtejshëm të tij që KfW-ja mund të kërkojë për qëllimet e kësaj shtojce ; dhe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e) nëpërmjet NJPK-së, do t’i mundësojë KfW-së dhe agjentëve të saj që në çdo kohë të inspektojnë të gjitha shërbimet e tjera të ekspertëve në lidhje me dokumentacionin përkatës të Marrësit dhe (nën)kontraktuesit e tij dhe të palëve të tjera të lidhura me ekzekutimin e shërbimeve të ekspertëve dhe të vizitojnë të gjitha instalimet që lidhen me qëllimet e kësaj shtojce.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3. PËRFAQËSIMI DHE GARANCITË</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3.1 Në lidhje me ligjin gjerman ose ligjin e vendit të Marrësit, Marrësi përfaqëson që asnjë nga personat që veprojnë në lidhje me shërbimet e ekspertëve në emër të Përfituesit nuk ka kryer ose nuk është angazhuar në asnjë praktikë të sanksionueshme të pastrimit të parave ose financimit të terrorizmit.</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3.2 Përfaqësimi dhe garancia e përcaktuar në këtë Nen bëhet për herë të parë nëpërmjet ekzekutimit të kësaj Marrëveshjeje. Do të konsiderohet të përsëritet në çdo skicë të kontributit financiar, duke iu referuar rrethanave mbizotëruese në atë datë.</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4. SIPËRMARRJET POZITIVE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Përfituesi merr përsipër, sapo Marrësi ose KfW-ja të njoftohen ose dyshojnë për ndonjë praktikë të sanksionueshme në lidhje me shërbimet e ekspertëve, veprimin e pastrimit të parave ose financimin e terrorizmit, për të bashkëpunuar plotësisht me KfW-në dhe agjentët e saj, në përcaktimin nëse ka ndodhur një incident i tillë i pajtueshmërisë. Në veçanti, Marrësi do të përgjigjet menjëherë dhe në detaje të arsyeshme për çdo njoftim nga KfW-ja dhe do të ofrojë mbështetje dokumentuese për përgjigjen e tillë sipas kërkesës së KfW-së.</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5. SIPËRMARRJET NEGATIVE</w:t>
      </w:r>
    </w:p>
    <w:p w:rsidR="005C0BD2" w:rsidRDefault="005C0BD2" w:rsidP="005C0BD2">
      <w:pPr>
        <w:widowControl w:val="0"/>
        <w:spacing w:after="0" w:line="240" w:lineRule="auto"/>
        <w:rPr>
          <w:rFonts w:ascii="Garamond" w:hAnsi="Garamond"/>
          <w:spacing w:val="-4"/>
          <w:sz w:val="24"/>
          <w:szCs w:val="24"/>
          <w:lang w:val="sq-AL"/>
        </w:rPr>
      </w:pPr>
      <w:r>
        <w:rPr>
          <w:rFonts w:ascii="Garamond" w:hAnsi="Garamond"/>
          <w:spacing w:val="-4"/>
          <w:sz w:val="24"/>
          <w:szCs w:val="24"/>
          <w:lang w:val="sq-AL"/>
        </w:rPr>
        <w:t>Marrësi nuk do të hyjë në asnjë transaksion ose nuk do të angazhohet në ndonjë aktivitet tjetër në lidhje me shërbimet e ekspertëve që do të përbënte shkelje të sanksioneve.</w:t>
      </w:r>
    </w:p>
    <w:p w:rsidR="005C0BD2" w:rsidRDefault="005C0BD2" w:rsidP="005C0BD2">
      <w:pPr>
        <w:widowControl w:val="0"/>
        <w:spacing w:after="0" w:line="240" w:lineRule="auto"/>
        <w:rPr>
          <w:rFonts w:ascii="Garamond" w:hAnsi="Garamond"/>
          <w:spacing w:val="-4"/>
          <w:sz w:val="18"/>
          <w:szCs w:val="24"/>
          <w:lang w:val="sq-AL"/>
        </w:rPr>
      </w:pPr>
    </w:p>
    <w:p w:rsidR="005C0BD2" w:rsidRDefault="005C0BD2" w:rsidP="005C0BD2">
      <w:pPr>
        <w:widowControl w:val="0"/>
        <w:spacing w:after="0" w:line="240" w:lineRule="auto"/>
        <w:rPr>
          <w:rFonts w:ascii="Garamond" w:hAnsi="Garamond"/>
          <w:spacing w:val="-4"/>
          <w:sz w:val="18"/>
          <w:szCs w:val="24"/>
          <w:lang w:val="sq-AL"/>
        </w:rPr>
      </w:pPr>
    </w:p>
    <w:p w:rsidR="005C0BD2" w:rsidRDefault="005C0BD2" w:rsidP="005C0BD2">
      <w:pPr>
        <w:widowControl w:val="0"/>
        <w:spacing w:after="0" w:line="240" w:lineRule="auto"/>
        <w:rPr>
          <w:rFonts w:ascii="Garamond" w:hAnsi="Garamond"/>
          <w:spacing w:val="-4"/>
          <w:sz w:val="18"/>
          <w:szCs w:val="24"/>
          <w:lang w:val="sq-AL"/>
        </w:rPr>
      </w:pPr>
    </w:p>
    <w:p w:rsidR="005C0BD2" w:rsidRDefault="005C0BD2" w:rsidP="005C0BD2">
      <w:pPr>
        <w:widowControl w:val="0"/>
        <w:spacing w:after="0" w:line="240" w:lineRule="auto"/>
        <w:rPr>
          <w:rFonts w:ascii="Garamond" w:hAnsi="Garamond"/>
          <w:spacing w:val="-4"/>
          <w:sz w:val="18"/>
          <w:szCs w:val="24"/>
          <w:lang w:val="sq-AL"/>
        </w:rPr>
      </w:pPr>
    </w:p>
    <w:p w:rsidR="005C0BD2" w:rsidRDefault="005C0BD2" w:rsidP="005C0BD2">
      <w:pPr>
        <w:widowControl w:val="0"/>
        <w:spacing w:after="0" w:line="240" w:lineRule="auto"/>
        <w:rPr>
          <w:rFonts w:ascii="Garamond" w:hAnsi="Garamond"/>
          <w:spacing w:val="-4"/>
          <w:sz w:val="18"/>
          <w:szCs w:val="24"/>
          <w:lang w:val="sq-AL"/>
        </w:rPr>
      </w:pPr>
    </w:p>
    <w:p w:rsidR="005C0BD2" w:rsidRDefault="005C0BD2" w:rsidP="005C0BD2">
      <w:pPr>
        <w:widowControl w:val="0"/>
        <w:spacing w:after="0" w:line="240" w:lineRule="auto"/>
        <w:rPr>
          <w:rFonts w:ascii="Garamond" w:hAnsi="Garamond"/>
          <w:spacing w:val="-4"/>
          <w:sz w:val="18"/>
          <w:szCs w:val="24"/>
          <w:lang w:val="sq-AL"/>
        </w:rPr>
      </w:pPr>
    </w:p>
    <w:p w:rsidR="005C0BD2" w:rsidRDefault="005C0BD2" w:rsidP="005C0BD2">
      <w:pPr>
        <w:widowControl w:val="0"/>
        <w:spacing w:after="0" w:line="240" w:lineRule="auto"/>
        <w:rPr>
          <w:rFonts w:ascii="Garamond" w:hAnsi="Garamond"/>
          <w:spacing w:val="-4"/>
          <w:sz w:val="18"/>
          <w:szCs w:val="24"/>
          <w:lang w:val="sq-AL"/>
        </w:rPr>
      </w:pPr>
    </w:p>
    <w:p w:rsidR="005C0BD2" w:rsidRDefault="005C0BD2" w:rsidP="005C0BD2">
      <w:pPr>
        <w:widowControl w:val="0"/>
        <w:spacing w:after="0" w:line="240" w:lineRule="auto"/>
        <w:rPr>
          <w:rFonts w:ascii="Garamond" w:hAnsi="Garamond"/>
          <w:spacing w:val="-4"/>
          <w:sz w:val="18"/>
          <w:szCs w:val="24"/>
          <w:lang w:val="sq-AL"/>
        </w:rPr>
      </w:pPr>
    </w:p>
    <w:p w:rsidR="005C0BD2" w:rsidRDefault="005C0BD2" w:rsidP="005C0BD2">
      <w:pPr>
        <w:widowControl w:val="0"/>
        <w:spacing w:after="0" w:line="240" w:lineRule="auto"/>
        <w:rPr>
          <w:rFonts w:ascii="Garamond" w:hAnsi="Garamond"/>
          <w:spacing w:val="-4"/>
          <w:sz w:val="18"/>
          <w:szCs w:val="24"/>
          <w:lang w:val="sq-AL"/>
        </w:rPr>
      </w:pPr>
    </w:p>
    <w:p w:rsidR="005C0BD2" w:rsidRDefault="005C0BD2" w:rsidP="005C0BD2">
      <w:pPr>
        <w:widowControl w:val="0"/>
        <w:spacing w:after="0" w:line="240" w:lineRule="auto"/>
        <w:rPr>
          <w:rFonts w:ascii="Garamond" w:hAnsi="Garamond"/>
          <w:spacing w:val="-4"/>
          <w:sz w:val="18"/>
          <w:szCs w:val="24"/>
          <w:lang w:val="sq-AL"/>
        </w:rPr>
      </w:pPr>
    </w:p>
    <w:p w:rsidR="005C0BD2" w:rsidRDefault="005C0BD2" w:rsidP="005C0BD2">
      <w:pPr>
        <w:widowControl w:val="0"/>
        <w:spacing w:after="0" w:line="240" w:lineRule="auto"/>
        <w:rPr>
          <w:rFonts w:ascii="Garamond" w:hAnsi="Garamond"/>
          <w:spacing w:val="-4"/>
          <w:sz w:val="18"/>
          <w:szCs w:val="24"/>
          <w:lang w:val="sq-AL"/>
        </w:rPr>
      </w:pPr>
    </w:p>
    <w:p w:rsidR="005C0BD2" w:rsidRDefault="005C0BD2" w:rsidP="005C0BD2">
      <w:pPr>
        <w:widowControl w:val="0"/>
        <w:spacing w:after="0" w:line="240" w:lineRule="auto"/>
        <w:rPr>
          <w:rFonts w:ascii="Garamond" w:hAnsi="Garamond"/>
          <w:spacing w:val="-4"/>
          <w:sz w:val="18"/>
          <w:szCs w:val="24"/>
          <w:lang w:val="sq-AL"/>
        </w:rPr>
      </w:pPr>
    </w:p>
    <w:p w:rsidR="005C0BD2" w:rsidRDefault="005C0BD2" w:rsidP="005C0BD2">
      <w:pPr>
        <w:widowControl w:val="0"/>
        <w:spacing w:after="0" w:line="240" w:lineRule="auto"/>
        <w:rPr>
          <w:rFonts w:ascii="Garamond" w:hAnsi="Garamond"/>
          <w:spacing w:val="-4"/>
          <w:sz w:val="18"/>
          <w:szCs w:val="24"/>
          <w:lang w:val="sq-AL"/>
        </w:rPr>
      </w:pPr>
    </w:p>
    <w:p w:rsidR="005C0BD2" w:rsidRDefault="005C0BD2" w:rsidP="005C0BD2">
      <w:pPr>
        <w:widowControl w:val="0"/>
        <w:spacing w:after="0" w:line="240" w:lineRule="auto"/>
        <w:rPr>
          <w:rFonts w:ascii="Garamond" w:hAnsi="Garamond"/>
          <w:spacing w:val="-4"/>
          <w:sz w:val="18"/>
          <w:szCs w:val="24"/>
          <w:lang w:val="sq-AL"/>
        </w:rPr>
      </w:pPr>
    </w:p>
    <w:p w:rsidR="005C0BD2" w:rsidRDefault="005C0BD2" w:rsidP="005C0BD2">
      <w:pPr>
        <w:widowControl w:val="0"/>
        <w:spacing w:after="0" w:line="240" w:lineRule="auto"/>
        <w:rPr>
          <w:rFonts w:ascii="Garamond" w:hAnsi="Garamond"/>
          <w:spacing w:val="-4"/>
          <w:sz w:val="18"/>
          <w:szCs w:val="24"/>
          <w:lang w:val="sq-AL"/>
        </w:rPr>
      </w:pPr>
    </w:p>
    <w:p w:rsidR="005C0BD2" w:rsidRDefault="005C0BD2" w:rsidP="005C0BD2">
      <w:pPr>
        <w:widowControl w:val="0"/>
        <w:spacing w:after="0" w:line="240" w:lineRule="auto"/>
        <w:rPr>
          <w:rFonts w:ascii="Garamond" w:hAnsi="Garamond"/>
          <w:spacing w:val="-4"/>
          <w:sz w:val="18"/>
          <w:szCs w:val="24"/>
          <w:lang w:val="sq-AL"/>
        </w:rPr>
      </w:pPr>
    </w:p>
    <w:p w:rsidR="005C0BD2" w:rsidRDefault="005C0BD2" w:rsidP="005C0BD2">
      <w:pPr>
        <w:widowControl w:val="0"/>
        <w:spacing w:after="0" w:line="240" w:lineRule="auto"/>
        <w:rPr>
          <w:rFonts w:ascii="Garamond" w:hAnsi="Garamond"/>
          <w:spacing w:val="-4"/>
          <w:sz w:val="18"/>
          <w:szCs w:val="24"/>
          <w:lang w:val="sq-AL"/>
        </w:rPr>
      </w:pPr>
    </w:p>
    <w:p w:rsidR="005C0BD2" w:rsidRDefault="005C0BD2" w:rsidP="005C0BD2">
      <w:pPr>
        <w:widowControl w:val="0"/>
        <w:spacing w:after="0" w:line="240" w:lineRule="auto"/>
        <w:rPr>
          <w:rFonts w:ascii="Garamond" w:hAnsi="Garamond"/>
          <w:spacing w:val="-4"/>
          <w:sz w:val="18"/>
          <w:szCs w:val="24"/>
          <w:lang w:val="sq-AL"/>
        </w:rPr>
      </w:pPr>
    </w:p>
    <w:p w:rsidR="005C0BD2" w:rsidRDefault="005C0BD2" w:rsidP="005C0BD2">
      <w:pPr>
        <w:widowControl w:val="0"/>
        <w:spacing w:after="0" w:line="240" w:lineRule="auto"/>
        <w:rPr>
          <w:rFonts w:ascii="Garamond" w:hAnsi="Garamond"/>
          <w:spacing w:val="-4"/>
          <w:sz w:val="18"/>
          <w:szCs w:val="24"/>
          <w:lang w:val="sq-AL"/>
        </w:rPr>
      </w:pPr>
    </w:p>
    <w:p w:rsidR="005C0BD2" w:rsidRDefault="005C0BD2" w:rsidP="005C0BD2">
      <w:pPr>
        <w:widowControl w:val="0"/>
        <w:spacing w:after="0" w:line="240" w:lineRule="auto"/>
        <w:rPr>
          <w:rFonts w:ascii="Garamond" w:hAnsi="Garamond"/>
          <w:spacing w:val="-4"/>
          <w:sz w:val="18"/>
          <w:szCs w:val="24"/>
          <w:lang w:val="sq-AL"/>
        </w:rPr>
      </w:pPr>
    </w:p>
    <w:p w:rsidR="005C0BD2" w:rsidRDefault="005C0BD2" w:rsidP="005C0BD2">
      <w:pPr>
        <w:widowControl w:val="0"/>
        <w:spacing w:after="0" w:line="240" w:lineRule="auto"/>
        <w:rPr>
          <w:rFonts w:ascii="Garamond" w:hAnsi="Garamond"/>
          <w:spacing w:val="-4"/>
          <w:sz w:val="18"/>
          <w:szCs w:val="24"/>
          <w:lang w:val="sq-AL"/>
        </w:rPr>
      </w:pPr>
    </w:p>
    <w:p w:rsidR="005C0BD2" w:rsidRDefault="005C0BD2" w:rsidP="005C0BD2">
      <w:pPr>
        <w:pStyle w:val="NeniTitull"/>
        <w:rPr>
          <w:b w:val="0"/>
          <w:spacing w:val="-4"/>
          <w:lang w:val="sq-AL"/>
        </w:rPr>
      </w:pPr>
      <w:r>
        <w:rPr>
          <w:b w:val="0"/>
          <w:spacing w:val="-4"/>
          <w:lang w:val="sq-AL"/>
        </w:rPr>
        <w:lastRenderedPageBreak/>
        <w:t>SHTOJCA 2</w:t>
      </w:r>
    </w:p>
    <w:p w:rsidR="005C0BD2" w:rsidRDefault="005C0BD2" w:rsidP="005C0BD2">
      <w:pPr>
        <w:pStyle w:val="NeniTitull"/>
        <w:rPr>
          <w:b w:val="0"/>
          <w:spacing w:val="-4"/>
          <w:lang w:val="sq-AL"/>
        </w:rPr>
      </w:pPr>
      <w:r>
        <w:rPr>
          <w:b w:val="0"/>
          <w:spacing w:val="-4"/>
          <w:lang w:val="sq-AL"/>
        </w:rPr>
        <w:t>UDHËZIME PËR CAKTIMIN E KONSULENTËVE NË BASHKËPUNIMIN FINANCIAR ME VENDET PARTNERE</w:t>
      </w:r>
    </w:p>
    <w:p w:rsidR="005C0BD2" w:rsidRDefault="005C0BD2" w:rsidP="005C0BD2">
      <w:pPr>
        <w:pStyle w:val="Hapesira7"/>
        <w:rPr>
          <w:lang w:val="sq-AL" w:eastAsia="en-GB"/>
        </w:rPr>
      </w:pPr>
    </w:p>
    <w:p w:rsidR="005C0BD2" w:rsidRDefault="005C0BD2" w:rsidP="005C0BD2">
      <w:pPr>
        <w:pStyle w:val="NeniNr"/>
        <w:rPr>
          <w:spacing w:val="-4"/>
          <w:lang w:val="sq-AL" w:eastAsia="en-GB"/>
        </w:rPr>
      </w:pPr>
      <w:r>
        <w:rPr>
          <w:spacing w:val="-4"/>
          <w:lang w:val="sq-AL" w:eastAsia="en-GB"/>
        </w:rPr>
        <w:t>BASHKËPUNIMI FINANCIAR</w:t>
      </w:r>
    </w:p>
    <w:p w:rsidR="005C0BD2" w:rsidRDefault="005C0BD2" w:rsidP="005C0BD2">
      <w:pPr>
        <w:pStyle w:val="NeniNr"/>
        <w:rPr>
          <w:spacing w:val="-4"/>
          <w:lang w:val="sq-AL" w:eastAsia="en-GB"/>
        </w:rPr>
      </w:pPr>
      <w:r>
        <w:rPr>
          <w:spacing w:val="-4"/>
          <w:lang w:val="sq-AL" w:eastAsia="en-GB"/>
        </w:rPr>
        <w:t>CAKTIMI I KONSULENTËVE</w:t>
      </w:r>
    </w:p>
    <w:p w:rsidR="005C0BD2" w:rsidRDefault="005C0BD2" w:rsidP="005C0BD2">
      <w:pPr>
        <w:pStyle w:val="NeniNr"/>
        <w:rPr>
          <w:spacing w:val="-4"/>
          <w:lang w:val="sq-AL" w:eastAsia="en-GB"/>
        </w:rPr>
      </w:pPr>
      <w:r>
        <w:rPr>
          <w:spacing w:val="-4"/>
          <w:lang w:val="sq-AL" w:eastAsia="en-GB"/>
        </w:rPr>
        <w:t>Gusht 2016</w:t>
      </w:r>
    </w:p>
    <w:p w:rsidR="005C0BD2" w:rsidRDefault="005C0BD2" w:rsidP="005C0BD2">
      <w:pPr>
        <w:pStyle w:val="NeniNr"/>
        <w:rPr>
          <w:spacing w:val="-4"/>
          <w:lang w:val="sq-AL" w:eastAsia="en-GB"/>
        </w:rPr>
      </w:pPr>
      <w:r>
        <w:rPr>
          <w:spacing w:val="-4"/>
          <w:lang w:val="sq-AL" w:eastAsia="en-GB"/>
        </w:rPr>
        <w:t>Udhëzimet për caktimin e konsulentëve në bashkëpunim financiar me vendet partnere</w:t>
      </w:r>
    </w:p>
    <w:p w:rsidR="005C0BD2" w:rsidRDefault="005C0BD2" w:rsidP="005C0BD2">
      <w:pPr>
        <w:pStyle w:val="Paragrafi"/>
        <w:rPr>
          <w:rFonts w:eastAsia="Times New Roman"/>
          <w:spacing w:val="-4"/>
          <w:lang w:val="sq-AL" w:eastAsia="en-GB"/>
        </w:rPr>
      </w:pPr>
    </w:p>
    <w:p w:rsidR="005C0BD2" w:rsidRDefault="005C0BD2" w:rsidP="005C0BD2">
      <w:pPr>
        <w:pStyle w:val="NeniNr"/>
        <w:rPr>
          <w:spacing w:val="-4"/>
          <w:lang w:val="sq-AL" w:eastAsia="en-GB"/>
        </w:rPr>
      </w:pPr>
      <w:r>
        <w:rPr>
          <w:spacing w:val="-4"/>
          <w:lang w:val="sq-AL" w:eastAsia="en-GB"/>
        </w:rPr>
        <w:t>BANK AUS VERANTWORTUNG KFW</w:t>
      </w:r>
    </w:p>
    <w:p w:rsidR="005C0BD2" w:rsidRDefault="005C0BD2" w:rsidP="005C0BD2">
      <w:pPr>
        <w:pStyle w:val="NeniNr"/>
        <w:rPr>
          <w:spacing w:val="-4"/>
          <w:lang w:val="sq-AL"/>
        </w:rPr>
      </w:pPr>
      <w:r>
        <w:rPr>
          <w:spacing w:val="-4"/>
          <w:lang w:val="sq-AL"/>
        </w:rPr>
        <w:t xml:space="preserve">NDRYSHIMET NË VERSIONIN E MËPARSHËM </w:t>
      </w:r>
    </w:p>
    <w:p w:rsidR="005C0BD2" w:rsidRDefault="005C0BD2" w:rsidP="005C0BD2">
      <w:pPr>
        <w:pStyle w:val="Hapesira7"/>
        <w:rPr>
          <w:lang w:val="sq-AL"/>
        </w:rPr>
      </w:pPr>
    </w:p>
    <w:tbl>
      <w:tblPr>
        <w:tblW w:w="5000" w:type="pct"/>
        <w:tblCellMar>
          <w:left w:w="0" w:type="dxa"/>
          <w:right w:w="0" w:type="dxa"/>
        </w:tblCellMar>
        <w:tblLook w:val="04A0" w:firstRow="1" w:lastRow="0" w:firstColumn="1" w:lastColumn="0" w:noHBand="0" w:noVBand="1"/>
      </w:tblPr>
      <w:tblGrid>
        <w:gridCol w:w="1845"/>
        <w:gridCol w:w="2615"/>
        <w:gridCol w:w="5169"/>
      </w:tblGrid>
      <w:tr w:rsidR="005C0BD2" w:rsidTr="005C0BD2">
        <w:trPr>
          <w:trHeight w:val="338"/>
        </w:trPr>
        <w:tc>
          <w:tcPr>
            <w:tcW w:w="958"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firstLine="0"/>
              <w:jc w:val="center"/>
              <w:rPr>
                <w:b/>
                <w:spacing w:val="-4"/>
                <w:szCs w:val="24"/>
                <w:lang w:val="sq-AL"/>
              </w:rPr>
            </w:pPr>
            <w:r>
              <w:rPr>
                <w:b/>
                <w:spacing w:val="-4"/>
                <w:szCs w:val="24"/>
                <w:lang w:val="sq-AL"/>
              </w:rPr>
              <w:t>Data</w:t>
            </w:r>
          </w:p>
        </w:tc>
        <w:tc>
          <w:tcPr>
            <w:tcW w:w="1358"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firstLine="0"/>
              <w:jc w:val="center"/>
              <w:rPr>
                <w:b/>
                <w:spacing w:val="-4"/>
                <w:szCs w:val="24"/>
                <w:lang w:val="sq-AL"/>
              </w:rPr>
            </w:pPr>
            <w:r>
              <w:rPr>
                <w:b/>
                <w:spacing w:val="-4"/>
                <w:szCs w:val="24"/>
                <w:lang w:val="sq-AL"/>
              </w:rPr>
              <w:t>Kapitulli</w:t>
            </w:r>
          </w:p>
        </w:tc>
        <w:tc>
          <w:tcPr>
            <w:tcW w:w="2684"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firstLine="0"/>
              <w:jc w:val="center"/>
              <w:rPr>
                <w:b/>
                <w:spacing w:val="-4"/>
                <w:szCs w:val="24"/>
                <w:lang w:val="sq-AL"/>
              </w:rPr>
            </w:pPr>
            <w:r>
              <w:rPr>
                <w:b/>
                <w:spacing w:val="-4"/>
                <w:szCs w:val="24"/>
                <w:lang w:val="sq-AL"/>
              </w:rPr>
              <w:t>Përmbajtja</w:t>
            </w:r>
          </w:p>
        </w:tc>
      </w:tr>
      <w:tr w:rsidR="005C0BD2" w:rsidTr="005C0BD2">
        <w:trPr>
          <w:trHeight w:val="145"/>
        </w:trPr>
        <w:tc>
          <w:tcPr>
            <w:tcW w:w="958"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firstLine="0"/>
              <w:rPr>
                <w:spacing w:val="-4"/>
                <w:szCs w:val="24"/>
                <w:lang w:val="sq-AL"/>
              </w:rPr>
            </w:pPr>
            <w:r>
              <w:rPr>
                <w:spacing w:val="-4"/>
                <w:szCs w:val="24"/>
                <w:lang w:val="sq-AL"/>
              </w:rPr>
              <w:t>1.8.2016</w:t>
            </w:r>
          </w:p>
        </w:tc>
        <w:tc>
          <w:tcPr>
            <w:tcW w:w="1358"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firstLine="0"/>
              <w:rPr>
                <w:spacing w:val="-4"/>
                <w:szCs w:val="24"/>
                <w:lang w:val="sq-AL"/>
              </w:rPr>
            </w:pPr>
            <w:r>
              <w:rPr>
                <w:spacing w:val="-4"/>
                <w:szCs w:val="24"/>
                <w:lang w:val="sq-AL"/>
              </w:rPr>
              <w:t>Të ndryshëm</w:t>
            </w:r>
          </w:p>
        </w:tc>
        <w:tc>
          <w:tcPr>
            <w:tcW w:w="2684"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firstLine="0"/>
              <w:jc w:val="left"/>
              <w:rPr>
                <w:spacing w:val="-4"/>
                <w:szCs w:val="24"/>
                <w:lang w:val="sq-AL"/>
              </w:rPr>
            </w:pPr>
            <w:r>
              <w:rPr>
                <w:spacing w:val="-4"/>
                <w:szCs w:val="24"/>
                <w:lang w:val="sq-AL"/>
              </w:rPr>
              <w:t>Korrigjimi i gabimeve në shkrim</w:t>
            </w:r>
          </w:p>
        </w:tc>
      </w:tr>
      <w:tr w:rsidR="005C0BD2" w:rsidTr="005C0BD2">
        <w:trPr>
          <w:trHeight w:val="276"/>
        </w:trPr>
        <w:tc>
          <w:tcPr>
            <w:tcW w:w="958" w:type="pct"/>
            <w:tcBorders>
              <w:top w:val="single" w:sz="4" w:space="0" w:color="auto"/>
              <w:left w:val="single" w:sz="4" w:space="0" w:color="auto"/>
              <w:bottom w:val="single" w:sz="4" w:space="0" w:color="auto"/>
              <w:right w:val="single" w:sz="4" w:space="0" w:color="auto"/>
            </w:tcBorders>
            <w:vAlign w:val="bottom"/>
          </w:tcPr>
          <w:p w:rsidR="005C0BD2" w:rsidRDefault="005C0BD2">
            <w:pPr>
              <w:pStyle w:val="Paragrafi"/>
              <w:spacing w:line="276" w:lineRule="auto"/>
              <w:ind w:left="113" w:firstLine="0"/>
              <w:rPr>
                <w:spacing w:val="-4"/>
                <w:szCs w:val="24"/>
                <w:lang w:val="sq-AL"/>
              </w:rPr>
            </w:pPr>
          </w:p>
        </w:tc>
        <w:tc>
          <w:tcPr>
            <w:tcW w:w="1358"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firstLine="0"/>
              <w:rPr>
                <w:spacing w:val="-4"/>
                <w:szCs w:val="24"/>
                <w:lang w:val="sq-AL"/>
              </w:rPr>
            </w:pPr>
            <w:r>
              <w:rPr>
                <w:spacing w:val="-4"/>
                <w:szCs w:val="24"/>
                <w:lang w:val="sq-AL"/>
              </w:rPr>
              <w:t>1.17c)</w:t>
            </w:r>
          </w:p>
        </w:tc>
        <w:tc>
          <w:tcPr>
            <w:tcW w:w="2684"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firstLine="0"/>
              <w:jc w:val="left"/>
              <w:rPr>
                <w:spacing w:val="-4"/>
                <w:szCs w:val="24"/>
                <w:lang w:val="sq-AL"/>
              </w:rPr>
            </w:pPr>
            <w:r>
              <w:rPr>
                <w:spacing w:val="-4"/>
                <w:szCs w:val="24"/>
                <w:lang w:val="sq-AL"/>
              </w:rPr>
              <w:t>Sqarime lidhur me pjesëmarrjen e ofertuesve shtetërorë</w:t>
            </w:r>
          </w:p>
        </w:tc>
      </w:tr>
      <w:tr w:rsidR="005C0BD2" w:rsidTr="005C0BD2">
        <w:trPr>
          <w:trHeight w:val="125"/>
        </w:trPr>
        <w:tc>
          <w:tcPr>
            <w:tcW w:w="958" w:type="pct"/>
            <w:tcBorders>
              <w:top w:val="single" w:sz="4" w:space="0" w:color="auto"/>
              <w:left w:val="single" w:sz="4" w:space="0" w:color="auto"/>
              <w:bottom w:val="single" w:sz="4" w:space="0" w:color="auto"/>
              <w:right w:val="single" w:sz="4" w:space="0" w:color="auto"/>
            </w:tcBorders>
            <w:vAlign w:val="bottom"/>
          </w:tcPr>
          <w:p w:rsidR="005C0BD2" w:rsidRDefault="005C0BD2">
            <w:pPr>
              <w:pStyle w:val="Paragrafi"/>
              <w:spacing w:line="276" w:lineRule="auto"/>
              <w:ind w:left="113" w:firstLine="0"/>
              <w:rPr>
                <w:spacing w:val="-4"/>
                <w:szCs w:val="24"/>
                <w:lang w:val="sq-AL"/>
              </w:rPr>
            </w:pPr>
          </w:p>
        </w:tc>
        <w:tc>
          <w:tcPr>
            <w:tcW w:w="1358"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firstLine="0"/>
              <w:rPr>
                <w:spacing w:val="-4"/>
                <w:szCs w:val="24"/>
                <w:lang w:val="sq-AL"/>
              </w:rPr>
            </w:pPr>
            <w:r>
              <w:rPr>
                <w:spacing w:val="-4"/>
                <w:szCs w:val="24"/>
                <w:lang w:val="sq-AL"/>
              </w:rPr>
              <w:t>1.17e)-f)</w:t>
            </w:r>
          </w:p>
        </w:tc>
        <w:tc>
          <w:tcPr>
            <w:tcW w:w="2684"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firstLine="0"/>
              <w:jc w:val="left"/>
              <w:rPr>
                <w:spacing w:val="-4"/>
                <w:szCs w:val="24"/>
                <w:lang w:val="sq-AL"/>
              </w:rPr>
            </w:pPr>
            <w:r>
              <w:rPr>
                <w:spacing w:val="-4"/>
                <w:szCs w:val="24"/>
                <w:lang w:val="sq-AL"/>
              </w:rPr>
              <w:t>Përfshirja e nënkontraktuesve</w:t>
            </w:r>
          </w:p>
        </w:tc>
      </w:tr>
      <w:tr w:rsidR="005C0BD2" w:rsidTr="005C0BD2">
        <w:trPr>
          <w:trHeight w:val="284"/>
        </w:trPr>
        <w:tc>
          <w:tcPr>
            <w:tcW w:w="958" w:type="pct"/>
            <w:tcBorders>
              <w:top w:val="single" w:sz="4" w:space="0" w:color="auto"/>
              <w:left w:val="single" w:sz="4" w:space="0" w:color="auto"/>
              <w:bottom w:val="single" w:sz="4" w:space="0" w:color="auto"/>
              <w:right w:val="single" w:sz="4" w:space="0" w:color="auto"/>
            </w:tcBorders>
            <w:vAlign w:val="bottom"/>
          </w:tcPr>
          <w:p w:rsidR="005C0BD2" w:rsidRDefault="005C0BD2">
            <w:pPr>
              <w:pStyle w:val="Paragrafi"/>
              <w:spacing w:line="276" w:lineRule="auto"/>
              <w:ind w:left="113" w:firstLine="0"/>
              <w:rPr>
                <w:spacing w:val="-4"/>
                <w:szCs w:val="24"/>
                <w:lang w:val="sq-AL"/>
              </w:rPr>
            </w:pPr>
          </w:p>
        </w:tc>
        <w:tc>
          <w:tcPr>
            <w:tcW w:w="1358"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firstLine="0"/>
              <w:rPr>
                <w:spacing w:val="-4"/>
                <w:szCs w:val="24"/>
                <w:lang w:val="sq-AL"/>
              </w:rPr>
            </w:pPr>
            <w:r>
              <w:rPr>
                <w:spacing w:val="-4"/>
                <w:szCs w:val="24"/>
                <w:lang w:val="sq-AL"/>
              </w:rPr>
              <w:t>2.04/2.05</w:t>
            </w:r>
          </w:p>
        </w:tc>
        <w:tc>
          <w:tcPr>
            <w:tcW w:w="2684"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firstLine="0"/>
              <w:jc w:val="left"/>
              <w:rPr>
                <w:spacing w:val="-4"/>
                <w:szCs w:val="24"/>
                <w:lang w:val="sq-AL"/>
              </w:rPr>
            </w:pPr>
            <w:r>
              <w:rPr>
                <w:spacing w:val="-4"/>
                <w:szCs w:val="24"/>
                <w:lang w:val="sq-AL"/>
              </w:rPr>
              <w:t>Ndryshim i numërtimit të paragrafëve</w:t>
            </w:r>
          </w:p>
        </w:tc>
      </w:tr>
      <w:tr w:rsidR="005C0BD2" w:rsidTr="005C0BD2">
        <w:trPr>
          <w:trHeight w:val="159"/>
        </w:trPr>
        <w:tc>
          <w:tcPr>
            <w:tcW w:w="958" w:type="pct"/>
            <w:tcBorders>
              <w:top w:val="single" w:sz="4" w:space="0" w:color="auto"/>
              <w:left w:val="single" w:sz="4" w:space="0" w:color="auto"/>
              <w:bottom w:val="single" w:sz="4" w:space="0" w:color="auto"/>
              <w:right w:val="single" w:sz="4" w:space="0" w:color="auto"/>
            </w:tcBorders>
            <w:vAlign w:val="bottom"/>
          </w:tcPr>
          <w:p w:rsidR="005C0BD2" w:rsidRDefault="005C0BD2">
            <w:pPr>
              <w:pStyle w:val="Paragrafi"/>
              <w:spacing w:line="276" w:lineRule="auto"/>
              <w:ind w:left="113" w:firstLine="0"/>
              <w:rPr>
                <w:spacing w:val="-4"/>
                <w:szCs w:val="24"/>
                <w:lang w:val="sq-AL"/>
              </w:rPr>
            </w:pPr>
          </w:p>
        </w:tc>
        <w:tc>
          <w:tcPr>
            <w:tcW w:w="1358"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firstLine="0"/>
              <w:rPr>
                <w:spacing w:val="-4"/>
                <w:szCs w:val="24"/>
                <w:lang w:val="sq-AL"/>
              </w:rPr>
            </w:pPr>
            <w:r>
              <w:rPr>
                <w:spacing w:val="-4"/>
                <w:szCs w:val="24"/>
                <w:lang w:val="sq-AL"/>
              </w:rPr>
              <w:t>2.06</w:t>
            </w:r>
          </w:p>
        </w:tc>
        <w:tc>
          <w:tcPr>
            <w:tcW w:w="2684"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firstLine="0"/>
              <w:jc w:val="left"/>
              <w:rPr>
                <w:spacing w:val="-4"/>
                <w:szCs w:val="24"/>
                <w:lang w:val="sq-AL"/>
              </w:rPr>
            </w:pPr>
            <w:r>
              <w:rPr>
                <w:spacing w:val="-4"/>
                <w:szCs w:val="24"/>
                <w:lang w:val="sq-AL"/>
              </w:rPr>
              <w:t>Sqarime për hapjen e dokumenteve</w:t>
            </w:r>
          </w:p>
        </w:tc>
      </w:tr>
      <w:tr w:rsidR="005C0BD2" w:rsidTr="005C0BD2">
        <w:trPr>
          <w:trHeight w:val="301"/>
        </w:trPr>
        <w:tc>
          <w:tcPr>
            <w:tcW w:w="958" w:type="pct"/>
            <w:tcBorders>
              <w:top w:val="single" w:sz="4" w:space="0" w:color="auto"/>
              <w:left w:val="single" w:sz="4" w:space="0" w:color="auto"/>
              <w:bottom w:val="single" w:sz="4" w:space="0" w:color="auto"/>
              <w:right w:val="single" w:sz="4" w:space="0" w:color="auto"/>
            </w:tcBorders>
            <w:vAlign w:val="bottom"/>
          </w:tcPr>
          <w:p w:rsidR="005C0BD2" w:rsidRDefault="005C0BD2">
            <w:pPr>
              <w:pStyle w:val="Paragrafi"/>
              <w:spacing w:line="276" w:lineRule="auto"/>
              <w:ind w:left="113" w:firstLine="0"/>
              <w:rPr>
                <w:spacing w:val="-4"/>
                <w:szCs w:val="24"/>
                <w:lang w:val="sq-AL"/>
              </w:rPr>
            </w:pPr>
          </w:p>
        </w:tc>
        <w:tc>
          <w:tcPr>
            <w:tcW w:w="1358"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firstLine="0"/>
              <w:rPr>
                <w:spacing w:val="-4"/>
                <w:szCs w:val="24"/>
                <w:lang w:val="sq-AL"/>
              </w:rPr>
            </w:pPr>
            <w:r>
              <w:rPr>
                <w:spacing w:val="-4"/>
                <w:szCs w:val="24"/>
                <w:lang w:val="sq-AL"/>
              </w:rPr>
              <w:t>2.09/2.22</w:t>
            </w:r>
          </w:p>
        </w:tc>
        <w:tc>
          <w:tcPr>
            <w:tcW w:w="2684"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firstLine="0"/>
              <w:jc w:val="left"/>
              <w:rPr>
                <w:spacing w:val="-4"/>
                <w:szCs w:val="24"/>
                <w:lang w:val="sq-AL"/>
              </w:rPr>
            </w:pPr>
            <w:r>
              <w:rPr>
                <w:spacing w:val="-4"/>
                <w:szCs w:val="24"/>
                <w:lang w:val="sq-AL"/>
              </w:rPr>
              <w:t>Shtesa lidhur me sqarimin dhe komunikimin me ofertuesit</w:t>
            </w:r>
          </w:p>
        </w:tc>
      </w:tr>
      <w:tr w:rsidR="005C0BD2" w:rsidTr="005C0BD2">
        <w:trPr>
          <w:trHeight w:val="687"/>
        </w:trPr>
        <w:tc>
          <w:tcPr>
            <w:tcW w:w="958" w:type="pct"/>
            <w:tcBorders>
              <w:top w:val="single" w:sz="4" w:space="0" w:color="auto"/>
              <w:left w:val="single" w:sz="4" w:space="0" w:color="auto"/>
              <w:bottom w:val="single" w:sz="4" w:space="0" w:color="auto"/>
              <w:right w:val="single" w:sz="4" w:space="0" w:color="auto"/>
            </w:tcBorders>
            <w:vAlign w:val="bottom"/>
          </w:tcPr>
          <w:p w:rsidR="005C0BD2" w:rsidRDefault="005C0BD2">
            <w:pPr>
              <w:pStyle w:val="Paragrafi"/>
              <w:spacing w:line="276" w:lineRule="auto"/>
              <w:ind w:left="113" w:firstLine="0"/>
              <w:rPr>
                <w:spacing w:val="-4"/>
                <w:szCs w:val="24"/>
                <w:lang w:val="sq-AL"/>
              </w:rPr>
            </w:pPr>
          </w:p>
        </w:tc>
        <w:tc>
          <w:tcPr>
            <w:tcW w:w="1358"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firstLine="0"/>
              <w:rPr>
                <w:spacing w:val="-4"/>
                <w:szCs w:val="24"/>
                <w:lang w:val="sq-AL"/>
              </w:rPr>
            </w:pPr>
            <w:r>
              <w:rPr>
                <w:spacing w:val="-4"/>
                <w:szCs w:val="24"/>
                <w:lang w:val="sq-AL"/>
              </w:rPr>
              <w:t>Shtojca 4</w:t>
            </w:r>
          </w:p>
        </w:tc>
        <w:tc>
          <w:tcPr>
            <w:tcW w:w="2684"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firstLine="0"/>
              <w:jc w:val="left"/>
              <w:rPr>
                <w:spacing w:val="-4"/>
                <w:szCs w:val="24"/>
                <w:lang w:val="sq-AL"/>
              </w:rPr>
            </w:pPr>
            <w:r>
              <w:rPr>
                <w:spacing w:val="-4"/>
                <w:szCs w:val="24"/>
                <w:lang w:val="sq-AL"/>
              </w:rPr>
              <w:t>Deklaratë e pranimit të përgjegjësisë:</w:t>
            </w:r>
          </w:p>
          <w:p w:rsidR="005C0BD2" w:rsidRDefault="005C0BD2">
            <w:pPr>
              <w:pStyle w:val="Paragrafi"/>
              <w:spacing w:line="276" w:lineRule="auto"/>
              <w:ind w:left="113" w:firstLine="0"/>
              <w:jc w:val="left"/>
              <w:rPr>
                <w:spacing w:val="-4"/>
                <w:szCs w:val="24"/>
                <w:lang w:val="sq-AL"/>
              </w:rPr>
            </w:pPr>
            <w:r>
              <w:rPr>
                <w:spacing w:val="-4"/>
                <w:szCs w:val="24"/>
                <w:lang w:val="sq-AL"/>
              </w:rPr>
              <w:t>Sqarime për standardet kryesore të punës, mjedisore, sociale, shëndetësore dhe të sigurisë</w:t>
            </w:r>
          </w:p>
        </w:tc>
      </w:tr>
    </w:tbl>
    <w:p w:rsidR="005C0BD2" w:rsidRDefault="005C0BD2" w:rsidP="005C0BD2">
      <w:pPr>
        <w:pStyle w:val="Paragrafi"/>
        <w:rPr>
          <w:rFonts w:eastAsia="Times New Roman"/>
          <w:spacing w:val="-4"/>
          <w:lang w:val="sq-AL" w:eastAsia="en-GB"/>
        </w:rPr>
      </w:pPr>
    </w:p>
    <w:p w:rsidR="005C0BD2" w:rsidRDefault="005C0BD2" w:rsidP="005C0BD2">
      <w:pPr>
        <w:pStyle w:val="NeniTitull"/>
        <w:rPr>
          <w:b w:val="0"/>
          <w:spacing w:val="-4"/>
          <w:lang w:val="sq-AL"/>
        </w:rPr>
      </w:pPr>
      <w:r>
        <w:rPr>
          <w:b w:val="0"/>
          <w:spacing w:val="-4"/>
          <w:lang w:val="sq-AL"/>
        </w:rPr>
        <w:t>SHTOJCAT</w:t>
      </w:r>
    </w:p>
    <w:p w:rsidR="005C0BD2" w:rsidRDefault="005C0BD2" w:rsidP="005C0BD2">
      <w:pPr>
        <w:pStyle w:val="Hapesira7"/>
        <w:rPr>
          <w:rStyle w:val="grame"/>
          <w:rFonts w:ascii="Garamond" w:hAnsi="Garamond"/>
        </w:rPr>
      </w:pPr>
    </w:p>
    <w:tbl>
      <w:tblPr>
        <w:tblW w:w="5000" w:type="pct"/>
        <w:tblLook w:val="04A0" w:firstRow="1" w:lastRow="0" w:firstColumn="1" w:lastColumn="0" w:noHBand="0" w:noVBand="1"/>
      </w:tblPr>
      <w:tblGrid>
        <w:gridCol w:w="8575"/>
        <w:gridCol w:w="1064"/>
      </w:tblGrid>
      <w:tr w:rsidR="005C0BD2" w:rsidTr="005C0BD2">
        <w:trPr>
          <w:trHeight w:val="315"/>
        </w:trPr>
        <w:tc>
          <w:tcPr>
            <w:tcW w:w="3650" w:type="pct"/>
            <w:noWrap/>
            <w:vAlign w:val="center"/>
            <w:hideMark/>
          </w:tcPr>
          <w:p w:rsidR="005C0BD2" w:rsidRDefault="005C0BD2">
            <w:pPr>
              <w:spacing w:after="0" w:line="240" w:lineRule="auto"/>
              <w:ind w:firstLine="0"/>
              <w:jc w:val="left"/>
              <w:rPr>
                <w:rFonts w:eastAsia="Times New Roman" w:cs="Calibri"/>
                <w:color w:val="000000"/>
                <w:spacing w:val="-4"/>
                <w:sz w:val="24"/>
                <w:szCs w:val="24"/>
              </w:rPr>
            </w:pPr>
            <w:r>
              <w:rPr>
                <w:rFonts w:ascii="Garamond" w:eastAsia="Times New Roman" w:hAnsi="Garamond" w:cs="Calibri"/>
                <w:color w:val="000000"/>
                <w:spacing w:val="-4"/>
                <w:sz w:val="24"/>
                <w:szCs w:val="24"/>
                <w:lang w:val="sq-AL"/>
              </w:rPr>
              <w:t>Fushat e punës për shërbimet e konsulencës</w:t>
            </w:r>
          </w:p>
        </w:tc>
        <w:tc>
          <w:tcPr>
            <w:tcW w:w="1350" w:type="pct"/>
            <w:noWrap/>
            <w:vAlign w:val="bottom"/>
            <w:hideMark/>
          </w:tcPr>
          <w:p w:rsidR="005C0BD2" w:rsidRDefault="005C0BD2">
            <w:pPr>
              <w:spacing w:after="0" w:line="240" w:lineRule="auto"/>
              <w:ind w:firstLine="0"/>
              <w:jc w:val="left"/>
              <w:rPr>
                <w:rFonts w:ascii="Garamond" w:eastAsia="Times New Roman" w:hAnsi="Garamond" w:cs="Calibri"/>
                <w:color w:val="000000"/>
                <w:spacing w:val="-4"/>
                <w:sz w:val="24"/>
                <w:szCs w:val="24"/>
              </w:rPr>
            </w:pPr>
            <w:r>
              <w:rPr>
                <w:rFonts w:ascii="Garamond" w:eastAsia="Times New Roman" w:hAnsi="Garamond" w:cs="Calibri"/>
                <w:color w:val="000000"/>
                <w:spacing w:val="-4"/>
                <w:sz w:val="24"/>
                <w:szCs w:val="24"/>
              </w:rPr>
              <w:t>Shtojca 1</w:t>
            </w:r>
          </w:p>
        </w:tc>
      </w:tr>
      <w:tr w:rsidR="005C0BD2" w:rsidTr="005C0BD2">
        <w:trPr>
          <w:trHeight w:val="315"/>
        </w:trPr>
        <w:tc>
          <w:tcPr>
            <w:tcW w:w="3650" w:type="pct"/>
            <w:noWrap/>
            <w:vAlign w:val="center"/>
            <w:hideMark/>
          </w:tcPr>
          <w:p w:rsidR="005C0BD2" w:rsidRDefault="005C0BD2">
            <w:pPr>
              <w:spacing w:after="0" w:line="240" w:lineRule="auto"/>
              <w:ind w:firstLine="0"/>
              <w:jc w:val="left"/>
              <w:rPr>
                <w:rFonts w:ascii="Garamond" w:eastAsia="Times New Roman" w:hAnsi="Garamond" w:cs="Calibri"/>
                <w:color w:val="000000"/>
                <w:spacing w:val="-4"/>
                <w:sz w:val="24"/>
                <w:szCs w:val="24"/>
              </w:rPr>
            </w:pPr>
            <w:r>
              <w:rPr>
                <w:rFonts w:ascii="Garamond" w:eastAsia="Times New Roman" w:hAnsi="Garamond" w:cs="Calibri"/>
                <w:color w:val="000000"/>
                <w:spacing w:val="-4"/>
                <w:sz w:val="24"/>
                <w:szCs w:val="24"/>
                <w:lang w:val="sq-AL"/>
              </w:rPr>
              <w:t>Të drejtat e KfW-së për informacion dhe miratim</w:t>
            </w:r>
          </w:p>
        </w:tc>
        <w:tc>
          <w:tcPr>
            <w:tcW w:w="1350" w:type="pct"/>
            <w:noWrap/>
            <w:vAlign w:val="bottom"/>
            <w:hideMark/>
          </w:tcPr>
          <w:p w:rsidR="005C0BD2" w:rsidRDefault="005C0BD2">
            <w:pPr>
              <w:spacing w:after="0" w:line="240" w:lineRule="auto"/>
              <w:ind w:firstLine="0"/>
              <w:jc w:val="left"/>
              <w:rPr>
                <w:rFonts w:ascii="Garamond" w:eastAsia="Times New Roman" w:hAnsi="Garamond" w:cs="Calibri"/>
                <w:color w:val="000000"/>
                <w:spacing w:val="-4"/>
                <w:sz w:val="24"/>
                <w:szCs w:val="24"/>
              </w:rPr>
            </w:pPr>
            <w:r>
              <w:rPr>
                <w:rFonts w:ascii="Garamond" w:eastAsia="Times New Roman" w:hAnsi="Garamond" w:cs="Calibri"/>
                <w:color w:val="000000"/>
                <w:spacing w:val="-4"/>
                <w:sz w:val="24"/>
                <w:szCs w:val="24"/>
              </w:rPr>
              <w:t>Shtojca 2</w:t>
            </w:r>
          </w:p>
        </w:tc>
      </w:tr>
      <w:tr w:rsidR="005C0BD2" w:rsidTr="005C0BD2">
        <w:trPr>
          <w:trHeight w:val="315"/>
        </w:trPr>
        <w:tc>
          <w:tcPr>
            <w:tcW w:w="3650" w:type="pct"/>
            <w:noWrap/>
            <w:vAlign w:val="center"/>
            <w:hideMark/>
          </w:tcPr>
          <w:p w:rsidR="005C0BD2" w:rsidRDefault="005C0BD2">
            <w:pPr>
              <w:spacing w:after="0" w:line="240" w:lineRule="auto"/>
              <w:ind w:firstLine="0"/>
              <w:jc w:val="left"/>
              <w:rPr>
                <w:rFonts w:ascii="Garamond" w:eastAsia="Times New Roman" w:hAnsi="Garamond" w:cs="Calibri"/>
                <w:color w:val="000000"/>
                <w:spacing w:val="-4"/>
                <w:sz w:val="24"/>
                <w:szCs w:val="24"/>
              </w:rPr>
            </w:pPr>
            <w:r>
              <w:rPr>
                <w:rFonts w:ascii="Garamond" w:eastAsia="Times New Roman" w:hAnsi="Garamond" w:cs="Calibri"/>
                <w:color w:val="000000"/>
                <w:spacing w:val="-4"/>
                <w:sz w:val="24"/>
                <w:szCs w:val="24"/>
                <w:lang w:val="sq-AL"/>
              </w:rPr>
              <w:t xml:space="preserve">Elementet thelbësore në njoftimin për parakualifikim </w:t>
            </w:r>
          </w:p>
        </w:tc>
        <w:tc>
          <w:tcPr>
            <w:tcW w:w="1350" w:type="pct"/>
            <w:noWrap/>
            <w:vAlign w:val="bottom"/>
            <w:hideMark/>
          </w:tcPr>
          <w:p w:rsidR="005C0BD2" w:rsidRDefault="005C0BD2">
            <w:pPr>
              <w:spacing w:after="0" w:line="240" w:lineRule="auto"/>
              <w:ind w:firstLine="0"/>
              <w:jc w:val="left"/>
              <w:rPr>
                <w:rFonts w:ascii="Garamond" w:eastAsia="Times New Roman" w:hAnsi="Garamond" w:cs="Calibri"/>
                <w:color w:val="000000"/>
                <w:spacing w:val="-4"/>
                <w:sz w:val="24"/>
                <w:szCs w:val="24"/>
              </w:rPr>
            </w:pPr>
            <w:r>
              <w:rPr>
                <w:rFonts w:ascii="Garamond" w:eastAsia="Times New Roman" w:hAnsi="Garamond" w:cs="Calibri"/>
                <w:color w:val="000000"/>
                <w:spacing w:val="-4"/>
                <w:sz w:val="24"/>
                <w:szCs w:val="24"/>
              </w:rPr>
              <w:t>Shtojca 3</w:t>
            </w:r>
          </w:p>
        </w:tc>
      </w:tr>
      <w:tr w:rsidR="005C0BD2" w:rsidTr="005C0BD2">
        <w:trPr>
          <w:trHeight w:val="315"/>
        </w:trPr>
        <w:tc>
          <w:tcPr>
            <w:tcW w:w="3650" w:type="pct"/>
            <w:noWrap/>
            <w:vAlign w:val="center"/>
            <w:hideMark/>
          </w:tcPr>
          <w:p w:rsidR="005C0BD2" w:rsidRDefault="005C0BD2">
            <w:pPr>
              <w:spacing w:after="0" w:line="240" w:lineRule="auto"/>
              <w:ind w:firstLine="0"/>
              <w:jc w:val="left"/>
              <w:rPr>
                <w:rFonts w:ascii="Garamond" w:eastAsia="Times New Roman" w:hAnsi="Garamond" w:cs="Calibri"/>
                <w:color w:val="000000"/>
                <w:spacing w:val="-4"/>
                <w:sz w:val="24"/>
                <w:szCs w:val="24"/>
              </w:rPr>
            </w:pPr>
            <w:r>
              <w:rPr>
                <w:rFonts w:ascii="Garamond" w:eastAsia="Times New Roman" w:hAnsi="Garamond" w:cs="Calibri"/>
                <w:color w:val="000000"/>
                <w:spacing w:val="-4"/>
                <w:sz w:val="24"/>
                <w:szCs w:val="24"/>
                <w:lang w:val="sq-AL"/>
              </w:rPr>
              <w:t>Deklarata e pranimit të përgjegjësisë</w:t>
            </w:r>
          </w:p>
        </w:tc>
        <w:tc>
          <w:tcPr>
            <w:tcW w:w="1350" w:type="pct"/>
            <w:noWrap/>
            <w:vAlign w:val="bottom"/>
            <w:hideMark/>
          </w:tcPr>
          <w:p w:rsidR="005C0BD2" w:rsidRDefault="005C0BD2">
            <w:pPr>
              <w:spacing w:after="0" w:line="240" w:lineRule="auto"/>
              <w:ind w:firstLine="0"/>
              <w:jc w:val="left"/>
              <w:rPr>
                <w:rFonts w:ascii="Garamond" w:eastAsia="Times New Roman" w:hAnsi="Garamond" w:cs="Calibri"/>
                <w:color w:val="000000"/>
                <w:spacing w:val="-4"/>
                <w:sz w:val="24"/>
                <w:szCs w:val="24"/>
              </w:rPr>
            </w:pPr>
            <w:r>
              <w:rPr>
                <w:rFonts w:ascii="Garamond" w:eastAsia="Times New Roman" w:hAnsi="Garamond" w:cs="Calibri"/>
                <w:color w:val="000000"/>
                <w:spacing w:val="-4"/>
                <w:sz w:val="24"/>
                <w:szCs w:val="24"/>
              </w:rPr>
              <w:t>Shtojca 4</w:t>
            </w:r>
          </w:p>
        </w:tc>
      </w:tr>
      <w:tr w:rsidR="005C0BD2" w:rsidTr="005C0BD2">
        <w:trPr>
          <w:trHeight w:val="315"/>
        </w:trPr>
        <w:tc>
          <w:tcPr>
            <w:tcW w:w="3650" w:type="pct"/>
            <w:noWrap/>
            <w:vAlign w:val="center"/>
            <w:hideMark/>
          </w:tcPr>
          <w:p w:rsidR="005C0BD2" w:rsidRDefault="005C0BD2">
            <w:pPr>
              <w:spacing w:after="0" w:line="240" w:lineRule="auto"/>
              <w:ind w:firstLine="0"/>
              <w:jc w:val="left"/>
              <w:rPr>
                <w:rFonts w:ascii="Garamond" w:eastAsia="Times New Roman" w:hAnsi="Garamond" w:cs="Calibri"/>
                <w:color w:val="000000"/>
                <w:spacing w:val="-4"/>
                <w:sz w:val="24"/>
                <w:szCs w:val="24"/>
              </w:rPr>
            </w:pPr>
            <w:r>
              <w:rPr>
                <w:rFonts w:ascii="Garamond" w:eastAsia="Times New Roman" w:hAnsi="Garamond" w:cs="Calibri"/>
                <w:color w:val="000000"/>
                <w:spacing w:val="-4"/>
                <w:sz w:val="24"/>
                <w:szCs w:val="24"/>
                <w:lang w:val="sq-AL"/>
              </w:rPr>
              <w:t xml:space="preserve">Informacione për procesin e parakualifikimit  </w:t>
            </w:r>
          </w:p>
        </w:tc>
        <w:tc>
          <w:tcPr>
            <w:tcW w:w="1350" w:type="pct"/>
            <w:noWrap/>
            <w:vAlign w:val="bottom"/>
            <w:hideMark/>
          </w:tcPr>
          <w:p w:rsidR="005C0BD2" w:rsidRDefault="005C0BD2">
            <w:pPr>
              <w:spacing w:after="0" w:line="240" w:lineRule="auto"/>
              <w:ind w:firstLine="0"/>
              <w:jc w:val="left"/>
              <w:rPr>
                <w:rFonts w:ascii="Garamond" w:eastAsia="Times New Roman" w:hAnsi="Garamond" w:cs="Calibri"/>
                <w:color w:val="000000"/>
                <w:spacing w:val="-4"/>
                <w:sz w:val="24"/>
                <w:szCs w:val="24"/>
              </w:rPr>
            </w:pPr>
            <w:r>
              <w:rPr>
                <w:rFonts w:ascii="Garamond" w:eastAsia="Times New Roman" w:hAnsi="Garamond" w:cs="Calibri"/>
                <w:color w:val="000000"/>
                <w:spacing w:val="-4"/>
                <w:sz w:val="24"/>
                <w:szCs w:val="24"/>
              </w:rPr>
              <w:t>Shtojca 5</w:t>
            </w:r>
          </w:p>
        </w:tc>
      </w:tr>
      <w:tr w:rsidR="005C0BD2" w:rsidTr="005C0BD2">
        <w:trPr>
          <w:trHeight w:val="315"/>
        </w:trPr>
        <w:tc>
          <w:tcPr>
            <w:tcW w:w="3650" w:type="pct"/>
            <w:noWrap/>
            <w:vAlign w:val="center"/>
          </w:tcPr>
          <w:p w:rsidR="005C0BD2" w:rsidRDefault="005C0BD2">
            <w:pPr>
              <w:spacing w:after="0" w:line="240" w:lineRule="auto"/>
              <w:ind w:firstLine="0"/>
              <w:jc w:val="left"/>
              <w:rPr>
                <w:rFonts w:ascii="Garamond" w:eastAsia="Times New Roman" w:hAnsi="Garamond" w:cs="Calibri"/>
                <w:color w:val="000000"/>
                <w:spacing w:val="-4"/>
                <w:sz w:val="24"/>
                <w:szCs w:val="24"/>
                <w:lang w:val="sq-AL"/>
              </w:rPr>
            </w:pPr>
          </w:p>
          <w:p w:rsidR="005C0BD2" w:rsidRDefault="005C0BD2">
            <w:pPr>
              <w:spacing w:after="0" w:line="240" w:lineRule="auto"/>
              <w:ind w:firstLine="0"/>
              <w:jc w:val="left"/>
              <w:rPr>
                <w:rFonts w:ascii="Garamond" w:eastAsia="Times New Roman" w:hAnsi="Garamond" w:cs="Calibri"/>
                <w:color w:val="000000"/>
                <w:spacing w:val="-4"/>
                <w:sz w:val="24"/>
                <w:szCs w:val="24"/>
              </w:rPr>
            </w:pPr>
            <w:r>
              <w:rPr>
                <w:rFonts w:ascii="Garamond" w:eastAsia="Times New Roman" w:hAnsi="Garamond" w:cs="Calibri"/>
                <w:color w:val="000000"/>
                <w:spacing w:val="-4"/>
                <w:sz w:val="24"/>
                <w:szCs w:val="24"/>
                <w:lang w:val="sq-AL"/>
              </w:rPr>
              <w:t xml:space="preserve">Komponentët përbërës të kërkesës për tendera    </w:t>
            </w:r>
          </w:p>
        </w:tc>
        <w:tc>
          <w:tcPr>
            <w:tcW w:w="1350" w:type="pct"/>
            <w:noWrap/>
            <w:vAlign w:val="bottom"/>
            <w:hideMark/>
          </w:tcPr>
          <w:p w:rsidR="005C0BD2" w:rsidRDefault="005C0BD2">
            <w:pPr>
              <w:spacing w:after="0" w:line="240" w:lineRule="auto"/>
              <w:ind w:firstLine="0"/>
              <w:jc w:val="left"/>
              <w:rPr>
                <w:rFonts w:ascii="Garamond" w:eastAsia="Times New Roman" w:hAnsi="Garamond" w:cs="Calibri"/>
                <w:color w:val="000000"/>
                <w:spacing w:val="-4"/>
                <w:sz w:val="24"/>
                <w:szCs w:val="24"/>
              </w:rPr>
            </w:pPr>
            <w:r>
              <w:rPr>
                <w:rFonts w:ascii="Garamond" w:eastAsia="Times New Roman" w:hAnsi="Garamond" w:cs="Calibri"/>
                <w:color w:val="000000"/>
                <w:spacing w:val="-4"/>
                <w:sz w:val="24"/>
                <w:szCs w:val="24"/>
              </w:rPr>
              <w:t>Shtojca 6</w:t>
            </w:r>
          </w:p>
        </w:tc>
      </w:tr>
      <w:tr w:rsidR="005C0BD2" w:rsidTr="005C0BD2">
        <w:trPr>
          <w:trHeight w:val="315"/>
        </w:trPr>
        <w:tc>
          <w:tcPr>
            <w:tcW w:w="3650" w:type="pct"/>
            <w:noWrap/>
            <w:vAlign w:val="center"/>
            <w:hideMark/>
          </w:tcPr>
          <w:p w:rsidR="005C0BD2" w:rsidRDefault="005C0BD2">
            <w:pPr>
              <w:spacing w:after="0" w:line="240" w:lineRule="auto"/>
              <w:ind w:firstLine="0"/>
              <w:jc w:val="left"/>
              <w:rPr>
                <w:rFonts w:ascii="Garamond" w:eastAsia="Times New Roman" w:hAnsi="Garamond" w:cs="Calibri"/>
                <w:color w:val="000000"/>
                <w:spacing w:val="-4"/>
                <w:sz w:val="24"/>
                <w:szCs w:val="24"/>
              </w:rPr>
            </w:pPr>
            <w:r>
              <w:rPr>
                <w:rFonts w:ascii="Garamond" w:eastAsia="Times New Roman" w:hAnsi="Garamond" w:cs="Calibri"/>
                <w:color w:val="000000"/>
                <w:spacing w:val="-4"/>
                <w:sz w:val="24"/>
                <w:szCs w:val="24"/>
                <w:lang w:val="sq-AL"/>
              </w:rPr>
              <w:t xml:space="preserve">Komente për vlerësimin e ofertave        </w:t>
            </w:r>
          </w:p>
        </w:tc>
        <w:tc>
          <w:tcPr>
            <w:tcW w:w="1350" w:type="pct"/>
            <w:noWrap/>
            <w:vAlign w:val="bottom"/>
            <w:hideMark/>
          </w:tcPr>
          <w:p w:rsidR="005C0BD2" w:rsidRDefault="005C0BD2">
            <w:pPr>
              <w:spacing w:after="0" w:line="240" w:lineRule="auto"/>
              <w:ind w:firstLine="0"/>
              <w:jc w:val="left"/>
              <w:rPr>
                <w:rFonts w:ascii="Garamond" w:eastAsia="Times New Roman" w:hAnsi="Garamond" w:cs="Calibri"/>
                <w:color w:val="000000"/>
                <w:spacing w:val="-4"/>
                <w:sz w:val="24"/>
                <w:szCs w:val="24"/>
              </w:rPr>
            </w:pPr>
            <w:r>
              <w:rPr>
                <w:rFonts w:ascii="Garamond" w:eastAsia="Times New Roman" w:hAnsi="Garamond" w:cs="Calibri"/>
                <w:color w:val="000000"/>
                <w:spacing w:val="-4"/>
                <w:sz w:val="24"/>
                <w:szCs w:val="24"/>
              </w:rPr>
              <w:t>Shtojca 7</w:t>
            </w:r>
          </w:p>
        </w:tc>
      </w:tr>
      <w:tr w:rsidR="005C0BD2" w:rsidTr="005C0BD2">
        <w:trPr>
          <w:trHeight w:val="485"/>
        </w:trPr>
        <w:tc>
          <w:tcPr>
            <w:tcW w:w="3650" w:type="pct"/>
            <w:noWrap/>
            <w:vAlign w:val="center"/>
            <w:hideMark/>
          </w:tcPr>
          <w:p w:rsidR="005C0BD2" w:rsidRDefault="005C0BD2">
            <w:pPr>
              <w:spacing w:after="0" w:line="240" w:lineRule="auto"/>
              <w:ind w:firstLine="0"/>
              <w:jc w:val="left"/>
              <w:rPr>
                <w:rFonts w:ascii="Garamond" w:eastAsia="Times New Roman" w:hAnsi="Garamond" w:cs="Calibri"/>
                <w:color w:val="000000"/>
                <w:spacing w:val="-4"/>
                <w:sz w:val="24"/>
                <w:szCs w:val="24"/>
              </w:rPr>
            </w:pPr>
            <w:r>
              <w:rPr>
                <w:rFonts w:ascii="Garamond" w:eastAsia="Times New Roman" w:hAnsi="Garamond" w:cs="Calibri"/>
                <w:color w:val="000000"/>
                <w:spacing w:val="-4"/>
                <w:sz w:val="24"/>
                <w:szCs w:val="24"/>
                <w:lang w:val="sq-AL"/>
              </w:rPr>
              <w:t xml:space="preserve">Kushtet e përgjithshme të kontratës/Komponentët kryesorë të kontratës së shërbimeve të konsulencës </w:t>
            </w:r>
          </w:p>
        </w:tc>
        <w:tc>
          <w:tcPr>
            <w:tcW w:w="1350" w:type="pct"/>
            <w:noWrap/>
            <w:vAlign w:val="bottom"/>
            <w:hideMark/>
          </w:tcPr>
          <w:p w:rsidR="005C0BD2" w:rsidRDefault="005C0BD2">
            <w:pPr>
              <w:spacing w:after="0" w:line="240" w:lineRule="auto"/>
              <w:ind w:firstLine="0"/>
              <w:jc w:val="left"/>
              <w:rPr>
                <w:rFonts w:ascii="Garamond" w:eastAsia="Times New Roman" w:hAnsi="Garamond" w:cs="Calibri"/>
                <w:color w:val="000000"/>
                <w:spacing w:val="-4"/>
                <w:sz w:val="24"/>
                <w:szCs w:val="24"/>
              </w:rPr>
            </w:pPr>
            <w:r>
              <w:rPr>
                <w:rFonts w:ascii="Garamond" w:eastAsia="Times New Roman" w:hAnsi="Garamond" w:cs="Calibri"/>
                <w:color w:val="000000"/>
                <w:spacing w:val="-4"/>
                <w:sz w:val="24"/>
                <w:szCs w:val="24"/>
              </w:rPr>
              <w:t>Shtojca 8</w:t>
            </w:r>
          </w:p>
        </w:tc>
      </w:tr>
      <w:tr w:rsidR="005C0BD2" w:rsidTr="005C0BD2">
        <w:trPr>
          <w:trHeight w:val="315"/>
        </w:trPr>
        <w:tc>
          <w:tcPr>
            <w:tcW w:w="3650" w:type="pct"/>
            <w:noWrap/>
            <w:vAlign w:val="center"/>
            <w:hideMark/>
          </w:tcPr>
          <w:p w:rsidR="005C0BD2" w:rsidRDefault="005C0BD2">
            <w:pPr>
              <w:spacing w:after="0" w:line="240" w:lineRule="auto"/>
              <w:ind w:firstLine="0"/>
              <w:jc w:val="left"/>
              <w:rPr>
                <w:rFonts w:ascii="Garamond" w:eastAsia="Times New Roman" w:hAnsi="Garamond" w:cs="Calibri"/>
                <w:color w:val="000000"/>
                <w:spacing w:val="-4"/>
                <w:sz w:val="24"/>
                <w:szCs w:val="24"/>
              </w:rPr>
            </w:pPr>
            <w:r>
              <w:rPr>
                <w:rFonts w:ascii="Garamond" w:eastAsia="Times New Roman" w:hAnsi="Garamond" w:cs="Calibri"/>
                <w:color w:val="000000"/>
                <w:spacing w:val="-4"/>
                <w:sz w:val="24"/>
                <w:szCs w:val="24"/>
                <w:lang w:val="sq-AL"/>
              </w:rPr>
              <w:t xml:space="preserve">Informacione për kontratat me pagesë të vetme </w:t>
            </w:r>
          </w:p>
        </w:tc>
        <w:tc>
          <w:tcPr>
            <w:tcW w:w="1350" w:type="pct"/>
            <w:noWrap/>
            <w:vAlign w:val="center"/>
            <w:hideMark/>
          </w:tcPr>
          <w:p w:rsidR="005C0BD2" w:rsidRDefault="005C0BD2">
            <w:pPr>
              <w:spacing w:after="0" w:line="240" w:lineRule="auto"/>
              <w:ind w:firstLine="0"/>
              <w:rPr>
                <w:rFonts w:ascii="Garamond" w:eastAsia="Times New Roman" w:hAnsi="Garamond" w:cs="Calibri"/>
                <w:color w:val="000000"/>
                <w:spacing w:val="-4"/>
                <w:sz w:val="24"/>
                <w:szCs w:val="24"/>
              </w:rPr>
            </w:pPr>
            <w:r>
              <w:rPr>
                <w:rFonts w:ascii="Garamond" w:eastAsia="Times New Roman" w:hAnsi="Garamond" w:cs="Calibri"/>
                <w:color w:val="000000"/>
                <w:spacing w:val="-4"/>
                <w:sz w:val="24"/>
                <w:szCs w:val="24"/>
              </w:rPr>
              <w:t>Shtojca 9</w:t>
            </w:r>
          </w:p>
        </w:tc>
      </w:tr>
      <w:tr w:rsidR="005C0BD2" w:rsidTr="005C0BD2">
        <w:trPr>
          <w:trHeight w:val="315"/>
        </w:trPr>
        <w:tc>
          <w:tcPr>
            <w:tcW w:w="3650" w:type="pct"/>
            <w:noWrap/>
            <w:vAlign w:val="center"/>
            <w:hideMark/>
          </w:tcPr>
          <w:p w:rsidR="005C0BD2" w:rsidRDefault="005C0BD2">
            <w:pPr>
              <w:spacing w:after="0" w:line="240" w:lineRule="auto"/>
              <w:ind w:firstLine="0"/>
              <w:jc w:val="left"/>
              <w:rPr>
                <w:rFonts w:ascii="Garamond" w:eastAsia="Times New Roman" w:hAnsi="Garamond" w:cs="Calibri"/>
                <w:color w:val="000000"/>
                <w:spacing w:val="-4"/>
                <w:sz w:val="24"/>
                <w:szCs w:val="24"/>
              </w:rPr>
            </w:pPr>
            <w:r>
              <w:rPr>
                <w:rFonts w:ascii="Garamond" w:eastAsia="Times New Roman" w:hAnsi="Garamond" w:cs="Calibri"/>
                <w:color w:val="000000"/>
                <w:spacing w:val="-4"/>
                <w:sz w:val="24"/>
                <w:szCs w:val="24"/>
                <w:lang w:val="sq-AL"/>
              </w:rPr>
              <w:t xml:space="preserve">Lista e akronimeve dhe shkurtimeve, dhe fjalorthi  </w:t>
            </w:r>
          </w:p>
        </w:tc>
        <w:tc>
          <w:tcPr>
            <w:tcW w:w="1350" w:type="pct"/>
            <w:noWrap/>
            <w:vAlign w:val="center"/>
            <w:hideMark/>
          </w:tcPr>
          <w:p w:rsidR="005C0BD2" w:rsidRDefault="005C0BD2">
            <w:pPr>
              <w:spacing w:after="0" w:line="240" w:lineRule="auto"/>
              <w:ind w:firstLine="0"/>
              <w:rPr>
                <w:rFonts w:ascii="Garamond" w:eastAsia="Times New Roman" w:hAnsi="Garamond" w:cs="Calibri"/>
                <w:color w:val="000000"/>
                <w:spacing w:val="-4"/>
                <w:sz w:val="24"/>
                <w:szCs w:val="24"/>
              </w:rPr>
            </w:pPr>
            <w:r>
              <w:rPr>
                <w:rFonts w:ascii="Garamond" w:eastAsia="Times New Roman" w:hAnsi="Garamond" w:cs="Calibri"/>
                <w:color w:val="000000"/>
                <w:spacing w:val="-4"/>
                <w:sz w:val="24"/>
                <w:szCs w:val="24"/>
              </w:rPr>
              <w:t>Shtojca 10</w:t>
            </w:r>
          </w:p>
        </w:tc>
      </w:tr>
    </w:tbl>
    <w:p w:rsidR="005C0BD2" w:rsidRDefault="005C0BD2" w:rsidP="005C0BD2">
      <w:pPr>
        <w:pStyle w:val="Paragrafi"/>
        <w:rPr>
          <w:b/>
          <w:spacing w:val="-4"/>
          <w:lang w:val="sq-AL"/>
        </w:rPr>
      </w:pPr>
    </w:p>
    <w:p w:rsidR="005C0BD2" w:rsidRDefault="005C0BD2" w:rsidP="005C0BD2">
      <w:pPr>
        <w:pStyle w:val="Paragrafi"/>
        <w:rPr>
          <w:rFonts w:eastAsia="Arial"/>
          <w:b/>
          <w:spacing w:val="-4"/>
          <w:lang w:val="sq-AL"/>
        </w:rPr>
      </w:pPr>
      <w:r>
        <w:rPr>
          <w:b/>
          <w:spacing w:val="-4"/>
          <w:lang w:val="sq-AL"/>
        </w:rPr>
        <w:t>Hyrje</w:t>
      </w:r>
    </w:p>
    <w:p w:rsidR="005C0BD2" w:rsidRDefault="005C0BD2" w:rsidP="005C0BD2">
      <w:pPr>
        <w:pStyle w:val="Paragrafi"/>
        <w:rPr>
          <w:rFonts w:eastAsia="Arial"/>
          <w:spacing w:val="-4"/>
          <w:lang w:val="sq-AL"/>
        </w:rPr>
      </w:pPr>
      <w:r>
        <w:rPr>
          <w:spacing w:val="-4"/>
          <w:lang w:val="sq-AL"/>
        </w:rPr>
        <w:t>Natyra dhe qëllimi i projekteve të mbështetura nga KfW-ja zakonisht nënkuptojnë që Agjencia e Zbatimit të Projektit përfiton nga mbështetja e konsulentëve vendorë apo ndërkombëtarë, në mënyrë që të përgatiten, zbatohen dhe nëse është e nevojshme, të menaxhohen projektet përkatëse (për detaje rreth fushave të punës për konsulentët, shihni shtojcën 1). Gjithashtu, konsulentët mund të caktohen pavarësisht masave të vazhdueshme, si për shembull për të identifikuar ose vlerësuar projektet, ose për të mbikëqyrur masat e trajnimit.</w:t>
      </w:r>
    </w:p>
    <w:p w:rsidR="005C0BD2" w:rsidRDefault="005C0BD2" w:rsidP="005C0BD2">
      <w:pPr>
        <w:pStyle w:val="Paragrafi"/>
        <w:rPr>
          <w:rFonts w:eastAsia="Arial"/>
          <w:spacing w:val="-4"/>
          <w:lang w:val="sq-AL"/>
        </w:rPr>
      </w:pPr>
      <w:r>
        <w:rPr>
          <w:spacing w:val="-4"/>
          <w:lang w:val="sq-AL"/>
        </w:rPr>
        <w:t>Këto udhëzime ofrojnë informacione për kërkesat minimale gjatë kontraktimit të konsulentëve</w:t>
      </w:r>
      <w:r>
        <w:rPr>
          <w:rStyle w:val="FootnoteReference"/>
          <w:spacing w:val="-4"/>
          <w:lang w:val="sq-AL"/>
        </w:rPr>
        <w:footnoteReference w:id="1"/>
      </w:r>
      <w:r>
        <w:rPr>
          <w:spacing w:val="-4"/>
          <w:sz w:val="27"/>
          <w:vertAlign w:val="superscript"/>
          <w:lang w:val="sq-AL"/>
        </w:rPr>
        <w:t xml:space="preserve"> </w:t>
      </w:r>
      <w:r>
        <w:rPr>
          <w:spacing w:val="-4"/>
          <w:lang w:val="sq-AL"/>
        </w:rPr>
        <w:t>në projekte apo programe të mbështetura nga Banka Gjermane për Zhvillim KfW, duke shfrytëzuar fondet e Bashkëpunimit Financiar Gjerman (FC), fonde të tjera të buxhetit gjerman, fondet e KfW-së ose fonde të donatorëve të tjerë. Këto udhëzime mbështeten në procedurat dhe normat standarde ndërkombëtare.</w:t>
      </w:r>
    </w:p>
    <w:p w:rsidR="005C0BD2" w:rsidRDefault="005C0BD2" w:rsidP="005C0BD2">
      <w:pPr>
        <w:pStyle w:val="Paragrafi"/>
        <w:rPr>
          <w:rFonts w:eastAsia="Arial"/>
          <w:spacing w:val="-4"/>
          <w:lang w:val="sq-AL"/>
        </w:rPr>
      </w:pPr>
      <w:r>
        <w:rPr>
          <w:spacing w:val="-4"/>
          <w:lang w:val="sq-AL"/>
        </w:rPr>
        <w:t xml:space="preserve">KfW-ja është përgjegjëse për të gjithë shoqërinë dhe e konsideron qëndrueshmërinë e projekteve dhe </w:t>
      </w:r>
      <w:r>
        <w:rPr>
          <w:spacing w:val="-4"/>
          <w:lang w:val="sq-AL"/>
        </w:rPr>
        <w:lastRenderedPageBreak/>
        <w:t>programeve që mbështet si një objektiv gjithëpërfshirës të misionit të saj. Zhvillimi, zbatimi dhe operimi vijues i projekteve dhe programeve të mbështetura nga departamentet rajonale të KfW-së, duhet të marrin parasysh eficiencën, si edhe aspektet ekologjike dhe sociale. Brenda mundësive të sistemeve partnere, këto aspekte mund të merren parasysh në mënyra të ndryshme për sa i përket përzgjedhjes së firmave/shoqërive dhe/ose në vlerësimin e tenderave.</w:t>
      </w:r>
    </w:p>
    <w:p w:rsidR="005C0BD2" w:rsidRDefault="005C0BD2" w:rsidP="005C0BD2">
      <w:pPr>
        <w:pStyle w:val="Paragrafi"/>
        <w:rPr>
          <w:rFonts w:eastAsia="Arial"/>
          <w:spacing w:val="-4"/>
          <w:lang w:val="sq-AL"/>
        </w:rPr>
      </w:pPr>
      <w:r>
        <w:rPr>
          <w:spacing w:val="-4"/>
          <w:lang w:val="sq-AL"/>
        </w:rPr>
        <w:t>Në marrëveshjen për hua apo për financim ose në marrëveshjet e tjera ndërmjet Agjencisë së Zbatimit të projektit dhe KfW-së është rënë dakord për kuadrot e ofrimit të shërbimeve për mbështetjen e projekteve apo programeve dhe për përzgjedhjen e konsulentëve. Më pas, detajet e procedurës së ftesës për ofertë paraqiten në njoftimin përkatës të parakualifikimit dhe në kërkesën për tendera. Kjo mundëson fleksibilitetin për sa i përket marrjes në konsideratë të rrethanave specifike të çdo projekti individual. Të drejtat dhe detyrimet e Agjencisë së Zbatimit të Projektit dhe të Konsulentit paraqiten në kontratën e shërbimeve konsulence që do të nënshkruhet ndërmjet Agjencisë së Zbatimit të Projektit dhe Konsulentit. Për këtë qëllim, KfW-ja ofron një kontratë tip që mbështetet në kontrata tip standarde ndërkombëtare.</w:t>
      </w:r>
    </w:p>
    <w:p w:rsidR="005C0BD2" w:rsidRDefault="005C0BD2" w:rsidP="005C0BD2">
      <w:pPr>
        <w:pStyle w:val="Paragrafi"/>
        <w:rPr>
          <w:rFonts w:eastAsia="Arial"/>
          <w:spacing w:val="-4"/>
          <w:lang w:val="sq-AL"/>
        </w:rPr>
      </w:pPr>
      <w:r>
        <w:rPr>
          <w:spacing w:val="-4"/>
          <w:lang w:val="sq-AL"/>
        </w:rPr>
        <w:t>Kontratat për shërbime konsulence zakonisht iu jepen institucioneve përgjegjëse për zbatimin e projektit (klientit ose Agjencisë së Zbatimit të Projektit)</w:t>
      </w:r>
      <w:r>
        <w:rPr>
          <w:rStyle w:val="FootnoteReference"/>
          <w:spacing w:val="-4"/>
          <w:lang w:val="sq-AL"/>
        </w:rPr>
        <w:footnoteReference w:id="2"/>
      </w:r>
      <w:r>
        <w:rPr>
          <w:spacing w:val="-4"/>
          <w:lang w:val="sq-AL"/>
        </w:rPr>
        <w:t>.</w:t>
      </w:r>
      <w:r>
        <w:rPr>
          <w:rFonts w:eastAsia="Arial"/>
          <w:spacing w:val="-4"/>
          <w:lang w:val="sq-AL"/>
        </w:rPr>
        <w:t xml:space="preserve"> </w:t>
      </w:r>
    </w:p>
    <w:p w:rsidR="005C0BD2" w:rsidRDefault="005C0BD2" w:rsidP="005C0BD2">
      <w:pPr>
        <w:pStyle w:val="Paragrafi"/>
        <w:rPr>
          <w:b/>
          <w:spacing w:val="-4"/>
          <w:lang w:val="sq-AL"/>
        </w:rPr>
      </w:pPr>
      <w:r>
        <w:rPr>
          <w:b/>
          <w:spacing w:val="-4"/>
          <w:lang w:val="sq-AL"/>
        </w:rPr>
        <w:t xml:space="preserve">Çfarë është bashkëpunimi financiar? </w:t>
      </w:r>
    </w:p>
    <w:p w:rsidR="005C0BD2" w:rsidRDefault="005C0BD2" w:rsidP="005C0BD2">
      <w:pPr>
        <w:pStyle w:val="Paragrafi"/>
        <w:rPr>
          <w:spacing w:val="-4"/>
          <w:lang w:val="sq-AL"/>
        </w:rPr>
      </w:pPr>
      <w:r>
        <w:rPr>
          <w:spacing w:val="-4"/>
          <w:lang w:val="sq-AL"/>
        </w:rPr>
        <w:t xml:space="preserve">Bashkëpunimi financiar (FC) është pjesë përbërëse e Bashkëpunimit Gjerman për Zhvillim. Funksioni i tij është të financojë investime në infrastrukturën ekonomike dhe sociale, lehtësimin e varfërisë, mbrojtjen e mjedisit dhe mbrojtjen e burimeve natyrore në vendet partnere, duke iu ofruar hua sipas termave dhe granteve të favorshme, duke përdorur fondet e buxhetit federal. Këto fonde mund të plotësohen nga tregu i fondeve të mbledhura nga KfW-ja. Për më tepër, synon t’i mundësojë partnerët që t’i operojnë shërbimet në mënyrë të pavarur dhe të qëndrueshme përmes masave shtesë bazë dhe të avancuara për trajnim (ngritja e kapacitetit). FC-ja realizohet nga KfW-ja në emër të qeverisë gjermane dhe ministrive të saj, kryesisht në emër të Ministrisë Federale për Bashkëpunim dhe Zhvillim Ekonomik (BMZ). Fondet e FC-së, ndër të tjera, ndihmojnë në shtimin e furnizimit me ujë dhe energji elektrike, përmirësimin e sistemeve të kujdesit shëndetësor dhe arsimit, zgjerimin e linjave të transportit dhe nxitjen e prodhimeve bujqësore. Gjithashtu, ata financojnë programe huadhënieje për ndërmarrje të vogla dhe të mesme, për reforma ekonomike dhe për të nxitur programe të ndryshimeve klimatike dhe efiçencën energjetike. </w:t>
      </w:r>
    </w:p>
    <w:p w:rsidR="005C0BD2" w:rsidRDefault="005C0BD2" w:rsidP="005C0BD2">
      <w:pPr>
        <w:pStyle w:val="Paragrafi"/>
        <w:rPr>
          <w:b/>
          <w:spacing w:val="-4"/>
          <w:lang w:val="sq-AL"/>
        </w:rPr>
      </w:pPr>
      <w:r>
        <w:rPr>
          <w:noProof/>
        </w:rPr>
        <mc:AlternateContent>
          <mc:Choice Requires="wps">
            <w:drawing>
              <wp:anchor distT="0" distB="0" distL="114300" distR="114300" simplePos="0" relativeHeight="251658240" behindDoc="1" locked="0" layoutInCell="1" allowOverlap="1">
                <wp:simplePos x="0" y="0"/>
                <wp:positionH relativeFrom="column">
                  <wp:posOffset>5824220</wp:posOffset>
                </wp:positionH>
                <wp:positionV relativeFrom="paragraph">
                  <wp:posOffset>-5715</wp:posOffset>
                </wp:positionV>
                <wp:extent cx="12700" cy="12065"/>
                <wp:effectExtent l="0" t="0" r="25400" b="2603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12DE71" id="Rectangle 20" o:spid="_x0000_s1026" style="position:absolute;margin-left:458.6pt;margin-top:-.45pt;width:1pt;height:.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X//HQIAADsEAAAOAAAAZHJzL2Uyb0RvYy54bWysU9uO0zAQfUfiHyy/01zU7iVqulp1KUJa&#10;YMXCB0wdJ7FwbDN2my5fz9jpli7whPCD5fGMj8+cmVneHAbN9hK9sqbmxSznTBphG2W6mn/9snlz&#10;xZkPYBrQ1siaP0nPb1avXy1HV8nS9lY3EhmBGF+NruZ9CK7KMi96OYCfWScNOVuLAwQyscsahJHQ&#10;B52VeX6RjRYbh1ZI7+n2bnLyVcJvWynCp7b1MjBdc+IW0o5p38Y9Wy2h6hBcr8SRBvwDiwGUoU9P&#10;UHcQgO1Q/QE1KIHW2zbMhB0y27ZKyJQDZVPkv2Xz2IOTKRcSx7uTTP7/wYqP+wdkqql5SfIYGKhG&#10;n0k1MJ2WjO5IoNH5iuIe3QPGFL27t+KbZ8auewqTt4h27CU0RKuI8dmLB9Hw9JRtxw+2IXjYBZu0&#10;OrQ4REBSgR1SSZ5OJZGHwARdFuVlTsQEeYoyv1gkfKienzr04Z20A4uHmiMxT9Cwv/chUoHqOSRR&#10;t1o1G6V1MrDbrjWyPcTeSOuI7s/DtGFjza8X5SIhv/D5c4hNWn+DGFSgJtdqqPnV6R+oomZvTZNa&#10;MIDS05koa3MUMeo26b+1zRNpiHbqYJo4OvQWf3A2UvfW3H/fAUrO9HtDdbgu5vPY7smYLy5jcfHc&#10;sz33gBEEVfPA2XRch2lEdg5V19NPRcrd2FuqXauSsrGuE6sjWerQJPhxmuIInNsp6tfMr34CAAD/&#10;/wMAUEsDBBQABgAIAAAAIQBYflOe2gAAAAcBAAAPAAAAZHJzL2Rvd25yZXYueG1sTI7BTsMwEETv&#10;SPyDtUjcWicB0TrEqQCJExdaeuHmxkscsNdR7Lbh71lOcBzN08xrNnPw4oRTGiJpKJcFCKQu2oF6&#10;Dfu358UaRMqGrPGRUMM3Jti0lxeNqW080xZPu9wLHqFUGw0u57GWMnUOg0nLOCJx9xGnYDLHqZd2&#10;MmceD15WRXEngxmIH5wZ8clh97U7Bg30+Fq93HR5tR/dWnl7O35u/bvW11fzwz2IjHP+g+FXn9Wh&#10;ZadDPJJNwmtQ5apiVMNCgeBelYrzgcECZNvI//7tDwAAAP//AwBQSwECLQAUAAYACAAAACEAtoM4&#10;kv4AAADhAQAAEwAAAAAAAAAAAAAAAAAAAAAAW0NvbnRlbnRfVHlwZXNdLnhtbFBLAQItABQABgAI&#10;AAAAIQA4/SH/1gAAAJQBAAALAAAAAAAAAAAAAAAAAC8BAABfcmVscy8ucmVsc1BLAQItABQABgAI&#10;AAAAIQDTeX//HQIAADsEAAAOAAAAAAAAAAAAAAAAAC4CAABkcnMvZTJvRG9jLnhtbFBLAQItABQA&#10;BgAIAAAAIQBYflOe2gAAAAcBAAAPAAAAAAAAAAAAAAAAAHcEAABkcnMvZG93bnJldi54bWxQSwUG&#10;AAAAAAQABADzAAAAfgUAAAAA&#10;" fillcolor="black" strokecolor="white"/>
            </w:pict>
          </mc:Fallback>
        </mc:AlternateContent>
      </w:r>
      <w:r>
        <w:rPr>
          <w:b/>
          <w:spacing w:val="-4"/>
          <w:lang w:val="sq-AL"/>
        </w:rPr>
        <w:t>1.</w:t>
      </w:r>
      <w:r>
        <w:rPr>
          <w:b/>
          <w:spacing w:val="-4"/>
          <w:lang w:val="sq-AL"/>
        </w:rPr>
        <w:tab/>
        <w:t>Parimet bazë</w:t>
      </w:r>
    </w:p>
    <w:p w:rsidR="005C0BD2" w:rsidRDefault="005C0BD2" w:rsidP="005C0BD2">
      <w:pPr>
        <w:pStyle w:val="Paragrafi"/>
        <w:rPr>
          <w:spacing w:val="-4"/>
          <w:lang w:val="sq-AL"/>
        </w:rPr>
      </w:pPr>
      <w:r>
        <w:rPr>
          <w:spacing w:val="-4"/>
          <w:lang w:val="sq-AL"/>
        </w:rPr>
        <w:t>1.1</w:t>
      </w:r>
      <w:r>
        <w:rPr>
          <w:spacing w:val="-4"/>
          <w:lang w:val="sq-AL"/>
        </w:rPr>
        <w:tab/>
        <w:t xml:space="preserve"> Vlefshmëria e udhëzimeve</w:t>
      </w:r>
    </w:p>
    <w:p w:rsidR="005C0BD2" w:rsidRDefault="005C0BD2" w:rsidP="005C0BD2">
      <w:pPr>
        <w:pStyle w:val="Paragrafi"/>
        <w:rPr>
          <w:spacing w:val="-4"/>
          <w:lang w:val="sq-AL"/>
        </w:rPr>
      </w:pPr>
      <w:r>
        <w:rPr>
          <w:spacing w:val="-4"/>
          <w:lang w:val="sq-AL"/>
        </w:rPr>
        <w:t>1.01 Këto udhëzime zbatohen gjatë prokurimit të të gjitha shërbimeve këshilluese dhe të konsulencës që financohen plotësisht ose pjesërisht nga Banka Gjermane për Zhvillim KfW, duke përdorur fondet e Bashkëpunimit Financiar Gjerman (FC), fonde të tjera gjermane për buxhetin apo fondet e vetë KfW-së. Gjithashtu, ato zbatohen kur supozohet bashkëpunimi i deleguar, përveç rasteve kur bihet dakord me autorizuesin. Udhëzimet zbatohen edhe në rastet kur KfW-ja e lidh kontratën në emrin e saj</w:t>
      </w:r>
      <w:r>
        <w:rPr>
          <w:rStyle w:val="FootnoteReference"/>
          <w:spacing w:val="-4"/>
          <w:lang w:val="sq-AL"/>
        </w:rPr>
        <w:footnoteReference w:id="3"/>
      </w:r>
      <w:r>
        <w:rPr>
          <w:spacing w:val="-4"/>
          <w:lang w:val="sq-AL"/>
        </w:rPr>
        <w:t>, përveç rasteve kur legjislacioni gjerman parashikon ndryshe.</w:t>
      </w:r>
    </w:p>
    <w:p w:rsidR="005C0BD2" w:rsidRDefault="005C0BD2" w:rsidP="005C0BD2">
      <w:pPr>
        <w:pStyle w:val="Paragrafi"/>
        <w:rPr>
          <w:spacing w:val="-4"/>
          <w:lang w:val="sq-AL"/>
        </w:rPr>
      </w:pPr>
      <w:r>
        <w:rPr>
          <w:spacing w:val="-4"/>
          <w:lang w:val="sq-AL"/>
        </w:rPr>
        <w:t>1.02 Shërbimet e konsulencës sipas Bashkëpunimit Financiar kontraktohen në përputhje me këto udhëzime, përveç kur përcaktohet ndryshe për rastet të veçanta. Në rast se ligji në vendin e Klientit e ndalon zbatimin e këtyre udhëzimeve plotësisht apo pjesërisht, Klienti dhe KfW-ja mund të bien dakord për përjashtimet. Financimi është i mundur vetëm nëse procedurat dhe ligjet ku mbështetet kontrata nuk shkelin parimet bazë të drejtësisë, transparencës, efiçencës ekonomike dhe të mundësive të barabarta që përshkruhen në këto udhëzime. Këto rregullime duhet të kryhen me KfW-n në kohën e duhur.</w:t>
      </w:r>
    </w:p>
    <w:p w:rsidR="005C0BD2" w:rsidRDefault="005C0BD2" w:rsidP="005C0BD2">
      <w:pPr>
        <w:pStyle w:val="Paragrafi"/>
        <w:rPr>
          <w:spacing w:val="-4"/>
          <w:lang w:val="sq-AL"/>
        </w:rPr>
      </w:pPr>
      <w:r>
        <w:rPr>
          <w:spacing w:val="-4"/>
          <w:lang w:val="sq-AL"/>
        </w:rPr>
        <w:t xml:space="preserve">1.03 KfW-ja mbështet harmonizimin e parimeve dhe procedurave që zbatohen për bashkëpunimin ndërkombëtar të zhvillimit. Si rrjedhojë, në interes të standardizimit, në disa raste përdoren procedurat e organizatave të tjera kompetente dypalëshe dhe shumëpalëshe të zhvillimit, vetëm nëse Klienti është njohur me zbatimin e këtyre procedurave dhe nëse KfW-ja ka dhënë paraprakisht miratimin. </w:t>
      </w:r>
    </w:p>
    <w:p w:rsidR="005C0BD2" w:rsidRDefault="005C0BD2" w:rsidP="005C0BD2">
      <w:pPr>
        <w:pStyle w:val="Paragrafi"/>
        <w:rPr>
          <w:spacing w:val="-4"/>
          <w:lang w:val="sq-AL"/>
        </w:rPr>
      </w:pPr>
      <w:r>
        <w:rPr>
          <w:spacing w:val="-4"/>
          <w:lang w:val="sq-AL"/>
        </w:rPr>
        <w:t>1.2</w:t>
      </w:r>
      <w:r>
        <w:rPr>
          <w:spacing w:val="-4"/>
          <w:lang w:val="sq-AL"/>
        </w:rPr>
        <w:tab/>
        <w:t xml:space="preserve"> Përgjegjësia për caktimin e konsulentëve</w:t>
      </w:r>
    </w:p>
    <w:p w:rsidR="005C0BD2" w:rsidRDefault="005C0BD2" w:rsidP="005C0BD2">
      <w:pPr>
        <w:pStyle w:val="Paragrafi"/>
        <w:rPr>
          <w:spacing w:val="-4"/>
          <w:lang w:val="sq-AL"/>
        </w:rPr>
      </w:pPr>
      <w:r>
        <w:rPr>
          <w:spacing w:val="-4"/>
          <w:lang w:val="sq-AL"/>
        </w:rPr>
        <w:t xml:space="preserve">1.04 Përgjegjësia për përgatitjen, zbatimin dhe operimin e të gjitha projekteve të financuara nga KfW-ja i ngarkohet Klientit përkatës në vendin partner, përveç rasteve kur KfW-ja e ka dhënë kontratën në emër të saj. Zakonisht Klienti e zhvillon të gjithë procedurën e kontraktimit, e nënshkruan kontratën dhe mbikëqyr performancën kontraktuese të Konsulentit në mënyrë të pavarur. </w:t>
      </w:r>
    </w:p>
    <w:p w:rsidR="005C0BD2" w:rsidRDefault="005C0BD2" w:rsidP="005C0BD2">
      <w:pPr>
        <w:pStyle w:val="Paragrafi"/>
        <w:rPr>
          <w:spacing w:val="-4"/>
          <w:lang w:val="sq-AL"/>
        </w:rPr>
      </w:pPr>
      <w:r>
        <w:rPr>
          <w:spacing w:val="-4"/>
          <w:lang w:val="sq-AL"/>
        </w:rPr>
        <w:t>Këtu përfshihen edhe procedurat e kontraktimit, ku KfW-ja vepron si pjesë e konsorciumit.</w:t>
      </w:r>
    </w:p>
    <w:p w:rsidR="005C0BD2" w:rsidRDefault="005C0BD2" w:rsidP="005C0BD2">
      <w:pPr>
        <w:pStyle w:val="Paragrafi"/>
        <w:rPr>
          <w:spacing w:val="-4"/>
          <w:lang w:val="sq-AL"/>
        </w:rPr>
      </w:pPr>
      <w:bookmarkStart w:id="1" w:name="page8"/>
      <w:bookmarkEnd w:id="1"/>
      <w:r>
        <w:rPr>
          <w:spacing w:val="-4"/>
          <w:lang w:val="sq-AL"/>
        </w:rPr>
        <w:lastRenderedPageBreak/>
        <w:t>Gjithashtu, përgjegjës është edhe Klienti në rastet kur KfW-ja në mënyrë të veçantë zhvillon procedurën e përzgjedhjes për dhe në emër të Klientit, sipas parimeve të agjencisë (shihni pikën 1.10).</w:t>
      </w:r>
    </w:p>
    <w:p w:rsidR="005C0BD2" w:rsidRDefault="005C0BD2" w:rsidP="005C0BD2">
      <w:pPr>
        <w:pStyle w:val="Paragrafi"/>
        <w:rPr>
          <w:spacing w:val="-4"/>
          <w:lang w:val="sq-AL"/>
        </w:rPr>
      </w:pPr>
      <w:r>
        <w:rPr>
          <w:spacing w:val="-4"/>
          <w:lang w:val="sq-AL"/>
        </w:rPr>
        <w:t>1.05 Gjatë zbatimit të procedurës së kontraktimit, Klienti me miratimin e KfW-së mund të mbështetet nga një agjent tenderash, dhe mund t’i delegojë këtij agjenti pjesë të procedurës (përgatitjen e dokumenteve të tenderimit, publikimin, vlerësimin e ofertave, negociatat kontraktuese) ose të gjithë procesin. Agjenti i tenderit është i detyruar që të ruajë konfidencialitetin. Kjo nuk ndikon përgjegjësinë e Klientit, në përputhje me paragrafin 1.04 apo të detyrimeve të KfW-së për të dhënë miratimin në përputhje me paragrafin 1.08.</w:t>
      </w:r>
    </w:p>
    <w:p w:rsidR="005C0BD2" w:rsidRDefault="005C0BD2" w:rsidP="005C0BD2">
      <w:pPr>
        <w:pStyle w:val="Paragrafi"/>
        <w:rPr>
          <w:spacing w:val="-4"/>
          <w:lang w:val="sq-AL"/>
        </w:rPr>
      </w:pPr>
      <w:r>
        <w:rPr>
          <w:spacing w:val="-4"/>
          <w:lang w:val="sq-AL"/>
        </w:rPr>
        <w:t>1.3</w:t>
      </w:r>
      <w:r>
        <w:rPr>
          <w:spacing w:val="-4"/>
          <w:lang w:val="sq-AL"/>
        </w:rPr>
        <w:tab/>
        <w:t xml:space="preserve"> Roli i KfW-së</w:t>
      </w:r>
    </w:p>
    <w:p w:rsidR="005C0BD2" w:rsidRDefault="005C0BD2" w:rsidP="005C0BD2">
      <w:pPr>
        <w:pStyle w:val="Paragrafi"/>
        <w:rPr>
          <w:spacing w:val="-4"/>
          <w:lang w:val="sq-AL"/>
        </w:rPr>
      </w:pPr>
      <w:r>
        <w:rPr>
          <w:spacing w:val="-4"/>
          <w:lang w:val="sq-AL"/>
        </w:rPr>
        <w:t xml:space="preserve">1.06 KfW-ja ka një rol aktiv në përgatitjen dhe zbatimin e projekteve që financon. Detyra e saj në ushtrimin e kujdesit të duhur nënkupton që të ketë ndikim te projekti në mënyrën e duhur, duke marrë parasysh çështjen në shqyrtim për të shmangur zhvillime të pafavorshme që mund të shfaqen gjatë fazave të planifikimit, zbatimit apo operimit. Ky ndikim do të ushtrohet në formën e dialogut bashkëpunues me Klientin. </w:t>
      </w:r>
    </w:p>
    <w:p w:rsidR="005C0BD2" w:rsidRDefault="005C0BD2" w:rsidP="005C0BD2">
      <w:pPr>
        <w:pStyle w:val="Paragrafi"/>
        <w:rPr>
          <w:spacing w:val="-4"/>
          <w:lang w:val="sq-AL"/>
        </w:rPr>
      </w:pPr>
      <w:r>
        <w:rPr>
          <w:spacing w:val="-4"/>
          <w:lang w:val="sq-AL"/>
        </w:rPr>
        <w:t>1.07 KfW-ja siguron që fondet e vëna në dispozicion të shpenzohen në mënyrë sa më ekonomike që të jetë e mundur. Ajo do të sigurojë që kontratat të lidhen në mbështetje me konkurrencën e drejtë dhe transparente që ofron mundësi të barabarta për të gjithë ofertuesit pjesëmarrës. Kjo kryhet për të identifikuar ofertuesin më të përshtatshëm, mbështetur në performancën e tyre dhe çmimin e ofruar. Gjithashtu, KfW-ja do të shqyrtojë dokumentet e tenderimit, raportet e vlerësimeve, propozimet për dhënien e kontratës dhe projekt-kontratat që duhet të paraqiten si pjesë e procedurës së kontraktimit, në mënyrë që të sigurohet se ato janë në përputhje me marrëveshjet e bëra me Agjencinë e Zbatimit të Projektit dhe me praktikat ndërkombëtare, veçanërishtveçanërishtpër sa i përket përshkrimit të shërbimeve, mënyrave të pagesës, përgjegjësive dhe garancive, dhe që të sigurohet se draftet nuk kanë të meta apo kundërshtime. Së fundi, KfW-ja do të vlerësojë operimin nga ana e Klientit për përmbushjen e kontratave nga kontraktuesi gjatë fazës së zbatimit.</w:t>
      </w:r>
    </w:p>
    <w:p w:rsidR="005C0BD2" w:rsidRDefault="005C0BD2" w:rsidP="005C0BD2">
      <w:pPr>
        <w:pStyle w:val="Paragrafi"/>
        <w:rPr>
          <w:spacing w:val="-4"/>
          <w:lang w:val="sq-AL"/>
        </w:rPr>
      </w:pPr>
      <w:r>
        <w:rPr>
          <w:spacing w:val="-4"/>
          <w:lang w:val="sq-AL"/>
        </w:rPr>
        <w:t>1.08 Nevojitet miratimi paraprak nga KfW-ja</w:t>
      </w:r>
      <w:r>
        <w:rPr>
          <w:rStyle w:val="FootnoteReference"/>
          <w:spacing w:val="-4"/>
          <w:lang w:val="sq-AL"/>
        </w:rPr>
        <w:footnoteReference w:id="4"/>
      </w:r>
      <w:r>
        <w:rPr>
          <w:spacing w:val="-4"/>
          <w:lang w:val="sq-AL"/>
        </w:rPr>
        <w:t xml:space="preserve"> për publikimin e të gjitha dokumenteve për Deklaratën e Interesit dhe Ftesën për Ofertë</w:t>
      </w:r>
      <w:r>
        <w:rPr>
          <w:rStyle w:val="FootnoteReference"/>
          <w:spacing w:val="-4"/>
          <w:lang w:val="sq-AL"/>
        </w:rPr>
        <w:footnoteReference w:id="5"/>
      </w:r>
      <w:r>
        <w:rPr>
          <w:spacing w:val="-4"/>
          <w:lang w:val="sq-AL"/>
        </w:rPr>
        <w:t>, zgjedhjen e Konsulentit dhe projekt-kontratës së shërbimeve të konsulencës</w:t>
      </w:r>
      <w:hyperlink r:id="rId8" w:anchor="page8" w:history="1">
        <w:r>
          <w:rPr>
            <w:rStyle w:val="Hyperlink"/>
            <w:color w:val="auto"/>
            <w:spacing w:val="-4"/>
            <w:lang w:val="sq-AL"/>
          </w:rPr>
          <w:t xml:space="preserve">. </w:t>
        </w:r>
      </w:hyperlink>
      <w:r>
        <w:rPr>
          <w:spacing w:val="-4"/>
          <w:lang w:val="sq-AL"/>
        </w:rPr>
        <w:t>Krahas kësaj, nevojitet miratimi paraprak i KfW-së edhe për ndryshime në kontratë dhe për pranimin e shërbimeve të konsulencës nga Klienti. Një listë me procedurat që duhen ndjekur dhe dokumentet që duhet t’i paraqiten KfW-së gjendet në shtojcën 2.</w:t>
      </w:r>
    </w:p>
    <w:p w:rsidR="005C0BD2" w:rsidRDefault="005C0BD2" w:rsidP="005C0BD2">
      <w:pPr>
        <w:pStyle w:val="Paragrafi"/>
        <w:rPr>
          <w:spacing w:val="-4"/>
          <w:lang w:val="sq-AL"/>
        </w:rPr>
      </w:pPr>
      <w:r>
        <w:rPr>
          <w:spacing w:val="-4"/>
          <w:lang w:val="sq-AL"/>
        </w:rPr>
        <w:t>1.09 KfW-ja mund të refuzojë financimin e shërbimeve të konsulencës, si edhe të gjithë projektin e FC-së në rast se nuk është bërë zgjedhja në përputhje me procedurat e rëna dakord, nëse kualifikimet e Konsulentit nuk përputhen me specifikimet e tenderit, nëse termat e kontratës së shërbimeve të konsulencës nuk përputhen me kërkesat minimale, nëse procedurat e përzgjedhjes janë ndikuar nga pagesa të jashtëligjshme, nga dhënia ose premtimi i avantazheve të tjera, ose nëse rrethanat sugjerojnë që është ushtruar një ndikim i tillë.</w:t>
      </w:r>
    </w:p>
    <w:p w:rsidR="005C0BD2" w:rsidRDefault="005C0BD2" w:rsidP="005C0BD2">
      <w:pPr>
        <w:pStyle w:val="Paragrafi"/>
        <w:rPr>
          <w:rFonts w:eastAsia="Arial"/>
          <w:spacing w:val="-4"/>
          <w:lang w:val="sq-AL"/>
        </w:rPr>
      </w:pPr>
      <w:r>
        <w:rPr>
          <w:spacing w:val="-4"/>
          <w:lang w:val="sq-AL"/>
        </w:rPr>
        <w:t xml:space="preserve">1.10 Me kërkesë të Klientit, në raste të veçanta KfW-ja mund të zhvillojë të gjithë ose pjesë të procedurës së përzgjedhjes dhe ta autorizojë Konsulentin për dhe në emër të Klientit. Për këtë arsye, KfW-ja do të nënshkruajë një kontratë agjenti me Klientin, duke deklaruar kohëzgjatjen dhe detajet e shërbimeve që do të ofrohen nga KfW-ja. Shërbimet e ofruara nga KfW-ja sipas kësaj kontrate agjenti janë falas. Zakonisht, kjo kontratë përfundon kur nënshkruhet kontrata e shërbimeve të konsulencës nga KfW-ja për dhe në emër të Klientit. Këto udhëzime zbatohen në të tilla raste. </w:t>
      </w:r>
    </w:p>
    <w:p w:rsidR="005C0BD2" w:rsidRDefault="005C0BD2" w:rsidP="005C0BD2">
      <w:pPr>
        <w:pStyle w:val="Paragrafi"/>
        <w:rPr>
          <w:rFonts w:eastAsia="Arial"/>
          <w:spacing w:val="-4"/>
          <w:lang w:val="sq-AL"/>
        </w:rPr>
      </w:pPr>
      <w:r>
        <w:rPr>
          <w:spacing w:val="-4"/>
          <w:lang w:val="sq-AL"/>
        </w:rPr>
        <w:t>1.11 Gjithashtu, në raste të përshtatshme KfW-ja mund të japë kontrata për shërbime konsulence në emrin e saj. Në këto raste, zbatohen këto udhëzime, përveç rastit kur dispozitat e legjislacionit gjerman për prokurimin publik e pengojnë këtë.</w:t>
      </w:r>
    </w:p>
    <w:p w:rsidR="005C0BD2" w:rsidRDefault="005C0BD2" w:rsidP="005C0BD2">
      <w:pPr>
        <w:pStyle w:val="Paragrafi"/>
        <w:rPr>
          <w:rFonts w:eastAsia="Arial"/>
          <w:spacing w:val="-4"/>
          <w:lang w:val="sq-AL"/>
        </w:rPr>
      </w:pPr>
      <w:r>
        <w:rPr>
          <w:spacing w:val="-4"/>
          <w:lang w:val="sq-AL"/>
        </w:rPr>
        <w:t>1.4</w:t>
      </w:r>
      <w:r>
        <w:rPr>
          <w:rFonts w:ascii="Times New Roman" w:hAnsi="Times New Roman"/>
          <w:spacing w:val="-4"/>
          <w:lang w:val="sq-AL"/>
        </w:rPr>
        <w:tab/>
        <w:t xml:space="preserve"> </w:t>
      </w:r>
      <w:r>
        <w:rPr>
          <w:spacing w:val="-4"/>
          <w:lang w:val="sq-AL"/>
        </w:rPr>
        <w:t>Ftesa publike, e drejtë dhe transparente për ofertë</w:t>
      </w:r>
    </w:p>
    <w:p w:rsidR="005C0BD2" w:rsidRDefault="005C0BD2" w:rsidP="005C0BD2">
      <w:pPr>
        <w:pStyle w:val="Paragrafi"/>
        <w:rPr>
          <w:spacing w:val="-4"/>
          <w:lang w:val="sq-AL"/>
        </w:rPr>
      </w:pPr>
      <w:r>
        <w:rPr>
          <w:spacing w:val="-4"/>
          <w:lang w:val="sq-AL"/>
        </w:rPr>
        <w:t>1.12 Zakonisht, Klienti publikon një ftesë ndërkombëtare për ofertë për shërbimet e konsulencës. Në këtë rast nuk ka kufizime për sa i përket vendit të origjinës së ofertuesit, përveç rasteve kur ka kufizime të miratuara në raste të caktuara apo kur zbatohen arsyet për përjashtim, të përcaktuara në seksionet 1.6 dhe 1.7.</w:t>
      </w:r>
    </w:p>
    <w:p w:rsidR="005C0BD2" w:rsidRDefault="005C0BD2" w:rsidP="005C0BD2">
      <w:pPr>
        <w:pStyle w:val="Paragrafi"/>
        <w:rPr>
          <w:spacing w:val="-4"/>
          <w:lang w:val="sq-AL"/>
        </w:rPr>
      </w:pPr>
      <w:r>
        <w:rPr>
          <w:spacing w:val="-4"/>
          <w:lang w:val="sq-AL"/>
        </w:rPr>
        <w:t>1.13 Kufizimet për parimin e ftesës publike ndërkombëtare për ofertë, të përshkruara në seksionin 2.1, janë të mundura vetëm pas miratimit paraprak të KfW-së në rastet e garantuara apo në formën e prokurimeve të parashtruara në seksionet 3 dhe 4.</w:t>
      </w:r>
    </w:p>
    <w:p w:rsidR="005C0BD2" w:rsidRDefault="005C0BD2" w:rsidP="005C0BD2">
      <w:pPr>
        <w:pStyle w:val="Paragrafi"/>
        <w:rPr>
          <w:spacing w:val="-4"/>
          <w:lang w:val="sq-AL"/>
        </w:rPr>
      </w:pPr>
      <w:r>
        <w:rPr>
          <w:spacing w:val="-4"/>
          <w:lang w:val="sq-AL"/>
        </w:rPr>
        <w:t xml:space="preserve">1.14 Kërkohet që të gjithë pjesëmarrësit në një ftesë për ofertë për shërbimet që do të financohen plotësisht </w:t>
      </w:r>
      <w:r>
        <w:rPr>
          <w:spacing w:val="-4"/>
          <w:lang w:val="sq-AL"/>
        </w:rPr>
        <w:lastRenderedPageBreak/>
        <w:t>apo pjesërisht nga KfW-ja të sigurojnë konkurrencë të drejtë dhe transparente, dhe të jenë në përputhje minimale me standardet bazë të punës sipas ILO-së, të cilat janë ratifikuar nga vendi partner. Kjo do të dokumentohet nëpërmjet një deklarate përkatëse për sipërmarrjen (shihni shtojcën 4) nga të gjithë pjesëmarrësit në këtë proces tenderimi. Deklarata e pranimit të përgjegjësisë duhet të nënshkruhet, duke pasur efekt ligjor nga përfaqësues të autorizuar të ofertuesit dhe nga të gjithë partnerët në rast të ofertave të përbashkëta. Në rast se nuk dorëzohet deklarata e pranimit të përgjegjësisë apo nëse nuk respektohen kërkesat e përcaktuara në të, kjo sjell përjashtimin nga procesi i tenderimit.</w:t>
      </w:r>
    </w:p>
    <w:p w:rsidR="005C0BD2" w:rsidRDefault="005C0BD2" w:rsidP="005C0BD2">
      <w:pPr>
        <w:pStyle w:val="Paragrafi"/>
        <w:rPr>
          <w:rFonts w:eastAsia="Arial"/>
          <w:spacing w:val="-4"/>
          <w:lang w:val="sq-AL"/>
        </w:rPr>
      </w:pPr>
      <w:r>
        <w:rPr>
          <w:spacing w:val="-4"/>
          <w:lang w:val="sq-AL"/>
        </w:rPr>
        <w:t>1.5</w:t>
      </w:r>
      <w:r>
        <w:rPr>
          <w:rFonts w:ascii="Times New Roman" w:hAnsi="Times New Roman"/>
          <w:spacing w:val="-4"/>
          <w:lang w:val="sq-AL"/>
        </w:rPr>
        <w:tab/>
        <w:t xml:space="preserve"> </w:t>
      </w:r>
      <w:r>
        <w:rPr>
          <w:spacing w:val="-4"/>
          <w:lang w:val="sq-AL"/>
        </w:rPr>
        <w:t>Konfidencialiteti</w:t>
      </w:r>
    </w:p>
    <w:p w:rsidR="005C0BD2" w:rsidRDefault="005C0BD2" w:rsidP="005C0BD2">
      <w:pPr>
        <w:pStyle w:val="Paragrafi"/>
        <w:rPr>
          <w:spacing w:val="-4"/>
          <w:lang w:val="sq-AL"/>
        </w:rPr>
      </w:pPr>
      <w:r>
        <w:rPr>
          <w:spacing w:val="-4"/>
          <w:lang w:val="sq-AL"/>
        </w:rPr>
        <w:t xml:space="preserve">1.15 Procesi i përzgjedhjes është konfidencial. Rrjedhimisht, megjithëse procesi është i vazhdueshëm, as Klienti dhe as KfW-ja nuk do të publikojnë asnjë informacion për vlerësimin e ofertave apo rekomandimet për dhënien e kontratës ofertuesve apo personave të tjerë që nuk janë përfshirë zyrtarisht në procedurën e përzgjedhjes. Nëse shkelet detyrimi i konfidencialitetit, KfW-ja mund të kërkojë përfundimin e ftesës për ofertë. </w:t>
      </w:r>
    </w:p>
    <w:p w:rsidR="005C0BD2" w:rsidRDefault="005C0BD2" w:rsidP="005C0BD2">
      <w:pPr>
        <w:pStyle w:val="Paragrafi"/>
        <w:rPr>
          <w:spacing w:val="-4"/>
          <w:lang w:val="sq-AL"/>
        </w:rPr>
      </w:pPr>
      <w:r>
        <w:rPr>
          <w:spacing w:val="-4"/>
          <w:lang w:val="sq-AL"/>
        </w:rPr>
        <w:t xml:space="preserve">1.16 Nuk lejohen diskutimet me ofertuesit për ofertat e tyre ndërmjet kohës së publikimit të ftesës për ofertë dhe dhënies së kontratës. Përjashtime janë vetëm vizitat në terren në mënyrë që të merren informacione, pjesëmarrja në një takim me ofertues të përzgjedhur paraprakisht apo inspektimi i dokumenteve të disponueshme. Këto komunikime bëhen me qëllimin e vetëm për të njohur ofertuesit me kushtet vendore dhe me dokumentet e disponueshme të punës. Përpos këtyre, lejohen vetëm kërkesat me shkrim për sqarim. </w:t>
      </w:r>
    </w:p>
    <w:p w:rsidR="005C0BD2" w:rsidRDefault="005C0BD2" w:rsidP="005C0BD2">
      <w:pPr>
        <w:pStyle w:val="Paragrafi"/>
        <w:rPr>
          <w:spacing w:val="-4"/>
          <w:lang w:val="sq-AL"/>
        </w:rPr>
      </w:pPr>
      <w:r>
        <w:rPr>
          <w:spacing w:val="-4"/>
          <w:lang w:val="sq-AL"/>
        </w:rPr>
        <w:t xml:space="preserve">Klienti do t’iu kthejë përgjigje me shkrim kërkesave të tilla dhe të gjithë ofertuesve do t’iu dërgohet një kopje. Kërkesa apo ndërhyrje të tjera </w:t>
      </w:r>
      <w:bookmarkStart w:id="2" w:name="page10"/>
      <w:bookmarkEnd w:id="2"/>
      <w:r>
        <w:rPr>
          <w:spacing w:val="-4"/>
          <w:lang w:val="sq-AL"/>
        </w:rPr>
        <w:t>janë të ndaluara dhe në rast se shkelen, ofertuesi do të përjashtohet (shihni seksionin 2.8 lidhur me njoftimin e ofertuesve pas përfundimit të procedurës).</w:t>
      </w:r>
    </w:p>
    <w:p w:rsidR="005C0BD2" w:rsidRDefault="005C0BD2" w:rsidP="005C0BD2">
      <w:pPr>
        <w:pStyle w:val="Paragrafi"/>
        <w:rPr>
          <w:rFonts w:eastAsia="Arial"/>
          <w:b/>
          <w:spacing w:val="-4"/>
          <w:lang w:val="sq-AL"/>
        </w:rPr>
      </w:pPr>
      <w:r>
        <w:rPr>
          <w:b/>
          <w:spacing w:val="-4"/>
          <w:lang w:val="sq-AL"/>
        </w:rPr>
        <w:t>1.6</w:t>
      </w:r>
      <w:r>
        <w:rPr>
          <w:rFonts w:ascii="Times New Roman" w:hAnsi="Times New Roman"/>
          <w:spacing w:val="-4"/>
          <w:lang w:val="sq-AL"/>
        </w:rPr>
        <w:tab/>
        <w:t xml:space="preserve"> </w:t>
      </w:r>
      <w:r>
        <w:rPr>
          <w:b/>
          <w:spacing w:val="-4"/>
          <w:lang w:val="sq-AL"/>
        </w:rPr>
        <w:t>Ofertuesit me të drejtë pjesëmarrjeje në procedurë</w:t>
      </w:r>
    </w:p>
    <w:p w:rsidR="005C0BD2" w:rsidRDefault="005C0BD2" w:rsidP="005C0BD2">
      <w:pPr>
        <w:pStyle w:val="Paragrafi"/>
        <w:rPr>
          <w:rFonts w:eastAsia="Arial"/>
          <w:spacing w:val="-4"/>
          <w:lang w:val="sq-AL"/>
        </w:rPr>
      </w:pPr>
      <w:r>
        <w:rPr>
          <w:spacing w:val="-4"/>
          <w:lang w:val="sq-AL"/>
        </w:rPr>
        <w:t>1.17 Ofertat e ofertuesve do të bëhen pjesë e procedurës vetëm nëse asnjë nga arsyet e mëposhtme për përjashtim apo konflikt interesi nuk vlen për ta:</w:t>
      </w:r>
    </w:p>
    <w:p w:rsidR="005C0BD2" w:rsidRDefault="005C0BD2" w:rsidP="005C0BD2">
      <w:pPr>
        <w:pStyle w:val="Paragrafi"/>
        <w:rPr>
          <w:rFonts w:eastAsia="Arial"/>
          <w:spacing w:val="-6"/>
          <w:lang w:val="sq-AL"/>
        </w:rPr>
      </w:pPr>
      <w:r>
        <w:rPr>
          <w:spacing w:val="-6"/>
          <w:lang w:val="sq-AL"/>
        </w:rPr>
        <w:t>a) Sanksione apo embargo nga Këshilli i Sigurimit i Kombeve të Bashkuara, E-ja apo qeveria gjermane që pengojnë pjesëmarrjen e një ofertuesi.</w:t>
      </w:r>
    </w:p>
    <w:p w:rsidR="005C0BD2" w:rsidRDefault="005C0BD2" w:rsidP="005C0BD2">
      <w:pPr>
        <w:pStyle w:val="Paragrafi"/>
        <w:rPr>
          <w:rFonts w:eastAsia="Arial"/>
          <w:spacing w:val="-4"/>
          <w:lang w:val="sq-AL"/>
        </w:rPr>
      </w:pPr>
      <w:r>
        <w:rPr>
          <w:spacing w:val="-4"/>
          <w:lang w:val="sq-AL"/>
        </w:rPr>
        <w:t>b) Ofertuesi përjashtohet ligjërisht nga procesi i tenderimit në vendin e Klientit për shkak të një shkeljeje të ndëshkueshme, veçanërisht mashtrim, korrupsion apo krime të tjera ekonomike.</w:t>
      </w:r>
    </w:p>
    <w:p w:rsidR="005C0BD2" w:rsidRDefault="005C0BD2" w:rsidP="005C0BD2">
      <w:pPr>
        <w:pStyle w:val="Paragrafi"/>
        <w:rPr>
          <w:rFonts w:eastAsia="Arial"/>
          <w:spacing w:val="-4"/>
          <w:lang w:val="sq-AL"/>
        </w:rPr>
      </w:pPr>
      <w:r>
        <w:rPr>
          <w:spacing w:val="-4"/>
          <w:lang w:val="sq-AL"/>
        </w:rPr>
        <w:t>c) Ofertuesi është një shoqëri shtetërore në vendin partner që nuk është e pavarur ligjërisht apo ekonomikisht apo që nuk është subjekt i së drejtës tregtare apo që është një autoritet publik në varësinë e Klientit apo Agjencisë së Zbatimit të Projektit, apo marrës i huasë/kontributit financiar.</w:t>
      </w:r>
    </w:p>
    <w:p w:rsidR="005C0BD2" w:rsidRDefault="005C0BD2" w:rsidP="005C0BD2">
      <w:pPr>
        <w:pStyle w:val="Paragrafi"/>
        <w:rPr>
          <w:rFonts w:eastAsia="Arial"/>
          <w:spacing w:val="-4"/>
          <w:lang w:val="sq-AL"/>
        </w:rPr>
      </w:pPr>
      <w:r>
        <w:rPr>
          <w:spacing w:val="-4"/>
          <w:lang w:val="sq-AL"/>
        </w:rPr>
        <w:t>d) Ofertuesi apo anëtarë specifikë të stafit të ofertuesit apo një nënkontraktues ka lidhje ekonomike apo familjare me ndonjë nga personeli i Klientit që merret me përgatitjen e dokumenteve të tenderit, dhënien e kontratës apo mbikëqyrjen e zbatimit të kontratës, aq sa konfliktet e interesit të mos zgjidhen sipas kërkesës së KfW-së përpara dhënies së kontratës dhe fazës së zbatimit.</w:t>
      </w:r>
    </w:p>
    <w:p w:rsidR="005C0BD2" w:rsidRDefault="005C0BD2" w:rsidP="005C0BD2">
      <w:pPr>
        <w:pStyle w:val="Paragrafi"/>
        <w:rPr>
          <w:rFonts w:eastAsia="Arial"/>
          <w:spacing w:val="-4"/>
          <w:lang w:val="sq-AL"/>
        </w:rPr>
      </w:pPr>
      <w:r>
        <w:rPr>
          <w:spacing w:val="-4"/>
          <w:lang w:val="sq-AL"/>
        </w:rPr>
        <w:t>e) Ofertuesi apo anëtarë specifikë të personelit të ofertuesit apo nënkontraktuesi është i lidhur drejtpërdrejt me hartimin e termave të referencës dhe/ose informacioneve të tjera për procesin e tenderimit. Kjo nuk është e zbatueshme për konsulentët që kanë krijuar studime përgatitore për kontratën apo që kanë qenë të përfshirë në një fazë të mëparshme, aq sa informacioni që ata kanë përgatitur lidhur me këtë, veçanërisht lidhur me studimet e fizibilitetit, ishte i disponueshëm për të gjithë ofertuesit dhe përgatitja e termave të referencës për ftesën për ofertë nuk ishte pjesë e veprimtarisë.</w:t>
      </w:r>
    </w:p>
    <w:p w:rsidR="005C0BD2" w:rsidRDefault="005C0BD2" w:rsidP="005C0BD2">
      <w:pPr>
        <w:pStyle w:val="Paragrafi"/>
        <w:rPr>
          <w:rFonts w:eastAsia="Arial"/>
          <w:spacing w:val="-4"/>
          <w:lang w:val="sq-AL"/>
        </w:rPr>
      </w:pPr>
      <w:r>
        <w:rPr>
          <w:spacing w:val="-4"/>
          <w:lang w:val="sq-AL"/>
        </w:rPr>
        <w:t xml:space="preserve">f) Ofertuesi ose anëtarë specifikë të personelit të ofertuesit apo nënkontraktuesi nuk janë ose nuk kanë qenë të përfshirë drejtpërdrejt ose jo, gjatë 12 muajve të fundit para publikimit të ftesës për ofertë, në projektin në fjalë përmes punësimit si anëtar personeli ose këshillues i Klientit, dhe nuk janë ose nuk kanë ndikuar me anë të kësaj lidhjeje në dhënien e kontratës për shërbimet, ose ofertuesi nuk ndikon ose nuk ka ndikuar në dhënien e kontratës për shërbime. </w:t>
      </w:r>
    </w:p>
    <w:p w:rsidR="005C0BD2" w:rsidRDefault="005C0BD2" w:rsidP="005C0BD2">
      <w:pPr>
        <w:pStyle w:val="Paragrafi"/>
        <w:rPr>
          <w:spacing w:val="-4"/>
          <w:lang w:val="sq-AL"/>
        </w:rPr>
      </w:pPr>
      <w:r>
        <w:rPr>
          <w:spacing w:val="-4"/>
          <w:lang w:val="sq-AL"/>
        </w:rPr>
        <w:t>Duke nënshkruar Deklaratën e Sipërmarrjes (shihni shtojcën 4), ofertuesi pohon se asnjë prej këtyre arsyeve për përjashtim apo konfliktet e interesit nuk është e vlefshme. Në rast dyshimi, gjatë tenderimit, ofertuesi në fjalë paraqet prova për Klientin dhe KfW-në që vërtetojnë se arsyet e lartpërmendura nuk janë të vlefshme për të.</w:t>
      </w:r>
    </w:p>
    <w:p w:rsidR="005C0BD2" w:rsidRDefault="005C0BD2" w:rsidP="005C0BD2">
      <w:pPr>
        <w:pStyle w:val="Paragrafi"/>
        <w:rPr>
          <w:rFonts w:eastAsia="Arial"/>
          <w:b/>
          <w:spacing w:val="-4"/>
          <w:lang w:val="sq-AL"/>
        </w:rPr>
      </w:pPr>
      <w:bookmarkStart w:id="3" w:name="page11"/>
      <w:bookmarkEnd w:id="3"/>
      <w:r>
        <w:rPr>
          <w:b/>
          <w:spacing w:val="-4"/>
          <w:lang w:val="sq-AL"/>
        </w:rPr>
        <w:t>1.7</w:t>
      </w:r>
      <w:r>
        <w:rPr>
          <w:rFonts w:ascii="Times New Roman" w:hAnsi="Times New Roman"/>
          <w:spacing w:val="-4"/>
          <w:lang w:val="sq-AL"/>
        </w:rPr>
        <w:tab/>
        <w:t xml:space="preserve"> </w:t>
      </w:r>
      <w:r>
        <w:rPr>
          <w:b/>
          <w:spacing w:val="-4"/>
          <w:lang w:val="sq-AL"/>
        </w:rPr>
        <w:t>Pavarësia e konsulentit</w:t>
      </w:r>
    </w:p>
    <w:p w:rsidR="005C0BD2" w:rsidRDefault="005C0BD2" w:rsidP="005C0BD2">
      <w:pPr>
        <w:pStyle w:val="Paragrafi"/>
        <w:rPr>
          <w:spacing w:val="-4"/>
          <w:lang w:val="sq-AL"/>
        </w:rPr>
      </w:pPr>
      <w:r>
        <w:rPr>
          <w:spacing w:val="-4"/>
          <w:lang w:val="sq-AL"/>
        </w:rPr>
        <w:t xml:space="preserve">1.18 Konsulenti duhet të jetë gjithmonë i paanshëm dhe i pavarur për sa i përket furnitorëve të mundshëm të projektit në fjalë. Anëtarët e firmave/shoqërive vartëse mund të marrin pjesë në një projekt vetëm si firma/shoqëri konsulence apo prodhimi/furnizimi/ndërtimi. Kur dorëzojnë propozimet, Konsulentët duhet të tregojnë lidhjet që mund të kenë me firma/shoqëri të tjera ose të japin një deklaratë shtrënguese që përcakton se nëse kontrata iu jepet atyre, firmat/shoqëritë me të cilat janë të lidhura nuk do të marrin pjesë në projekt në forma të tjera. Në sipërmarrje të përbashkëta kjo është e zbatueshme edhe për profesionistët </w:t>
      </w:r>
      <w:r>
        <w:rPr>
          <w:spacing w:val="-4"/>
          <w:lang w:val="sq-AL"/>
        </w:rPr>
        <w:lastRenderedPageBreak/>
        <w:t>pjesëmarrës dhe firmat e tjera të konsulencës. Këto rregulla nuk zbatohen për projektet Ndërto-Opero-Transfero (BOT) apo modelet e operatorit.</w:t>
      </w:r>
    </w:p>
    <w:p w:rsidR="005C0BD2" w:rsidRDefault="005C0BD2" w:rsidP="005C0BD2">
      <w:pPr>
        <w:pStyle w:val="Paragrafi"/>
        <w:rPr>
          <w:spacing w:val="-4"/>
          <w:lang w:val="sq-AL"/>
        </w:rPr>
      </w:pPr>
      <w:r>
        <w:rPr>
          <w:spacing w:val="-4"/>
          <w:lang w:val="sq-AL"/>
        </w:rPr>
        <w:t xml:space="preserve">1.19 Firmat/shoqëritë e konsulencës që i përkasin të njëjtit grup shoqërish apo shoqërive me veprimtari të ngjashme apo që janë të lidhura financiarisht, në mënyrë organizative apo përmes personelit, mund të marrin pjesë individualisht në procedurën konkurruese të tenderimit, vetëm nëse nuk merr pjesë asnjë anëtar tjetër i grupit apo shoqërisë. </w:t>
      </w:r>
    </w:p>
    <w:p w:rsidR="005C0BD2" w:rsidRDefault="005C0BD2" w:rsidP="005C0BD2">
      <w:pPr>
        <w:pStyle w:val="Paragrafi"/>
        <w:rPr>
          <w:rFonts w:eastAsia="Arial"/>
          <w:b/>
          <w:spacing w:val="-4"/>
          <w:lang w:val="sq-AL"/>
        </w:rPr>
      </w:pPr>
      <w:r>
        <w:rPr>
          <w:b/>
          <w:spacing w:val="-4"/>
          <w:lang w:val="sq-AL"/>
        </w:rPr>
        <w:t xml:space="preserve">1.8 </w:t>
      </w:r>
      <w:r>
        <w:rPr>
          <w:rFonts w:ascii="Times New Roman" w:hAnsi="Times New Roman"/>
          <w:spacing w:val="-4"/>
          <w:lang w:val="sq-AL"/>
        </w:rPr>
        <w:tab/>
      </w:r>
      <w:r>
        <w:rPr>
          <w:b/>
          <w:spacing w:val="-4"/>
          <w:lang w:val="sq-AL"/>
        </w:rPr>
        <w:t>Bashkëpunimi ndërmjet ofertuesve</w:t>
      </w:r>
    </w:p>
    <w:p w:rsidR="005C0BD2" w:rsidRDefault="005C0BD2" w:rsidP="005C0BD2">
      <w:pPr>
        <w:pStyle w:val="Paragrafi"/>
        <w:rPr>
          <w:spacing w:val="-4"/>
          <w:lang w:val="sq-AL"/>
        </w:rPr>
      </w:pPr>
      <w:r>
        <w:rPr>
          <w:spacing w:val="-4"/>
          <w:lang w:val="sq-AL"/>
        </w:rPr>
        <w:t xml:space="preserve">1.20 Konsulentët mund të marrin pjesë në procedurën konkurruese të tenderimit si shoqëri të çdo lloj forme ligjore dhe së bashku me Konsulentë të tjerë. Pas përfundimit të procedurës së parakualifikimit, bashkëpunimi ndërmjet Konsulentëve të parakualifikuar lejohet vetëm me miratimin e Klientit dhe KfW-së, dhe vetëm nëse vazhdon të garantohet konkurrenca e mjaftueshme. </w:t>
      </w:r>
    </w:p>
    <w:p w:rsidR="005C0BD2" w:rsidRDefault="005C0BD2" w:rsidP="005C0BD2">
      <w:pPr>
        <w:pStyle w:val="Paragrafi"/>
        <w:rPr>
          <w:spacing w:val="-4"/>
          <w:lang w:val="sq-AL"/>
        </w:rPr>
      </w:pPr>
      <w:r>
        <w:rPr>
          <w:spacing w:val="-4"/>
          <w:lang w:val="sq-AL"/>
        </w:rPr>
        <w:t>1.21 Në projektet e financuara nga KfW-ja, rëndësi e veçantë i jepet bashkëpunimit me ekspertë ose shoqëri që kanë një historik për sa i përket përvojës vendore dhe ndërkombëtare. Bashkëpunime të tilla mund të bëhen të detyrueshme në njoftimin e parakualifikimit apo kërkesën për ofertë. Renditja dhe përzgjedhja e ekspertëve dhe firmave të konsulencës në fjalë janë në diskrecion vetëm të ofertuesit. Klienti nuk mund të kërkojë bashkëpunim me ekspertë të caktuar vendorë, firma apo grup firmash.</w:t>
      </w:r>
    </w:p>
    <w:p w:rsidR="005C0BD2" w:rsidRDefault="005C0BD2" w:rsidP="005C0BD2">
      <w:pPr>
        <w:pStyle w:val="Paragrafi"/>
        <w:rPr>
          <w:lang w:val="sq-AL"/>
        </w:rPr>
      </w:pPr>
      <w:r>
        <w:rPr>
          <w:lang w:val="sq-AL"/>
        </w:rPr>
        <w:t>1.22 Nëse propozohet një bashkëpunim i tillë, dokumentet e dorëzuara për procesin e parakualifikimit duhet të përmbajnë informacionet e nevojshme për të gjithë partnerët e synuar. Në veçanti, duhet të përfshijnë një përshkrim shtrëngues të kompetencave të tyre, fushave të punës dhe llojin e bashkëpunimit që do të ketë. Dokumentet duhet të përfshijnë një deklaratë qëllimi, të nënshkruar nga të gjithë partnerët dhe një deklaratë që përcakton se cila firmë konsulence do të drejtojë punën. Nëse atyre iu jepet kontrata, partnerët ndërmarrin të gjitha hapat e nevojshme për kryerjen e punës së përshkruar në dokumente dhe në mënyrën e bashkëpunimit të përcaktuar. Grupeve të ofertuesve</w:t>
      </w:r>
      <w:r>
        <w:rPr>
          <w:rStyle w:val="FootnoteReference"/>
          <w:lang w:val="sq-AL"/>
        </w:rPr>
        <w:footnoteReference w:id="6"/>
      </w:r>
      <w:r>
        <w:rPr>
          <w:sz w:val="27"/>
          <w:vertAlign w:val="superscript"/>
          <w:lang w:val="sq-AL"/>
        </w:rPr>
        <w:t xml:space="preserve"> </w:t>
      </w:r>
      <w:r>
        <w:rPr>
          <w:lang w:val="sq-AL"/>
        </w:rPr>
        <w:t>iu kërkohet që të nënshkruajnë një marrëveshje me përgjegjësi të përbashkët dhe të shumëfishtë. Në raste të veçanta (p.sh. projekte të mëdha), kërkesa për ofertë mund të kërkojë një prezantim të detajuar dhe një marrëveshje shtrënguese ndërmjet partnerëve të një grupi (p.sh. në formën e një kontrate paraprake).</w:t>
      </w:r>
    </w:p>
    <w:p w:rsidR="005C0BD2" w:rsidRDefault="005C0BD2" w:rsidP="005C0BD2">
      <w:pPr>
        <w:pStyle w:val="Paragrafi"/>
        <w:rPr>
          <w:rFonts w:eastAsia="Arial"/>
          <w:b/>
          <w:spacing w:val="-4"/>
          <w:szCs w:val="24"/>
          <w:lang w:val="sq-AL"/>
        </w:rPr>
      </w:pPr>
      <w:r>
        <w:rPr>
          <w:b/>
          <w:spacing w:val="-4"/>
          <w:szCs w:val="24"/>
          <w:lang w:val="sq-AL"/>
        </w:rPr>
        <w:t>1.9</w:t>
      </w:r>
      <w:r>
        <w:rPr>
          <w:rFonts w:ascii="Times New Roman" w:hAnsi="Times New Roman"/>
          <w:b/>
          <w:spacing w:val="-4"/>
          <w:szCs w:val="24"/>
          <w:lang w:val="sq-AL"/>
        </w:rPr>
        <w:tab/>
        <w:t xml:space="preserve"> </w:t>
      </w:r>
      <w:r>
        <w:rPr>
          <w:b/>
          <w:spacing w:val="-4"/>
          <w:szCs w:val="24"/>
          <w:lang w:val="sq-AL"/>
        </w:rPr>
        <w:t>Kontrata</w:t>
      </w:r>
    </w:p>
    <w:p w:rsidR="005C0BD2" w:rsidRDefault="005C0BD2" w:rsidP="005C0BD2">
      <w:pPr>
        <w:pStyle w:val="Paragrafi"/>
        <w:rPr>
          <w:spacing w:val="-4"/>
          <w:szCs w:val="24"/>
          <w:lang w:val="sq-AL"/>
        </w:rPr>
      </w:pPr>
      <w:r>
        <w:rPr>
          <w:spacing w:val="-4"/>
          <w:szCs w:val="24"/>
          <w:lang w:val="sq-AL"/>
        </w:rPr>
        <w:t>1.23 KfW-ja do të ofrojë një kontratë tip</w:t>
      </w:r>
      <w:hyperlink r:id="rId9" w:anchor="page12" w:history="1">
        <w:r>
          <w:rPr>
            <w:rStyle w:val="Hyperlink"/>
            <w:color w:val="auto"/>
            <w:spacing w:val="-4"/>
            <w:szCs w:val="24"/>
            <w:vertAlign w:val="superscript"/>
            <w:lang w:val="sq-AL"/>
          </w:rPr>
          <w:t>7</w:t>
        </w:r>
      </w:hyperlink>
      <w:r>
        <w:rPr>
          <w:spacing w:val="-4"/>
          <w:szCs w:val="24"/>
          <w:lang w:val="sq-AL"/>
        </w:rPr>
        <w:t xml:space="preserve"> që përcakton standardet për përmbajtjen dhe kërkesat formale për kontratat e shërbimeve të konsulencës, dhe që duhet të përdoren kudo që të jetë e mundur. Për aq kohë sa palët e kontratës shmangen nga kjo, kontratat për shërbimet e konsulencës përgatiten në bazë të praktikave dhe standardeve të njohura ndërkombëtarisht. Përfshin të paktën dispozitat e përcaktuara në shtojcën 8. Nëse projekt-kontrata nuk bashkëlidhet në dokumentet e tenderit, atëherë marrëveshjet kryesore kontraktuese që drejtojnë ose ndikojnë në kosto renditen të ndarë në tekstin e ftesës për ofertë.</w:t>
      </w:r>
    </w:p>
    <w:p w:rsidR="005C0BD2" w:rsidRDefault="005C0BD2" w:rsidP="005C0BD2">
      <w:pPr>
        <w:pStyle w:val="Paragrafi"/>
        <w:rPr>
          <w:szCs w:val="24"/>
          <w:lang w:val="sq-AL"/>
        </w:rPr>
      </w:pPr>
      <w:r>
        <w:rPr>
          <w:szCs w:val="24"/>
          <w:lang w:val="sq-AL"/>
        </w:rPr>
        <w:t>1.24 Klienti, në bashkëpunim me KfW-në, mund të bjerë dakord me Konsulentin për shpërblimin, mbështetur ose në punën e kryer ose në bazë të pagesës së vetme. Shpërblimi i mbështetur në punën e kryer rekomandohet në rast se puna që do të kryhet nga konsulenti nuk është përcaktuar përfundimisht para negociatave kontraktuese, si për shembull, detyrat për menaxhimin e ndërtimeve. Do të bihet dakord për shpërblimin e pagesës së vetme, nëse janë përcaktuar qartë shërbimet që do të ofrohen dhe periudha kohore brenda së cilës do të ofrohen. Do t’i jepet përparësi shpërblimit të pagesës së vetme për studime, planeve të detajuara dhe shërbimeve të tjera që mund të përcaktohen po aq qartë. Për kontratat e pagesës së vetme, mjafton që të bihet dakord në mënyrë kontraktuese vetëm për personelin kyç (për detaje të mëtejshme lidhur me kontratën e pagesës së vetme në shtojcën 9).</w:t>
      </w:r>
    </w:p>
    <w:p w:rsidR="005C0BD2" w:rsidRDefault="005C0BD2" w:rsidP="005C0BD2">
      <w:pPr>
        <w:pStyle w:val="Paragrafi"/>
        <w:rPr>
          <w:rFonts w:eastAsia="Arial"/>
          <w:b/>
          <w:spacing w:val="-4"/>
          <w:szCs w:val="24"/>
          <w:lang w:val="sq-AL"/>
        </w:rPr>
      </w:pPr>
      <w:r>
        <w:rPr>
          <w:rFonts w:eastAsia="Arial"/>
          <w:b/>
          <w:spacing w:val="-4"/>
          <w:szCs w:val="24"/>
          <w:lang w:val="sq-AL"/>
        </w:rPr>
        <w:t>2.</w:t>
      </w:r>
      <w:r>
        <w:rPr>
          <w:rFonts w:ascii="Times New Roman" w:eastAsia="Times New Roman" w:hAnsi="Times New Roman"/>
          <w:b/>
          <w:spacing w:val="-4"/>
          <w:szCs w:val="24"/>
          <w:lang w:val="sq-AL"/>
        </w:rPr>
        <w:tab/>
        <w:t xml:space="preserve"> </w:t>
      </w:r>
      <w:r>
        <w:rPr>
          <w:rFonts w:eastAsia="Arial"/>
          <w:b/>
          <w:spacing w:val="-4"/>
          <w:szCs w:val="24"/>
          <w:lang w:val="sq-AL"/>
        </w:rPr>
        <w:t>Procedura e ftesës ndërkombëtare publike për ofertë</w:t>
      </w:r>
    </w:p>
    <w:p w:rsidR="005C0BD2" w:rsidRDefault="005C0BD2" w:rsidP="005C0BD2">
      <w:pPr>
        <w:pStyle w:val="Paragrafi"/>
        <w:rPr>
          <w:rFonts w:eastAsia="Arial"/>
          <w:b/>
          <w:spacing w:val="-4"/>
          <w:szCs w:val="24"/>
          <w:lang w:val="sq-AL"/>
        </w:rPr>
      </w:pPr>
      <w:r>
        <w:rPr>
          <w:rFonts w:eastAsia="Arial"/>
          <w:b/>
          <w:spacing w:val="-4"/>
          <w:szCs w:val="24"/>
          <w:lang w:val="sq-AL"/>
        </w:rPr>
        <w:t>2.1</w:t>
      </w:r>
      <w:r>
        <w:rPr>
          <w:rFonts w:ascii="Times New Roman" w:eastAsia="Times New Roman" w:hAnsi="Times New Roman"/>
          <w:b/>
          <w:spacing w:val="-4"/>
          <w:szCs w:val="24"/>
          <w:lang w:val="sq-AL"/>
        </w:rPr>
        <w:tab/>
        <w:t xml:space="preserve"> </w:t>
      </w:r>
      <w:r>
        <w:rPr>
          <w:rFonts w:eastAsia="Arial"/>
          <w:b/>
          <w:spacing w:val="-4"/>
          <w:szCs w:val="24"/>
          <w:lang w:val="sq-AL"/>
        </w:rPr>
        <w:t>Parimi kryesor, publikimi dhe afatet</w:t>
      </w:r>
    </w:p>
    <w:p w:rsidR="005C0BD2" w:rsidRDefault="005C0BD2" w:rsidP="005C0BD2">
      <w:pPr>
        <w:pStyle w:val="Paragrafi"/>
        <w:rPr>
          <w:rFonts w:eastAsia="Arial"/>
          <w:spacing w:val="-4"/>
          <w:szCs w:val="24"/>
          <w:lang w:val="sq-AL"/>
        </w:rPr>
      </w:pPr>
      <w:r>
        <w:rPr>
          <w:rFonts w:eastAsia="Arial"/>
          <w:spacing w:val="-4"/>
          <w:szCs w:val="24"/>
          <w:lang w:val="sq-AL"/>
        </w:rPr>
        <w:t>2.01 Procedura e prokurimit për shërbime konsulence zakonisht përfshin një ftesë ndërkombëtare, publike, të pakufizuar për oferta, të zhvilluar në dy faza, përkatësisht parakualifikimi dhe tenderimi konkurrues sipas seksioneve 2.2 dhe 2.3. Në fazën e parë të procedurës vlerësohet përshtatshmëria e përgjithshme e ofertuesve</w:t>
      </w:r>
      <w:r>
        <w:rPr>
          <w:rStyle w:val="FootnoteReference"/>
          <w:rFonts w:eastAsia="Arial"/>
          <w:spacing w:val="-4"/>
          <w:szCs w:val="24"/>
          <w:lang w:val="sq-AL"/>
        </w:rPr>
        <w:footnoteReference w:id="7"/>
      </w:r>
      <w:r>
        <w:rPr>
          <w:rFonts w:eastAsia="Arial"/>
          <w:spacing w:val="-4"/>
          <w:szCs w:val="24"/>
          <w:lang w:val="sq-AL"/>
        </w:rPr>
        <w:t>; në fazën e dytë zhvillohet një konkurs ndërmjet ofertuesve të parakualifikuar për të përzgjedhur ofertuesin, i cili ka paraqitur ofertën më të mirë lidhur me cilësinë e shërbimeve të ofruara dhe çmimin e tyre përkatës.</w:t>
      </w:r>
    </w:p>
    <w:p w:rsidR="005C0BD2" w:rsidRDefault="005C0BD2" w:rsidP="005C0BD2">
      <w:pPr>
        <w:pStyle w:val="Paragrafi"/>
        <w:rPr>
          <w:rFonts w:eastAsia="Arial"/>
          <w:spacing w:val="-4"/>
          <w:szCs w:val="24"/>
          <w:lang w:val="sq-AL"/>
        </w:rPr>
      </w:pPr>
      <w:r>
        <w:rPr>
          <w:rFonts w:eastAsia="Arial"/>
          <w:spacing w:val="-4"/>
          <w:szCs w:val="24"/>
          <w:lang w:val="sq-AL"/>
        </w:rPr>
        <w:t xml:space="preserve">2.02 Devijimi nga kjo procedurë dyfazore është i mundur vetëm me miratimin e KfW-së, veçanërisht në ato raste të specifikuara në paragrafin 2.13. Publikimi ndërkombëtar i ftesës për ofertë mund të hiqet në rastet e përcaktuara në seksionin 3. </w:t>
      </w:r>
    </w:p>
    <w:p w:rsidR="005C0BD2" w:rsidRDefault="005C0BD2" w:rsidP="005C0BD2">
      <w:pPr>
        <w:pStyle w:val="Paragrafi"/>
        <w:rPr>
          <w:rFonts w:eastAsia="Arial"/>
          <w:spacing w:val="-4"/>
          <w:szCs w:val="24"/>
          <w:lang w:val="sq-AL"/>
        </w:rPr>
      </w:pPr>
      <w:r>
        <w:rPr>
          <w:rFonts w:eastAsia="Arial"/>
          <w:spacing w:val="-4"/>
          <w:szCs w:val="24"/>
          <w:lang w:val="sq-AL"/>
        </w:rPr>
        <w:t xml:space="preserve">2.03 Ftesa ndërkombëtare, publike dhe e pakufizuar për ofertë do të publikohet në media me shtrirje ndërkombëtare dhe në vendin partner. Publikimi do të fillohet nga Klienti. Publikimi ndërkombëtar i ftesës </w:t>
      </w:r>
      <w:r>
        <w:rPr>
          <w:rFonts w:eastAsia="Arial"/>
          <w:spacing w:val="-4"/>
          <w:szCs w:val="24"/>
          <w:lang w:val="sq-AL"/>
        </w:rPr>
        <w:lastRenderedPageBreak/>
        <w:t>për ofertë duhet të përfshijë të paktën kanalet e tregtisë dhe investimit Gjerman</w:t>
      </w:r>
      <w:r>
        <w:rPr>
          <w:rStyle w:val="FootnoteReference"/>
          <w:rFonts w:eastAsia="Arial"/>
          <w:spacing w:val="-4"/>
          <w:szCs w:val="24"/>
          <w:lang w:val="sq-AL"/>
        </w:rPr>
        <w:footnoteReference w:id="8"/>
      </w:r>
      <w:r>
        <w:rPr>
          <w:rFonts w:eastAsia="Arial"/>
          <w:spacing w:val="-4"/>
          <w:szCs w:val="24"/>
          <w:lang w:val="sq-AL"/>
        </w:rPr>
        <w:t xml:space="preserve"> (GTAI). Ky publikim do të jetë pa pagesë. Klienti do t’i sigurojë pa pagese GTAI-s tekstin e njoftimit, dhe një grup të plotë të dokumenteve të tenderit. Publikimi në vendin partner do të bëhet në përputhje me rregulloret vendore të zbatueshme për Klientin. Ftesa për ofertë nuk mund të publikohet në vendin partner apo diku tjetër përpara se të jetë publikuar nga GTAI. </w:t>
      </w:r>
    </w:p>
    <w:p w:rsidR="005C0BD2" w:rsidRDefault="005C0BD2" w:rsidP="005C0BD2">
      <w:pPr>
        <w:pStyle w:val="Paragrafi"/>
        <w:rPr>
          <w:spacing w:val="-4"/>
          <w:lang w:val="sq-AL"/>
        </w:rPr>
      </w:pPr>
      <w:r>
        <w:rPr>
          <w:spacing w:val="-4"/>
          <w:lang w:val="sq-AL"/>
        </w:rPr>
        <w:t xml:space="preserve">Klienti do t’i dërgojë KfW-së tekstin e njoftimit dhe përshkrimin e shërbimeve të kërkuara (termat e referencës) për miratim në kohën e duhur përpara publikimit. Afatet për përgatitjen e dokumenteve të parakualifikimit dhe përgatitjen e ofertave duhet të marrin në konsideratë rrethanat e veçanta të projektit, masën dhe kompleksitetin e tij, dhe të sigurojnë konkurrim të mjaftueshëm dhe transparent. Afatet duhet të jenë të paktën 30 ditë kalendarike për procedurat e parakualifikimit dhe 45 ditë kalendarike për ofertat. </w:t>
      </w:r>
    </w:p>
    <w:p w:rsidR="005C0BD2" w:rsidRDefault="005C0BD2" w:rsidP="005C0BD2">
      <w:pPr>
        <w:pStyle w:val="Paragrafi"/>
        <w:rPr>
          <w:spacing w:val="-4"/>
          <w:lang w:val="sq-AL"/>
        </w:rPr>
      </w:pPr>
      <w:r>
        <w:rPr>
          <w:spacing w:val="-4"/>
          <w:lang w:val="sq-AL"/>
        </w:rPr>
        <w:t xml:space="preserve">2.04 Afatet për përgatitjen e dokumenteve të parakualifikimit dhe përgatitjen e ofertave duhet të marrin në konsideratë rrethanat e veçanta të projektit, masën dhe kompleksitetin e tij, dhe të sigurojnë konkurrim të mjaftueshëm dhe transparent. Afatet duhet të jenë të paktën 30 ditë kalendarike për procedurat e parakualifikimit dhe 45 ditë kalendarike për ofertat. Afatet mund të shtyhen vetëm në raste të veçanta. Të gjithë ofertuesit duhet të njoftohen për shtyrjen e afatit me shkrim pasi KfW-ja të ketë marrë njoftimin paraprak, në kohën e duhur përpara përfundimit të afatit fillestar. </w:t>
      </w:r>
    </w:p>
    <w:p w:rsidR="005C0BD2" w:rsidRDefault="005C0BD2" w:rsidP="005C0BD2">
      <w:pPr>
        <w:pStyle w:val="Paragrafi"/>
        <w:rPr>
          <w:spacing w:val="-4"/>
          <w:lang w:val="sq-AL"/>
        </w:rPr>
      </w:pPr>
      <w:r>
        <w:rPr>
          <w:spacing w:val="-4"/>
          <w:lang w:val="sq-AL"/>
        </w:rPr>
        <w:t xml:space="preserve">Të gjithë ofertuesit do të njoftohen me shkrim, njëkohësisht dhe në një kohë të përshtatshme, jo më vonë se 14 ditë kalendarike nga përfundimi i afatit për dorëzimin e ofertave, për përgjigjet e Klientit lidhur me çështjet e ngritura nga ofertues individualë përpara përfundimit të afatit për dorëzim. </w:t>
      </w:r>
    </w:p>
    <w:p w:rsidR="005C0BD2" w:rsidRDefault="005C0BD2" w:rsidP="005C0BD2">
      <w:pPr>
        <w:pStyle w:val="Paragrafi"/>
        <w:rPr>
          <w:spacing w:val="-4"/>
          <w:lang w:val="sq-AL"/>
        </w:rPr>
      </w:pPr>
      <w:r>
        <w:rPr>
          <w:spacing w:val="-4"/>
          <w:lang w:val="sq-AL"/>
        </w:rPr>
        <w:t xml:space="preserve">2.05 Dokumentet e parakualifikimit dhe ofertat do të dorëzohen në formë të shkruar dhe elektronike si skedarë PDF në media standarde elektronike. Mjetet për ruajtjen e informacionit duhet të paketohen në zarfe të ndarë (shihni 2.12). Skedarët elektronikë nuk duhet të lejojnë ndryshimin e përmbajtjes së ruajtur. Dorëzimi i dokumenteve në formë elektronike është i mundur me miratimin paraprak të KfW-së duke përdorur platformën elektronike të prokurimit që garanton konfidencialitetin e procedurës. </w:t>
      </w:r>
    </w:p>
    <w:p w:rsidR="005C0BD2" w:rsidRDefault="005C0BD2" w:rsidP="005C0BD2">
      <w:pPr>
        <w:pStyle w:val="Paragrafi"/>
        <w:rPr>
          <w:spacing w:val="-4"/>
          <w:lang w:val="sq-AL"/>
        </w:rPr>
      </w:pPr>
      <w:r>
        <w:rPr>
          <w:spacing w:val="-4"/>
          <w:lang w:val="sq-AL"/>
        </w:rPr>
        <w:t xml:space="preserve">2.06 Dokumentet e dorëzuara nga ofertuesi do të hapen sa më afër datës së dorëzimit të tyre dhe- përveçse kur parashikohet ndryshe në detaje - në praninë e të paktën një dëshmitari (parimi i kontrollit të dyfishtë). Përpara hapjes së dokumenteve do të përgatitet një procesverbal, i cili i bashkëngjitet raportit të vlerësimit dhe nënshkruhet nga të gjithë personat e pranishëm gjatë hapjes së dokumenteve. Nëse procedura e prokurimit kërkon që dokumentet të dorëzohen në zarfe të veçanta (si p.sh., propozimi i veçantë teknik dhe kuotimi i çmimeve) do të mbahet një procesverbal për çdo seancë të hapjes për vlerësimin e tyre. Procesverbali raporton nëse dokumenti ishte i vulosur në mënyrën e duhur, nëse ishte dorëzuar në kohë, si dhe çmimin e ofertës pa e kontrolluar. </w:t>
      </w:r>
    </w:p>
    <w:p w:rsidR="005C0BD2" w:rsidRDefault="005C0BD2" w:rsidP="005C0BD2">
      <w:pPr>
        <w:pStyle w:val="Paragrafi"/>
        <w:rPr>
          <w:b/>
          <w:spacing w:val="-4"/>
          <w:lang w:val="sq-AL"/>
        </w:rPr>
      </w:pPr>
      <w:r>
        <w:rPr>
          <w:b/>
          <w:spacing w:val="-4"/>
          <w:lang w:val="sq-AL"/>
        </w:rPr>
        <w:t>2.2</w:t>
      </w:r>
      <w:r>
        <w:rPr>
          <w:rFonts w:ascii="Times New Roman" w:eastAsia="Times New Roman" w:hAnsi="Times New Roman"/>
          <w:spacing w:val="-4"/>
          <w:lang w:val="sq-AL"/>
        </w:rPr>
        <w:tab/>
        <w:t xml:space="preserve"> </w:t>
      </w:r>
      <w:r>
        <w:rPr>
          <w:b/>
          <w:spacing w:val="-4"/>
          <w:lang w:val="sq-AL"/>
        </w:rPr>
        <w:t>Parakualifikimi</w:t>
      </w:r>
    </w:p>
    <w:p w:rsidR="005C0BD2" w:rsidRDefault="005C0BD2" w:rsidP="005C0BD2">
      <w:pPr>
        <w:pStyle w:val="Paragrafi"/>
        <w:rPr>
          <w:spacing w:val="-4"/>
          <w:lang w:val="sq-AL"/>
        </w:rPr>
      </w:pPr>
      <w:r>
        <w:rPr>
          <w:spacing w:val="-4"/>
          <w:lang w:val="sq-AL"/>
        </w:rPr>
        <w:t xml:space="preserve">2.07 Procedura e parakualifikimit përfshin shqyrtimin, në bazë të dokumenteve të parakualifikimit të dorëzuara në format të qartë, informues dhe të saktë, nëse ofertuesit janë në gjendje të kryejnë siç duhet shërbimet e kërkuara të konsulencës. Kriteret kryesore që do të merren parasysh janë: </w:t>
      </w:r>
    </w:p>
    <w:p w:rsidR="005C0BD2" w:rsidRDefault="005C0BD2" w:rsidP="005C0BD2">
      <w:pPr>
        <w:pStyle w:val="Paragrafi"/>
        <w:rPr>
          <w:spacing w:val="-4"/>
          <w:lang w:val="sq-AL"/>
        </w:rPr>
      </w:pPr>
      <w:r>
        <w:rPr>
          <w:spacing w:val="-4"/>
          <w:lang w:val="sq-AL"/>
        </w:rPr>
        <w:t xml:space="preserve">a) mungesa e kritereve përjashtuese sipas seksioneve 1.6 dhe 1.7; </w:t>
      </w:r>
    </w:p>
    <w:p w:rsidR="005C0BD2" w:rsidRDefault="005C0BD2" w:rsidP="005C0BD2">
      <w:pPr>
        <w:pStyle w:val="Paragrafi"/>
        <w:rPr>
          <w:rFonts w:eastAsia="Times New Roman"/>
          <w:spacing w:val="-4"/>
          <w:lang w:val="sq-AL" w:eastAsia="en-GB"/>
        </w:rPr>
      </w:pPr>
      <w:r>
        <w:rPr>
          <w:spacing w:val="-4"/>
          <w:lang w:val="sq-AL"/>
        </w:rPr>
        <w:t>b) përvoja në zbatimin e projekteve të ngjashme në sektorin përkatës, zakonisht jo më pak se pesë vitet e fundit;</w:t>
      </w:r>
    </w:p>
    <w:p w:rsidR="005C0BD2" w:rsidRDefault="005C0BD2" w:rsidP="005C0BD2">
      <w:pPr>
        <w:pStyle w:val="Paragrafi"/>
        <w:rPr>
          <w:spacing w:val="-4"/>
          <w:lang w:val="sq-AL"/>
        </w:rPr>
      </w:pPr>
      <w:r>
        <w:rPr>
          <w:spacing w:val="-4"/>
          <w:lang w:val="sq-AL"/>
        </w:rPr>
        <w:t>c) përvoja në vendin partner ose vende të ngjashme, zakonisht jo më pak se pesë vitet e fundit;</w:t>
      </w:r>
    </w:p>
    <w:p w:rsidR="005C0BD2" w:rsidRDefault="005C0BD2" w:rsidP="005C0BD2">
      <w:pPr>
        <w:pStyle w:val="Paragrafi"/>
        <w:rPr>
          <w:spacing w:val="-4"/>
          <w:lang w:val="sq-AL"/>
        </w:rPr>
      </w:pPr>
      <w:r>
        <w:rPr>
          <w:spacing w:val="-4"/>
          <w:lang w:val="sq-AL"/>
        </w:rPr>
        <w:t xml:space="preserve">d) burime financiare dhe ekonomike dhe ekspertiza (në lidhje me masën e kontratës në fjalë); </w:t>
      </w:r>
    </w:p>
    <w:p w:rsidR="005C0BD2" w:rsidRDefault="005C0BD2" w:rsidP="005C0BD2">
      <w:pPr>
        <w:pStyle w:val="Paragrafi"/>
        <w:rPr>
          <w:spacing w:val="-4"/>
          <w:lang w:val="sq-AL"/>
        </w:rPr>
      </w:pPr>
      <w:r>
        <w:rPr>
          <w:spacing w:val="-4"/>
          <w:lang w:val="sq-AL"/>
        </w:rPr>
        <w:t xml:space="preserve">e) burime dhe kapacitete njerëzore, duke përfshirë kapacitete mbështetëse, nëse është e nevojshme, të plotësuara me burime të jashtme për aktivitetet e parashikuara; </w:t>
      </w:r>
    </w:p>
    <w:p w:rsidR="005C0BD2" w:rsidRDefault="005C0BD2" w:rsidP="005C0BD2">
      <w:pPr>
        <w:pStyle w:val="Paragrafi"/>
        <w:rPr>
          <w:spacing w:val="-4"/>
          <w:lang w:val="sq-AL"/>
        </w:rPr>
      </w:pPr>
      <w:r>
        <w:rPr>
          <w:spacing w:val="-4"/>
          <w:lang w:val="sq-AL"/>
        </w:rPr>
        <w:t xml:space="preserve">f) dorëzimi i deklaratës së sipërmarrjes nga ofertuesi, të nënshkruar me efekt ligjor në përputhje me shtojcën 4. </w:t>
      </w:r>
    </w:p>
    <w:p w:rsidR="005C0BD2" w:rsidRDefault="005C0BD2" w:rsidP="005C0BD2">
      <w:pPr>
        <w:pStyle w:val="Paragrafi"/>
        <w:rPr>
          <w:spacing w:val="-4"/>
          <w:lang w:val="sq-AL"/>
        </w:rPr>
      </w:pPr>
      <w:r>
        <w:rPr>
          <w:spacing w:val="-4"/>
          <w:lang w:val="sq-AL"/>
        </w:rPr>
        <w:t>2.08 Kërkesat minimale për t’u kualifikuar për detyrën, si dhe skema e vlerësimit të parakualifikimit (për detaje dhe shpjegime të mëtejshme shihni shtojcat 3 dhe 5) do të publikohen në njoftimin e parakualifikimit.</w:t>
      </w:r>
    </w:p>
    <w:p w:rsidR="005C0BD2" w:rsidRDefault="005C0BD2" w:rsidP="005C0BD2">
      <w:pPr>
        <w:pStyle w:val="Paragrafi"/>
        <w:rPr>
          <w:spacing w:val="-4"/>
          <w:lang w:val="sq-AL"/>
        </w:rPr>
      </w:pPr>
      <w:r>
        <w:rPr>
          <w:spacing w:val="-4"/>
          <w:lang w:val="sq-AL"/>
        </w:rPr>
        <w:t xml:space="preserve">2.09 Vetëm ofertuesit të cilët marrin të paktën 70% të pikëve do të përzgjidhen. Nëse më shumë se pesë ofertues arrijnë atë total, do të përzgjidhen pesë ofertuesit me numrin më të madh të pikëve. Parakualifikimi kërkon miratimin e KfW-së. Për këtë qëllim, Klienti i dërgon KfW-së Raportin e Vlerësimit për parakualifikimin dhe të gjitha dokumentet e kërkuara në kohën e duhur. Raporti përmban të gjitha sqarimet dhe komunikimet me ofertuesit. </w:t>
      </w:r>
    </w:p>
    <w:p w:rsidR="005C0BD2" w:rsidRDefault="005C0BD2" w:rsidP="005C0BD2">
      <w:pPr>
        <w:pStyle w:val="Paragrafi"/>
        <w:rPr>
          <w:spacing w:val="-4"/>
          <w:lang w:val="sq-AL"/>
        </w:rPr>
      </w:pPr>
      <w:r>
        <w:rPr>
          <w:spacing w:val="-4"/>
          <w:lang w:val="sq-AL"/>
        </w:rPr>
        <w:t xml:space="preserve">2.10 Pasi KfW-ja të ketë konfirmuar rezultatin e parakualifikimit, Klienti do të informojë ofertuesit mbi </w:t>
      </w:r>
      <w:r>
        <w:rPr>
          <w:spacing w:val="-4"/>
          <w:lang w:val="sq-AL"/>
        </w:rPr>
        <w:lastRenderedPageBreak/>
        <w:t xml:space="preserve">rezultatin. Me kërkesë të ofertuesit, Klienti mund të japë shkurtimisht arsyet kryesore për përjashtimin e ofertës. Megjithatë, nuk do të zbulohen detaje mbi procedurën e vlerësimit apo informacion mbi ofertat konkurruese. Ofertuesit nuk kanë të drejtë ankimi përveç të drejtave të parashikuara në ligjet e vendit partner. Ofertuesit e përzgjedhur do të informohen mbi firmat e tjera konsultuese të parakualifikuara. </w:t>
      </w:r>
    </w:p>
    <w:p w:rsidR="005C0BD2" w:rsidRDefault="005C0BD2" w:rsidP="005C0BD2">
      <w:pPr>
        <w:pStyle w:val="Paragrafi"/>
        <w:rPr>
          <w:b/>
          <w:spacing w:val="-4"/>
          <w:lang w:val="sq-AL"/>
        </w:rPr>
      </w:pPr>
      <w:r>
        <w:rPr>
          <w:b/>
          <w:spacing w:val="-4"/>
          <w:lang w:val="sq-AL"/>
        </w:rPr>
        <w:t xml:space="preserve">2.3 </w:t>
      </w:r>
      <w:r>
        <w:rPr>
          <w:b/>
          <w:spacing w:val="-4"/>
          <w:lang w:val="sq-AL"/>
        </w:rPr>
        <w:tab/>
        <w:t>Faza e tenderimit</w:t>
      </w:r>
    </w:p>
    <w:p w:rsidR="005C0BD2" w:rsidRDefault="005C0BD2" w:rsidP="005C0BD2">
      <w:pPr>
        <w:pStyle w:val="Paragrafi"/>
        <w:rPr>
          <w:spacing w:val="-4"/>
          <w:lang w:val="sq-AL"/>
        </w:rPr>
      </w:pPr>
      <w:r>
        <w:rPr>
          <w:spacing w:val="-4"/>
          <w:lang w:val="sq-AL"/>
        </w:rPr>
        <w:t xml:space="preserve">2.11 Klienti do të ftojë konsulentët e parakualifikuar të paraqesin një ofertë dhe do t’iu dërgojë atyre një përshkrim të shërbimeve që duhet të kryhen (termat e referencës), informacion shtesë lidhur me projektin që u nevojitet ofertuesve për të përgatitur oferta të bazuara teknike dhe financiare, si dhe të dhënat financiare përkatëse të draftkontratës (detajet mbi ftesën për ofertë jepen në shtojcën 6). Termat e referencës do të parashikojnë nëse shpërblimi do të jepet në bazë të punës së kryer apo si një pagesë e plotë. Në rastin e një pagese të plotë, termat e referencës do të përcaktojnë pozicionet e personelit të konsideruara kyçe që do të përshkruhen hollësisht në propozimin teknik. Klienti do t’i dorëzojë KfW-së dokumentet e ofertës për miratim në kohën e duhur përpara publikimit. </w:t>
      </w:r>
    </w:p>
    <w:p w:rsidR="005C0BD2" w:rsidRDefault="005C0BD2" w:rsidP="005C0BD2">
      <w:pPr>
        <w:pStyle w:val="Paragrafi"/>
        <w:rPr>
          <w:spacing w:val="-4"/>
          <w:lang w:val="sq-AL"/>
        </w:rPr>
      </w:pPr>
      <w:r>
        <w:rPr>
          <w:spacing w:val="-4"/>
          <w:lang w:val="sq-AL"/>
        </w:rPr>
        <w:t xml:space="preserve">2.12 Oferta teknike dhe financiare do të dorëzohen të ndara në dy zarfe të mbyllur dhe të vulosur. Një origjinal i secilit duhet t’i dërgohet Klientit apo një përfaqësuesi të caktuar prej tij, dhe një kopje i dërgohet KfW-së, në adresat e përcaktuara dhe në afatin e vendosur në kërkesën për ofertë. Pas asaj date nuk mund të kryhen ndryshime apo plotësime të ofertave. Çdo përpjekje çon në përjashtimin e ofertuesit nga pjesa e mbetur e procesit të seleksionimit. Ofertat për shërbime do të hapen menjëherë pas përfundimit të afatit për dorëzimin e ofertave. </w:t>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 xml:space="preserve">Zarfet që përmbajnë kuotimet e çmimeve do të qëndrojnë të mbyllura dhe do të hapen vetëm me miratimin e KfW-së për ata ofertues që kanë arritur të paktën 75% të pikëve të dhëna në vlerësimin e ofertave për shërbime. </w:t>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 xml:space="preserve">2.13 Procedura dyfazore mund të hiqet me miratimin e KfW-së, veçanërisht në rastet e mëposhtme: </w:t>
      </w:r>
    </w:p>
    <w:p w:rsidR="005C0BD2" w:rsidRDefault="005C0BD2" w:rsidP="005C0BD2">
      <w:pPr>
        <w:pStyle w:val="Paragrafi"/>
        <w:rPr>
          <w:spacing w:val="-4"/>
          <w:lang w:val="sq-AL"/>
        </w:rPr>
      </w:pPr>
      <w:r>
        <w:rPr>
          <w:spacing w:val="-4"/>
          <w:lang w:val="sq-AL"/>
        </w:rPr>
        <w:t>a) vlera neto e parashikuar e kontratës është nën 200,000 euro; ose</w:t>
      </w:r>
    </w:p>
    <w:p w:rsidR="005C0BD2" w:rsidRDefault="005C0BD2" w:rsidP="005C0BD2">
      <w:pPr>
        <w:pStyle w:val="Paragrafi"/>
        <w:rPr>
          <w:spacing w:val="-4"/>
          <w:lang w:val="sq-AL"/>
        </w:rPr>
      </w:pPr>
      <w:r>
        <w:rPr>
          <w:spacing w:val="-4"/>
          <w:lang w:val="sq-AL"/>
        </w:rPr>
        <w:t>b) për shkak të veprimtarisë në shkallë të ulët në këtë treg nuk pritet të ketë më shumë se pesë oferta; ose</w:t>
      </w:r>
    </w:p>
    <w:p w:rsidR="005C0BD2" w:rsidRDefault="005C0BD2" w:rsidP="005C0BD2">
      <w:pPr>
        <w:pStyle w:val="Paragrafi"/>
        <w:rPr>
          <w:spacing w:val="-4"/>
          <w:lang w:val="sq-AL"/>
        </w:rPr>
      </w:pPr>
      <w:r>
        <w:rPr>
          <w:spacing w:val="-4"/>
          <w:lang w:val="sq-AL"/>
        </w:rPr>
        <w:t xml:space="preserve">c) për shkak të kufizimeve në kohë, zbatimi i procedurës dyfazore mund të ndikojë negativisht në projekti. </w:t>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 xml:space="preserve">Në këtë procedurë me një fazë (paskualifikimit), do të dorëzohen njëkohësisht dokumentet kualifikuese, propozimi teknik dhe kuotimi i çmimit. Përshtatshmëria e ofertuesve do të vlerësohet në përputhje me kriteret specifike të projektit të parashikuara në seksionin 2.2, ndërsa propozimi teknik dhe kuotimi i çmimit vlerësohen në përputhje me seksionin 2.4. Kur vlera e kontratës është e ulët dhe/apo tregu njihet mirë, shqyrtimi i përshtatshmërisë së ofertuesve mund të kufizohet në disa kritere përjashtimi të qarta (si p.sh minimumi i përvojës/referencave në projekt dhe xhiro minimale) dhe ky shqyrtim do të kryhet përpara vlerësimit të propozimit teknik. Kuotimi i çmimit që dorëzohet në një zarf të veçantë hapet dhe shqyrtohet pasi KfW-ja të ketë miratuar vlerësimin e përshtatshmërisë dhe propozimin teknik. </w:t>
      </w:r>
    </w:p>
    <w:p w:rsidR="005C0BD2" w:rsidRDefault="005C0BD2" w:rsidP="005C0BD2">
      <w:pPr>
        <w:widowControl w:val="0"/>
        <w:tabs>
          <w:tab w:val="left" w:pos="680"/>
        </w:tabs>
        <w:spacing w:after="0" w:line="240" w:lineRule="auto"/>
        <w:outlineLvl w:val="0"/>
        <w:rPr>
          <w:rFonts w:ascii="Garamond" w:eastAsia="Arial" w:hAnsi="Garamond"/>
          <w:b/>
          <w:spacing w:val="-4"/>
          <w:sz w:val="24"/>
          <w:szCs w:val="24"/>
          <w:lang w:val="sq-AL"/>
        </w:rPr>
      </w:pPr>
      <w:r>
        <w:rPr>
          <w:rFonts w:ascii="Garamond" w:eastAsia="Arial" w:hAnsi="Garamond"/>
          <w:b/>
          <w:spacing w:val="-4"/>
          <w:sz w:val="24"/>
          <w:szCs w:val="24"/>
          <w:lang w:val="sq-AL"/>
        </w:rPr>
        <w:t>2.4</w:t>
      </w:r>
      <w:r>
        <w:rPr>
          <w:rFonts w:ascii="Garamond" w:eastAsia="Times New Roman" w:hAnsi="Garamond"/>
          <w:spacing w:val="-4"/>
          <w:sz w:val="24"/>
          <w:szCs w:val="24"/>
          <w:lang w:val="sq-AL"/>
        </w:rPr>
        <w:tab/>
      </w:r>
      <w:r>
        <w:rPr>
          <w:rFonts w:ascii="Garamond" w:eastAsia="Arial" w:hAnsi="Garamond"/>
          <w:b/>
          <w:spacing w:val="-4"/>
          <w:sz w:val="24"/>
          <w:szCs w:val="24"/>
          <w:lang w:val="sq-AL"/>
        </w:rPr>
        <w:t xml:space="preserve">Vlerësimi i ofertave </w:t>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 xml:space="preserve">2.14 Pas hapjes së ofertave, ato do të shqyrtohen në mënyrë formale për të përcaktuar nëse janë të plota, nëse plotësojnë kushtet e ftesës për ofertë, dhe nëse garancitë dhe deklaratat e dhëna nga ofertuesi përputhen me dokumentet e tenderit. Hapja e ofertave duhet të bëhet në praninë e të paktën dy personave dhe duhet të dokumentohet me shkrim për t’u nënshkruar nga personat e pranishëm. </w:t>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 xml:space="preserve">2.15 Vlerësimi i ofertave që nuk janë refuzuar sipas paragrafit 2.14 dhe seksionit 2.5 kryhet normalisht nga Klienti, me mbështetjen e një agjenti prokurimi. Për kontratat e reklamuara nga KfW në emër të saj, ofertat do të vlerësohen nga KfW-ja. Qëllimi i vlerësimit është identifikimi ofertës më të favorshme, duke vlerësuar faktorët përkatës në secilën prej ofertave dhe duke i krahasuar me ofertat e tjera. </w:t>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2.16 Ofertat për shërbime do të vlerësohen në bazë të një liste kriteresh paraprakisht të përcaktuar (detajet dhe shpjegimet jepen në anekset 6 dhe 7). Për t’i mundësuar KfW-së ushtrimin e së drejtës për miratim, Klienti duhet t’i dërgojë KfW-së Raportin e Vlerësimit mbi ofertat për shërbime në kohën e duhur, së bashku me të gjitha dokumentet e kërkuara nga KfW-ja.</w:t>
      </w:r>
    </w:p>
    <w:p w:rsidR="005C0BD2" w:rsidRDefault="005C0BD2" w:rsidP="005C0BD2">
      <w:pPr>
        <w:widowControl w:val="0"/>
        <w:spacing w:after="0" w:line="240" w:lineRule="auto"/>
        <w:rPr>
          <w:rFonts w:ascii="Garamond" w:eastAsia="Arial" w:hAnsi="Garamond"/>
          <w:sz w:val="24"/>
          <w:szCs w:val="24"/>
          <w:lang w:val="sq-AL"/>
        </w:rPr>
      </w:pPr>
      <w:r>
        <w:rPr>
          <w:rFonts w:ascii="Garamond" w:eastAsia="Arial" w:hAnsi="Garamond"/>
          <w:sz w:val="24"/>
          <w:szCs w:val="24"/>
          <w:lang w:val="sq-AL"/>
        </w:rPr>
        <w:t xml:space="preserve">2.17 Në parim, kuotimet e çmimeve do të vlerësohen duke përdorur çmimin total (pa përfshirë doganën, akcizat, tatimet dhe taksat në vendin e Klientit), pas korrigjimit të ndonjë gabimi aritmetik. Shpenzimet e rastit dhe shërbimet shtesë që paguhen veçmas në bazë të provave në përputhje me kushtet e ftesës për ofertë mund të përshtaten për qëllime të vlerësimit apo të përjashtohen nga vlerësimi, nëse kjo është e vetmja mënyrë për të krahasuar kuotimet e çmimit. Ofertat opsionale të shërbimeve do të përfshihen në vlerësimin </w:t>
      </w:r>
      <w:bookmarkStart w:id="4" w:name="page16"/>
      <w:bookmarkEnd w:id="4"/>
      <w:r>
        <w:rPr>
          <w:rFonts w:ascii="Garamond" w:eastAsia="Arial" w:hAnsi="Garamond"/>
          <w:sz w:val="24"/>
          <w:szCs w:val="24"/>
          <w:lang w:val="sq-AL"/>
        </w:rPr>
        <w:t xml:space="preserve">e kuotimeve të çmimeve vetëm nëse të gjithë ofertuesve i është kërkuar të dorëzojnë oferta të tilla në përputhje me kushtet e ftesës për ofertë. </w:t>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 xml:space="preserve">2.18 Nëse gjatë vlerësimit vërehen mospërputhje ndërmjet propozimit teknik dhe kuotimit të çmimit, duhet të qartësohet me ofertuesin, pasi kjo nuk mund të ndryshojë apo përmirësojë ofertën origjinale. Kostot që sipas formulimit të ftesës për ofertë do të ofrohen veçmas, por nuk janë evidentuar veçmas në ofertë do të </w:t>
      </w:r>
      <w:r>
        <w:rPr>
          <w:rFonts w:ascii="Garamond" w:eastAsia="Arial" w:hAnsi="Garamond"/>
          <w:spacing w:val="-4"/>
          <w:sz w:val="24"/>
          <w:szCs w:val="24"/>
          <w:lang w:val="sq-AL"/>
        </w:rPr>
        <w:lastRenderedPageBreak/>
        <w:t xml:space="preserve">vlerësohen me çmimin më të lartë të kostos së ofertuesve të tjerë. </w:t>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 xml:space="preserve">Hapat e ndërmarrë për të llogaritur çmimin total të rregulluar do të shpjegohen hollësisht nga Klienti në Raportin e Vlerësimit. </w:t>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 xml:space="preserve">2.19 Kuotimi i çmimit në përgjithësi do të përbëjë 30% të vlerësimit të përgjithshëm. Një koeficient i ndryshëm kërkon miratimin e KfW-së (si p.sh., një koeficient më i madh në rastin e mbikëqyrjes së ndërtimit apo një peshë më e vogël në rastin e shpalljes së buxhetit në dispozicion për dokumentet e ofertës). </w:t>
      </w:r>
    </w:p>
    <w:p w:rsidR="005C0BD2" w:rsidRDefault="005C0BD2" w:rsidP="005C0BD2">
      <w:pPr>
        <w:widowControl w:val="0"/>
        <w:spacing w:after="0" w:line="240" w:lineRule="auto"/>
        <w:rPr>
          <w:rFonts w:ascii="Garamond" w:eastAsia="Arial" w:hAnsi="Garamond"/>
          <w:sz w:val="24"/>
          <w:szCs w:val="24"/>
          <w:lang w:val="sq-AL"/>
        </w:rPr>
      </w:pPr>
      <w:r>
        <w:rPr>
          <w:rFonts w:ascii="Garamond" w:eastAsia="Arial" w:hAnsi="Garamond"/>
          <w:sz w:val="24"/>
          <w:szCs w:val="24"/>
          <w:lang w:val="sq-AL"/>
        </w:rPr>
        <w:t xml:space="preserve">2.20 Kuotimi i çmimit me vlerën totale më të ulët, të rregulluar do të marrë numrin maksimal të pikëve (përgjithësisht 30). Numri i pikëve të dhëna për kuotimet e tjera të çmimeve arrihet duke e pjesëtuar çmimin total të rregulluar në ofertën më të ulët me çmimin total të rregulluar të secilës ofertë dhe më pas duke e shumëzuar me numrin maksimal të mundshëm të pikëve. </w:t>
      </w:r>
    </w:p>
    <w:p w:rsidR="005C0BD2" w:rsidRDefault="005C0BD2" w:rsidP="005C0BD2">
      <w:pPr>
        <w:widowControl w:val="0"/>
        <w:spacing w:after="0" w:line="240" w:lineRule="auto"/>
        <w:rPr>
          <w:rFonts w:ascii="Garamond" w:eastAsia="Arial" w:hAnsi="Garamond"/>
          <w:sz w:val="24"/>
          <w:szCs w:val="24"/>
          <w:lang w:val="sq-AL"/>
        </w:rPr>
      </w:pPr>
      <w:r>
        <w:rPr>
          <w:rFonts w:ascii="Garamond" w:eastAsia="Arial" w:hAnsi="Garamond"/>
          <w:sz w:val="24"/>
          <w:szCs w:val="24"/>
          <w:lang w:val="sq-AL"/>
        </w:rPr>
        <w:t xml:space="preserve">2.21 Oferta për shërbime me vlerësimin më të lartë do të marrë numrin maksimal të pikëve (në përgjithësi 70). Numri i pikëve të dhëna për ofertat e tjera për shërbime arrihet duke pjesëtuar vlerësimin e secilit me vlerësimin e ofertës më të lartë për shërbime, dhe më pas duke e shumëzuar me numrin maksimal të mundshëm të pikëve. Numri i pikëve të dhëna për kuotimin e çmimit do t’i shtohet numrit të dhënë për ofertën e shërbimeve. Renditja e ofertuesve do të përcaktohet nga numri total i pikëve. Oferta me numrin total më të lartë të pikëve do të pranohet si më e mira. </w:t>
      </w:r>
    </w:p>
    <w:p w:rsidR="005C0BD2" w:rsidRDefault="005C0BD2" w:rsidP="005C0BD2">
      <w:pPr>
        <w:widowControl w:val="0"/>
        <w:spacing w:after="0" w:line="240" w:lineRule="auto"/>
        <w:rPr>
          <w:rFonts w:ascii="Garamond" w:eastAsia="Arial" w:hAnsi="Garamond"/>
          <w:sz w:val="24"/>
          <w:szCs w:val="24"/>
          <w:lang w:val="sq-AL"/>
        </w:rPr>
      </w:pPr>
      <w:r>
        <w:rPr>
          <w:rFonts w:ascii="Garamond" w:eastAsia="Arial" w:hAnsi="Garamond"/>
          <w:sz w:val="24"/>
          <w:szCs w:val="24"/>
          <w:lang w:val="sq-AL"/>
        </w:rPr>
        <w:t xml:space="preserve">2.22 Pas përfundimit të vlerësimit, KfW-ja do të marrë nga Klienti një raport të hollësishëm dhe transparent mbi vlerësimin dhe krahasimin e ofertave (“Raporti i vlerësimit”), së bashku me një propozim të arsyetuar për dhënien e kontratës që mund të jetë diskutuar dhe rënë dakord me agjencitë qeveritare të vendit partner përkatës. Raporti do të përfshijë të gjitha sqarimet dhe komunikimin me ofertuesit. Ky Raport Vlerësimi do të rendisë në detaje pikat e rëndësishme për negociata të mundshme kontraktuese për ofertuesit e renditur në tre vendet e para. Në rast se Klienti mbështetet nga një agjent tenderi (paragrafi 1.05), Raporti i Vlerësimit do të bashkënënshkruhet nga agjenti apo do t’i bashkëngjiten komentet e veçanta të agjentit mbi raportin. Propozimi për dhënien e kontratës do t’i paraqitet KfW-së për miratim. </w:t>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2.23 Nëse ka qenë e nevojshme zgjatja e periudhës së vlefshmërisë së ofertave, arsyet kryesore do të shpjegohen në Raportin e Vlerësimit. Zgjatja e periudhës së vlefshmërisë nuk duhet të ndryshojë çmimet e kuotuara në oferta. KfW-ja rezervon të drejtën për të refuzuar financimin në rast vonesash të papërshtatshme të procedurës kontraktuese.</w:t>
      </w:r>
    </w:p>
    <w:p w:rsidR="005C0BD2" w:rsidRDefault="005C0BD2" w:rsidP="005C0BD2">
      <w:pPr>
        <w:widowControl w:val="0"/>
        <w:tabs>
          <w:tab w:val="left" w:pos="680"/>
        </w:tabs>
        <w:spacing w:after="0" w:line="240" w:lineRule="auto"/>
        <w:outlineLvl w:val="0"/>
        <w:rPr>
          <w:rFonts w:ascii="Garamond" w:eastAsia="Arial" w:hAnsi="Garamond"/>
          <w:b/>
          <w:spacing w:val="-4"/>
          <w:sz w:val="24"/>
          <w:szCs w:val="24"/>
          <w:lang w:val="sq-AL"/>
        </w:rPr>
      </w:pPr>
      <w:bookmarkStart w:id="5" w:name="page17"/>
      <w:bookmarkEnd w:id="5"/>
      <w:r>
        <w:rPr>
          <w:rFonts w:ascii="Garamond" w:eastAsia="Arial" w:hAnsi="Garamond"/>
          <w:b/>
          <w:spacing w:val="-4"/>
          <w:sz w:val="24"/>
          <w:szCs w:val="24"/>
          <w:lang w:val="sq-AL"/>
        </w:rPr>
        <w:t>2.5</w:t>
      </w:r>
      <w:r>
        <w:rPr>
          <w:rFonts w:ascii="Garamond" w:eastAsia="Times New Roman" w:hAnsi="Garamond"/>
          <w:spacing w:val="-4"/>
          <w:sz w:val="24"/>
          <w:szCs w:val="24"/>
          <w:lang w:val="sq-AL"/>
        </w:rPr>
        <w:tab/>
      </w:r>
      <w:r>
        <w:rPr>
          <w:rFonts w:ascii="Garamond" w:eastAsia="Arial" w:hAnsi="Garamond"/>
          <w:b/>
          <w:spacing w:val="-4"/>
          <w:sz w:val="24"/>
          <w:szCs w:val="24"/>
          <w:lang w:val="sq-AL"/>
        </w:rPr>
        <w:t>Refuzimi i ofertave</w:t>
      </w:r>
    </w:p>
    <w:p w:rsidR="005C0BD2" w:rsidRDefault="005C0BD2" w:rsidP="005C0BD2">
      <w:pPr>
        <w:widowControl w:val="0"/>
        <w:tabs>
          <w:tab w:val="left" w:pos="680"/>
        </w:tabs>
        <w:spacing w:after="0" w:line="240" w:lineRule="auto"/>
        <w:outlineLvl w:val="0"/>
        <w:rPr>
          <w:rFonts w:ascii="Garamond" w:eastAsia="Arial" w:hAnsi="Garamond"/>
          <w:b/>
          <w:spacing w:val="-4"/>
          <w:sz w:val="24"/>
          <w:szCs w:val="24"/>
          <w:lang w:val="sq-AL"/>
        </w:rPr>
      </w:pPr>
      <w:r>
        <w:rPr>
          <w:rFonts w:ascii="Garamond" w:eastAsia="Arial" w:hAnsi="Garamond"/>
          <w:spacing w:val="-4"/>
          <w:sz w:val="24"/>
          <w:szCs w:val="24"/>
          <w:lang w:val="sq-AL"/>
        </w:rPr>
        <w:t>2.24</w:t>
      </w:r>
      <w:r>
        <w:rPr>
          <w:rFonts w:ascii="Garamond" w:eastAsia="Arial" w:hAnsi="Garamond"/>
          <w:spacing w:val="-4"/>
          <w:sz w:val="24"/>
          <w:szCs w:val="24"/>
          <w:lang w:val="sq-AL"/>
        </w:rPr>
        <w:tab/>
        <w:t xml:space="preserve"> Ofertat do të refuzohen në parim nëse: </w:t>
      </w:r>
    </w:p>
    <w:p w:rsidR="005C0BD2" w:rsidRDefault="005C0BD2" w:rsidP="005C0BD2">
      <w:pPr>
        <w:widowControl w:val="0"/>
        <w:tabs>
          <w:tab w:val="left" w:pos="720"/>
        </w:tabs>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 xml:space="preserve">a) Konsulenti ka ndikuar apo ka synuar të ndikojë në procedurën e përzgjedhjes me pagesa të paligjshme apo duke dhënë apo premtuar avantazhe të tjera, apo nëse rezulton nga rrethanat se është ushtruar një ndikim i tillë; </w:t>
      </w:r>
    </w:p>
    <w:p w:rsidR="005C0BD2" w:rsidRDefault="005C0BD2" w:rsidP="005C0BD2">
      <w:pPr>
        <w:pStyle w:val="Paragrafi"/>
        <w:rPr>
          <w:spacing w:val="-4"/>
          <w:lang w:val="sq-AL"/>
        </w:rPr>
      </w:pPr>
      <w:r>
        <w:rPr>
          <w:spacing w:val="-4"/>
          <w:lang w:val="sq-AL"/>
        </w:rPr>
        <w:t xml:space="preserve">b) oferta është pranuar në vendin e specifikuar të shpalljes pas mbarimit të afatit për dorëzimin e ofertave, përveç kur ofertuesi mund të dëshmojë se nuk është përgjegjës për vonesën, e cila është shkaktuar nga një forcë madhore (vonesat në dërgim nga shërbimet postare nuk përbëjnë forcë madhore); </w:t>
      </w:r>
    </w:p>
    <w:p w:rsidR="005C0BD2" w:rsidRDefault="005C0BD2" w:rsidP="005C0BD2">
      <w:pPr>
        <w:pStyle w:val="Paragrafi"/>
        <w:rPr>
          <w:spacing w:val="-4"/>
          <w:lang w:val="sq-AL"/>
        </w:rPr>
      </w:pPr>
      <w:r>
        <w:rPr>
          <w:spacing w:val="-4"/>
          <w:lang w:val="sq-AL"/>
        </w:rPr>
        <w:t xml:space="preserve">c) oferta nuk i plotëson kriteret në pikat thelbësore të ftesës për ofertë, siç janë kushtet e përcaktuara të kontratës apo specifikimet kyçe; </w:t>
      </w:r>
    </w:p>
    <w:p w:rsidR="005C0BD2" w:rsidRDefault="005C0BD2" w:rsidP="005C0BD2">
      <w:pPr>
        <w:pStyle w:val="Paragrafi"/>
        <w:rPr>
          <w:spacing w:val="-4"/>
          <w:lang w:val="sq-AL"/>
        </w:rPr>
      </w:pPr>
      <w:r>
        <w:rPr>
          <w:spacing w:val="-4"/>
          <w:lang w:val="sq-AL"/>
        </w:rPr>
        <w:t>d) oferta përmban dispozita ose kufizime të konsiderueshme;</w:t>
      </w:r>
    </w:p>
    <w:p w:rsidR="005C0BD2" w:rsidRDefault="005C0BD2" w:rsidP="005C0BD2">
      <w:pPr>
        <w:pStyle w:val="Paragrafi"/>
        <w:rPr>
          <w:spacing w:val="-4"/>
          <w:lang w:val="sq-AL"/>
        </w:rPr>
      </w:pPr>
      <w:r>
        <w:rPr>
          <w:spacing w:val="-4"/>
          <w:lang w:val="sq-AL"/>
        </w:rPr>
        <w:t>e) deklarata e ofertuesit që lidhet me shoqëri të tjera nuk tregon qartë nëse ai apo ky i fundit nuk do të aplikojnë për të marrë pjesë në të njëjtin projekt si prodhues, furnizues apo firma ndërtimi;</w:t>
      </w:r>
    </w:p>
    <w:p w:rsidR="005C0BD2" w:rsidRDefault="005C0BD2" w:rsidP="005C0BD2">
      <w:pPr>
        <w:pStyle w:val="Paragrafi"/>
        <w:rPr>
          <w:spacing w:val="-4"/>
          <w:lang w:val="sq-AL"/>
        </w:rPr>
      </w:pPr>
      <w:r>
        <w:rPr>
          <w:spacing w:val="-4"/>
          <w:lang w:val="sq-AL"/>
        </w:rPr>
        <w:t xml:space="preserve">f) ofertuesi nuk ka dorëzuar deklaratën e sipërmarrjes të nënshkruar me efekt ligjor në përputhje me shtojcën 4, për sa kohë që nuk ishte marrë më parë si pjesë e procesit të parakualifikimit. </w:t>
      </w:r>
    </w:p>
    <w:p w:rsidR="005C0BD2" w:rsidRDefault="005C0BD2" w:rsidP="005C0BD2">
      <w:pPr>
        <w:widowControl w:val="0"/>
        <w:tabs>
          <w:tab w:val="left" w:pos="680"/>
        </w:tabs>
        <w:spacing w:after="0" w:line="240" w:lineRule="auto"/>
        <w:outlineLvl w:val="0"/>
        <w:rPr>
          <w:rFonts w:ascii="Garamond" w:eastAsia="Arial" w:hAnsi="Garamond"/>
          <w:b/>
          <w:spacing w:val="-4"/>
          <w:sz w:val="24"/>
          <w:szCs w:val="24"/>
          <w:lang w:val="sq-AL"/>
        </w:rPr>
      </w:pPr>
      <w:r>
        <w:rPr>
          <w:rFonts w:ascii="Garamond" w:eastAsia="Arial" w:hAnsi="Garamond"/>
          <w:b/>
          <w:spacing w:val="-4"/>
          <w:sz w:val="24"/>
          <w:szCs w:val="24"/>
          <w:lang w:val="sq-AL"/>
        </w:rPr>
        <w:t>2.6</w:t>
      </w:r>
      <w:r>
        <w:rPr>
          <w:rFonts w:ascii="Garamond" w:eastAsia="Times New Roman" w:hAnsi="Garamond"/>
          <w:spacing w:val="-4"/>
          <w:sz w:val="24"/>
          <w:szCs w:val="24"/>
          <w:lang w:val="sq-AL"/>
        </w:rPr>
        <w:tab/>
      </w:r>
      <w:r>
        <w:rPr>
          <w:rFonts w:ascii="Garamond" w:eastAsia="Arial" w:hAnsi="Garamond"/>
          <w:b/>
          <w:spacing w:val="-4"/>
          <w:sz w:val="24"/>
          <w:szCs w:val="24"/>
          <w:lang w:val="sq-AL"/>
        </w:rPr>
        <w:t>Anulimi i ftesës për ofertë</w:t>
      </w:r>
    </w:p>
    <w:p w:rsidR="005C0BD2" w:rsidRDefault="005C0BD2" w:rsidP="005C0BD2">
      <w:pPr>
        <w:widowControl w:val="0"/>
        <w:tabs>
          <w:tab w:val="left" w:pos="680"/>
        </w:tabs>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 xml:space="preserve">2.25 </w:t>
      </w:r>
      <w:r>
        <w:rPr>
          <w:rFonts w:ascii="Garamond" w:eastAsia="Arial" w:hAnsi="Garamond"/>
          <w:spacing w:val="-4"/>
          <w:sz w:val="24"/>
          <w:szCs w:val="24"/>
          <w:lang w:val="sq-AL"/>
        </w:rPr>
        <w:tab/>
        <w:t>Ftesa për tender mund të anulohet nëse:</w:t>
      </w:r>
    </w:p>
    <w:p w:rsidR="005C0BD2" w:rsidRDefault="005C0BD2" w:rsidP="005C0BD2">
      <w:pPr>
        <w:pStyle w:val="Paragrafi"/>
        <w:rPr>
          <w:spacing w:val="-4"/>
          <w:lang w:val="sq-AL"/>
        </w:rPr>
      </w:pPr>
      <w:r>
        <w:rPr>
          <w:spacing w:val="-4"/>
          <w:lang w:val="sq-AL"/>
        </w:rPr>
        <w:t>a) nuk ka pasur konkurrim të përshtatshëm;</w:t>
      </w:r>
    </w:p>
    <w:p w:rsidR="005C0BD2" w:rsidRDefault="005C0BD2" w:rsidP="005C0BD2">
      <w:pPr>
        <w:pStyle w:val="Paragrafi"/>
        <w:rPr>
          <w:spacing w:val="-4"/>
          <w:lang w:val="sq-AL"/>
        </w:rPr>
      </w:pPr>
      <w:r>
        <w:rPr>
          <w:spacing w:val="-4"/>
          <w:lang w:val="sq-AL"/>
        </w:rPr>
        <w:t xml:space="preserve">b) asnjë nga ofertat për shërbime nuk ka arritur numrin minimal të pikëve; </w:t>
      </w:r>
    </w:p>
    <w:p w:rsidR="005C0BD2" w:rsidRDefault="005C0BD2" w:rsidP="005C0BD2">
      <w:pPr>
        <w:pStyle w:val="Paragrafi"/>
        <w:rPr>
          <w:spacing w:val="-4"/>
          <w:lang w:val="sq-AL"/>
        </w:rPr>
      </w:pPr>
      <w:r>
        <w:rPr>
          <w:spacing w:val="-4"/>
          <w:lang w:val="sq-AL"/>
        </w:rPr>
        <w:t xml:space="preserve">c) aspektet kryesore teknike apo financiare në të cilat është bazuar ftesa për ofertë kanë pësuar ndryshime të rëndësishme përpara dhënies së kontratës; </w:t>
      </w:r>
    </w:p>
    <w:p w:rsidR="005C0BD2" w:rsidRDefault="005C0BD2" w:rsidP="005C0BD2">
      <w:pPr>
        <w:pStyle w:val="Paragrafi"/>
        <w:rPr>
          <w:rFonts w:eastAsia="Times New Roman"/>
          <w:spacing w:val="-4"/>
          <w:lang w:val="sq-AL"/>
        </w:rPr>
      </w:pPr>
      <w:r>
        <w:rPr>
          <w:spacing w:val="-4"/>
          <w:lang w:val="sq-AL"/>
        </w:rPr>
        <w:t>d) kuotimet e çmimeve janë dukshëm dhe haptazi të tepruara.</w:t>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2.26 Konkurrimi do të konsiderohet i pamjaftueshëm nëse shumë më pak oferta sesa pritej, duke pasur parasysh tregun e gjerë, arrijnë fazën e vlerësimit, apo nëse çmimet e kuotuara janë haptazi të tepruara, apo nëse janë bërë marrëveshje për caktimin e çmimeve. Kur kuotat e çmimeve janë haptazi të tepruara, mund të bëhen negociata për çmimin me ofertuesin e renditur në vendin e parë, me kusht anulimin paraprak të procedurës së tenderit.</w:t>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 xml:space="preserve">2.27 Nëse asnjë nga ofertat për shërbime nuk ka marrë minimumin e numrit të pikëve, procedura e </w:t>
      </w:r>
      <w:r>
        <w:rPr>
          <w:rFonts w:ascii="Garamond" w:eastAsia="Arial" w:hAnsi="Garamond"/>
          <w:spacing w:val="-4"/>
          <w:sz w:val="24"/>
          <w:szCs w:val="24"/>
          <w:lang w:val="sq-AL"/>
        </w:rPr>
        <w:lastRenderedPageBreak/>
        <w:t xml:space="preserve">parakualifikimit mund të hiqet dhe të kryhet një procedurë tjetër tenderimi ndërmjet ofertuesve fillimisht të parakualifikuar. Kjo procedurë është e përshtatshme vetëm nëse ndryshimi i kushteve apo termave të referencës mund t’i mundësojë ofertuesve të parë të dorëzojnë ofertat e përshtatshme për shërbime dhe objektivat fillestare të ftesës për ofertë nuk vihen në dyshim si rezultat i ndryshimit. </w:t>
      </w:r>
    </w:p>
    <w:p w:rsidR="005C0BD2" w:rsidRDefault="005C0BD2" w:rsidP="005C0BD2">
      <w:pPr>
        <w:widowControl w:val="0"/>
        <w:spacing w:after="0" w:line="240" w:lineRule="auto"/>
        <w:rPr>
          <w:rFonts w:ascii="Garamond" w:eastAsia="Arial" w:hAnsi="Garamond"/>
          <w:spacing w:val="-4"/>
          <w:sz w:val="24"/>
          <w:szCs w:val="24"/>
          <w:lang w:val="sq-AL"/>
        </w:rPr>
      </w:pPr>
      <w:bookmarkStart w:id="6" w:name="page18"/>
      <w:bookmarkEnd w:id="6"/>
      <w:r>
        <w:rPr>
          <w:rFonts w:ascii="Garamond" w:eastAsia="Arial" w:hAnsi="Garamond"/>
          <w:spacing w:val="-4"/>
          <w:sz w:val="24"/>
          <w:szCs w:val="24"/>
          <w:lang w:val="sq-AL"/>
        </w:rPr>
        <w:t xml:space="preserve">2.28 Anulimi i ftesës për ofertë dhe procedura e mëtejshme kërkojnë miratimin e KfW-së. Klienti duhet të njoftojë të gjithë ofertuesit me shkrim se ftesa për ofertë është anuluar, pa shpjeguar arsyet. Nëse ftesa për ofertë është anuluar, kur opsionet e përcaktuara në 2.26 dhe 2.27 nuk janë të mundura, ftesa tjetër për ofertë normalisht do të publikohet në terma të ndryshëm që garantojnë konkurrencë më të madhe, si p.sh duke ndryshuar objektin apo kushtet e ftesës për tender. </w:t>
      </w:r>
    </w:p>
    <w:p w:rsidR="005C0BD2" w:rsidRDefault="005C0BD2" w:rsidP="005C0BD2">
      <w:pPr>
        <w:widowControl w:val="0"/>
        <w:tabs>
          <w:tab w:val="left" w:pos="680"/>
        </w:tabs>
        <w:spacing w:after="0" w:line="240" w:lineRule="auto"/>
        <w:outlineLvl w:val="0"/>
        <w:rPr>
          <w:rFonts w:ascii="Garamond" w:eastAsia="Arial" w:hAnsi="Garamond"/>
          <w:b/>
          <w:spacing w:val="-4"/>
          <w:sz w:val="24"/>
          <w:szCs w:val="24"/>
          <w:lang w:val="sq-AL"/>
        </w:rPr>
      </w:pPr>
      <w:r>
        <w:rPr>
          <w:rFonts w:ascii="Garamond" w:eastAsia="Arial" w:hAnsi="Garamond"/>
          <w:b/>
          <w:spacing w:val="-4"/>
          <w:sz w:val="24"/>
          <w:szCs w:val="24"/>
          <w:lang w:val="sq-AL"/>
        </w:rPr>
        <w:t>2.7</w:t>
      </w:r>
      <w:r>
        <w:rPr>
          <w:rFonts w:ascii="Garamond" w:eastAsia="Times New Roman" w:hAnsi="Garamond"/>
          <w:spacing w:val="-4"/>
          <w:sz w:val="24"/>
          <w:szCs w:val="24"/>
          <w:lang w:val="sq-AL"/>
        </w:rPr>
        <w:tab/>
      </w:r>
      <w:r>
        <w:rPr>
          <w:rFonts w:ascii="Garamond" w:eastAsia="Arial" w:hAnsi="Garamond"/>
          <w:b/>
          <w:spacing w:val="-4"/>
          <w:sz w:val="24"/>
          <w:szCs w:val="24"/>
          <w:lang w:val="sq-AL"/>
        </w:rPr>
        <w:t>Negocimi i kontratës</w:t>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 xml:space="preserve">2.29 Pasi KfW-ja të ketë miratuar propozimin për dhënën e kontratës, Klienti do të negociojë me shpejtësi dhe efikasitet kontratën me ofertuesin që është i pari në listë. Nëse negociatat rezultojnë pa sukses, pasi KfW-ja të ketë dhënë miratimin, do të kërkohet të negociohet me ofertuesin e dytë në listë. Rifillimi i negociatave me ofertuesin me të cilin u prishën negociatat nuk lejohet. </w:t>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 xml:space="preserve">2.30 Klienti do të kryejë negociatat në mënyrë të shpejtë dhe efikase dhe në përgjithësi do të përqendrohet në pikat e mëposhtme: </w:t>
      </w:r>
    </w:p>
    <w:p w:rsidR="005C0BD2" w:rsidRDefault="005C0BD2" w:rsidP="005C0BD2">
      <w:pPr>
        <w:pStyle w:val="Paragrafi"/>
        <w:rPr>
          <w:spacing w:val="-4"/>
          <w:lang w:val="sq-AL"/>
        </w:rPr>
      </w:pPr>
      <w:r>
        <w:rPr>
          <w:spacing w:val="-4"/>
          <w:lang w:val="sq-AL"/>
        </w:rPr>
        <w:t xml:space="preserve">a) qartësimin e punës dhe metodave që do të përdoren, kur është e nevojshme, përshtatjen e orarit të personelit; </w:t>
      </w:r>
    </w:p>
    <w:p w:rsidR="005C0BD2" w:rsidRDefault="005C0BD2" w:rsidP="005C0BD2">
      <w:pPr>
        <w:pStyle w:val="Paragrafi"/>
        <w:rPr>
          <w:spacing w:val="-4"/>
          <w:lang w:val="sq-AL"/>
        </w:rPr>
      </w:pPr>
      <w:r>
        <w:rPr>
          <w:spacing w:val="-4"/>
          <w:lang w:val="sq-AL"/>
        </w:rPr>
        <w:t xml:space="preserve">b) shërbimet e tjera që do të ofrohen nga Klienti dhe niveli i doganave dhe akcizave, taksat dhe tatimet në vendin e Klientit, si dhe detyrimin kontraktues për t’i paguar ato; </w:t>
      </w:r>
    </w:p>
    <w:p w:rsidR="005C0BD2" w:rsidRDefault="005C0BD2" w:rsidP="005C0BD2">
      <w:pPr>
        <w:pStyle w:val="Paragrafi"/>
        <w:rPr>
          <w:spacing w:val="-4"/>
          <w:lang w:val="sq-AL"/>
        </w:rPr>
      </w:pPr>
      <w:r>
        <w:rPr>
          <w:spacing w:val="-4"/>
          <w:lang w:val="sq-AL"/>
        </w:rPr>
        <w:t xml:space="preserve">c) dispozitat kontraktuese mbi elemente të tjera të kostos që nuk janë përfshirë në vlerësimin e kuotimit të çmimeve. </w:t>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2.31 Tarifat dhe çmimet për njësi për kostot dhe shërbimet që do të ofrohen në bazë të një pagese të vetme në përputhje me ftesën për ofertë, në parim nuk janë objekt i negocimit, pasi janë marrë parasysh gjatë vlerësimit të kuotimit të çmimit.</w:t>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2.32 Për sa kohë është rënë dakord për një pagesë të vetme, afati i pagesës do të caktohet në përputhje me shërbimet që planifikohen të jepen. Sapo të jetë paguar 70% e pagesës së kontratës, këstet e mbetura do të paguhen kundrejt dorëzimit të dokumenteve të lidhura me hapat specifikë të projektit.</w:t>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 xml:space="preserve">2.33 Pasi të jetë dorëzuar oferta, personeli apo personeli kyç që përbëjnë pjesën integrale të ofertës nuk mund të zëvendësohen pa miratimin e Klientit dhe KfW-së. Zëvendësimi i personelit do të çojë në një rivlerësim të plotë të ofertës, nëse personeli i ofruar është më pak i kualifikuar sesa personeli fillestar. </w:t>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 xml:space="preserve">2.34 Rezultati i negociatave të kontratës dhe draftkontrata e konsultimit kërkojnë miratimin e KfW-së. </w:t>
      </w:r>
    </w:p>
    <w:p w:rsidR="005C0BD2" w:rsidRDefault="005C0BD2" w:rsidP="005C0BD2">
      <w:pPr>
        <w:widowControl w:val="0"/>
        <w:tabs>
          <w:tab w:val="left" w:pos="680"/>
        </w:tabs>
        <w:spacing w:after="0" w:line="240" w:lineRule="auto"/>
        <w:outlineLvl w:val="0"/>
        <w:rPr>
          <w:rFonts w:ascii="Garamond" w:eastAsia="Arial" w:hAnsi="Garamond"/>
          <w:b/>
          <w:spacing w:val="-4"/>
          <w:sz w:val="24"/>
          <w:szCs w:val="24"/>
          <w:lang w:val="sq-AL"/>
        </w:rPr>
      </w:pPr>
      <w:r>
        <w:rPr>
          <w:rFonts w:ascii="Garamond" w:eastAsia="Arial" w:hAnsi="Garamond"/>
          <w:b/>
          <w:spacing w:val="-4"/>
          <w:sz w:val="24"/>
          <w:szCs w:val="24"/>
          <w:lang w:val="sq-AL"/>
        </w:rPr>
        <w:t>2.8</w:t>
      </w:r>
      <w:r>
        <w:rPr>
          <w:rFonts w:ascii="Garamond" w:eastAsia="Times New Roman" w:hAnsi="Garamond"/>
          <w:spacing w:val="-4"/>
          <w:sz w:val="24"/>
          <w:szCs w:val="24"/>
          <w:lang w:val="sq-AL"/>
        </w:rPr>
        <w:tab/>
      </w:r>
      <w:r>
        <w:rPr>
          <w:rFonts w:ascii="Garamond" w:eastAsia="Arial" w:hAnsi="Garamond"/>
          <w:b/>
          <w:spacing w:val="-4"/>
          <w:sz w:val="24"/>
          <w:szCs w:val="24"/>
          <w:lang w:val="sq-AL"/>
        </w:rPr>
        <w:t>Njoftimi i ofertuesve dhe ankesat</w:t>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 xml:space="preserve">2.35 Pas përfundimit të negociatave kontraktuese dhe pasi KfW-ja të ketë dhënë pëlqimin, Klienti do të njoftojë të gjithë ofertuesit për vendimin e marrë. Me kërkesë të ofertuesve, Klienti mund t’i informojë mbi mangësitë kryesore të ofertave të tyre. </w:t>
      </w:r>
    </w:p>
    <w:p w:rsidR="005C0BD2" w:rsidRDefault="005C0BD2" w:rsidP="005C0BD2">
      <w:pPr>
        <w:widowControl w:val="0"/>
        <w:spacing w:after="0" w:line="240" w:lineRule="auto"/>
        <w:rPr>
          <w:rFonts w:ascii="Garamond" w:eastAsia="Arial" w:hAnsi="Garamond"/>
          <w:spacing w:val="-4"/>
          <w:sz w:val="24"/>
          <w:szCs w:val="24"/>
          <w:lang w:val="sq-AL"/>
        </w:rPr>
      </w:pPr>
      <w:bookmarkStart w:id="7" w:name="page19"/>
      <w:bookmarkEnd w:id="7"/>
      <w:r>
        <w:rPr>
          <w:rFonts w:ascii="Garamond" w:eastAsia="Arial" w:hAnsi="Garamond"/>
          <w:spacing w:val="-4"/>
          <w:sz w:val="24"/>
          <w:szCs w:val="24"/>
          <w:lang w:val="sq-AL"/>
        </w:rPr>
        <w:t xml:space="preserve">Asnjë detaj mbi vendimin e fituesit nuk zbulohet. Ofertuesit të cilët nuk u përfshinë në vlerësimin e kuotimeve të çmimeve do t’iu kthehen kuotimet e tyre të çmimeve të pahapura. Ofertuesit nuk kanë të drejtë ankimimi përtej të drejtave të parashikuara në ligjet e vendit partner. </w:t>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2.36 Ankesat e ofertuesve lidhur me procedurën kontraktuese duhet të dorëzohen me shkrim te Klienti/autoriteti përgjegjës për ankesa në vendin partner dhe kopjet do t’i dërgohen KfW-së.</w:t>
      </w:r>
    </w:p>
    <w:p w:rsidR="005C0BD2" w:rsidRDefault="005C0BD2" w:rsidP="005C0BD2">
      <w:pPr>
        <w:widowControl w:val="0"/>
        <w:tabs>
          <w:tab w:val="left" w:pos="681"/>
        </w:tabs>
        <w:spacing w:after="0" w:line="240" w:lineRule="auto"/>
        <w:rPr>
          <w:rFonts w:ascii="Garamond" w:eastAsia="Arial" w:hAnsi="Garamond"/>
          <w:b/>
          <w:spacing w:val="-4"/>
          <w:sz w:val="24"/>
          <w:szCs w:val="24"/>
          <w:lang w:val="sq-AL"/>
        </w:rPr>
      </w:pPr>
      <w:r>
        <w:rPr>
          <w:rFonts w:ascii="Garamond" w:eastAsia="Arial" w:hAnsi="Garamond"/>
          <w:b/>
          <w:spacing w:val="-4"/>
          <w:sz w:val="24"/>
          <w:szCs w:val="24"/>
          <w:lang w:val="sq-AL"/>
        </w:rPr>
        <w:t>3.</w:t>
      </w:r>
      <w:r>
        <w:rPr>
          <w:rFonts w:ascii="Garamond" w:eastAsia="Times New Roman" w:hAnsi="Garamond"/>
          <w:spacing w:val="-4"/>
          <w:sz w:val="24"/>
          <w:szCs w:val="24"/>
          <w:lang w:val="sq-AL"/>
        </w:rPr>
        <w:t xml:space="preserve"> </w:t>
      </w:r>
      <w:r>
        <w:rPr>
          <w:rFonts w:ascii="Garamond" w:eastAsia="Arial" w:hAnsi="Garamond"/>
          <w:b/>
          <w:spacing w:val="-4"/>
          <w:sz w:val="24"/>
          <w:szCs w:val="24"/>
          <w:lang w:val="sq-AL"/>
        </w:rPr>
        <w:t>Forma të tjera prokurimi</w:t>
      </w:r>
    </w:p>
    <w:p w:rsidR="005C0BD2" w:rsidRDefault="005C0BD2" w:rsidP="005C0BD2">
      <w:pPr>
        <w:widowControl w:val="0"/>
        <w:tabs>
          <w:tab w:val="left" w:pos="681"/>
        </w:tabs>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3.1</w:t>
      </w:r>
      <w:r>
        <w:rPr>
          <w:rFonts w:ascii="Garamond" w:eastAsia="Times New Roman" w:hAnsi="Garamond"/>
          <w:spacing w:val="-4"/>
          <w:sz w:val="24"/>
          <w:szCs w:val="24"/>
          <w:lang w:val="sq-AL"/>
        </w:rPr>
        <w:tab/>
      </w:r>
      <w:r>
        <w:rPr>
          <w:rFonts w:ascii="Garamond" w:eastAsia="Arial" w:hAnsi="Garamond"/>
          <w:spacing w:val="-4"/>
          <w:sz w:val="24"/>
          <w:szCs w:val="24"/>
          <w:lang w:val="sq-AL"/>
        </w:rPr>
        <w:t>Shmangiet nga parimi i ftesës ndërkombëtare publike për ofertë</w:t>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3.01 Me miratimin paraprak të KfW-së, parimi i ftesës ndërkombëtare, publike dhe të pakufizuar për ofertë mund të hiqet në rastet e parashikuara si më poshtë. Përjashtimet e parashikuara në seksionin 3.2 (ftesa kombëtare për ofertë) dhe seksionin 3.3 (Kërkesa për ofertë) janë të zbatueshme deri në një vlerë neto të kontratës 200,000 euro</w:t>
      </w:r>
      <w:r>
        <w:rPr>
          <w:rStyle w:val="FootnoteReference"/>
          <w:rFonts w:ascii="Garamond" w:eastAsia="Arial" w:hAnsi="Garamond"/>
          <w:spacing w:val="-4"/>
          <w:sz w:val="24"/>
          <w:szCs w:val="24"/>
          <w:lang w:val="sq-AL"/>
        </w:rPr>
        <w:footnoteReference w:id="9"/>
      </w:r>
      <w:r>
        <w:rPr>
          <w:rFonts w:ascii="Garamond" w:eastAsia="Arial" w:hAnsi="Garamond"/>
          <w:spacing w:val="-4"/>
          <w:sz w:val="24"/>
          <w:szCs w:val="24"/>
          <w:lang w:val="sq-AL"/>
        </w:rPr>
        <w:t>, me kusht që mos të jenë vendosur me marrëveshje kufij të tjerë me KfW-në. Ndarja e kontratave në disa pjesë në mënyrë që të bien nën kufirin e lejuar, është e ndaluar.</w:t>
      </w:r>
    </w:p>
    <w:p w:rsidR="005C0BD2" w:rsidRDefault="005C0BD2" w:rsidP="005C0BD2">
      <w:pPr>
        <w:widowControl w:val="0"/>
        <w:tabs>
          <w:tab w:val="left" w:pos="681"/>
        </w:tabs>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3.2</w:t>
      </w:r>
      <w:r>
        <w:rPr>
          <w:rFonts w:ascii="Garamond" w:eastAsia="Times New Roman" w:hAnsi="Garamond"/>
          <w:spacing w:val="-4"/>
          <w:sz w:val="24"/>
          <w:szCs w:val="24"/>
          <w:lang w:val="sq-AL"/>
        </w:rPr>
        <w:tab/>
      </w:r>
      <w:r>
        <w:rPr>
          <w:rFonts w:ascii="Garamond" w:eastAsia="Arial" w:hAnsi="Garamond"/>
          <w:spacing w:val="-4"/>
          <w:sz w:val="24"/>
          <w:szCs w:val="24"/>
          <w:lang w:val="sq-AL"/>
        </w:rPr>
        <w:t>Ftesa kombëtare për ofertë</w:t>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 xml:space="preserve">3.02 Publikimi i ftesës për ofertë që kufizohet në vendin partner është i mundur nën kufirin e lartpërmendur, nëse plotësohen kushtet e mëposhtme: </w:t>
      </w:r>
    </w:p>
    <w:p w:rsidR="005C0BD2" w:rsidRDefault="005C0BD2" w:rsidP="005C0BD2">
      <w:pPr>
        <w:pStyle w:val="Paragrafi"/>
        <w:rPr>
          <w:spacing w:val="-4"/>
          <w:lang w:val="sq-AL"/>
        </w:rPr>
      </w:pPr>
      <w:r>
        <w:rPr>
          <w:spacing w:val="-4"/>
          <w:lang w:val="sq-AL"/>
        </w:rPr>
        <w:t xml:space="preserve">a) për detyrat e parashikuara, ofertuesit e kualifikuar të mjaftueshëm për një procedurë prokurimi konkurruese gjenden në tregun kombëtar; dhe </w:t>
      </w:r>
    </w:p>
    <w:p w:rsidR="005C0BD2" w:rsidRDefault="005C0BD2" w:rsidP="005C0BD2">
      <w:pPr>
        <w:pStyle w:val="Paragrafi"/>
        <w:rPr>
          <w:spacing w:val="-4"/>
          <w:lang w:val="sq-AL"/>
        </w:rPr>
      </w:pPr>
      <w:r>
        <w:rPr>
          <w:spacing w:val="-4"/>
          <w:lang w:val="sq-AL"/>
        </w:rPr>
        <w:t xml:space="preserve">b) duke pasur parasysh natyrën dhe qëllimin e aktivitetit, ofertuesit ndërkombëtarë mund të mos kenë interes. </w:t>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lastRenderedPageBreak/>
        <w:t>Në rast të publikimit kombëtar të ftesës për ofertë, ofertuesit ndërkombëtarë nuk mund të pengohen të marrin pjesë apo të përjashtohen nga procedura. Zbatimi i ftesës për ofertë si një procedurë me një apo dy faza do të përcaktohet nga rrethanat e projektit në fjalë dhe rregulloret kombëtare. Dispozitat që rregullojnë ftesat ndërkombëtare për prokurim zbatohen në mënyrë të ndërsjellë.</w:t>
      </w:r>
    </w:p>
    <w:p w:rsidR="005C0BD2" w:rsidRDefault="005C0BD2" w:rsidP="005C0BD2">
      <w:pPr>
        <w:widowControl w:val="0"/>
        <w:tabs>
          <w:tab w:val="left" w:pos="681"/>
        </w:tabs>
        <w:spacing w:after="0" w:line="240" w:lineRule="auto"/>
        <w:rPr>
          <w:rFonts w:ascii="Garamond" w:eastAsia="Arial" w:hAnsi="Garamond"/>
          <w:spacing w:val="-4"/>
          <w:sz w:val="24"/>
          <w:szCs w:val="24"/>
          <w:vertAlign w:val="superscript"/>
          <w:lang w:val="sq-AL"/>
        </w:rPr>
      </w:pPr>
      <w:r>
        <w:rPr>
          <w:rFonts w:ascii="Garamond" w:eastAsia="Arial" w:hAnsi="Garamond"/>
          <w:spacing w:val="-4"/>
          <w:sz w:val="24"/>
          <w:szCs w:val="24"/>
          <w:lang w:val="sq-AL"/>
        </w:rPr>
        <w:t>3.3</w:t>
      </w:r>
      <w:r>
        <w:rPr>
          <w:rFonts w:ascii="Garamond" w:eastAsia="Times New Roman" w:hAnsi="Garamond"/>
          <w:spacing w:val="-4"/>
          <w:sz w:val="24"/>
          <w:szCs w:val="24"/>
          <w:lang w:val="sq-AL"/>
        </w:rPr>
        <w:t xml:space="preserve"> </w:t>
      </w:r>
      <w:r>
        <w:rPr>
          <w:rFonts w:ascii="Garamond" w:eastAsia="Arial" w:hAnsi="Garamond"/>
          <w:spacing w:val="-4"/>
          <w:sz w:val="24"/>
          <w:szCs w:val="24"/>
          <w:lang w:val="sq-AL"/>
        </w:rPr>
        <w:t>Kërkesa për ofertë</w:t>
      </w:r>
      <w:r>
        <w:rPr>
          <w:rStyle w:val="FootnoteReference"/>
          <w:rFonts w:ascii="Garamond" w:eastAsia="Arial" w:hAnsi="Garamond"/>
          <w:spacing w:val="-4"/>
          <w:sz w:val="24"/>
          <w:szCs w:val="24"/>
          <w:lang w:val="sq-AL"/>
        </w:rPr>
        <w:footnoteReference w:id="10"/>
      </w:r>
    </w:p>
    <w:p w:rsidR="005C0BD2" w:rsidRDefault="005C0BD2" w:rsidP="005C0BD2">
      <w:pPr>
        <w:widowControl w:val="0"/>
        <w:spacing w:after="0" w:line="240" w:lineRule="auto"/>
        <w:rPr>
          <w:rFonts w:ascii="Garamond" w:eastAsia="Arial" w:hAnsi="Garamond"/>
          <w:spacing w:val="-4"/>
          <w:sz w:val="24"/>
          <w:szCs w:val="24"/>
          <w:lang w:val="sq-AL"/>
        </w:rPr>
      </w:pPr>
      <w:r>
        <w:rPr>
          <w:rFonts w:ascii="Garamond" w:eastAsia="Arial" w:hAnsi="Garamond"/>
          <w:spacing w:val="-4"/>
          <w:sz w:val="24"/>
          <w:szCs w:val="24"/>
          <w:lang w:val="sq-AL"/>
        </w:rPr>
        <w:t xml:space="preserve">3.03 Nëse nuk plotësohen kushtet për një publikim kombëtar të ftesës për ofertë në përputhje me paragrafin 3.02, ofertat mund të kërkohen nga të paktën tre ofertues të kualifikuar. </w:t>
      </w:r>
    </w:p>
    <w:p w:rsidR="005C0BD2" w:rsidRDefault="005C0BD2" w:rsidP="005C0BD2">
      <w:pPr>
        <w:pStyle w:val="Paragrafi"/>
        <w:rPr>
          <w:spacing w:val="-4"/>
          <w:highlight w:val="cyan"/>
          <w:lang w:val="sq-AL"/>
        </w:rPr>
      </w:pPr>
      <w:r>
        <w:rPr>
          <w:rFonts w:eastAsia="Arial"/>
          <w:spacing w:val="-4"/>
          <w:szCs w:val="24"/>
          <w:lang w:val="sq-AL"/>
        </w:rPr>
        <w:t xml:space="preserve">3.04 Dorëzimi i ofertave i kërkohet vetëm ofertuesve të kualifikuar. Për këtë qëllim, Klienti do t’i paraqesë KfW-së një listë të ofertuesve të propozuar prej të cilëve do të kërkohet oferta si dhe një llogaritje e kostos, dhe do të shpjegojnë përshtatshmërinë e tyre për aktivitetin e parashikuar (përvojën e kaluar, burime njerëzore, financiare dhe ekspertiza lidhur me </w:t>
      </w:r>
      <w:r>
        <w:rPr>
          <w:spacing w:val="-4"/>
          <w:lang w:val="sq-AL"/>
        </w:rPr>
        <w:t xml:space="preserve">objektin e kontratës). Në përzgjedhjen e ofertuesve të propozuar do t’i jepet rëndësi kombinimit të ekuilibruar të përvojës kombëtare dhe ndërkombëtare në fushën përkatëse të veprimtarisë. </w:t>
      </w:r>
    </w:p>
    <w:p w:rsidR="005C0BD2" w:rsidRDefault="005C0BD2" w:rsidP="005C0BD2">
      <w:pPr>
        <w:pStyle w:val="Paragrafi"/>
        <w:rPr>
          <w:spacing w:val="-4"/>
          <w:lang w:val="sq-AL"/>
        </w:rPr>
      </w:pPr>
      <w:r>
        <w:rPr>
          <w:spacing w:val="-4"/>
          <w:lang w:val="sq-AL"/>
        </w:rPr>
        <w:t xml:space="preserve">3.05 Nëse përshtatshmëria e përgjithshme e të gjithë ofertuesve të propozuar është demonstruar mjaftueshëm, nuk është e nevojshme të kryhet kontrolli i hollësishëm i përshtatshmërisë së tyre gjatë marrjes së ofertave. Kur ka informacion të pamjaftueshëm, do të merret nga të gjithë ofertuesit së bashku me ofertat e kërkuara. Kur është e mundur, numri i ofertuesve të ftuar duhet të rritet, kështu që nëse ofertuesit përjashtohen për shkak të papërshtatshmërisë, do të mbeten për vlerësim një numër i mjaftueshëm ofertash. </w:t>
      </w:r>
    </w:p>
    <w:p w:rsidR="005C0BD2" w:rsidRDefault="005C0BD2" w:rsidP="005C0BD2">
      <w:pPr>
        <w:pStyle w:val="Paragrafi"/>
        <w:rPr>
          <w:spacing w:val="-4"/>
          <w:lang w:val="sq-AL"/>
        </w:rPr>
      </w:pPr>
      <w:r>
        <w:rPr>
          <w:spacing w:val="-4"/>
          <w:lang w:val="sq-AL"/>
        </w:rPr>
        <w:t xml:space="preserve">3.06 Vlerësimi i dokumenteve të paraqitura dhe procedura e mëtejshme kontraktuese do të zbatojnë, për aq sa është e mundur, dispozitat e përcaktuara në seksionin 2, duke iu nënshtruar këtyre përjashtimeve: </w:t>
      </w:r>
    </w:p>
    <w:p w:rsidR="005C0BD2" w:rsidRDefault="005C0BD2" w:rsidP="005C0BD2">
      <w:pPr>
        <w:pStyle w:val="Paragrafi"/>
        <w:rPr>
          <w:spacing w:val="-4"/>
          <w:lang w:val="sq-AL"/>
        </w:rPr>
      </w:pPr>
      <w:r>
        <w:rPr>
          <w:spacing w:val="-4"/>
          <w:lang w:val="sq-AL"/>
        </w:rPr>
        <w:t xml:space="preserve">a) afati për dorëzimin e ofertave mund të shkurtohet në mënyrë të përshtatshme, por si rregull duhet të jetë jo më pak se 20 ditë kalendarike; dhe </w:t>
      </w:r>
    </w:p>
    <w:p w:rsidR="005C0BD2" w:rsidRDefault="005C0BD2" w:rsidP="005C0BD2">
      <w:pPr>
        <w:pStyle w:val="Paragrafi"/>
        <w:rPr>
          <w:spacing w:val="-4"/>
          <w:lang w:val="sq-AL"/>
        </w:rPr>
      </w:pPr>
      <w:r>
        <w:rPr>
          <w:spacing w:val="-4"/>
          <w:lang w:val="sq-AL"/>
        </w:rPr>
        <w:t xml:space="preserve">b) për ofertat që mund të përgatiten me pak punë, dorëzimi i ofertave me shkrim mund të hiqet me miratimin paraprak të KfW-së. Në këtë rast, ofertat do të dorëzohen në formë elektronike si PDF që nuk lejon ndryshimin e përmbajtjes së ruajtur. Ofertuesi rrezikon të përjashtohet, nëse skedarët nuk janë të lexueshëm. </w:t>
      </w:r>
    </w:p>
    <w:p w:rsidR="005C0BD2" w:rsidRDefault="005C0BD2" w:rsidP="005C0BD2">
      <w:pPr>
        <w:pStyle w:val="Paragrafi"/>
        <w:rPr>
          <w:spacing w:val="-4"/>
          <w:lang w:val="sq-AL"/>
        </w:rPr>
      </w:pPr>
      <w:r>
        <w:rPr>
          <w:spacing w:val="-4"/>
          <w:lang w:val="sq-AL"/>
        </w:rPr>
        <w:t xml:space="preserve">3.4 </w:t>
      </w:r>
      <w:r>
        <w:rPr>
          <w:spacing w:val="-4"/>
          <w:lang w:val="sq-AL"/>
        </w:rPr>
        <w:t>Prokurimi i drejtpërdrejtë</w:t>
      </w:r>
    </w:p>
    <w:p w:rsidR="005C0BD2" w:rsidRDefault="005C0BD2" w:rsidP="005C0BD2">
      <w:pPr>
        <w:pStyle w:val="Paragrafi"/>
        <w:rPr>
          <w:spacing w:val="-4"/>
          <w:lang w:val="sq-AL"/>
        </w:rPr>
      </w:pPr>
      <w:r>
        <w:rPr>
          <w:spacing w:val="-4"/>
          <w:lang w:val="sq-AL"/>
        </w:rPr>
        <w:t>3.07 Me prokurimin e drejtpërdrejtë merret vetëm një ofertë dhe kontrata jepet pa një procedurë konkurrimi. Prokurimi i drejtpërdrejtë është i mundur vetëm në përjashtime të garantuara, në veçanti:</w:t>
      </w:r>
    </w:p>
    <w:p w:rsidR="005C0BD2" w:rsidRDefault="005C0BD2" w:rsidP="005C0BD2">
      <w:pPr>
        <w:pStyle w:val="Paragrafi"/>
        <w:rPr>
          <w:spacing w:val="-4"/>
          <w:lang w:val="sq-AL"/>
        </w:rPr>
      </w:pPr>
      <w:r>
        <w:rPr>
          <w:spacing w:val="-4"/>
          <w:lang w:val="sq-AL"/>
        </w:rPr>
        <w:t xml:space="preserve">a) me zgjatjen e kontratave ekzistuese, në rastet kur natyra dhe qëllimi i shërbimeve konsultuese që kontraktohen nuk sigurojnë një ftesë të re për ofertë; </w:t>
      </w:r>
    </w:p>
    <w:p w:rsidR="005C0BD2" w:rsidRDefault="005C0BD2" w:rsidP="005C0BD2">
      <w:pPr>
        <w:pStyle w:val="Paragrafi"/>
        <w:rPr>
          <w:spacing w:val="-4"/>
          <w:lang w:val="sq-AL"/>
        </w:rPr>
      </w:pPr>
      <w:r>
        <w:rPr>
          <w:spacing w:val="-4"/>
          <w:lang w:val="sq-AL"/>
        </w:rPr>
        <w:t xml:space="preserve">b) në fazat e aktiviteteve të programit ku termat e referencës janë kryesisht identike, me kusht që kontrata e parë të jetë dhënë mbi bazë konkurrimi, në ftesën për ofertë i është kushtuar vëmendje këtij opsioni, performanca e Konsulentit është e kënaqshme, dhe propozimi teknik dhe kuotimi i çmimit janë të përshtatshme; </w:t>
      </w:r>
    </w:p>
    <w:p w:rsidR="005C0BD2" w:rsidRDefault="005C0BD2" w:rsidP="005C0BD2">
      <w:pPr>
        <w:pStyle w:val="Paragrafi"/>
        <w:rPr>
          <w:spacing w:val="-4"/>
          <w:lang w:val="sq-AL"/>
        </w:rPr>
      </w:pPr>
      <w:r>
        <w:rPr>
          <w:spacing w:val="-4"/>
          <w:lang w:val="sq-AL"/>
        </w:rPr>
        <w:t>c) pas anulimit të ftesës për tender në përputhje me seksionin 2.6, për aq kohë sa procedura e konkurrimit nuk mund të japë rezultate të përshtatshme;</w:t>
      </w:r>
    </w:p>
    <w:p w:rsidR="005C0BD2" w:rsidRDefault="005C0BD2" w:rsidP="005C0BD2">
      <w:pPr>
        <w:pStyle w:val="Paragrafi"/>
        <w:rPr>
          <w:spacing w:val="-4"/>
          <w:lang w:val="sq-AL"/>
        </w:rPr>
      </w:pPr>
      <w:r>
        <w:rPr>
          <w:spacing w:val="-4"/>
          <w:lang w:val="sq-AL"/>
        </w:rPr>
        <w:t xml:space="preserve">d) kur projektet janë veçanërisht urgjente në raste të fatkeqësive natyrore, krizave apo konflikteve; </w:t>
      </w:r>
    </w:p>
    <w:p w:rsidR="005C0BD2" w:rsidRDefault="005C0BD2" w:rsidP="005C0BD2">
      <w:pPr>
        <w:pStyle w:val="Paragrafi"/>
        <w:rPr>
          <w:spacing w:val="-4"/>
          <w:lang w:val="sq-AL"/>
        </w:rPr>
      </w:pPr>
      <w:r>
        <w:rPr>
          <w:spacing w:val="-4"/>
          <w:lang w:val="sq-AL"/>
        </w:rPr>
        <w:t xml:space="preserve">e) nëse mund të konsiderohet vetëm një ofertues për zbatimin e aktiviteteve për arsye konfidencialiteti, ose pasi kërkohen njohuri teknike, sistematike apo me përmbajtje sensitive; </w:t>
      </w:r>
    </w:p>
    <w:p w:rsidR="005C0BD2" w:rsidRDefault="005C0BD2" w:rsidP="005C0BD2">
      <w:pPr>
        <w:pStyle w:val="Paragrafi"/>
        <w:rPr>
          <w:spacing w:val="-4"/>
          <w:lang w:val="sq-AL"/>
        </w:rPr>
      </w:pPr>
      <w:r>
        <w:rPr>
          <w:spacing w:val="-4"/>
          <w:lang w:val="sq-AL"/>
        </w:rPr>
        <w:t>f) për kontrata me vlerë maksimale deri 20,000 euro (pa përfshirë TVSH-në, por duke përfshirë të gjitha elementet e tjera kontraktuese dhe mundësisht opsione),</w:t>
      </w:r>
      <w:bookmarkStart w:id="8" w:name="page21"/>
      <w:bookmarkEnd w:id="8"/>
      <w:r>
        <w:rPr>
          <w:spacing w:val="-4"/>
          <w:lang w:val="sq-AL"/>
        </w:rPr>
        <w:t>me kusht që përshtatshmëria e veçantë apo ekskluzive e Konsulentit që do të kontraktohet është demonstruar në mënyrë të besu</w:t>
      </w:r>
      <w:r>
        <w:rPr>
          <w:spacing w:val="-4"/>
          <w:lang w:val="sq-AL"/>
        </w:rPr>
        <w:t xml:space="preserve">eshme nga Klienti dhe një ftesë </w:t>
      </w:r>
      <w:r>
        <w:rPr>
          <w:spacing w:val="-4"/>
          <w:lang w:val="sq-AL"/>
        </w:rPr>
        <w:t xml:space="preserve">për ofertë nuk do të sillte përfitime ekonomike. </w:t>
      </w:r>
    </w:p>
    <w:p w:rsidR="005C0BD2" w:rsidRDefault="005C0BD2" w:rsidP="005C0BD2">
      <w:pPr>
        <w:pStyle w:val="Paragrafi"/>
        <w:rPr>
          <w:spacing w:val="-4"/>
          <w:lang w:val="sq-AL"/>
        </w:rPr>
      </w:pPr>
      <w:r>
        <w:rPr>
          <w:spacing w:val="-4"/>
          <w:lang w:val="sq-AL"/>
        </w:rPr>
        <w:t>3.08 Në rastet e prokurimit të drejtpërdrejtë, Klienti gjithmonë do të verifikojë përshtatshmërinë e propozimit teknik dhe kuotimit të çmimeve, si dhe çdo përbërës tjetër të ofertës. Rezultati i kësaj procedure verifikimi duhet të dokumentohet me shkrim dhe kërkon miratimin e KfW-së përpara përfundimit të kontratës.</w:t>
      </w:r>
    </w:p>
    <w:p w:rsidR="005C0BD2" w:rsidRDefault="005C0BD2" w:rsidP="005C0BD2">
      <w:pPr>
        <w:pStyle w:val="Paragrafi"/>
        <w:rPr>
          <w:b/>
          <w:spacing w:val="-4"/>
          <w:lang w:val="sq-AL"/>
        </w:rPr>
      </w:pPr>
      <w:r>
        <w:rPr>
          <w:b/>
          <w:spacing w:val="-4"/>
          <w:lang w:val="sq-AL"/>
        </w:rPr>
        <w:t xml:space="preserve">4. </w:t>
      </w:r>
      <w:r>
        <w:rPr>
          <w:b/>
          <w:spacing w:val="-4"/>
          <w:lang w:val="sq-AL"/>
        </w:rPr>
        <w:t>Projekte që përfshijnë ndërmjetësues financiarë dhe projekte të sektorit privat</w:t>
      </w:r>
    </w:p>
    <w:p w:rsidR="005C0BD2" w:rsidRDefault="005C0BD2" w:rsidP="005C0BD2">
      <w:pPr>
        <w:pStyle w:val="Paragrafi"/>
        <w:rPr>
          <w:spacing w:val="-4"/>
          <w:lang w:val="sq-AL"/>
        </w:rPr>
      </w:pPr>
      <w:r>
        <w:rPr>
          <w:spacing w:val="-4"/>
          <w:lang w:val="sq-AL"/>
        </w:rPr>
        <w:t xml:space="preserve">4.1 </w:t>
      </w:r>
      <w:r>
        <w:rPr>
          <w:spacing w:val="-4"/>
          <w:lang w:val="sq-AL"/>
        </w:rPr>
        <w:t>Projekte që përfshijnë ndërmjetësues financiarë</w:t>
      </w:r>
    </w:p>
    <w:p w:rsidR="005C0BD2" w:rsidRDefault="005C0BD2" w:rsidP="005C0BD2">
      <w:pPr>
        <w:pStyle w:val="Paragrafi"/>
        <w:rPr>
          <w:spacing w:val="-4"/>
          <w:lang w:val="sq-AL"/>
        </w:rPr>
      </w:pPr>
      <w:r>
        <w:rPr>
          <w:spacing w:val="-4"/>
          <w:lang w:val="sq-AL"/>
        </w:rPr>
        <w:t xml:space="preserve">4.01 Kur fondet dorëzohen nga ndërmjetës financiarë dhe këto fonde përdoren për të financuar disa projekte individuale, p.sh., në sektorin e infrastrukturës, zakonisht nuk është e mundur të specifikohen paraprakisht detajet e zbatimit të projekteve në fjalë. KfW-ja do të sigurojë që ndërmjetësi financiar të kërkojë nga huamarrësit të aplikojnë procedurat e prokurimit që janë në përputhje me parimet e këtyre udhëzimeve dhe kontratat të lidhen në bazë të parimeve ekonomike, të jenë transparente dhe të justifikuara. Përveç kur </w:t>
      </w:r>
      <w:r>
        <w:rPr>
          <w:spacing w:val="-4"/>
          <w:lang w:val="sq-AL"/>
        </w:rPr>
        <w:lastRenderedPageBreak/>
        <w:t>është rënë dakord ndryshe, ndërmjetësi financiar do të mbikëqyrë dhënien e kontratave dhe më pas do t’i raportojë KfW-së si pjesë të procedurave të zakonshme të raportimit. Dispozitat 4.02 dhe 4.03 zbatohen për huamarrës të sektorit privat, të cilët zbatojnë projekte të mëdha individuale.</w:t>
      </w:r>
    </w:p>
    <w:p w:rsidR="005C0BD2" w:rsidRDefault="005C0BD2" w:rsidP="005C0BD2">
      <w:pPr>
        <w:pStyle w:val="Paragrafi"/>
        <w:rPr>
          <w:spacing w:val="-4"/>
          <w:lang w:val="sq-AL"/>
        </w:rPr>
      </w:pPr>
      <w:r>
        <w:rPr>
          <w:spacing w:val="-4"/>
          <w:lang w:val="sq-AL"/>
        </w:rPr>
        <w:t xml:space="preserve">4.2 </w:t>
      </w:r>
      <w:r>
        <w:rPr>
          <w:spacing w:val="-4"/>
          <w:lang w:val="sq-AL"/>
        </w:rPr>
        <w:t>Projekte të sektorit privat</w:t>
      </w:r>
    </w:p>
    <w:p w:rsidR="005C0BD2" w:rsidRDefault="005C0BD2" w:rsidP="005C0BD2">
      <w:pPr>
        <w:pStyle w:val="Paragrafi"/>
        <w:rPr>
          <w:spacing w:val="-4"/>
          <w:lang w:val="sq-AL"/>
        </w:rPr>
      </w:pPr>
      <w:r>
        <w:rPr>
          <w:spacing w:val="-4"/>
          <w:lang w:val="sq-AL"/>
        </w:rPr>
        <w:t xml:space="preserve">4.02 Projektet e sektorit privat janë projekte të zbatuara nga Klientë që nuk ushtrojnë detyra publike, nuk janë nën kontrollin e shtetit dhe normalisht nuk janë të detyruar të kryejnë një ftesë publike për ofertë. Klientët e sektorit privat zakonisht kanë procedurat e veta të prokurimit. KfW-ja siguron paraprakisht që procedurat e prokurimit të zbatuara nga Klienti përkatës të përdorin fondet në mënyrë efikase dhe dhëniet e kontratave të jenë transparente dhe të justifikueshme. </w:t>
      </w:r>
    </w:p>
    <w:p w:rsidR="005C0BD2" w:rsidRDefault="005C0BD2" w:rsidP="005C0BD2">
      <w:pPr>
        <w:pStyle w:val="Paragrafi"/>
        <w:rPr>
          <w:spacing w:val="-4"/>
          <w:lang w:val="sq-AL"/>
        </w:rPr>
      </w:pPr>
      <w:r>
        <w:rPr>
          <w:spacing w:val="-4"/>
          <w:lang w:val="sq-AL"/>
        </w:rPr>
        <w:t xml:space="preserve">4.03 Për disa projekte të tilla si partneritetet publike–private (PPP), zhvillohet një konkurs në një nivel tjetër përpara prokurimit aktual, p.sh një element i grantit minimal (subvencionet me kosto më të ulët) të përcaktuara në konkurrim apo shpërblime maksimale për ofrimin e shërbimeve të infrastrukturës (p.sh., çmimi i ujit). Prokurimet e bëra më pas dhe që do të financohen nga KfW-ja mund të bëhen nën përgjegjësinë dhe sipas rregullave të Klientit nëse Klienti mund t’i tregojë paraprakisht KfW-së se vendimet mbi dhënien e kontratës bazohen në parime ekonomike, janë transparente dhe të justifikuara dhe nëse këto prokurime janë pjesë e konkurrimit. </w:t>
      </w:r>
    </w:p>
    <w:p w:rsidR="005C0BD2" w:rsidRDefault="005C0BD2" w:rsidP="005C0BD2">
      <w:pPr>
        <w:pStyle w:val="Paragrafi"/>
        <w:rPr>
          <w:spacing w:val="-4"/>
          <w:lang w:val="sq-AL"/>
        </w:rPr>
      </w:pPr>
      <w:r>
        <w:rPr>
          <w:spacing w:val="-4"/>
          <w:lang w:val="sq-AL"/>
        </w:rPr>
        <w:t>4.04 Përfshirja e KfW-së në zbatimin e procedurave përkatëse të prokurimit të përcaktuara në 4.02 dhe 4.03 do të rregullohet në bazë të një projekti të veçantë.</w:t>
      </w:r>
    </w:p>
    <w:p w:rsidR="005C0BD2" w:rsidRDefault="005C0BD2" w:rsidP="005C0BD2">
      <w:pPr>
        <w:pStyle w:val="Hapesira7"/>
        <w:rPr>
          <w:lang w:val="sq-AL"/>
        </w:rPr>
      </w:pPr>
    </w:p>
    <w:p w:rsidR="005C0BD2" w:rsidRDefault="005C0BD2" w:rsidP="005C0BD2">
      <w:pPr>
        <w:pStyle w:val="NeniNr"/>
        <w:rPr>
          <w:b/>
          <w:spacing w:val="-4"/>
          <w:lang w:val="sq-AL"/>
        </w:rPr>
      </w:pPr>
      <w:r>
        <w:rPr>
          <w:b/>
          <w:spacing w:val="-4"/>
          <w:lang w:val="sq-AL"/>
        </w:rPr>
        <w:t>SHTOJCAT</w:t>
      </w:r>
    </w:p>
    <w:p w:rsidR="005C0BD2" w:rsidRDefault="005C0BD2" w:rsidP="005C0BD2">
      <w:pPr>
        <w:pStyle w:val="Hapesira7"/>
        <w:rPr>
          <w:lang w:val="sq-AL"/>
        </w:rPr>
      </w:pPr>
    </w:p>
    <w:p w:rsidR="005C0BD2" w:rsidRDefault="005C0BD2" w:rsidP="005C0BD2">
      <w:pPr>
        <w:pStyle w:val="NeniTitull"/>
        <w:rPr>
          <w:b w:val="0"/>
          <w:spacing w:val="-4"/>
          <w:lang w:val="sq-AL"/>
        </w:rPr>
      </w:pPr>
      <w:r>
        <w:rPr>
          <w:b w:val="0"/>
          <w:spacing w:val="-4"/>
          <w:lang w:val="sq-AL"/>
        </w:rPr>
        <w:t>SHTOJCA 1</w:t>
      </w:r>
    </w:p>
    <w:p w:rsidR="005C0BD2" w:rsidRDefault="005C0BD2" w:rsidP="005C0BD2">
      <w:pPr>
        <w:pStyle w:val="Paragrafi"/>
        <w:jc w:val="center"/>
        <w:rPr>
          <w:spacing w:val="-4"/>
          <w:lang w:val="sq-AL"/>
        </w:rPr>
      </w:pPr>
      <w:r>
        <w:rPr>
          <w:spacing w:val="-4"/>
          <w:lang w:val="sq-AL"/>
        </w:rPr>
        <w:t>FUSHAT E PUNËS PËR SHËRBIME KONSULENCE</w:t>
      </w:r>
    </w:p>
    <w:p w:rsidR="005C0BD2" w:rsidRDefault="005C0BD2" w:rsidP="005C0BD2">
      <w:pPr>
        <w:pStyle w:val="Paragrafi"/>
        <w:rPr>
          <w:spacing w:val="-4"/>
          <w:sz w:val="14"/>
          <w:lang w:val="sq-AL"/>
        </w:rPr>
      </w:pPr>
    </w:p>
    <w:p w:rsidR="005C0BD2" w:rsidRDefault="005C0BD2" w:rsidP="005C0BD2">
      <w:pPr>
        <w:pStyle w:val="Paragrafi"/>
        <w:rPr>
          <w:spacing w:val="-4"/>
          <w:lang w:val="sq-AL"/>
        </w:rPr>
      </w:pPr>
      <w:r>
        <w:rPr>
          <w:spacing w:val="-4"/>
          <w:lang w:val="sq-AL"/>
        </w:rPr>
        <w:t xml:space="preserve">Në Marrëveshjen Financiare, agjencitë e zbatimit të Projektit marrin shërbime mbështetëse dhe këshilluese të Konsulentëve kryesisht në fushat e mëposhtme. Shërbimet këshilluese të cilat do të përdoren në projektin specifik do të përcaktohen nga Klienti dhe KfW-ja rast pas rasti. </w:t>
      </w:r>
    </w:p>
    <w:p w:rsidR="005C0BD2" w:rsidRDefault="005C0BD2" w:rsidP="005C0BD2">
      <w:pPr>
        <w:pStyle w:val="Paragrafi"/>
        <w:rPr>
          <w:spacing w:val="-4"/>
          <w:lang w:val="sq-AL"/>
        </w:rPr>
      </w:pPr>
      <w:r>
        <w:rPr>
          <w:spacing w:val="-4"/>
          <w:lang w:val="sq-AL"/>
        </w:rPr>
        <w:t>a) Përgatitja:</w:t>
      </w:r>
    </w:p>
    <w:p w:rsidR="005C0BD2" w:rsidRDefault="005C0BD2" w:rsidP="005C0BD2">
      <w:pPr>
        <w:pStyle w:val="Paragrafi"/>
        <w:rPr>
          <w:spacing w:val="-4"/>
          <w:lang w:val="sq-AL"/>
        </w:rPr>
      </w:pPr>
      <w:r>
        <w:rPr>
          <w:spacing w:val="-4"/>
          <w:lang w:val="sq-AL"/>
        </w:rPr>
        <w:t xml:space="preserve">- Studimet sektoriale dhe paraprake të zhvilluara përpara marrjes së vendimit kryhen për të vazhduar me përgatitjet e një projekti. Qëllimi i studimeve të tilla është kryerja e një seleksionimi fillestar, me përpjekje të justifikueshme, nga opsionet ekzistuese dhe përcaktimi i fushës për propozime që janë të përshtatshme sipas konsideratave teknike, ekonomike, institucionale, social–ekonomike, social–kulturore dhe ekologjike; </w:t>
      </w:r>
    </w:p>
    <w:p w:rsidR="005C0BD2" w:rsidRDefault="005C0BD2" w:rsidP="005C0BD2">
      <w:pPr>
        <w:pStyle w:val="Paragrafi"/>
        <w:rPr>
          <w:spacing w:val="-4"/>
          <w:lang w:val="sq-AL"/>
        </w:rPr>
      </w:pPr>
      <w:r>
        <w:rPr>
          <w:spacing w:val="-4"/>
          <w:lang w:val="sq-AL"/>
        </w:rPr>
        <w:t xml:space="preserve">- Studimet e fizibilitetit të përgatitura si bazë për vendimmarrjen mbi një projekt që duhet të përgatitet sipas aspekteve teknike, ekonomike, institucionale, social-ekonomike, social-kulturore dhe ekologjike. </w:t>
      </w:r>
    </w:p>
    <w:p w:rsidR="005C0BD2" w:rsidRDefault="005C0BD2" w:rsidP="005C0BD2">
      <w:pPr>
        <w:pStyle w:val="Paragrafi"/>
        <w:rPr>
          <w:spacing w:val="-4"/>
          <w:lang w:val="sq-AL"/>
        </w:rPr>
      </w:pPr>
      <w:r>
        <w:rPr>
          <w:spacing w:val="-4"/>
          <w:lang w:val="sq-AL"/>
        </w:rPr>
        <w:t>b) Zbatimi:</w:t>
      </w:r>
    </w:p>
    <w:p w:rsidR="005C0BD2" w:rsidRDefault="005C0BD2" w:rsidP="005C0BD2">
      <w:pPr>
        <w:pStyle w:val="Paragrafi"/>
        <w:rPr>
          <w:spacing w:val="-4"/>
          <w:lang w:val="sq-AL"/>
        </w:rPr>
      </w:pPr>
      <w:r>
        <w:rPr>
          <w:spacing w:val="-4"/>
          <w:lang w:val="sq-AL"/>
        </w:rPr>
        <w:t xml:space="preserve">Mbështetje për Agjencinë e Zbatimit të Projektit në hartimin e hollësishëm të projektit si bazë për tenderin (duke përfshirë specifikimet teknike dhe draftkontratat për furnizime dhe shërbime), kryerjen e tenderit, vlerësimin e ofertave dhe propozimin e ofertuesit për lidhjen e kontratës, hartimin e kontratës, hartimin përfundimtar, duke përfshirë planet arkitekturore, mbikëqyrjen e zbatimit të projektit dhe monitorimin e zhvillimit të tij. Shërbimet e Konsulentit, gjithashtu, përfshijnë shqyrtimin dhe miratimin e faturave dhe mbështetjen e Agjencisë së Zbatimit të Projektit në koston e parashikuar dhe menaxhimin financiar të projektit, në trajtimin e çështjeve kontraktuese, pranimin e projektit dhe hartimin e raporteve për zhvillimin e projektit. </w:t>
      </w:r>
    </w:p>
    <w:p w:rsidR="005C0BD2" w:rsidRDefault="005C0BD2" w:rsidP="005C0BD2">
      <w:pPr>
        <w:pStyle w:val="Paragrafi"/>
        <w:rPr>
          <w:spacing w:val="-4"/>
          <w:lang w:val="sq-AL"/>
        </w:rPr>
      </w:pPr>
      <w:r>
        <w:rPr>
          <w:spacing w:val="-4"/>
          <w:lang w:val="sq-AL"/>
        </w:rPr>
        <w:t>c) Operimi</w:t>
      </w:r>
    </w:p>
    <w:p w:rsidR="005C0BD2" w:rsidRDefault="005C0BD2" w:rsidP="005C0BD2">
      <w:pPr>
        <w:pStyle w:val="Paragrafi"/>
        <w:rPr>
          <w:spacing w:val="-4"/>
          <w:lang w:val="sq-AL"/>
        </w:rPr>
      </w:pPr>
      <w:r>
        <w:rPr>
          <w:spacing w:val="-4"/>
          <w:lang w:val="sq-AL"/>
        </w:rPr>
        <w:t xml:space="preserve">Mbështetje për Agjencinë e Zbatimit të Projektit në zhvillimin e koncepteve të operimit dhe mirëmbajtjes, në këshillim dhe trajnim të personelit të kualifikuar për të drejtuar dhe mirëmbajtur objektet e ndërtuara në kuadër të projektit dhe për marrjen e masave shoqëruese (si p.sh., fushata këshilluese për higjienën lidhur me projektet e furnizimit me ujë të pijshëm). </w:t>
      </w:r>
    </w:p>
    <w:p w:rsidR="005C0BD2" w:rsidRDefault="005C0BD2" w:rsidP="005C0BD2">
      <w:pPr>
        <w:pStyle w:val="Paragrafi"/>
        <w:rPr>
          <w:spacing w:val="-4"/>
          <w:lang w:val="sq-AL"/>
        </w:rPr>
      </w:pPr>
      <w:r>
        <w:rPr>
          <w:spacing w:val="-4"/>
          <w:lang w:val="sq-AL"/>
        </w:rPr>
        <w:t>d) Masa të tjera mbështetëse dhe këshilluese</w:t>
      </w:r>
    </w:p>
    <w:p w:rsidR="005C0BD2" w:rsidRDefault="005C0BD2" w:rsidP="005C0BD2">
      <w:pPr>
        <w:pStyle w:val="Paragrafi"/>
        <w:rPr>
          <w:spacing w:val="-4"/>
          <w:lang w:val="sq-AL"/>
        </w:rPr>
      </w:pPr>
      <w:r>
        <w:rPr>
          <w:spacing w:val="-4"/>
          <w:lang w:val="sq-AL"/>
        </w:rPr>
        <w:t xml:space="preserve">Mbështetje për Agjencinë e Zbatimit të Projektit me këshillim mbi politikat e sektorit (si p.sh., reforma tatimore), reformat institucionale, mbi përmirësimin e strukturave organizative dhe drejtuese dhe/ose kryerjen e kontrollove mjedisore. </w:t>
      </w:r>
    </w:p>
    <w:p w:rsidR="005C0BD2" w:rsidRDefault="005C0BD2" w:rsidP="005C0BD2">
      <w:pPr>
        <w:pStyle w:val="Hapesira7"/>
        <w:rPr>
          <w:sz w:val="22"/>
          <w:lang w:val="sq-AL"/>
        </w:rPr>
      </w:pPr>
      <w:bookmarkStart w:id="9" w:name="page24"/>
      <w:bookmarkEnd w:id="9"/>
    </w:p>
    <w:p w:rsidR="005C0BD2" w:rsidRDefault="005C0BD2" w:rsidP="005C0BD2">
      <w:pPr>
        <w:pStyle w:val="NeniTitull"/>
        <w:rPr>
          <w:b w:val="0"/>
          <w:spacing w:val="-4"/>
          <w:lang w:val="sq-AL"/>
        </w:rPr>
      </w:pPr>
      <w:r>
        <w:rPr>
          <w:b w:val="0"/>
          <w:spacing w:val="-4"/>
          <w:lang w:val="sq-AL"/>
        </w:rPr>
        <w:t>SHTOJCA 2</w:t>
      </w:r>
    </w:p>
    <w:p w:rsidR="005C0BD2" w:rsidRDefault="005C0BD2" w:rsidP="005C0BD2">
      <w:pPr>
        <w:pStyle w:val="Paragrafi"/>
        <w:jc w:val="center"/>
        <w:rPr>
          <w:spacing w:val="-4"/>
          <w:lang w:val="sq-AL"/>
        </w:rPr>
      </w:pPr>
      <w:r>
        <w:rPr>
          <w:spacing w:val="-4"/>
          <w:lang w:val="sq-AL"/>
        </w:rPr>
        <w:t>TË DREJTAT E KFW-SË PËR INFORMACION DHE MIRATIM</w:t>
      </w:r>
    </w:p>
    <w:p w:rsidR="005C0BD2" w:rsidRDefault="005C0BD2" w:rsidP="005C0BD2">
      <w:pPr>
        <w:pStyle w:val="Paragrafi"/>
        <w:jc w:val="center"/>
        <w:rPr>
          <w:spacing w:val="-4"/>
          <w:sz w:val="14"/>
          <w:lang w:val="sq-AL"/>
        </w:rPr>
      </w:pPr>
    </w:p>
    <w:p w:rsidR="005C0BD2" w:rsidRDefault="005C0BD2" w:rsidP="005C0BD2">
      <w:pPr>
        <w:pStyle w:val="Paragrafi"/>
        <w:rPr>
          <w:spacing w:val="-4"/>
          <w:lang w:val="sq-AL"/>
        </w:rPr>
      </w:pPr>
      <w:r>
        <w:rPr>
          <w:spacing w:val="-4"/>
          <w:lang w:val="sq-AL"/>
        </w:rPr>
        <w:t>1. Planifikimi i procedurës kontraktuese</w:t>
      </w:r>
    </w:p>
    <w:p w:rsidR="005C0BD2" w:rsidRDefault="005C0BD2" w:rsidP="005C0BD2">
      <w:pPr>
        <w:pStyle w:val="Paragrafi"/>
        <w:rPr>
          <w:spacing w:val="-4"/>
          <w:lang w:val="sq-AL"/>
        </w:rPr>
      </w:pPr>
      <w:r>
        <w:rPr>
          <w:spacing w:val="-4"/>
          <w:lang w:val="sq-AL"/>
        </w:rPr>
        <w:t xml:space="preserve">Klienti do t’i paraqesë për miratim KfW-së dokumentet e mëposhtëm në kohën e duhur, përpara fillimit </w:t>
      </w:r>
      <w:r>
        <w:rPr>
          <w:spacing w:val="-4"/>
          <w:lang w:val="sq-AL"/>
        </w:rPr>
        <w:lastRenderedPageBreak/>
        <w:t>të procedurës kontraktuese për shërbimet e konsulencës:</w:t>
      </w:r>
    </w:p>
    <w:p w:rsidR="005C0BD2" w:rsidRDefault="005C0BD2" w:rsidP="005C0BD2">
      <w:pPr>
        <w:pStyle w:val="Paragrafi"/>
        <w:rPr>
          <w:spacing w:val="-4"/>
          <w:lang w:val="sq-AL"/>
        </w:rPr>
      </w:pPr>
      <w:r>
        <w:rPr>
          <w:spacing w:val="-4"/>
          <w:lang w:val="sq-AL"/>
        </w:rPr>
        <w:t>- përshkrimin e karakteristikave të veçanta vendore dhe deklaratën e çdo rregulloreje vendore të zbatueshme për procedurat kontraktuese;</w:t>
      </w:r>
    </w:p>
    <w:p w:rsidR="005C0BD2" w:rsidRDefault="005C0BD2" w:rsidP="005C0BD2">
      <w:pPr>
        <w:pStyle w:val="Paragrafi"/>
        <w:rPr>
          <w:spacing w:val="-4"/>
          <w:lang w:val="sq-AL"/>
        </w:rPr>
      </w:pPr>
      <w:r>
        <w:rPr>
          <w:spacing w:val="-4"/>
          <w:lang w:val="sq-AL"/>
        </w:rPr>
        <w:t>- draftlistën e shërbimeve të kërkuara (termat e referencës);</w:t>
      </w:r>
    </w:p>
    <w:p w:rsidR="005C0BD2" w:rsidRDefault="005C0BD2" w:rsidP="005C0BD2">
      <w:pPr>
        <w:pStyle w:val="Paragrafi"/>
        <w:rPr>
          <w:spacing w:val="-4"/>
          <w:lang w:val="sq-AL"/>
        </w:rPr>
      </w:pPr>
      <w:r>
        <w:rPr>
          <w:spacing w:val="-4"/>
          <w:lang w:val="sq-AL"/>
        </w:rPr>
        <w:t xml:space="preserve">- afatet kohore për procedurën kontraktuese; </w:t>
      </w:r>
    </w:p>
    <w:p w:rsidR="005C0BD2" w:rsidRDefault="005C0BD2" w:rsidP="005C0BD2">
      <w:pPr>
        <w:pStyle w:val="Paragrafi"/>
        <w:rPr>
          <w:spacing w:val="-4"/>
          <w:lang w:val="sq-AL"/>
        </w:rPr>
      </w:pPr>
      <w:r>
        <w:rPr>
          <w:spacing w:val="-4"/>
          <w:lang w:val="sq-AL"/>
        </w:rPr>
        <w:t>- vlerësimi i kostos për shërbimet e konsulencës;</w:t>
      </w:r>
    </w:p>
    <w:p w:rsidR="005C0BD2" w:rsidRDefault="005C0BD2" w:rsidP="005C0BD2">
      <w:pPr>
        <w:pStyle w:val="Paragrafi"/>
        <w:rPr>
          <w:spacing w:val="-4"/>
          <w:lang w:val="sq-AL"/>
        </w:rPr>
      </w:pPr>
      <w:r>
        <w:rPr>
          <w:spacing w:val="-4"/>
          <w:lang w:val="sq-AL"/>
        </w:rPr>
        <w:t xml:space="preserve">- kalendari i parashikuar për kryerjen e shërbimeve të konsulencës; </w:t>
      </w:r>
    </w:p>
    <w:p w:rsidR="005C0BD2" w:rsidRDefault="005C0BD2" w:rsidP="005C0BD2">
      <w:pPr>
        <w:pStyle w:val="Paragrafi"/>
        <w:rPr>
          <w:spacing w:val="-4"/>
          <w:lang w:val="sq-AL"/>
        </w:rPr>
      </w:pPr>
      <w:r>
        <w:rPr>
          <w:spacing w:val="-4"/>
          <w:lang w:val="sq-AL"/>
        </w:rPr>
        <w:t>- draftkontrata e konsulencës, ndër të tjera, përfshin;</w:t>
      </w:r>
    </w:p>
    <w:p w:rsidR="005C0BD2" w:rsidRDefault="005C0BD2" w:rsidP="005C0BD2">
      <w:pPr>
        <w:pStyle w:val="Paragrafi"/>
        <w:rPr>
          <w:spacing w:val="-4"/>
          <w:lang w:val="sq-AL"/>
        </w:rPr>
      </w:pPr>
      <w:r>
        <w:rPr>
          <w:spacing w:val="-4"/>
          <w:lang w:val="sq-AL"/>
        </w:rPr>
        <w:t>- specifikat vendore dhe ligjin detyrues në lidhje me zbatimin dhe kryerjen e kontratave të konsulencës</w:t>
      </w:r>
      <w:r>
        <w:rPr>
          <w:rStyle w:val="FootnoteReference"/>
          <w:spacing w:val="-4"/>
          <w:lang w:val="sq-AL"/>
        </w:rPr>
        <w:footnoteReference w:id="11"/>
      </w:r>
      <w:r>
        <w:rPr>
          <w:spacing w:val="-4"/>
          <w:lang w:val="sq-AL"/>
        </w:rPr>
        <w:t>;</w:t>
      </w:r>
    </w:p>
    <w:p w:rsidR="005C0BD2" w:rsidRDefault="005C0BD2" w:rsidP="005C0BD2">
      <w:pPr>
        <w:pStyle w:val="Paragrafi"/>
        <w:rPr>
          <w:spacing w:val="-4"/>
          <w:lang w:val="sq-AL"/>
        </w:rPr>
      </w:pPr>
      <w:r>
        <w:rPr>
          <w:spacing w:val="-4"/>
          <w:lang w:val="sq-AL"/>
        </w:rPr>
        <w:t xml:space="preserve">- shërbimet e ofruara falas nga Klienti (p.sh ofrimi i ambienteve të zyrës, automjeteve, pajisjeve dhe stafit); </w:t>
      </w:r>
    </w:p>
    <w:p w:rsidR="005C0BD2" w:rsidRDefault="005C0BD2" w:rsidP="005C0BD2">
      <w:pPr>
        <w:pStyle w:val="Paragrafi"/>
        <w:rPr>
          <w:spacing w:val="-4"/>
          <w:lang w:val="sq-AL"/>
        </w:rPr>
      </w:pPr>
      <w:r>
        <w:rPr>
          <w:spacing w:val="-4"/>
          <w:lang w:val="sq-AL"/>
        </w:rPr>
        <w:t xml:space="preserve">- mundësinë dhe kushtet për përjashtimin e shërbimeve të konsulencës nga doganat dhe akcizat, taksat dhe tatimet në vendin e Klientit; </w:t>
      </w:r>
    </w:p>
    <w:p w:rsidR="005C0BD2" w:rsidRDefault="005C0BD2" w:rsidP="005C0BD2">
      <w:pPr>
        <w:pStyle w:val="Paragrafi"/>
        <w:rPr>
          <w:spacing w:val="-4"/>
          <w:lang w:val="sq-AL"/>
        </w:rPr>
      </w:pPr>
      <w:r>
        <w:rPr>
          <w:spacing w:val="-4"/>
          <w:lang w:val="sq-AL"/>
        </w:rPr>
        <w:t xml:space="preserve">- llojin e kontratës (pagesë e vetme apo bazuar në punën e kryer). </w:t>
      </w:r>
    </w:p>
    <w:p w:rsidR="005C0BD2" w:rsidRDefault="005C0BD2" w:rsidP="005C0BD2">
      <w:pPr>
        <w:pStyle w:val="Paragrafi"/>
        <w:rPr>
          <w:spacing w:val="-4"/>
          <w:lang w:val="sq-AL"/>
        </w:rPr>
      </w:pPr>
      <w:r>
        <w:rPr>
          <w:spacing w:val="-4"/>
          <w:lang w:val="sq-AL"/>
        </w:rPr>
        <w:t>Klienti do të informojë menjëherë KfW-në për vonesa apo ndryshime gjatë procedurës kontraktuese që mund të rrezikojnë përfundimin me sukses të projektit, në përputhje me afatet kohore dhe do të bien dakord për hapat që duhet të merren për rregullimin e kësaj situate.</w:t>
      </w:r>
    </w:p>
    <w:p w:rsidR="005C0BD2" w:rsidRDefault="005C0BD2" w:rsidP="005C0BD2">
      <w:pPr>
        <w:pStyle w:val="Paragrafi"/>
        <w:rPr>
          <w:spacing w:val="-4"/>
          <w:lang w:val="sq-AL"/>
        </w:rPr>
      </w:pPr>
      <w:r>
        <w:rPr>
          <w:spacing w:val="-4"/>
          <w:lang w:val="sq-AL"/>
        </w:rPr>
        <w:t>2. Zbatimi i procedurës kontraktuese</w:t>
      </w:r>
    </w:p>
    <w:p w:rsidR="005C0BD2" w:rsidRDefault="005C0BD2" w:rsidP="005C0BD2">
      <w:pPr>
        <w:pStyle w:val="Paragrafi"/>
        <w:rPr>
          <w:spacing w:val="-4"/>
          <w:lang w:val="sq-AL"/>
        </w:rPr>
      </w:pPr>
      <w:r>
        <w:rPr>
          <w:spacing w:val="-4"/>
          <w:lang w:val="sq-AL"/>
        </w:rPr>
        <w:t xml:space="preserve">Për t’i mundësuar KfW-së ushtrimin e të drejtës për miratim, Klienti do t’i dërgojë KfW-së në kohën e duhur dokumentet e mëposhtëm për shqyrtim dhe komente. Miratimi nga KfW-ja kërkohet përpara fillimit të çdo aktiviteti të mëposhtëm: </w:t>
      </w:r>
    </w:p>
    <w:p w:rsidR="005C0BD2" w:rsidRDefault="005C0BD2" w:rsidP="005C0BD2">
      <w:pPr>
        <w:pStyle w:val="Paragrafi"/>
        <w:rPr>
          <w:spacing w:val="-4"/>
          <w:lang w:val="sq-AL"/>
        </w:rPr>
      </w:pPr>
      <w:r>
        <w:rPr>
          <w:spacing w:val="-4"/>
          <w:lang w:val="sq-AL"/>
        </w:rPr>
        <w:t xml:space="preserve">- përpara publikimit: drafti i njoftimit për parakualifikim (komponentët kryesorë, shihni shtojcën 3) dhe çdo informacion shtesë për konsulentët e interesuar; </w:t>
      </w:r>
    </w:p>
    <w:p w:rsidR="005C0BD2" w:rsidRDefault="005C0BD2" w:rsidP="005C0BD2">
      <w:pPr>
        <w:pStyle w:val="Paragrafi"/>
        <w:rPr>
          <w:spacing w:val="-4"/>
          <w:lang w:val="sq-AL"/>
        </w:rPr>
      </w:pPr>
      <w:r>
        <w:rPr>
          <w:spacing w:val="-4"/>
          <w:lang w:val="sq-AL"/>
        </w:rPr>
        <w:t xml:space="preserve">- përpara njoftimit të ofertuesve: Raporti i Vlerësimit mbi parakualifikimin dhe draftlista e ofertuesve të parakualifikuar, së bashku me të gjithë dokumentet përkatës sipas kërkesës së KfW-së; </w:t>
      </w:r>
    </w:p>
    <w:p w:rsidR="005C0BD2" w:rsidRDefault="005C0BD2" w:rsidP="005C0BD2">
      <w:pPr>
        <w:pStyle w:val="Paragrafi"/>
        <w:rPr>
          <w:spacing w:val="-4"/>
          <w:lang w:val="sq-AL"/>
        </w:rPr>
      </w:pPr>
      <w:r>
        <w:rPr>
          <w:spacing w:val="-4"/>
          <w:lang w:val="sq-AL"/>
        </w:rPr>
        <w:t xml:space="preserve">- përpara dërgimit tek ofertuesit e parakualifikuar të miratuar paraprakisht nga KfW-ja: projekt dokumentet për ofertë (ftesa për dorëzimin e ofertës, termat e referencës, kushtet e tenderit dhe kushtet e kontratës për ofertuesin, për detaje shihni shtojcën 6); </w:t>
      </w:r>
    </w:p>
    <w:p w:rsidR="005C0BD2" w:rsidRDefault="005C0BD2" w:rsidP="005C0BD2">
      <w:pPr>
        <w:pStyle w:val="Paragrafi"/>
        <w:rPr>
          <w:spacing w:val="-4"/>
          <w:lang w:val="sq-AL"/>
        </w:rPr>
      </w:pPr>
      <w:r>
        <w:rPr>
          <w:spacing w:val="-4"/>
          <w:lang w:val="sq-AL"/>
        </w:rPr>
        <w:t xml:space="preserve">- përpara hapjes së kuotimeve të çmimeve: Raportin e Vlerësimit mbi shërbimet e ofruara që duhet të parashikojë arsyet për çdo përjashtim, dhe të gjitha dokumentet përkatës sipas kërkesës së KfW-së; </w:t>
      </w:r>
    </w:p>
    <w:p w:rsidR="005C0BD2" w:rsidRDefault="005C0BD2" w:rsidP="005C0BD2">
      <w:pPr>
        <w:pStyle w:val="Paragrafi"/>
        <w:rPr>
          <w:spacing w:val="-4"/>
          <w:lang w:val="sq-AL"/>
        </w:rPr>
      </w:pPr>
      <w:r>
        <w:rPr>
          <w:spacing w:val="-4"/>
          <w:lang w:val="sq-AL"/>
        </w:rPr>
        <w:t xml:space="preserve">- përpara një anulimi të mundshëm të tenderit: propozimi nga Klienti për anulimin e tenderit duhet të jetë i arsyetuar. Duhet të zbatohen kriteret në udhëzimet për anulim dhe duhet të dërgohet së bashku me të gjitha dokumentet përkatëse të kërkuara nga KfW-ja; </w:t>
      </w:r>
    </w:p>
    <w:p w:rsidR="005C0BD2" w:rsidRDefault="005C0BD2" w:rsidP="005C0BD2">
      <w:pPr>
        <w:pStyle w:val="Paragrafi"/>
        <w:rPr>
          <w:spacing w:val="-4"/>
          <w:lang w:val="sq-AL"/>
        </w:rPr>
      </w:pPr>
      <w:bookmarkStart w:id="10" w:name="page25"/>
      <w:bookmarkEnd w:id="10"/>
      <w:r>
        <w:rPr>
          <w:spacing w:val="-4"/>
          <w:lang w:val="sq-AL"/>
        </w:rPr>
        <w:t>- përpara fillimit të negociatave për kontratën me ofertuesin, i cili doli i pari: propozimi për dhënien e kontratës së bashku me Raportin e Vlerësimit mbi kuotimet e çmimit dhe mbi zgjedhjen përfundimtare, dhe të gjithë dokumentet përkatëse të kërkuara nga KfW-ja;</w:t>
      </w:r>
    </w:p>
    <w:p w:rsidR="005C0BD2" w:rsidRDefault="005C0BD2" w:rsidP="005C0BD2">
      <w:pPr>
        <w:pStyle w:val="Paragrafi"/>
        <w:rPr>
          <w:spacing w:val="-4"/>
          <w:lang w:val="sq-AL"/>
        </w:rPr>
      </w:pPr>
      <w:r>
        <w:rPr>
          <w:spacing w:val="-4"/>
          <w:lang w:val="sq-AL"/>
        </w:rPr>
        <w:t>- përpara fillimit të negociatave për kontratën me ofertuesin, i cili doli i dyti: propozimi për të nisur negociata me ofertuesin, që duhet të parashikojë arsyet e dështimit të negociatave me ofertuesin e parë;</w:t>
      </w:r>
    </w:p>
    <w:p w:rsidR="005C0BD2" w:rsidRDefault="005C0BD2" w:rsidP="005C0BD2">
      <w:pPr>
        <w:pStyle w:val="Paragrafi"/>
        <w:rPr>
          <w:spacing w:val="-4"/>
          <w:lang w:val="sq-AL"/>
        </w:rPr>
      </w:pPr>
      <w:r>
        <w:rPr>
          <w:spacing w:val="-4"/>
          <w:lang w:val="sq-AL"/>
        </w:rPr>
        <w:t xml:space="preserve">- përpara vendosjes mbi një propozim nga Konsulenti i përzgjedhur për të zëvendësuar stafin: propozimi i personelit nga Konsulenti duke përfshirë CV-të e plota, rivlerësimin e ofertës së tij dhe deklaratën e pozicionit të Klientit për këtë propozim, të arsyetuar; </w:t>
      </w:r>
    </w:p>
    <w:p w:rsidR="005C0BD2" w:rsidRDefault="005C0BD2" w:rsidP="005C0BD2">
      <w:pPr>
        <w:pStyle w:val="Paragrafi"/>
        <w:rPr>
          <w:spacing w:val="-4"/>
          <w:lang w:val="sq-AL"/>
        </w:rPr>
      </w:pPr>
      <w:r>
        <w:rPr>
          <w:spacing w:val="-4"/>
          <w:lang w:val="sq-AL"/>
        </w:rPr>
        <w:t xml:space="preserve">- përpara nënshkrimit të kontratës së konsulencës: rezultati i negociatave mbi kontratën dhe draftkontratën, duke iu referuar çdo zëvendësimi të personelit dhe çdo ndryshimi të shërbimeve apo draftkontratës; </w:t>
      </w:r>
    </w:p>
    <w:p w:rsidR="005C0BD2" w:rsidRDefault="005C0BD2" w:rsidP="005C0BD2">
      <w:pPr>
        <w:pStyle w:val="Paragrafi"/>
        <w:rPr>
          <w:spacing w:val="-4"/>
          <w:lang w:val="sq-AL"/>
        </w:rPr>
      </w:pPr>
      <w:r>
        <w:rPr>
          <w:spacing w:val="-4"/>
          <w:lang w:val="sq-AL"/>
        </w:rPr>
        <w:t xml:space="preserve">- përpara pagesës së parë: një kopje e nënshkruar e kontratës së konsulencës. </w:t>
      </w:r>
    </w:p>
    <w:p w:rsidR="005C0BD2" w:rsidRDefault="005C0BD2" w:rsidP="005C0BD2">
      <w:pPr>
        <w:pStyle w:val="Paragrafi"/>
        <w:rPr>
          <w:spacing w:val="-4"/>
          <w:lang w:val="sq-AL"/>
        </w:rPr>
      </w:pPr>
      <w:r>
        <w:rPr>
          <w:spacing w:val="-4"/>
          <w:lang w:val="sq-AL"/>
        </w:rPr>
        <w:t>3. Mbikëqyrja e shërbimeve të konsulencës dhe ndryshimet në kontratën e konsulencës</w:t>
      </w:r>
    </w:p>
    <w:p w:rsidR="005C0BD2" w:rsidRDefault="005C0BD2" w:rsidP="005C0BD2">
      <w:pPr>
        <w:pStyle w:val="Paragrafi"/>
        <w:rPr>
          <w:spacing w:val="-4"/>
          <w:lang w:val="sq-AL"/>
        </w:rPr>
      </w:pPr>
      <w:r>
        <w:rPr>
          <w:spacing w:val="-4"/>
          <w:lang w:val="sq-AL"/>
        </w:rPr>
        <w:t xml:space="preserve">Klienti është përgjegjës për mbikëqyrjen e përmbushjes së kontratës dhe pranimin e shërbimeve të konsulencës. Klienti duhet të sigurojë që Konsulenti: </w:t>
      </w:r>
    </w:p>
    <w:p w:rsidR="005C0BD2" w:rsidRDefault="005C0BD2" w:rsidP="005C0BD2">
      <w:pPr>
        <w:pStyle w:val="Paragrafi"/>
        <w:rPr>
          <w:spacing w:val="-4"/>
          <w:lang w:val="sq-AL"/>
        </w:rPr>
      </w:pPr>
      <w:r>
        <w:rPr>
          <w:spacing w:val="-4"/>
          <w:lang w:val="sq-AL"/>
        </w:rPr>
        <w:t xml:space="preserve">- t’i dërgojë KfW-së në kohë, progres raportet dhe raportet e tjera mbi punën e kryer, në numrin e rënë dakord; </w:t>
      </w:r>
    </w:p>
    <w:p w:rsidR="005C0BD2" w:rsidRDefault="005C0BD2" w:rsidP="005C0BD2">
      <w:pPr>
        <w:pStyle w:val="Paragrafi"/>
        <w:rPr>
          <w:spacing w:val="-4"/>
          <w:lang w:val="sq-AL"/>
        </w:rPr>
      </w:pPr>
      <w:r>
        <w:rPr>
          <w:spacing w:val="-4"/>
          <w:lang w:val="sq-AL"/>
        </w:rPr>
        <w:t xml:space="preserve">- të informojë KfW-në pa vonesë për çdo rrethanë të jashtëzakonshme që ndodh gjatë kryerjes së shërbimeve, dhe mbi të gjitha çështjet të cilat kërkojnë miratimin e KfW-së; </w:t>
      </w:r>
    </w:p>
    <w:p w:rsidR="005C0BD2" w:rsidRDefault="005C0BD2" w:rsidP="005C0BD2">
      <w:pPr>
        <w:pStyle w:val="Paragrafi"/>
        <w:rPr>
          <w:spacing w:val="-4"/>
          <w:lang w:val="sq-AL"/>
        </w:rPr>
      </w:pPr>
      <w:r>
        <w:rPr>
          <w:spacing w:val="-4"/>
          <w:lang w:val="sq-AL"/>
        </w:rPr>
        <w:t>- lejojë KfW-në dhe përfaqësuesit e saj të inspektojnë librat të cilat mbahen nga Konsulenti dhe dokumentet mbi shërbimet e kryera dhe të bëjë kopje të tyre;</w:t>
      </w:r>
    </w:p>
    <w:p w:rsidR="005C0BD2" w:rsidRDefault="005C0BD2" w:rsidP="005C0BD2">
      <w:pPr>
        <w:pStyle w:val="Paragrafi"/>
        <w:rPr>
          <w:lang w:val="sq-AL"/>
        </w:rPr>
      </w:pPr>
      <w:r>
        <w:rPr>
          <w:spacing w:val="-4"/>
          <w:lang w:val="sq-AL"/>
        </w:rPr>
        <w:t xml:space="preserve">- </w:t>
      </w:r>
      <w:r>
        <w:rPr>
          <w:lang w:val="sq-AL"/>
        </w:rPr>
        <w:t xml:space="preserve">në rast të mbikëqyrjes së punës në ndërtim, të lejojë KfW-në dhe përfaqësuesit e saj të kontrollojnë garancitë e dorëzuara nga sipërmarrësit, për të monitoruar periudhën e vlefshmërisë së tyre dhe, kur është e përshtatshme, të kërkojnë zgjatjen e tyre në kohën e duhur. </w:t>
      </w:r>
    </w:p>
    <w:p w:rsidR="005C0BD2" w:rsidRDefault="005C0BD2" w:rsidP="005C0BD2">
      <w:pPr>
        <w:pStyle w:val="Paragrafi"/>
        <w:rPr>
          <w:spacing w:val="-4"/>
          <w:lang w:val="sq-AL"/>
        </w:rPr>
      </w:pPr>
      <w:r>
        <w:rPr>
          <w:lang w:val="sq-AL"/>
        </w:rPr>
        <w:lastRenderedPageBreak/>
        <w:t>Çdo zgjatje afati, shtesë apo ndryshim i kontratës apo përshkrimit të shërbimeve që përmban, çdo anulim i një dispozite të kontratës dhe çdo zëvendësim i personelit kyç kërkon miratimin paraprak të KfW-së. Për këtë qëllim, Klienti informon KfW-në në kohë të arsyeshme për ndryshimet e synuara, duke paraqitur arsyet</w:t>
      </w:r>
      <w:r>
        <w:rPr>
          <w:spacing w:val="-4"/>
          <w:lang w:val="sq-AL"/>
        </w:rPr>
        <w:t xml:space="preserve"> dhe paraqet një kopje të ndryshimit të kontratës.</w:t>
      </w:r>
    </w:p>
    <w:p w:rsidR="005C0BD2" w:rsidRDefault="005C0BD2" w:rsidP="005C0BD2">
      <w:pPr>
        <w:pStyle w:val="Hapesira7"/>
        <w:rPr>
          <w:lang w:val="sq-AL"/>
        </w:rPr>
      </w:pPr>
    </w:p>
    <w:p w:rsidR="005C0BD2" w:rsidRDefault="005C0BD2" w:rsidP="005C0BD2">
      <w:pPr>
        <w:pStyle w:val="NeniTitull"/>
        <w:rPr>
          <w:b w:val="0"/>
          <w:spacing w:val="-4"/>
          <w:lang w:val="sq-AL"/>
        </w:rPr>
      </w:pPr>
      <w:bookmarkStart w:id="11" w:name="page26"/>
      <w:bookmarkEnd w:id="11"/>
      <w:r>
        <w:rPr>
          <w:b w:val="0"/>
          <w:spacing w:val="-4"/>
          <w:lang w:val="sq-AL"/>
        </w:rPr>
        <w:t>SHTOJCA 3</w:t>
      </w:r>
    </w:p>
    <w:p w:rsidR="005C0BD2" w:rsidRDefault="005C0BD2" w:rsidP="005C0BD2">
      <w:pPr>
        <w:pStyle w:val="Paragrafi"/>
        <w:jc w:val="center"/>
        <w:rPr>
          <w:spacing w:val="-4"/>
          <w:lang w:val="sq-AL"/>
        </w:rPr>
      </w:pPr>
      <w:r>
        <w:rPr>
          <w:spacing w:val="-4"/>
          <w:lang w:val="sq-AL"/>
        </w:rPr>
        <w:t>ELEMENTE THELBËSORE NË NJOFTIMIN PËR PARAKUALIFIKIM</w:t>
      </w:r>
    </w:p>
    <w:p w:rsidR="005C0BD2" w:rsidRDefault="005C0BD2" w:rsidP="005C0BD2">
      <w:pPr>
        <w:pStyle w:val="Paragrafi"/>
        <w:jc w:val="center"/>
        <w:rPr>
          <w:spacing w:val="-4"/>
          <w:lang w:val="sq-AL"/>
        </w:rPr>
      </w:pPr>
    </w:p>
    <w:p w:rsidR="005C0BD2" w:rsidRDefault="005C0BD2" w:rsidP="005C0BD2">
      <w:pPr>
        <w:pStyle w:val="Paragrafi"/>
        <w:rPr>
          <w:spacing w:val="-4"/>
          <w:lang w:val="sq-AL"/>
        </w:rPr>
      </w:pPr>
      <w:r>
        <w:rPr>
          <w:spacing w:val="-4"/>
          <w:lang w:val="sq-AL"/>
        </w:rPr>
        <w:t xml:space="preserve">Njoftimi i parakualifikimit hartohet për të informuar firmat e konsulencës së interesuara për projektin e parashikuar të FC-së dhe shërbimet e kërkuara të konsulencës. Publikimi duhet të jetë i shkurtër dhe informues. Informata të mëtejshme do të vihen në dispozicion. Këto dokumente duhet të tregojnë gjithashtu koefiçentin që do t’i bashkëngjitet nënkritereve të posaçme. Parakualifikimi duhet të shpallet në mediat vendore dhe ndërkombëtare, por të paktën ndërmjet agjencisë së tregtisë së jashtme dhe investimeve të brendshme të Republikës Federale të Gjermanisë, Tregtia dhe Investimi Gjermani (GTAI). </w:t>
      </w:r>
    </w:p>
    <w:p w:rsidR="005C0BD2" w:rsidRDefault="005C0BD2" w:rsidP="005C0BD2">
      <w:pPr>
        <w:pStyle w:val="Hapesira7"/>
        <w:rPr>
          <w:lang w:val="sq-AL"/>
        </w:rPr>
      </w:pPr>
    </w:p>
    <w:p w:rsidR="005C0BD2" w:rsidRDefault="005C0BD2" w:rsidP="005C0BD2">
      <w:pPr>
        <w:pStyle w:val="Paragrafi"/>
        <w:rPr>
          <w:spacing w:val="-4"/>
          <w:sz w:val="20"/>
          <w:szCs w:val="20"/>
          <w:lang w:val="sq-AL"/>
        </w:rPr>
      </w:pPr>
      <w:r>
        <w:rPr>
          <w:spacing w:val="-4"/>
          <w:sz w:val="20"/>
          <w:szCs w:val="20"/>
          <w:lang w:val="sq-AL"/>
        </w:rPr>
        <w:t>Adresa:</w:t>
      </w:r>
      <w:r>
        <w:rPr>
          <w:spacing w:val="-4"/>
          <w:sz w:val="20"/>
          <w:szCs w:val="20"/>
          <w:lang w:val="sq-AL"/>
        </w:rPr>
        <w:tab/>
        <w:t xml:space="preserve"> Tregtia dhe Investimi Gjerman, Villemombler Strasse 76, 53123 Bon, Gjermani</w:t>
      </w:r>
    </w:p>
    <w:p w:rsidR="005C0BD2" w:rsidRDefault="005C0BD2" w:rsidP="005C0BD2">
      <w:pPr>
        <w:pStyle w:val="Paragrafi"/>
        <w:rPr>
          <w:spacing w:val="-4"/>
          <w:sz w:val="20"/>
          <w:szCs w:val="20"/>
          <w:lang w:val="sq-AL"/>
        </w:rPr>
      </w:pPr>
      <w:r>
        <w:rPr>
          <w:spacing w:val="-4"/>
          <w:sz w:val="20"/>
          <w:szCs w:val="20"/>
          <w:lang w:val="sq-AL"/>
        </w:rPr>
        <w:t>Telefon</w:t>
      </w:r>
      <w:r>
        <w:rPr>
          <w:spacing w:val="-4"/>
          <w:sz w:val="20"/>
          <w:szCs w:val="20"/>
          <w:lang w:val="sq-AL"/>
        </w:rPr>
        <w:tab/>
        <w:t>: +49</w:t>
      </w:r>
      <w:r>
        <w:rPr>
          <w:spacing w:val="-4"/>
          <w:sz w:val="20"/>
          <w:szCs w:val="20"/>
          <w:lang w:val="sq-AL"/>
        </w:rPr>
        <w:tab/>
        <w:t>(228)</w:t>
      </w:r>
      <w:r>
        <w:rPr>
          <w:spacing w:val="-4"/>
          <w:sz w:val="20"/>
          <w:szCs w:val="20"/>
          <w:lang w:val="sq-AL"/>
        </w:rPr>
        <w:tab/>
        <w:t>24933</w:t>
      </w:r>
      <w:r>
        <w:rPr>
          <w:spacing w:val="-4"/>
          <w:sz w:val="20"/>
          <w:szCs w:val="20"/>
          <w:lang w:val="sq-AL"/>
        </w:rPr>
        <w:tab/>
        <w:t>- 374 or -377,</w:t>
      </w:r>
    </w:p>
    <w:p w:rsidR="005C0BD2" w:rsidRDefault="005C0BD2" w:rsidP="005C0BD2">
      <w:pPr>
        <w:pStyle w:val="Paragrafi"/>
        <w:rPr>
          <w:spacing w:val="-4"/>
          <w:sz w:val="20"/>
          <w:szCs w:val="20"/>
          <w:lang w:val="sq-AL"/>
        </w:rPr>
      </w:pPr>
      <w:r>
        <w:rPr>
          <w:spacing w:val="-4"/>
          <w:sz w:val="20"/>
          <w:szCs w:val="20"/>
          <w:lang w:val="sq-AL"/>
        </w:rPr>
        <w:t xml:space="preserve">Faks: </w:t>
      </w:r>
      <w:r>
        <w:rPr>
          <w:spacing w:val="-4"/>
          <w:sz w:val="20"/>
          <w:szCs w:val="20"/>
          <w:lang w:val="sq-AL"/>
        </w:rPr>
        <w:tab/>
        <w:t>+49</w:t>
      </w:r>
      <w:r>
        <w:rPr>
          <w:spacing w:val="-4"/>
          <w:sz w:val="20"/>
          <w:szCs w:val="20"/>
          <w:lang w:val="sq-AL"/>
        </w:rPr>
        <w:tab/>
        <w:t>(228)</w:t>
      </w:r>
      <w:r>
        <w:rPr>
          <w:spacing w:val="-4"/>
          <w:sz w:val="20"/>
          <w:szCs w:val="20"/>
          <w:lang w:val="sq-AL"/>
        </w:rPr>
        <w:tab/>
        <w:t>24933</w:t>
      </w:r>
      <w:r>
        <w:rPr>
          <w:spacing w:val="-4"/>
          <w:sz w:val="20"/>
          <w:szCs w:val="20"/>
          <w:lang w:val="sq-AL"/>
        </w:rPr>
        <w:tab/>
        <w:t>- 446</w:t>
      </w:r>
    </w:p>
    <w:p w:rsidR="005C0BD2" w:rsidRDefault="005C0BD2" w:rsidP="005C0BD2">
      <w:pPr>
        <w:pStyle w:val="Paragrafi"/>
        <w:rPr>
          <w:spacing w:val="-4"/>
          <w:sz w:val="20"/>
          <w:szCs w:val="20"/>
          <w:lang w:val="sq-AL"/>
        </w:rPr>
      </w:pPr>
      <w:r>
        <w:rPr>
          <w:spacing w:val="-4"/>
          <w:sz w:val="20"/>
          <w:szCs w:val="20"/>
          <w:lang w:val="sq-AL"/>
        </w:rPr>
        <w:t xml:space="preserve">Email: </w:t>
      </w:r>
      <w:r>
        <w:rPr>
          <w:spacing w:val="-4"/>
          <w:sz w:val="20"/>
          <w:szCs w:val="20"/>
          <w:lang w:val="sq-AL"/>
        </w:rPr>
        <w:tab/>
        <w:t>kfw-tender@gtai.de</w:t>
      </w:r>
    </w:p>
    <w:p w:rsidR="005C0BD2" w:rsidRDefault="005C0BD2" w:rsidP="005C0BD2">
      <w:pPr>
        <w:pStyle w:val="Hapesira7"/>
        <w:rPr>
          <w:lang w:val="sq-AL"/>
        </w:rPr>
      </w:pPr>
    </w:p>
    <w:p w:rsidR="005C0BD2" w:rsidRDefault="005C0BD2" w:rsidP="005C0BD2">
      <w:pPr>
        <w:pStyle w:val="Paragrafi"/>
        <w:rPr>
          <w:spacing w:val="-4"/>
          <w:lang w:val="sq-AL"/>
        </w:rPr>
      </w:pPr>
      <w:r>
        <w:rPr>
          <w:spacing w:val="-4"/>
          <w:lang w:val="sq-AL"/>
        </w:rPr>
        <w:t xml:space="preserve">Njoftimi i parakualifikimit duhet të përmbajë të paktën elementet e mëposhtme: </w:t>
      </w:r>
    </w:p>
    <w:p w:rsidR="005C0BD2" w:rsidRDefault="005C0BD2" w:rsidP="005C0BD2">
      <w:pPr>
        <w:pStyle w:val="Paragrafi"/>
        <w:rPr>
          <w:spacing w:val="-4"/>
          <w:lang w:val="sq-AL"/>
        </w:rPr>
      </w:pPr>
      <w:r>
        <w:rPr>
          <w:spacing w:val="-4"/>
          <w:lang w:val="sq-AL"/>
        </w:rPr>
        <w:t>- referenca për parakualifikim;</w:t>
      </w:r>
    </w:p>
    <w:p w:rsidR="005C0BD2" w:rsidRDefault="005C0BD2" w:rsidP="005C0BD2">
      <w:pPr>
        <w:pStyle w:val="Paragrafi"/>
        <w:rPr>
          <w:spacing w:val="-4"/>
          <w:lang w:val="sq-AL"/>
        </w:rPr>
      </w:pPr>
      <w:r>
        <w:rPr>
          <w:spacing w:val="-4"/>
          <w:lang w:val="sq-AL"/>
        </w:rPr>
        <w:t>- emri i klientit dhe i vendit;</w:t>
      </w:r>
    </w:p>
    <w:p w:rsidR="005C0BD2" w:rsidRDefault="005C0BD2" w:rsidP="005C0BD2">
      <w:pPr>
        <w:pStyle w:val="Paragrafi"/>
        <w:rPr>
          <w:spacing w:val="-4"/>
          <w:lang w:val="sq-AL"/>
        </w:rPr>
      </w:pPr>
      <w:r>
        <w:rPr>
          <w:spacing w:val="-4"/>
          <w:lang w:val="sq-AL"/>
        </w:rPr>
        <w:t>- sektori/ët që do të mbështeten;</w:t>
      </w:r>
    </w:p>
    <w:p w:rsidR="005C0BD2" w:rsidRDefault="005C0BD2" w:rsidP="005C0BD2">
      <w:pPr>
        <w:pStyle w:val="Paragrafi"/>
        <w:rPr>
          <w:spacing w:val="-4"/>
          <w:lang w:val="sq-AL"/>
        </w:rPr>
      </w:pPr>
      <w:r>
        <w:rPr>
          <w:spacing w:val="-4"/>
          <w:lang w:val="sq-AL"/>
        </w:rPr>
        <w:t>- përshkrim i shkurtër i projektit;</w:t>
      </w:r>
    </w:p>
    <w:p w:rsidR="005C0BD2" w:rsidRDefault="005C0BD2" w:rsidP="005C0BD2">
      <w:pPr>
        <w:pStyle w:val="Paragrafi"/>
        <w:rPr>
          <w:spacing w:val="-4"/>
          <w:lang w:val="sq-AL"/>
        </w:rPr>
      </w:pPr>
      <w:r>
        <w:rPr>
          <w:spacing w:val="-4"/>
          <w:lang w:val="sq-AL"/>
        </w:rPr>
        <w:t xml:space="preserve">- përshkrim i shkurtër i shërbimeve të kërkuara të konsulencës (duke iu referuar fazave të kryerjes, nëse është e zbatueshme); </w:t>
      </w:r>
    </w:p>
    <w:p w:rsidR="005C0BD2" w:rsidRDefault="005C0BD2" w:rsidP="005C0BD2">
      <w:pPr>
        <w:pStyle w:val="Paragrafi"/>
        <w:rPr>
          <w:spacing w:val="-4"/>
          <w:lang w:val="sq-AL"/>
        </w:rPr>
      </w:pPr>
      <w:r>
        <w:rPr>
          <w:spacing w:val="-4"/>
          <w:lang w:val="sq-AL"/>
        </w:rPr>
        <w:t xml:space="preserve">- lloji i ofertuesit të kërkuar (konsulentë të pavarur, të kualifikuar); </w:t>
      </w:r>
    </w:p>
    <w:p w:rsidR="005C0BD2" w:rsidRDefault="005C0BD2" w:rsidP="005C0BD2">
      <w:pPr>
        <w:pStyle w:val="Paragrafi"/>
        <w:rPr>
          <w:spacing w:val="-4"/>
          <w:lang w:val="sq-AL"/>
        </w:rPr>
      </w:pPr>
      <w:r>
        <w:rPr>
          <w:spacing w:val="-4"/>
          <w:lang w:val="sq-AL"/>
        </w:rPr>
        <w:t>- kur është e përshtatshme, masat lidhen me bashkëpunimin me konsulentë ndërkombëtarë dhe vendorë me përvojë vendore;</w:t>
      </w:r>
    </w:p>
    <w:p w:rsidR="005C0BD2" w:rsidRDefault="005C0BD2" w:rsidP="005C0BD2">
      <w:pPr>
        <w:pStyle w:val="Paragrafi"/>
        <w:rPr>
          <w:spacing w:val="-4"/>
          <w:lang w:val="sq-AL"/>
        </w:rPr>
      </w:pPr>
      <w:r>
        <w:rPr>
          <w:spacing w:val="-4"/>
          <w:lang w:val="sq-AL"/>
        </w:rPr>
        <w:t>- financimi për shërbimet e konsulencës (burimi/et dhe gjendja e përgatitjes);</w:t>
      </w:r>
    </w:p>
    <w:p w:rsidR="005C0BD2" w:rsidRDefault="005C0BD2" w:rsidP="005C0BD2">
      <w:pPr>
        <w:pStyle w:val="Paragrafi"/>
        <w:rPr>
          <w:spacing w:val="-4"/>
          <w:lang w:val="sq-AL"/>
        </w:rPr>
      </w:pPr>
      <w:r>
        <w:rPr>
          <w:spacing w:val="-4"/>
          <w:lang w:val="sq-AL"/>
        </w:rPr>
        <w:t>- referenca për çdo informacion në dispozicion dhe vendin ku mund të merren këto dokumente;</w:t>
      </w:r>
    </w:p>
    <w:p w:rsidR="005C0BD2" w:rsidRDefault="005C0BD2" w:rsidP="005C0BD2">
      <w:pPr>
        <w:pStyle w:val="Paragrafi"/>
        <w:rPr>
          <w:spacing w:val="-4"/>
          <w:lang w:val="sq-AL"/>
        </w:rPr>
      </w:pPr>
      <w:r>
        <w:rPr>
          <w:spacing w:val="-4"/>
          <w:lang w:val="sq-AL"/>
        </w:rPr>
        <w:t xml:space="preserve">- detajet e aplikimit (numri i origjinalit/kopjeve, gjuha, adresa/t, linjat e komunikimit); </w:t>
      </w:r>
    </w:p>
    <w:p w:rsidR="005C0BD2" w:rsidRDefault="005C0BD2" w:rsidP="005C0BD2">
      <w:pPr>
        <w:pStyle w:val="Paragrafi"/>
        <w:rPr>
          <w:spacing w:val="-4"/>
          <w:lang w:val="sq-AL"/>
        </w:rPr>
      </w:pPr>
      <w:r>
        <w:rPr>
          <w:spacing w:val="-4"/>
          <w:lang w:val="sq-AL"/>
        </w:rPr>
        <w:t xml:space="preserve">- afati i pranimit (të paktën 30 ditë kalendarike pas publikimit të njoftimit); </w:t>
      </w:r>
    </w:p>
    <w:p w:rsidR="005C0BD2" w:rsidRDefault="005C0BD2" w:rsidP="005C0BD2">
      <w:pPr>
        <w:pStyle w:val="Paragrafi"/>
        <w:rPr>
          <w:spacing w:val="-4"/>
          <w:lang w:val="sq-AL"/>
        </w:rPr>
      </w:pPr>
      <w:r>
        <w:rPr>
          <w:spacing w:val="-4"/>
          <w:lang w:val="sq-AL"/>
        </w:rPr>
        <w:t>- dokumentet që duhet të dorëzohen: profili dhe statusi i korporatës, dëshmi e burimeve financiare dhe ekspertiza në lidhje me masën e kontratës (ndër të tjera konfirmimi i garancisë së dhënë nga banka kryesore e shoqërisë; Deklarata e Pranimit të Përgjegjësisë, e nënshkruar nga ofertuesi dhe e detyrueshme ligjërisht në përputhje me shtojcën 4. Kërkesa për prova të tjera varet nga qëllimi i shërbimeve që do të kryhen (p.sh., bilancet dhe llogaritë e fitimeve dhe humbjeve për tre vitet e fundit), referencat përkatëse për të dëshmuar kualifikimet teknike dhe përvojën jashtë vendit, në rajon apo në vend, detaje mbi personelin e konsulentit që do të ofrojë shërbime monitorimi dhe mbështetje nga zyra qendrore, detajet e strukturës së personelit (numri dhe kualifikimet), deklarata e qëllimit lidhur me bashkëpunimin (emri i shoqërisë drejtuese), deklarata mbi firmat e bashkuara, nëse specifikohen dokumente të tjera që duhet të dorëzohen;</w:t>
      </w:r>
    </w:p>
    <w:p w:rsidR="005C0BD2" w:rsidRDefault="005C0BD2" w:rsidP="005C0BD2">
      <w:pPr>
        <w:pStyle w:val="Paragrafi"/>
        <w:rPr>
          <w:spacing w:val="-4"/>
          <w:lang w:val="sq-AL"/>
        </w:rPr>
      </w:pPr>
      <w:r>
        <w:rPr>
          <w:spacing w:val="-4"/>
          <w:lang w:val="sq-AL"/>
        </w:rPr>
        <w:t>- deklarata e pranimit të përgjegjësisë në përputhje me shtojcën 4.</w:t>
      </w:r>
    </w:p>
    <w:p w:rsidR="005C0BD2" w:rsidRDefault="005C0BD2" w:rsidP="005C0BD2">
      <w:pPr>
        <w:widowControl w:val="0"/>
        <w:spacing w:after="0" w:line="240" w:lineRule="auto"/>
        <w:rPr>
          <w:rFonts w:ascii="Garamond" w:eastAsia="Arial" w:hAnsi="Garamond"/>
          <w:spacing w:val="-4"/>
          <w:sz w:val="24"/>
          <w:szCs w:val="24"/>
          <w:vertAlign w:val="superscript"/>
          <w:lang w:val="sq-AL"/>
        </w:rPr>
      </w:pPr>
    </w:p>
    <w:p w:rsidR="005C0BD2" w:rsidRDefault="005C0BD2" w:rsidP="005C0BD2">
      <w:pPr>
        <w:pStyle w:val="NeniTitull"/>
        <w:rPr>
          <w:b w:val="0"/>
          <w:spacing w:val="-4"/>
          <w:lang w:val="sq-AL"/>
        </w:rPr>
      </w:pPr>
      <w:r>
        <w:rPr>
          <w:b w:val="0"/>
          <w:spacing w:val="-4"/>
          <w:lang w:val="sq-AL"/>
        </w:rPr>
        <w:t>SHTOJCA 4</w:t>
      </w:r>
    </w:p>
    <w:p w:rsidR="005C0BD2" w:rsidRDefault="005C0BD2" w:rsidP="005C0BD2">
      <w:pPr>
        <w:pStyle w:val="Paragrafi"/>
        <w:jc w:val="center"/>
        <w:rPr>
          <w:spacing w:val="-4"/>
          <w:lang w:val="sq-AL"/>
        </w:rPr>
      </w:pPr>
      <w:r>
        <w:rPr>
          <w:spacing w:val="-4"/>
          <w:lang w:val="sq-AL"/>
        </w:rPr>
        <w:t>DEKLARATA E PRANIMIT TË PËRGJEGJËSISË</w:t>
      </w:r>
    </w:p>
    <w:p w:rsidR="005C0BD2" w:rsidRDefault="005C0BD2" w:rsidP="005C0BD2">
      <w:pPr>
        <w:pStyle w:val="Paragrafi"/>
        <w:jc w:val="center"/>
        <w:rPr>
          <w:spacing w:val="-4"/>
          <w:sz w:val="12"/>
          <w:lang w:val="sq-AL"/>
        </w:rPr>
      </w:pPr>
    </w:p>
    <w:p w:rsidR="005C0BD2" w:rsidRDefault="005C0BD2" w:rsidP="005C0BD2">
      <w:pPr>
        <w:pStyle w:val="Paragrafi"/>
        <w:rPr>
          <w:spacing w:val="-4"/>
          <w:lang w:val="sq-AL"/>
        </w:rPr>
      </w:pPr>
      <w:r>
        <w:rPr>
          <w:spacing w:val="-4"/>
          <w:lang w:val="sq-AL"/>
        </w:rPr>
        <w:t xml:space="preserve">Ne theksojmë rëndësinë e një procedure kontraktuese të lirë, të drejtë dhe konkurruese që përjashton praktikat abuzive. Në lidhje me këtë, ne nuk kemi ofruar dhe as nuk kemi dhënë në mënyrë të drejtpërdrejtë apo të tërthortë avantazhe të papranueshme ndonjë nëpunësi publik apo personi tjetër dhe as nuk kemi pranuar avantazhe të tilla në lidhje me ofertën tonë, dhe as nuk ofrojmë apo japim apo pranojmë nxitje apo kushte të tilla në këtë proces tenderimi, apo në rast se lidhet kontrata, në zbatimin e mëtejshëm të kontratës. Ne gjithashtu deklarojmë se nuk ekziston ndonjë konflikt interesi në kuptimin e udhëzimeve përkatëse </w:t>
      </w:r>
      <w:r>
        <w:rPr>
          <w:rStyle w:val="FootnoteReference"/>
          <w:spacing w:val="-4"/>
          <w:lang w:val="sq-AL"/>
        </w:rPr>
        <w:footnoteReference w:id="12"/>
      </w:r>
      <w:r>
        <w:rPr>
          <w:spacing w:val="-4"/>
          <w:lang w:val="sq-AL"/>
        </w:rPr>
        <w:t>.</w:t>
      </w:r>
    </w:p>
    <w:p w:rsidR="005C0BD2" w:rsidRDefault="005C0BD2" w:rsidP="005C0BD2">
      <w:pPr>
        <w:pStyle w:val="Paragrafi"/>
        <w:rPr>
          <w:spacing w:val="-4"/>
          <w:lang w:val="sq-AL"/>
        </w:rPr>
      </w:pPr>
      <w:r>
        <w:rPr>
          <w:spacing w:val="-4"/>
          <w:lang w:val="sq-AL"/>
        </w:rPr>
        <w:t xml:space="preserve">Ne, gjithashtu, theksojmë rëndësinë e respektimit të standardeve mjedisore dhe sociale në zbatimin e </w:t>
      </w:r>
      <w:r>
        <w:rPr>
          <w:spacing w:val="-4"/>
          <w:lang w:val="sq-AL"/>
        </w:rPr>
        <w:lastRenderedPageBreak/>
        <w:t xml:space="preserve">projektit. Ne marrim përsipër të zbatojmë legjislacionin përkatës së punës si dhe Standardet Bazë të Organizatës Ndërkombëtare të Punës (ONP), si dhe standardet e zbatueshme kombëtare dhe ndërkombëtare të mbrojtjes së mjedisit dhe standardet e shëndetit dhe sigurisë. </w:t>
      </w:r>
    </w:p>
    <w:p w:rsidR="005C0BD2" w:rsidRDefault="005C0BD2" w:rsidP="005C0BD2">
      <w:pPr>
        <w:pStyle w:val="Paragrafi"/>
        <w:rPr>
          <w:spacing w:val="-4"/>
          <w:lang w:val="sq-AL"/>
        </w:rPr>
      </w:pPr>
      <w:r>
        <w:rPr>
          <w:spacing w:val="-4"/>
          <w:lang w:val="sq-AL"/>
        </w:rPr>
        <w:t>Ne do të informojmë personelin mbi detyrimet e tyre përkatëse, detyrimin për përmbushjen e kësaj deklarate të sipërmarrjes dhe t’i binden ligjeve të vendit të[●] (emri i vendit).</w:t>
      </w:r>
    </w:p>
    <w:p w:rsidR="005C0BD2" w:rsidRDefault="005C0BD2" w:rsidP="005C0BD2">
      <w:pPr>
        <w:pStyle w:val="Paragrafi"/>
        <w:rPr>
          <w:spacing w:val="-4"/>
          <w:lang w:val="sq-AL"/>
        </w:rPr>
      </w:pPr>
      <w:r>
        <w:rPr>
          <w:spacing w:val="-4"/>
          <w:lang w:val="sq-AL"/>
        </w:rPr>
        <w:t xml:space="preserve">Ne gjithashtu deklarojmë se shoqëria jonë/ të gjithë anëtarët e konsorciumit nuk janë të përfshirë në listën e sanksioneve të Kombeve të Bashkuara, të BE-së, apo të Qeverisë Gjermane, dhe as në ndonjë listë tjetër sanksionesh dhe konfirmojmë se shoqëria jonë/të gjithë anëtarët e konsorciumit do të informojnë menjëherë Klientin dhe KfW-në, nëse kjo situatë ndodh në një periudhë të mëvonshme. </w:t>
      </w:r>
    </w:p>
    <w:p w:rsidR="005C0BD2" w:rsidRDefault="005C0BD2" w:rsidP="005C0BD2">
      <w:pPr>
        <w:pStyle w:val="Paragrafi"/>
        <w:rPr>
          <w:spacing w:val="-4"/>
          <w:lang w:val="sq-AL"/>
        </w:rPr>
      </w:pPr>
      <w:r>
        <w:rPr>
          <w:spacing w:val="-4"/>
          <w:lang w:val="sq-AL"/>
        </w:rPr>
        <w:t>Ne pranojmë se në rast se shoqëria jonë (apo një anëtar i konsorciumit) i shtohet listës së sanksioneve që janë ligjërisht të detyrueshme për Klientin dhe/apo KfW-në, Klienti ka të drejtë të na përjashtojë ne/konsorciumin apo, nëse kontrata i është dhënë shoqërisë sonë/ konsorciumit, të anulojë menjëherë atë kontratë nëse deklarimet e bëra në deklaratën e sipërmarrjes kanë qenë të pavërteta apo arsyeja për përjashtimin nga procedura e tenderit ndodh pas lëshimit të deklaratës së sipërmarrjes.</w:t>
      </w:r>
    </w:p>
    <w:p w:rsidR="005C0BD2" w:rsidRDefault="005C0BD2" w:rsidP="005C0BD2">
      <w:pPr>
        <w:pStyle w:val="Paragrafi"/>
        <w:rPr>
          <w:spacing w:val="-4"/>
          <w:sz w:val="2"/>
          <w:lang w:val="sq-AL"/>
        </w:rPr>
      </w:pPr>
    </w:p>
    <w:p w:rsidR="005C0BD2" w:rsidRDefault="005C0BD2" w:rsidP="005C0BD2">
      <w:pPr>
        <w:pStyle w:val="Paragrafi"/>
        <w:jc w:val="center"/>
        <w:rPr>
          <w:spacing w:val="-4"/>
          <w:lang w:val="sq-AL"/>
        </w:rPr>
      </w:pPr>
      <w:r>
        <w:rPr>
          <w:spacing w:val="-4"/>
          <w:lang w:val="sq-AL"/>
        </w:rPr>
        <w:t>..............................</w:t>
      </w:r>
    </w:p>
    <w:p w:rsidR="005C0BD2" w:rsidRDefault="005C0BD2" w:rsidP="005C0BD2">
      <w:pPr>
        <w:pStyle w:val="Paragrafi"/>
        <w:jc w:val="center"/>
        <w:rPr>
          <w:spacing w:val="-4"/>
          <w:lang w:val="sq-AL"/>
        </w:rPr>
      </w:pPr>
      <w:r>
        <w:rPr>
          <w:spacing w:val="-4"/>
          <w:lang w:val="sq-AL"/>
        </w:rPr>
        <w:t>(Vendi)</w:t>
      </w:r>
    </w:p>
    <w:p w:rsidR="005C0BD2" w:rsidRDefault="005C0BD2" w:rsidP="005C0BD2">
      <w:pPr>
        <w:pStyle w:val="Paragrafi"/>
        <w:jc w:val="center"/>
        <w:rPr>
          <w:spacing w:val="-4"/>
          <w:lang w:val="sq-AL"/>
        </w:rPr>
      </w:pPr>
      <w:r>
        <w:rPr>
          <w:spacing w:val="-4"/>
          <w:lang w:val="sq-AL"/>
        </w:rPr>
        <w:t>...................</w:t>
      </w:r>
    </w:p>
    <w:p w:rsidR="005C0BD2" w:rsidRDefault="005C0BD2" w:rsidP="005C0BD2">
      <w:pPr>
        <w:pStyle w:val="Paragrafi"/>
        <w:jc w:val="center"/>
        <w:rPr>
          <w:spacing w:val="-4"/>
          <w:lang w:val="sq-AL"/>
        </w:rPr>
      </w:pPr>
      <w:r>
        <w:rPr>
          <w:spacing w:val="-4"/>
          <w:lang w:val="sq-AL"/>
        </w:rPr>
        <w:t>(Data)</w:t>
      </w:r>
    </w:p>
    <w:p w:rsidR="005C0BD2" w:rsidRDefault="005C0BD2" w:rsidP="005C0BD2">
      <w:pPr>
        <w:pStyle w:val="Paragrafi"/>
        <w:jc w:val="center"/>
        <w:rPr>
          <w:spacing w:val="-4"/>
          <w:lang w:val="sq-AL"/>
        </w:rPr>
      </w:pPr>
      <w:r>
        <w:rPr>
          <w:spacing w:val="-4"/>
          <w:lang w:val="sq-AL"/>
        </w:rPr>
        <w:t>.......................................................</w:t>
      </w:r>
    </w:p>
    <w:p w:rsidR="005C0BD2" w:rsidRDefault="005C0BD2" w:rsidP="005C0BD2">
      <w:pPr>
        <w:pStyle w:val="Paragrafi"/>
        <w:jc w:val="center"/>
        <w:rPr>
          <w:spacing w:val="-4"/>
          <w:lang w:val="sq-AL"/>
        </w:rPr>
      </w:pPr>
      <w:r>
        <w:rPr>
          <w:spacing w:val="-4"/>
          <w:lang w:val="sq-AL"/>
        </w:rPr>
        <w:t>(Emri i shoqërisë)</w:t>
      </w:r>
    </w:p>
    <w:p w:rsidR="005C0BD2" w:rsidRDefault="005C0BD2" w:rsidP="005C0BD2">
      <w:pPr>
        <w:pStyle w:val="Paragrafi"/>
        <w:jc w:val="center"/>
        <w:rPr>
          <w:spacing w:val="-4"/>
          <w:lang w:val="sq-AL"/>
        </w:rPr>
      </w:pPr>
      <w:r>
        <w:rPr>
          <w:spacing w:val="-4"/>
          <w:lang w:val="sq-AL"/>
        </w:rPr>
        <w:t>......................................................</w:t>
      </w:r>
    </w:p>
    <w:p w:rsidR="005C0BD2" w:rsidRDefault="005C0BD2" w:rsidP="005C0BD2">
      <w:pPr>
        <w:pStyle w:val="Paragrafi"/>
        <w:jc w:val="center"/>
        <w:rPr>
          <w:spacing w:val="-4"/>
          <w:lang w:val="sq-AL"/>
        </w:rPr>
      </w:pPr>
      <w:r>
        <w:rPr>
          <w:spacing w:val="-4"/>
          <w:lang w:val="sq-AL"/>
        </w:rPr>
        <w:t>(Firma)</w:t>
      </w:r>
    </w:p>
    <w:p w:rsidR="005C0BD2" w:rsidRDefault="005C0BD2" w:rsidP="005C0BD2">
      <w:pPr>
        <w:pStyle w:val="NeniNr"/>
        <w:rPr>
          <w:spacing w:val="-4"/>
          <w:lang w:val="sq-AL"/>
        </w:rPr>
      </w:pPr>
    </w:p>
    <w:p w:rsidR="005C0BD2" w:rsidRDefault="005C0BD2" w:rsidP="005C0BD2">
      <w:pPr>
        <w:pStyle w:val="NeniNr"/>
        <w:rPr>
          <w:spacing w:val="-4"/>
          <w:lang w:val="sq-AL"/>
        </w:rPr>
      </w:pPr>
      <w:r>
        <w:rPr>
          <w:spacing w:val="-4"/>
          <w:lang w:val="sq-AL"/>
        </w:rPr>
        <w:t>SHTOJCA 5</w:t>
      </w:r>
    </w:p>
    <w:p w:rsidR="005C0BD2" w:rsidRDefault="005C0BD2" w:rsidP="005C0BD2">
      <w:pPr>
        <w:pStyle w:val="Paragrafi"/>
        <w:jc w:val="center"/>
        <w:rPr>
          <w:spacing w:val="-4"/>
          <w:lang w:val="sq-AL"/>
        </w:rPr>
      </w:pPr>
      <w:r>
        <w:rPr>
          <w:spacing w:val="-4"/>
          <w:lang w:val="sq-AL"/>
        </w:rPr>
        <w:t>INFORMACION PËR PROCESIN E PARAKUALIFIKIMIT</w:t>
      </w:r>
    </w:p>
    <w:p w:rsidR="005C0BD2" w:rsidRDefault="005C0BD2" w:rsidP="005C0BD2">
      <w:pPr>
        <w:pStyle w:val="Paragrafi"/>
        <w:rPr>
          <w:b/>
          <w:spacing w:val="-4"/>
          <w:sz w:val="14"/>
          <w:lang w:val="sq-AL"/>
        </w:rPr>
      </w:pPr>
    </w:p>
    <w:p w:rsidR="005C0BD2" w:rsidRDefault="005C0BD2" w:rsidP="005C0BD2">
      <w:pPr>
        <w:pStyle w:val="Paragrafi"/>
        <w:rPr>
          <w:spacing w:val="-4"/>
          <w:lang w:val="sq-AL"/>
        </w:rPr>
      </w:pPr>
      <w:r>
        <w:rPr>
          <w:spacing w:val="-4"/>
          <w:lang w:val="sq-AL"/>
        </w:rPr>
        <w:t>1. Shënimet, shpjegimet dhe kriteret e mëposhtme për parakualifikim shërbejnë si bazë për parakualifikimin e aplikantëve të përshtatshëm në procedurën e përzgjedhjes në dy faza. Ato përdoren, gjithashtu, në një fazë ose në të ashtuquajturin proces pas kualifikimi, në të cilin aplikantët paraqesin dokumentet e tyre të parakualifikimit, propozimet teknike dhe kuotimet e çmimeve në të njëjtën kohë. Informacioni dhe të dhënat mbi kualifikimet e ofertuesve të cilët janë vlerësuar në fazën e parakualifikimit nuk mund të vlerësohen përsëri gjatë fazës së tenderimit, përveç nëse një ofertues i parakualifikuar është ndikuar nga ndryshimet e strukturës ekonomike, organizative apo të stafit që kërkojnë rishqyrtimin e kualifikimeve të tij.</w:t>
      </w:r>
    </w:p>
    <w:p w:rsidR="005C0BD2" w:rsidRDefault="005C0BD2" w:rsidP="005C0BD2">
      <w:pPr>
        <w:pStyle w:val="Paragrafi"/>
        <w:rPr>
          <w:spacing w:val="-4"/>
          <w:lang w:val="sq-AL"/>
        </w:rPr>
      </w:pPr>
      <w:r>
        <w:rPr>
          <w:spacing w:val="-4"/>
          <w:lang w:val="sq-AL"/>
        </w:rPr>
        <w:t xml:space="preserve">2. Kërkesat lidhur me dokumentet që duhet të dorëzohen dhe qëllimi i tyre duhet të përshtaten me projektin specifik. Krahas vëllimit të punës që do të kryhet, në procedurën e parakualifikimit do të merret parasysh dhe natyra e shërbimeve që kërkohen (si p.sh., burimet financiare luajnë më pak rol në studime të shkurtra sesa në vendosjen e një ekipi me ekspertë afatgjatë). Njoftimi i parakualifikimit duhet të paraqesë peshën/rëndësinë e bashkëngjitur në referencat e projektit. Duhet të deklarohen paraprakisht numri minimal i referencave të kërkuara për t’u kualifikuar, nëse është e nevojshme të ndara në fusha të ndryshme të përvojës, si dhe numri maksimal i referencave të kërkuara për të arritur pikët e plota. </w:t>
      </w:r>
    </w:p>
    <w:p w:rsidR="005C0BD2" w:rsidRDefault="005C0BD2" w:rsidP="005C0BD2">
      <w:pPr>
        <w:pStyle w:val="Paragrafi"/>
        <w:rPr>
          <w:spacing w:val="-4"/>
          <w:lang w:val="sq-AL"/>
        </w:rPr>
      </w:pPr>
      <w:r>
        <w:rPr>
          <w:spacing w:val="-4"/>
          <w:lang w:val="sq-AL"/>
        </w:rPr>
        <w:t xml:space="preserve">3. Kur ofertat kërkohen nga një numër i kufizuar kandidatësh të përzgjedhur më parë, shqyrtimi i përshtatshmërisë së këtyre kandidatëve mund të hiqet tërësisht ose pjesërisht, vetëm nëse ka informacion të mjaftueshëm mbi kandidatët e propozuar. Në rast të kundërt, ndiqet e njëjta procedurë si në procedurën pas kualifikimit, që vlerëson përshtatshmërinë e ofertuesve. </w:t>
      </w:r>
    </w:p>
    <w:p w:rsidR="005C0BD2" w:rsidRDefault="005C0BD2" w:rsidP="005C0BD2">
      <w:pPr>
        <w:pStyle w:val="Paragrafi"/>
        <w:rPr>
          <w:spacing w:val="-4"/>
          <w:lang w:val="sq-AL"/>
        </w:rPr>
      </w:pPr>
      <w:r>
        <w:rPr>
          <w:spacing w:val="-4"/>
          <w:lang w:val="sq-AL"/>
        </w:rPr>
        <w:t xml:space="preserve">4. Dokumentet e aplikimit duhet të provojnë burimet financiare të aplikuesit, përvojën dhe aftësinë e përgjithshme për të kryer shërbimet e kërkuara, si dhe njohuritë sektoriale dhe rajonale. Gjithashtu, duhet të provojnë stafin e përshtatshëm. Dokumentet duhet të jenë të shkurtra dhe të kuptueshme, duke mbuluar fushat kryesore të aktivitetit të firmës/shoqërisë dhe shërbimet kryesore të kryera gjatë pesë viteve të fundit që janë relevante për projektin dhe duke përmbledhur disponueshmërinë e ekspertizës së kërkuar. </w:t>
      </w:r>
    </w:p>
    <w:p w:rsidR="005C0BD2" w:rsidRDefault="005C0BD2" w:rsidP="005C0BD2">
      <w:pPr>
        <w:pStyle w:val="Paragrafi"/>
        <w:rPr>
          <w:spacing w:val="-4"/>
          <w:lang w:val="sq-AL"/>
        </w:rPr>
      </w:pPr>
      <w:r>
        <w:rPr>
          <w:spacing w:val="-4"/>
          <w:lang w:val="sq-AL"/>
        </w:rPr>
        <w:t xml:space="preserve">5. Nëse firmat konkurrojnë bashkërisht, aplikantët do të paraqesin një deklaratë të detyrueshme mbi drejtuesin kryesor dhe formën e bashkëpunimit (ndërmarrje e përbashkët, nënkontraktim, forma të tjera), duke përfshirë dhe ndarjen e parashikuar të punës. Në këtë fazë, nëse nuk janë parashikuar dispozita të tjera (si p.sh., kontratë paraprake), duhet të përfshihet deklarata e qëllimit. Përpara se t’i jepet kontrata një sipërmarrjeje të përbashkët, aplikantë duhet të lidhin një marrëveshje me përgjegjësi të përbashkët dhe të veçantë. </w:t>
      </w:r>
    </w:p>
    <w:p w:rsidR="005C0BD2" w:rsidRDefault="005C0BD2" w:rsidP="005C0BD2">
      <w:pPr>
        <w:pStyle w:val="Paragrafi"/>
        <w:rPr>
          <w:spacing w:val="-4"/>
          <w:lang w:val="sq-AL"/>
        </w:rPr>
      </w:pPr>
      <w:r>
        <w:rPr>
          <w:spacing w:val="-4"/>
          <w:lang w:val="sq-AL"/>
        </w:rPr>
        <w:t>6. Nëse ofertuesi synon të përdorë nënkontraktues, do të mbajë përgjegjësi të plotë për shërbimet që ata kryejnë. Nuk lejohet ngarkimi i të gjitha aktiviteteve një apo disa nënkontraktuesve.</w:t>
      </w:r>
    </w:p>
    <w:p w:rsidR="005C0BD2" w:rsidRDefault="005C0BD2" w:rsidP="005C0BD2">
      <w:pPr>
        <w:pStyle w:val="Paragrafi"/>
        <w:rPr>
          <w:spacing w:val="-4"/>
          <w:lang w:val="sq-AL"/>
        </w:rPr>
      </w:pPr>
      <w:bookmarkStart w:id="12" w:name="page29"/>
      <w:bookmarkEnd w:id="12"/>
      <w:r>
        <w:rPr>
          <w:spacing w:val="-4"/>
          <w:lang w:val="sq-AL"/>
        </w:rPr>
        <w:lastRenderedPageBreak/>
        <w:t xml:space="preserve">7. Në procesin parakualifikues do të konsiderohen vetëm aplikantët, burimet financiare dhe ekspertiza e të cilëve janë çmuar të përshtatshme me vëllimin e punës që do të kryhet nga Klienti dhe KfW-ja. Vlerësimi i këtyre burimeve financiare do të bazohet në likuiditetin e aplikantit dhe xhiron vjetore lidhur me vlerën e parashikuar të kontratës. Aplikanti mund të provojë likuiditetin e tij duke paraqitur konfirmim të kufirit të garancisë nga banka që nuk duhet të jetë më shumë se 6 muaj, dhe është i përshtatshëm për projektin (në rast dyshimi, Klienti rezervon të drejtën për verifikim). Xhiroja vjetore zakonisht konfirmohet duke paraqitur bilancet e certifikuara apo llogaritë e fitimit dhe humbjes për tre vitet e fundit; për aplikantët të cilët nuk kanë detyrimin të kenë bilance, me paraqitjen e pasqyrës së të ardhurave neto. Përveç kur njoftimi për parakualifikim parashikon ndonjë shifër tjetër specifike të projektit, ofertuesi duhet të tregojë një xhiro vjetore (të llogaritur si vlerë mesatare për tri vitet e fundit) që është e barabartë me të paktën trefishin e xhiros vjetore maksimale të parashikuar nga kjo kontratë. Për ndërmarrjet e përbashkëta, përveçse kur përcaktohet ndryshe në njoftim, do të merret në konsideratë xhiroja e përbashkët vjetore e partnerëve; për xhiro nga sipërmarrjet e përbashkëta do të përfshihen vetëm pjesët e ofertuesit. Aplikantët të cilët nuk paraqesin dokumentacionin apo paraqesin dokumentacion jo të plotë, nuk do të përfshihen në parakualifikim. </w:t>
      </w:r>
    </w:p>
    <w:p w:rsidR="005C0BD2" w:rsidRDefault="005C0BD2" w:rsidP="005C0BD2">
      <w:pPr>
        <w:pStyle w:val="Paragrafi"/>
        <w:rPr>
          <w:spacing w:val="-4"/>
          <w:lang w:val="sq-AL"/>
        </w:rPr>
      </w:pPr>
      <w:r>
        <w:rPr>
          <w:spacing w:val="-4"/>
          <w:lang w:val="sq-AL"/>
        </w:rPr>
        <w:t xml:space="preserve">8. Në rastin e vlerësimit të firmave të reja të konsulencës apo firmave që dëshirojnë të shtojnë sektorë të rinj veprimi dhe/apo rajone në gamën e tyre të shërbimeve, do të përdoret përvoja e personelit kyç për projektin e FC-së, pasi ndryshe firmat do të ishin në disavantazh në konkurrim me aplikantët e tjerë për shkak të mungesës së referencave. </w:t>
      </w:r>
    </w:p>
    <w:p w:rsidR="005C0BD2" w:rsidRDefault="005C0BD2" w:rsidP="005C0BD2">
      <w:pPr>
        <w:pStyle w:val="Paragrafi"/>
        <w:rPr>
          <w:spacing w:val="-4"/>
          <w:lang w:val="sq-AL"/>
        </w:rPr>
      </w:pPr>
      <w:r>
        <w:rPr>
          <w:spacing w:val="-4"/>
          <w:lang w:val="sq-AL"/>
        </w:rPr>
        <w:t>9. Aplikantët të cilët janë pjesë e grupit të firmave, dhe si të tillë paraqesin referencat e projektit apo personelit nga sektorë të tjerë të firmës apo shoqërive simotra, mund të njihen vetëm nëse mund të demonstrojnë në nivel të pranueshëm se nëse fitojnë kontratën, do të kenë akses të pakufizuar në këto burime (p.sh., ndërmarrje të përbashkëta, nënkontraktues, nënkontraktime personeli). Kjo zbatohet edhe për provën e burimeve financiare. Në këtë rast, aplikanti duhet të demonstrojë se shoqëria mëmë apo shoqëria aksionare janë përgjegjëse për të duke pasur efekt ligjor (si p.sh., garanci apo letër përgjegjësie).</w:t>
      </w:r>
    </w:p>
    <w:p w:rsidR="005C0BD2" w:rsidRDefault="005C0BD2" w:rsidP="005C0BD2">
      <w:pPr>
        <w:pStyle w:val="Paragrafi"/>
        <w:rPr>
          <w:spacing w:val="-4"/>
          <w:lang w:val="sq-AL"/>
        </w:rPr>
      </w:pPr>
    </w:p>
    <w:p w:rsidR="005C0BD2" w:rsidRDefault="005C0BD2" w:rsidP="005C0BD2">
      <w:pPr>
        <w:pStyle w:val="Paragrafi"/>
        <w:rPr>
          <w:spacing w:val="-4"/>
          <w:lang w:val="sq-AL"/>
        </w:rPr>
      </w:pPr>
      <w:r>
        <w:rPr>
          <w:spacing w:val="-4"/>
          <w:lang w:val="sq-AL"/>
        </w:rPr>
        <w:t xml:space="preserve"> </w:t>
      </w:r>
    </w:p>
    <w:p w:rsidR="005C0BD2" w:rsidRDefault="005C0BD2" w:rsidP="005C0BD2">
      <w:pPr>
        <w:pStyle w:val="Paragrafi"/>
        <w:rPr>
          <w:spacing w:val="-4"/>
          <w:lang w:val="sq-AL"/>
        </w:rPr>
      </w:pPr>
    </w:p>
    <w:p w:rsidR="005C0BD2" w:rsidRDefault="005C0BD2" w:rsidP="005C0BD2">
      <w:pPr>
        <w:spacing w:after="0" w:line="240" w:lineRule="auto"/>
        <w:ind w:firstLine="0"/>
        <w:jc w:val="left"/>
        <w:rPr>
          <w:rFonts w:ascii="Garamond" w:eastAsia="MS Mincho" w:hAnsi="Garamond" w:cs="CG Times"/>
          <w:sz w:val="24"/>
          <w:lang w:val="sq-AL"/>
        </w:rPr>
        <w:sectPr w:rsidR="005C0BD2" w:rsidSect="005C0BD2">
          <w:pgSz w:w="11907" w:h="16840"/>
          <w:pgMar w:top="720" w:right="1134" w:bottom="720" w:left="1134" w:header="851" w:footer="851" w:gutter="0"/>
          <w:pgNumType w:start="799"/>
          <w:cols w:space="454"/>
        </w:sectPr>
      </w:pPr>
    </w:p>
    <w:p w:rsidR="005C0BD2" w:rsidRDefault="005C0BD2" w:rsidP="005C0BD2">
      <w:pPr>
        <w:pStyle w:val="Paragrafi"/>
        <w:rPr>
          <w:lang w:val="sq-AL"/>
        </w:rPr>
      </w:pPr>
      <w:bookmarkStart w:id="13" w:name="page30"/>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61"/>
        <w:gridCol w:w="6293"/>
        <w:gridCol w:w="2175"/>
      </w:tblGrid>
      <w:tr w:rsidR="005C0BD2" w:rsidTr="005C0BD2">
        <w:trPr>
          <w:trHeight w:val="234"/>
        </w:trPr>
        <w:tc>
          <w:tcPr>
            <w:tcW w:w="3868" w:type="pct"/>
            <w:gridSpan w:val="2"/>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right="113" w:firstLine="0"/>
              <w:rPr>
                <w:lang w:val="sq-AL"/>
              </w:rPr>
            </w:pPr>
            <w:r>
              <w:rPr>
                <w:b/>
                <w:lang w:val="sq-AL"/>
              </w:rPr>
              <w:t>Kriteret</w:t>
            </w:r>
            <w:r>
              <w:rPr>
                <w:lang w:val="sq-AL"/>
              </w:rPr>
              <w:t xml:space="preserve"> (elementet e mëposhtme janë të dhëna të përafërta dhe do t’i përshtaten projektit specifik)</w:t>
            </w:r>
          </w:p>
        </w:tc>
        <w:tc>
          <w:tcPr>
            <w:tcW w:w="1132"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right="113" w:firstLine="0"/>
              <w:jc w:val="center"/>
              <w:rPr>
                <w:b/>
                <w:lang w:val="sq-AL"/>
              </w:rPr>
            </w:pPr>
            <w:r>
              <w:rPr>
                <w:b/>
                <w:lang w:val="sq-AL"/>
              </w:rPr>
              <w:t>Pikët</w:t>
            </w:r>
          </w:p>
        </w:tc>
      </w:tr>
      <w:tr w:rsidR="005C0BD2" w:rsidTr="005C0BD2">
        <w:trPr>
          <w:trHeight w:val="261"/>
        </w:trPr>
        <w:tc>
          <w:tcPr>
            <w:tcW w:w="3868" w:type="pct"/>
            <w:gridSpan w:val="2"/>
            <w:tcBorders>
              <w:top w:val="single" w:sz="4" w:space="0" w:color="auto"/>
              <w:left w:val="single" w:sz="4" w:space="0" w:color="auto"/>
              <w:bottom w:val="single" w:sz="4" w:space="0" w:color="auto"/>
              <w:right w:val="single" w:sz="4" w:space="0" w:color="auto"/>
            </w:tcBorders>
            <w:vAlign w:val="bottom"/>
          </w:tcPr>
          <w:p w:rsidR="005C0BD2" w:rsidRDefault="005C0BD2">
            <w:pPr>
              <w:pStyle w:val="Paragrafi"/>
              <w:spacing w:line="276" w:lineRule="auto"/>
              <w:ind w:left="113" w:right="113" w:firstLine="0"/>
              <w:rPr>
                <w:lang w:val="sq-AL"/>
              </w:rPr>
            </w:pPr>
          </w:p>
        </w:tc>
        <w:tc>
          <w:tcPr>
            <w:tcW w:w="1132" w:type="pct"/>
            <w:tcBorders>
              <w:top w:val="single" w:sz="4" w:space="0" w:color="auto"/>
              <w:left w:val="single" w:sz="4" w:space="0" w:color="auto"/>
              <w:bottom w:val="single" w:sz="4" w:space="0" w:color="auto"/>
              <w:right w:val="single" w:sz="4" w:space="0" w:color="auto"/>
            </w:tcBorders>
            <w:vAlign w:val="bottom"/>
          </w:tcPr>
          <w:p w:rsidR="005C0BD2" w:rsidRDefault="005C0BD2">
            <w:pPr>
              <w:pStyle w:val="Paragrafi"/>
              <w:spacing w:line="276" w:lineRule="auto"/>
              <w:ind w:left="113" w:right="113" w:firstLine="0"/>
              <w:jc w:val="center"/>
              <w:rPr>
                <w:lang w:val="sq-AL"/>
              </w:rPr>
            </w:pPr>
          </w:p>
        </w:tc>
      </w:tr>
      <w:tr w:rsidR="005C0BD2" w:rsidTr="005C0BD2">
        <w:trPr>
          <w:trHeight w:val="225"/>
        </w:trPr>
        <w:tc>
          <w:tcPr>
            <w:tcW w:w="597" w:type="pct"/>
            <w:tcBorders>
              <w:top w:val="single" w:sz="4" w:space="0" w:color="auto"/>
              <w:left w:val="single" w:sz="4" w:space="0" w:color="auto"/>
              <w:bottom w:val="single" w:sz="4" w:space="0" w:color="auto"/>
              <w:right w:val="single" w:sz="4" w:space="0" w:color="auto"/>
            </w:tcBorders>
            <w:vAlign w:val="center"/>
            <w:hideMark/>
          </w:tcPr>
          <w:p w:rsidR="005C0BD2" w:rsidRDefault="005C0BD2">
            <w:pPr>
              <w:pStyle w:val="Paragrafi"/>
              <w:spacing w:line="276" w:lineRule="auto"/>
              <w:ind w:left="113" w:right="113" w:firstLine="0"/>
              <w:jc w:val="center"/>
              <w:rPr>
                <w:b/>
                <w:lang w:val="sq-AL"/>
              </w:rPr>
            </w:pPr>
            <w:r>
              <w:rPr>
                <w:b/>
                <w:lang w:val="sq-AL"/>
              </w:rPr>
              <w:t>1</w:t>
            </w:r>
          </w:p>
        </w:tc>
        <w:tc>
          <w:tcPr>
            <w:tcW w:w="3271"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right="113" w:firstLine="0"/>
              <w:rPr>
                <w:b/>
                <w:lang w:val="sq-AL"/>
              </w:rPr>
            </w:pPr>
            <w:r>
              <w:rPr>
                <w:b/>
                <w:lang w:val="sq-AL"/>
              </w:rPr>
              <w:t xml:space="preserve">Vërtetimi i përvojës </w:t>
            </w:r>
          </w:p>
        </w:tc>
        <w:tc>
          <w:tcPr>
            <w:tcW w:w="1132"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right="113" w:firstLine="0"/>
              <w:jc w:val="center"/>
              <w:rPr>
                <w:b/>
                <w:lang w:val="sq-AL"/>
              </w:rPr>
            </w:pPr>
            <w:r>
              <w:rPr>
                <w:b/>
                <w:lang w:val="sq-AL"/>
              </w:rPr>
              <w:t>40</w:t>
            </w:r>
          </w:p>
        </w:tc>
      </w:tr>
      <w:tr w:rsidR="005C0BD2" w:rsidTr="005C0BD2">
        <w:trPr>
          <w:trHeight w:val="272"/>
        </w:trPr>
        <w:tc>
          <w:tcPr>
            <w:tcW w:w="597" w:type="pct"/>
            <w:tcBorders>
              <w:top w:val="single" w:sz="4" w:space="0" w:color="auto"/>
              <w:left w:val="single" w:sz="4" w:space="0" w:color="auto"/>
              <w:bottom w:val="single" w:sz="4" w:space="0" w:color="auto"/>
              <w:right w:val="single" w:sz="4" w:space="0" w:color="auto"/>
            </w:tcBorders>
            <w:vAlign w:val="center"/>
            <w:hideMark/>
          </w:tcPr>
          <w:p w:rsidR="005C0BD2" w:rsidRDefault="005C0BD2">
            <w:pPr>
              <w:pStyle w:val="Paragrafi"/>
              <w:spacing w:line="276" w:lineRule="auto"/>
              <w:ind w:left="113" w:right="113" w:firstLine="0"/>
              <w:jc w:val="center"/>
              <w:rPr>
                <w:lang w:val="sq-AL"/>
              </w:rPr>
            </w:pPr>
            <w:r>
              <w:rPr>
                <w:lang w:val="sq-AL"/>
              </w:rPr>
              <w:t>1.1</w:t>
            </w:r>
          </w:p>
        </w:tc>
        <w:tc>
          <w:tcPr>
            <w:tcW w:w="3271"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right="113" w:firstLine="0"/>
              <w:rPr>
                <w:lang w:val="sq-AL"/>
              </w:rPr>
            </w:pPr>
            <w:r>
              <w:rPr>
                <w:lang w:val="sq-AL"/>
              </w:rPr>
              <w:t>Përvojë në trajtimin e projekteve të ngjashme:</w:t>
            </w:r>
          </w:p>
        </w:tc>
        <w:tc>
          <w:tcPr>
            <w:tcW w:w="1132"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right="113" w:firstLine="0"/>
              <w:jc w:val="center"/>
              <w:rPr>
                <w:lang w:val="sq-AL"/>
              </w:rPr>
            </w:pPr>
            <w:r>
              <w:rPr>
                <w:lang w:val="sq-AL"/>
              </w:rPr>
              <w:t>rreth 25</w:t>
            </w:r>
          </w:p>
        </w:tc>
      </w:tr>
      <w:tr w:rsidR="005C0BD2" w:rsidTr="005C0BD2">
        <w:trPr>
          <w:trHeight w:val="233"/>
        </w:trPr>
        <w:tc>
          <w:tcPr>
            <w:tcW w:w="597" w:type="pct"/>
            <w:tcBorders>
              <w:top w:val="single" w:sz="4" w:space="0" w:color="auto"/>
              <w:left w:val="single" w:sz="4" w:space="0" w:color="auto"/>
              <w:bottom w:val="single" w:sz="4" w:space="0" w:color="auto"/>
              <w:right w:val="single" w:sz="4" w:space="0" w:color="auto"/>
            </w:tcBorders>
            <w:vAlign w:val="center"/>
            <w:hideMark/>
          </w:tcPr>
          <w:p w:rsidR="005C0BD2" w:rsidRDefault="005C0BD2">
            <w:pPr>
              <w:pStyle w:val="Paragrafi"/>
              <w:spacing w:line="276" w:lineRule="auto"/>
              <w:ind w:left="113" w:right="113" w:firstLine="0"/>
              <w:jc w:val="center"/>
              <w:rPr>
                <w:lang w:val="sq-AL"/>
              </w:rPr>
            </w:pPr>
            <w:r>
              <w:rPr>
                <w:lang w:val="sq-AL"/>
              </w:rPr>
              <w:t>1.2</w:t>
            </w:r>
          </w:p>
        </w:tc>
        <w:tc>
          <w:tcPr>
            <w:tcW w:w="3271"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right="113" w:firstLine="0"/>
              <w:rPr>
                <w:lang w:val="sq-AL"/>
              </w:rPr>
            </w:pPr>
            <w:r>
              <w:rPr>
                <w:lang w:val="sq-AL"/>
              </w:rPr>
              <w:t>Përvojë në kushtet e ndryshme të punës në vendet në zhvillim, tranzicion apo duke u zhvilluar</w:t>
            </w:r>
          </w:p>
        </w:tc>
        <w:tc>
          <w:tcPr>
            <w:tcW w:w="1132"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right="113" w:firstLine="0"/>
              <w:jc w:val="center"/>
              <w:rPr>
                <w:lang w:val="sq-AL"/>
              </w:rPr>
            </w:pPr>
            <w:r>
              <w:rPr>
                <w:lang w:val="sq-AL"/>
              </w:rPr>
              <w:t>rreth 10</w:t>
            </w:r>
          </w:p>
        </w:tc>
      </w:tr>
      <w:tr w:rsidR="005C0BD2" w:rsidTr="005C0BD2">
        <w:trPr>
          <w:trHeight w:val="242"/>
        </w:trPr>
        <w:tc>
          <w:tcPr>
            <w:tcW w:w="597" w:type="pct"/>
            <w:tcBorders>
              <w:top w:val="single" w:sz="4" w:space="0" w:color="auto"/>
              <w:left w:val="single" w:sz="4" w:space="0" w:color="auto"/>
              <w:bottom w:val="single" w:sz="4" w:space="0" w:color="auto"/>
              <w:right w:val="single" w:sz="4" w:space="0" w:color="auto"/>
            </w:tcBorders>
            <w:vAlign w:val="center"/>
            <w:hideMark/>
          </w:tcPr>
          <w:p w:rsidR="005C0BD2" w:rsidRDefault="005C0BD2">
            <w:pPr>
              <w:pStyle w:val="Paragrafi"/>
              <w:spacing w:line="276" w:lineRule="auto"/>
              <w:ind w:left="113" w:right="113" w:firstLine="0"/>
              <w:jc w:val="center"/>
              <w:rPr>
                <w:lang w:val="sq-AL"/>
              </w:rPr>
            </w:pPr>
            <w:r>
              <w:rPr>
                <w:lang w:val="sq-AL"/>
              </w:rPr>
              <w:t>1.3</w:t>
            </w:r>
          </w:p>
        </w:tc>
        <w:tc>
          <w:tcPr>
            <w:tcW w:w="3271"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right="113" w:firstLine="0"/>
              <w:rPr>
                <w:lang w:val="sq-AL"/>
              </w:rPr>
            </w:pPr>
            <w:r>
              <w:rPr>
                <w:lang w:val="sq-AL"/>
              </w:rPr>
              <w:t>Përvojë në rajon apo vend, mundësisht në të njëjtin sektor</w:t>
            </w:r>
          </w:p>
        </w:tc>
        <w:tc>
          <w:tcPr>
            <w:tcW w:w="1132"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right="113" w:firstLine="0"/>
              <w:jc w:val="center"/>
              <w:rPr>
                <w:lang w:val="sq-AL"/>
              </w:rPr>
            </w:pPr>
            <w:r>
              <w:rPr>
                <w:lang w:val="sq-AL"/>
              </w:rPr>
              <w:t>rreth 5</w:t>
            </w:r>
          </w:p>
        </w:tc>
      </w:tr>
      <w:tr w:rsidR="005C0BD2" w:rsidTr="005C0BD2">
        <w:trPr>
          <w:trHeight w:val="157"/>
        </w:trPr>
        <w:tc>
          <w:tcPr>
            <w:tcW w:w="597" w:type="pct"/>
            <w:tcBorders>
              <w:top w:val="single" w:sz="4" w:space="0" w:color="auto"/>
              <w:left w:val="single" w:sz="4" w:space="0" w:color="auto"/>
              <w:bottom w:val="single" w:sz="4" w:space="0" w:color="auto"/>
              <w:right w:val="single" w:sz="4" w:space="0" w:color="auto"/>
            </w:tcBorders>
            <w:vAlign w:val="center"/>
            <w:hideMark/>
          </w:tcPr>
          <w:p w:rsidR="005C0BD2" w:rsidRDefault="005C0BD2">
            <w:pPr>
              <w:pStyle w:val="Paragrafi"/>
              <w:spacing w:line="276" w:lineRule="auto"/>
              <w:ind w:left="113" w:right="113" w:firstLine="0"/>
              <w:jc w:val="center"/>
              <w:rPr>
                <w:b/>
                <w:lang w:val="sq-AL"/>
              </w:rPr>
            </w:pPr>
            <w:r>
              <w:rPr>
                <w:b/>
                <w:lang w:val="sq-AL"/>
              </w:rPr>
              <w:t>2.</w:t>
            </w:r>
          </w:p>
        </w:tc>
        <w:tc>
          <w:tcPr>
            <w:tcW w:w="3271"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right="113" w:firstLine="0"/>
              <w:rPr>
                <w:b/>
                <w:lang w:val="sq-AL"/>
              </w:rPr>
            </w:pPr>
            <w:r>
              <w:rPr>
                <w:b/>
                <w:lang w:val="sq-AL"/>
              </w:rPr>
              <w:t>Përshtatshmëria për projektin specifik</w:t>
            </w:r>
          </w:p>
        </w:tc>
        <w:tc>
          <w:tcPr>
            <w:tcW w:w="1132"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right="113" w:firstLine="0"/>
              <w:jc w:val="center"/>
              <w:rPr>
                <w:b/>
                <w:lang w:val="sq-AL"/>
              </w:rPr>
            </w:pPr>
            <w:r>
              <w:rPr>
                <w:b/>
                <w:lang w:val="sq-AL"/>
              </w:rPr>
              <w:t>60</w:t>
            </w:r>
          </w:p>
        </w:tc>
      </w:tr>
      <w:tr w:rsidR="005C0BD2" w:rsidTr="005C0BD2">
        <w:trPr>
          <w:trHeight w:val="270"/>
        </w:trPr>
        <w:tc>
          <w:tcPr>
            <w:tcW w:w="597" w:type="pct"/>
            <w:tcBorders>
              <w:top w:val="single" w:sz="4" w:space="0" w:color="auto"/>
              <w:left w:val="single" w:sz="4" w:space="0" w:color="auto"/>
              <w:bottom w:val="single" w:sz="4" w:space="0" w:color="auto"/>
              <w:right w:val="single" w:sz="4" w:space="0" w:color="auto"/>
            </w:tcBorders>
            <w:vAlign w:val="center"/>
            <w:hideMark/>
          </w:tcPr>
          <w:p w:rsidR="005C0BD2" w:rsidRDefault="005C0BD2">
            <w:pPr>
              <w:pStyle w:val="Paragrafi"/>
              <w:spacing w:line="276" w:lineRule="auto"/>
              <w:ind w:left="113" w:right="113" w:firstLine="0"/>
              <w:jc w:val="center"/>
              <w:rPr>
                <w:lang w:val="sq-AL"/>
              </w:rPr>
            </w:pPr>
            <w:r>
              <w:rPr>
                <w:lang w:val="sq-AL"/>
              </w:rPr>
              <w:t>2.1</w:t>
            </w:r>
          </w:p>
        </w:tc>
        <w:tc>
          <w:tcPr>
            <w:tcW w:w="3271"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right="113" w:firstLine="0"/>
              <w:rPr>
                <w:lang w:val="sq-AL"/>
              </w:rPr>
            </w:pPr>
            <w:r>
              <w:rPr>
                <w:lang w:val="sq-AL"/>
              </w:rPr>
              <w:t>Vlerësimi i ekspertizës specifike për këtë projekt në zbatimin e aktiviteteve</w:t>
            </w:r>
          </w:p>
        </w:tc>
        <w:tc>
          <w:tcPr>
            <w:tcW w:w="1132"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right="113" w:firstLine="0"/>
              <w:jc w:val="center"/>
              <w:rPr>
                <w:lang w:val="sq-AL"/>
              </w:rPr>
            </w:pPr>
            <w:r>
              <w:rPr>
                <w:lang w:val="sq-AL"/>
              </w:rPr>
              <w:t>rreth 25</w:t>
            </w:r>
          </w:p>
        </w:tc>
      </w:tr>
      <w:tr w:rsidR="005C0BD2" w:rsidTr="005C0BD2">
        <w:trPr>
          <w:trHeight w:val="399"/>
        </w:trPr>
        <w:tc>
          <w:tcPr>
            <w:tcW w:w="597" w:type="pct"/>
            <w:tcBorders>
              <w:top w:val="single" w:sz="4" w:space="0" w:color="auto"/>
              <w:left w:val="single" w:sz="4" w:space="0" w:color="auto"/>
              <w:bottom w:val="single" w:sz="4" w:space="0" w:color="auto"/>
              <w:right w:val="single" w:sz="4" w:space="0" w:color="auto"/>
            </w:tcBorders>
            <w:vAlign w:val="center"/>
            <w:hideMark/>
          </w:tcPr>
          <w:p w:rsidR="005C0BD2" w:rsidRDefault="005C0BD2">
            <w:pPr>
              <w:pStyle w:val="Paragrafi"/>
              <w:spacing w:line="276" w:lineRule="auto"/>
              <w:ind w:left="113" w:right="113" w:firstLine="0"/>
              <w:jc w:val="center"/>
              <w:rPr>
                <w:lang w:val="sq-AL"/>
              </w:rPr>
            </w:pPr>
            <w:r>
              <w:rPr>
                <w:lang w:val="sq-AL"/>
              </w:rPr>
              <w:t>2.2</w:t>
            </w:r>
          </w:p>
        </w:tc>
        <w:tc>
          <w:tcPr>
            <w:tcW w:w="3271"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right="113" w:firstLine="0"/>
              <w:rPr>
                <w:lang w:val="sq-AL"/>
              </w:rPr>
            </w:pPr>
            <w:r>
              <w:rPr>
                <w:lang w:val="sq-AL"/>
              </w:rPr>
              <w:t>Vlerësimi i nivelit të personelit të ofertuesit në lidhje me shërbimet e kërkuara</w:t>
            </w:r>
          </w:p>
        </w:tc>
        <w:tc>
          <w:tcPr>
            <w:tcW w:w="1132"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right="113" w:firstLine="0"/>
              <w:jc w:val="center"/>
              <w:rPr>
                <w:lang w:val="sq-AL"/>
              </w:rPr>
            </w:pPr>
            <w:r>
              <w:rPr>
                <w:lang w:val="sq-AL"/>
              </w:rPr>
              <w:t>rreth 20</w:t>
            </w:r>
          </w:p>
        </w:tc>
      </w:tr>
      <w:tr w:rsidR="005C0BD2" w:rsidTr="005C0BD2">
        <w:trPr>
          <w:trHeight w:val="270"/>
        </w:trPr>
        <w:tc>
          <w:tcPr>
            <w:tcW w:w="597" w:type="pct"/>
            <w:tcBorders>
              <w:top w:val="single" w:sz="4" w:space="0" w:color="auto"/>
              <w:left w:val="single" w:sz="4" w:space="0" w:color="auto"/>
              <w:bottom w:val="single" w:sz="4" w:space="0" w:color="auto"/>
              <w:right w:val="single" w:sz="4" w:space="0" w:color="auto"/>
            </w:tcBorders>
            <w:vAlign w:val="center"/>
            <w:hideMark/>
          </w:tcPr>
          <w:p w:rsidR="005C0BD2" w:rsidRDefault="005C0BD2">
            <w:pPr>
              <w:pStyle w:val="Paragrafi"/>
              <w:spacing w:line="276" w:lineRule="auto"/>
              <w:ind w:left="113" w:right="113" w:firstLine="0"/>
              <w:jc w:val="center"/>
              <w:rPr>
                <w:lang w:val="sq-AL"/>
              </w:rPr>
            </w:pPr>
            <w:r>
              <w:rPr>
                <w:lang w:val="sq-AL"/>
              </w:rPr>
              <w:t>2.3</w:t>
            </w:r>
          </w:p>
        </w:tc>
        <w:tc>
          <w:tcPr>
            <w:tcW w:w="3271"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right="113" w:firstLine="0"/>
              <w:rPr>
                <w:lang w:val="sq-AL"/>
              </w:rPr>
            </w:pPr>
            <w:r>
              <w:rPr>
                <w:lang w:val="sq-AL"/>
              </w:rPr>
              <w:t>Vlerësimi i personelit kyç në dispozicion të përhershëm për monitorimin dhe mbështetjen e ekipit të projektit nga zyra qendrore</w:t>
            </w:r>
          </w:p>
        </w:tc>
        <w:tc>
          <w:tcPr>
            <w:tcW w:w="1132"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right="113" w:firstLine="0"/>
              <w:jc w:val="center"/>
              <w:rPr>
                <w:lang w:val="sq-AL"/>
              </w:rPr>
            </w:pPr>
            <w:r>
              <w:rPr>
                <w:lang w:val="sq-AL"/>
              </w:rPr>
              <w:t>rreth10</w:t>
            </w:r>
          </w:p>
        </w:tc>
      </w:tr>
      <w:tr w:rsidR="005C0BD2" w:rsidTr="005C0BD2">
        <w:trPr>
          <w:trHeight w:val="250"/>
        </w:trPr>
        <w:tc>
          <w:tcPr>
            <w:tcW w:w="597" w:type="pct"/>
            <w:tcBorders>
              <w:top w:val="single" w:sz="4" w:space="0" w:color="auto"/>
              <w:left w:val="single" w:sz="4" w:space="0" w:color="auto"/>
              <w:bottom w:val="single" w:sz="4" w:space="0" w:color="auto"/>
              <w:right w:val="single" w:sz="4" w:space="0" w:color="auto"/>
            </w:tcBorders>
            <w:vAlign w:val="center"/>
            <w:hideMark/>
          </w:tcPr>
          <w:p w:rsidR="005C0BD2" w:rsidRDefault="005C0BD2">
            <w:pPr>
              <w:pStyle w:val="Paragrafi"/>
              <w:spacing w:line="276" w:lineRule="auto"/>
              <w:ind w:left="113" w:right="113" w:firstLine="0"/>
              <w:jc w:val="center"/>
              <w:rPr>
                <w:lang w:val="sq-AL"/>
              </w:rPr>
            </w:pPr>
            <w:r>
              <w:rPr>
                <w:lang w:val="sq-AL"/>
              </w:rPr>
              <w:t>2.4</w:t>
            </w:r>
          </w:p>
        </w:tc>
        <w:tc>
          <w:tcPr>
            <w:tcW w:w="3271"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right="113" w:firstLine="0"/>
              <w:rPr>
                <w:lang w:val="sq-AL"/>
              </w:rPr>
            </w:pPr>
            <w:r>
              <w:rPr>
                <w:lang w:val="sq-AL"/>
              </w:rPr>
              <w:t>A i plotësojnë kriteret formale dokumentet e aplikimit, a janë të plota dhe specifike për projektin?</w:t>
            </w:r>
          </w:p>
        </w:tc>
        <w:tc>
          <w:tcPr>
            <w:tcW w:w="1132"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right="113" w:firstLine="0"/>
              <w:jc w:val="center"/>
              <w:rPr>
                <w:lang w:val="sq-AL"/>
              </w:rPr>
            </w:pPr>
            <w:r>
              <w:rPr>
                <w:lang w:val="sq-AL"/>
              </w:rPr>
              <w:t>rreth 5</w:t>
            </w:r>
          </w:p>
        </w:tc>
      </w:tr>
      <w:tr w:rsidR="005C0BD2" w:rsidTr="005C0BD2">
        <w:trPr>
          <w:trHeight w:val="261"/>
        </w:trPr>
        <w:tc>
          <w:tcPr>
            <w:tcW w:w="597" w:type="pct"/>
            <w:tcBorders>
              <w:top w:val="single" w:sz="4" w:space="0" w:color="auto"/>
              <w:left w:val="single" w:sz="4" w:space="0" w:color="auto"/>
              <w:bottom w:val="single" w:sz="4" w:space="0" w:color="auto"/>
              <w:right w:val="single" w:sz="4" w:space="0" w:color="auto"/>
            </w:tcBorders>
            <w:vAlign w:val="bottom"/>
          </w:tcPr>
          <w:p w:rsidR="005C0BD2" w:rsidRDefault="005C0BD2">
            <w:pPr>
              <w:pStyle w:val="Paragrafi"/>
              <w:spacing w:line="276" w:lineRule="auto"/>
              <w:ind w:left="113" w:right="113" w:firstLine="0"/>
              <w:rPr>
                <w:lang w:val="sq-AL"/>
              </w:rPr>
            </w:pPr>
          </w:p>
        </w:tc>
        <w:tc>
          <w:tcPr>
            <w:tcW w:w="3271" w:type="pct"/>
            <w:tcBorders>
              <w:top w:val="single" w:sz="4" w:space="0" w:color="auto"/>
              <w:left w:val="single" w:sz="4" w:space="0" w:color="auto"/>
              <w:bottom w:val="single" w:sz="4" w:space="0" w:color="auto"/>
              <w:right w:val="single" w:sz="4" w:space="0" w:color="auto"/>
            </w:tcBorders>
            <w:vAlign w:val="bottom"/>
          </w:tcPr>
          <w:p w:rsidR="005C0BD2" w:rsidRDefault="005C0BD2">
            <w:pPr>
              <w:pStyle w:val="Paragrafi"/>
              <w:spacing w:line="276" w:lineRule="auto"/>
              <w:ind w:left="113" w:right="113" w:firstLine="0"/>
              <w:rPr>
                <w:lang w:val="sq-AL"/>
              </w:rPr>
            </w:pPr>
          </w:p>
        </w:tc>
        <w:tc>
          <w:tcPr>
            <w:tcW w:w="1132" w:type="pct"/>
            <w:tcBorders>
              <w:top w:val="single" w:sz="4" w:space="0" w:color="auto"/>
              <w:left w:val="single" w:sz="4" w:space="0" w:color="auto"/>
              <w:bottom w:val="single" w:sz="4" w:space="0" w:color="auto"/>
              <w:right w:val="single" w:sz="4" w:space="0" w:color="auto"/>
            </w:tcBorders>
            <w:vAlign w:val="bottom"/>
          </w:tcPr>
          <w:p w:rsidR="005C0BD2" w:rsidRDefault="005C0BD2">
            <w:pPr>
              <w:pStyle w:val="Paragrafi"/>
              <w:spacing w:line="276" w:lineRule="auto"/>
              <w:ind w:left="113" w:right="113" w:firstLine="0"/>
              <w:jc w:val="center"/>
              <w:rPr>
                <w:lang w:val="sq-AL"/>
              </w:rPr>
            </w:pPr>
          </w:p>
        </w:tc>
      </w:tr>
      <w:tr w:rsidR="005C0BD2" w:rsidTr="005C0BD2">
        <w:trPr>
          <w:trHeight w:val="102"/>
        </w:trPr>
        <w:tc>
          <w:tcPr>
            <w:tcW w:w="597"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right="113" w:firstLine="0"/>
              <w:rPr>
                <w:b/>
                <w:lang w:val="sq-AL"/>
              </w:rPr>
            </w:pPr>
            <w:r>
              <w:rPr>
                <w:b/>
                <w:lang w:val="sq-AL"/>
              </w:rPr>
              <w:t>TOTALI</w:t>
            </w:r>
          </w:p>
        </w:tc>
        <w:tc>
          <w:tcPr>
            <w:tcW w:w="3271" w:type="pct"/>
            <w:tcBorders>
              <w:top w:val="single" w:sz="4" w:space="0" w:color="auto"/>
              <w:left w:val="single" w:sz="4" w:space="0" w:color="auto"/>
              <w:bottom w:val="single" w:sz="4" w:space="0" w:color="auto"/>
              <w:right w:val="single" w:sz="4" w:space="0" w:color="auto"/>
            </w:tcBorders>
            <w:vAlign w:val="bottom"/>
          </w:tcPr>
          <w:p w:rsidR="005C0BD2" w:rsidRDefault="005C0BD2">
            <w:pPr>
              <w:pStyle w:val="Paragrafi"/>
              <w:spacing w:line="276" w:lineRule="auto"/>
              <w:ind w:left="113" w:right="113" w:firstLine="0"/>
              <w:rPr>
                <w:b/>
                <w:lang w:val="sq-AL"/>
              </w:rPr>
            </w:pPr>
          </w:p>
        </w:tc>
        <w:tc>
          <w:tcPr>
            <w:tcW w:w="1132" w:type="pct"/>
            <w:tcBorders>
              <w:top w:val="single" w:sz="4" w:space="0" w:color="auto"/>
              <w:left w:val="single" w:sz="4" w:space="0" w:color="auto"/>
              <w:bottom w:val="single" w:sz="4" w:space="0" w:color="auto"/>
              <w:right w:val="single" w:sz="4" w:space="0" w:color="auto"/>
            </w:tcBorders>
            <w:vAlign w:val="bottom"/>
            <w:hideMark/>
          </w:tcPr>
          <w:p w:rsidR="005C0BD2" w:rsidRDefault="005C0BD2">
            <w:pPr>
              <w:pStyle w:val="Paragrafi"/>
              <w:spacing w:line="276" w:lineRule="auto"/>
              <w:ind w:left="113" w:right="113" w:firstLine="0"/>
              <w:jc w:val="center"/>
              <w:rPr>
                <w:b/>
                <w:lang w:val="sq-AL"/>
              </w:rPr>
            </w:pPr>
            <w:r>
              <w:rPr>
                <w:b/>
                <w:lang w:val="sq-AL"/>
              </w:rPr>
              <w:t>100</w:t>
            </w:r>
          </w:p>
        </w:tc>
      </w:tr>
    </w:tbl>
    <w:p w:rsidR="005C0BD2" w:rsidRDefault="005C0BD2" w:rsidP="005C0BD2">
      <w:pPr>
        <w:pStyle w:val="Paragrafi"/>
        <w:rPr>
          <w:lang w:val="sq-AL"/>
        </w:rPr>
      </w:pPr>
    </w:p>
    <w:p w:rsidR="005C0BD2" w:rsidRDefault="005C0BD2" w:rsidP="005C0BD2">
      <w:pPr>
        <w:spacing w:after="0" w:line="240" w:lineRule="auto"/>
        <w:ind w:firstLine="0"/>
        <w:jc w:val="left"/>
        <w:rPr>
          <w:rFonts w:ascii="Garamond" w:eastAsia="MS Mincho" w:hAnsi="Garamond" w:cs="CG Times"/>
          <w:b/>
          <w:sz w:val="16"/>
          <w:lang w:val="sq-AL"/>
        </w:rPr>
        <w:sectPr w:rsidR="005C0BD2" w:rsidSect="005C0BD2">
          <w:type w:val="continuous"/>
          <w:pgSz w:w="11907" w:h="16840"/>
          <w:pgMar w:top="720" w:right="1134" w:bottom="720" w:left="1134" w:header="851" w:footer="851" w:gutter="0"/>
          <w:cols w:space="720"/>
        </w:sectPr>
      </w:pPr>
    </w:p>
    <w:p w:rsidR="005C0BD2" w:rsidRDefault="005C0BD2" w:rsidP="005C0BD2">
      <w:pPr>
        <w:pStyle w:val="Paragrafi"/>
        <w:rPr>
          <w:b/>
          <w:spacing w:val="-4"/>
          <w:lang w:val="sq-AL"/>
        </w:rPr>
      </w:pPr>
      <w:r>
        <w:rPr>
          <w:b/>
          <w:spacing w:val="-4"/>
          <w:lang w:val="sq-AL"/>
        </w:rPr>
        <w:t>Shënime rreth kritereve</w:t>
      </w:r>
    </w:p>
    <w:p w:rsidR="005C0BD2" w:rsidRDefault="005C0BD2" w:rsidP="005C0BD2">
      <w:pPr>
        <w:pStyle w:val="Paragrafi"/>
        <w:rPr>
          <w:spacing w:val="-4"/>
          <w:lang w:val="sq-AL"/>
        </w:rPr>
      </w:pPr>
      <w:r>
        <w:rPr>
          <w:spacing w:val="-4"/>
          <w:lang w:val="sq-AL"/>
        </w:rPr>
        <w:t>1.1</w:t>
      </w:r>
      <w:r>
        <w:rPr>
          <w:spacing w:val="-4"/>
          <w:lang w:val="sq-AL"/>
        </w:rPr>
        <w:tab/>
        <w:t xml:space="preserve"> Përvojë në trajtimin e projekteve të ngjashme</w:t>
      </w:r>
    </w:p>
    <w:p w:rsidR="005C0BD2" w:rsidRDefault="005C0BD2" w:rsidP="005C0BD2">
      <w:pPr>
        <w:pStyle w:val="Paragrafi"/>
        <w:rPr>
          <w:spacing w:val="-4"/>
          <w:lang w:val="sq-AL"/>
        </w:rPr>
      </w:pPr>
      <w:r>
        <w:rPr>
          <w:spacing w:val="-4"/>
          <w:lang w:val="sq-AL"/>
        </w:rPr>
        <w:t xml:space="preserve">Qëllimi kryesor është vërtetimi i përvojës së Konsulentit në trajtimin e projekteve të ngjashme, të paktën gjatë 5 viteve të fundit. Aplikanti duhet të sigurojë referencat përkatëse të projektit që provojnë se ka fituar </w:t>
      </w:r>
      <w:r>
        <w:rPr>
          <w:spacing w:val="-4"/>
          <w:lang w:val="sq-AL"/>
        </w:rPr>
        <w:lastRenderedPageBreak/>
        <w:t xml:space="preserve">përvojë të mjaftueshme në projekte të ngjashme gjatë periudhës së caktuar. Prezantimi i referencave të projektit duhet të paraqesë qëllimin e çdo projekti (burime financiare, njerëzore), çfarë roli do të kryejë ofertuesi në projekt, si është integruar në kontratë për këtë projekt (kontraktuesi kryesor, nënkontraktuesi, partneri etj.) dhe nëse është e përshtatshme, cila pjesë e totalit ka qenë përgjegjës për të prodhuar. Nëse kërkohet, ofertuesi duhet të specifikojë personat e kontaktit që punojnë për Klientët përkatës të cilët mund të trajtojnë kërkesat lidhur me referencat e projektit. </w:t>
      </w:r>
    </w:p>
    <w:p w:rsidR="005C0BD2" w:rsidRDefault="005C0BD2" w:rsidP="005C0BD2">
      <w:pPr>
        <w:pStyle w:val="Paragrafi"/>
        <w:rPr>
          <w:spacing w:val="-4"/>
          <w:lang w:val="sq-AL"/>
        </w:rPr>
      </w:pPr>
      <w:r>
        <w:rPr>
          <w:spacing w:val="-4"/>
          <w:lang w:val="sq-AL"/>
        </w:rPr>
        <w:t xml:space="preserve">Çdo përvojë negative me një ofertues nga projekte të tjera mund të përfshihet në vlerësim vetëm nëse ofertuesi është njoftuar me shkrim, nëse përvojat janë bindëse dhe nëse nuk i paraprijnë periudhës gjatë së cilës duhet të sigurohet përshtatshmëria. </w:t>
      </w:r>
    </w:p>
    <w:p w:rsidR="005C0BD2" w:rsidRDefault="005C0BD2" w:rsidP="005C0BD2">
      <w:pPr>
        <w:pStyle w:val="Paragrafi"/>
        <w:rPr>
          <w:spacing w:val="-4"/>
          <w:lang w:val="sq-AL"/>
        </w:rPr>
      </w:pPr>
      <w:bookmarkStart w:id="14" w:name="page31"/>
      <w:bookmarkEnd w:id="14"/>
      <w:r>
        <w:rPr>
          <w:spacing w:val="-4"/>
          <w:lang w:val="sq-AL"/>
        </w:rPr>
        <w:t>1.2  Përvojë e kushteve të ndryshme të punës në vende në zhvillim, tranzicion apo duke u zhvilluar</w:t>
      </w:r>
    </w:p>
    <w:p w:rsidR="005C0BD2" w:rsidRDefault="005C0BD2" w:rsidP="005C0BD2">
      <w:pPr>
        <w:pStyle w:val="Paragrafi"/>
        <w:rPr>
          <w:spacing w:val="-4"/>
          <w:lang w:val="sq-AL"/>
        </w:rPr>
      </w:pPr>
      <w:r>
        <w:rPr>
          <w:spacing w:val="-4"/>
          <w:lang w:val="sq-AL"/>
        </w:rPr>
        <w:t>Ky kriter mbulon përvojën në kushtet e punës të krahasueshme dhe të ndryshme në vende të ngjashme (gama e përvojës), me theks kryesor te kushtet e punës të krahasueshme. Deklaratat duhet t’u referohen provave të përshtatshme.</w:t>
      </w:r>
    </w:p>
    <w:p w:rsidR="005C0BD2" w:rsidRDefault="005C0BD2" w:rsidP="005C0BD2">
      <w:pPr>
        <w:pStyle w:val="Paragrafi"/>
        <w:rPr>
          <w:spacing w:val="-4"/>
          <w:lang w:val="sq-AL"/>
        </w:rPr>
      </w:pPr>
      <w:r>
        <w:rPr>
          <w:spacing w:val="-4"/>
          <w:lang w:val="sq-AL"/>
        </w:rPr>
        <w:t>1.3</w:t>
      </w:r>
      <w:r>
        <w:rPr>
          <w:spacing w:val="-4"/>
          <w:lang w:val="sq-AL"/>
        </w:rPr>
        <w:tab/>
        <w:t xml:space="preserve"> Përvojë në rajon apo vend, mundësisht në të njëjtin sektor </w:t>
      </w:r>
    </w:p>
    <w:p w:rsidR="005C0BD2" w:rsidRDefault="005C0BD2" w:rsidP="005C0BD2">
      <w:pPr>
        <w:pStyle w:val="Paragrafi"/>
        <w:rPr>
          <w:spacing w:val="-4"/>
          <w:lang w:val="sq-AL"/>
        </w:rPr>
      </w:pPr>
      <w:r>
        <w:rPr>
          <w:spacing w:val="-4"/>
          <w:lang w:val="sq-AL"/>
        </w:rPr>
        <w:t>Termi “rajon” i referohet kryesisht vendit në të cilin ndodhet projekti, por për këtë vlerësim do të konsiderohet përvoja në vende të ngjashme fqinje apo në një rajon më të gjerë gjeografik. Njohuritë mbi sektorin (kur është e përshtatshme mbi disa sektorë</w:t>
      </w:r>
      <w:r>
        <w:rPr>
          <w:rStyle w:val="FootnoteReference"/>
          <w:spacing w:val="-4"/>
          <w:lang w:val="sq-AL"/>
        </w:rPr>
        <w:footnoteReference w:id="13"/>
      </w:r>
      <w:r>
        <w:rPr>
          <w:spacing w:val="-4"/>
          <w:lang w:val="sq-AL"/>
        </w:rPr>
        <w:t>) duhet të tregohen në formën e përshkrimeve të shkurtra të projektit</w:t>
      </w:r>
      <w:r>
        <w:rPr>
          <w:rStyle w:val="FootnoteReference"/>
          <w:spacing w:val="-4"/>
          <w:lang w:val="sq-AL"/>
        </w:rPr>
        <w:footnoteReference w:id="14"/>
      </w:r>
      <w:r>
        <w:rPr>
          <w:spacing w:val="-4"/>
          <w:lang w:val="sq-AL"/>
        </w:rPr>
        <w:t xml:space="preserve">, duke përfshirë një përshkrim të shërbimeve që Konsulenti ka kryer në çdo rast. </w:t>
      </w:r>
    </w:p>
    <w:p w:rsidR="005C0BD2" w:rsidRDefault="005C0BD2" w:rsidP="005C0BD2">
      <w:pPr>
        <w:pStyle w:val="Paragrafi"/>
        <w:rPr>
          <w:spacing w:val="-4"/>
          <w:lang w:val="sq-AL"/>
        </w:rPr>
      </w:pPr>
      <w:r>
        <w:rPr>
          <w:spacing w:val="-4"/>
          <w:lang w:val="sq-AL"/>
        </w:rPr>
        <w:t xml:space="preserve">2.1 Vlerësimi i ekspertizës specifike për këtë projekt në zbatimin e aktiviteteve </w:t>
      </w:r>
    </w:p>
    <w:p w:rsidR="005C0BD2" w:rsidRDefault="005C0BD2" w:rsidP="005C0BD2">
      <w:pPr>
        <w:pStyle w:val="Paragrafi"/>
        <w:rPr>
          <w:spacing w:val="-4"/>
          <w:lang w:val="sq-AL"/>
        </w:rPr>
      </w:pPr>
      <w:r>
        <w:rPr>
          <w:spacing w:val="-4"/>
          <w:lang w:val="sq-AL"/>
        </w:rPr>
        <w:t>Ky kriter është hartuar për të vlerësuar ekspertizën profesionale të ofertuesit për kryerjen e punëve të planifikuara, Ofertuesi duhet të tregojë se mund të japë ekspertizën e kërkuar në fushat e specializimit që nevojiten për zbatimin e aktiviteteve, pa asnjë kufizim. Ofertuesi nuk është i detyruar të caktojë një ekip, por të prezantojë ekspertizën ekzistuese dhe përvojën lidhur me kërkesat profesionale dhe fushat tematike në termat e referencës, të cilat përbëjnë pjesë të dokumenteve të parakualifikimit. Nëse një shoqëri nuk ka njohuritë e nevojshme në të gjitha fushat e kërkuara, mund të rrisë mundësinë duke bashkëpunuar me shoqëri të tjera apo personel të kualifikuar, dhe të paraqesë dëshmi apo prova të njohurive të tyre teknike. Konsulenti duhet të prezantojë në mënyrë të saktë ekspertizën dhe përvojën, duke plotësuar me përshkrimet e projektit, kur është e mundur e plotësuar me një përshkrim të shkurtër të kualifikimeve të anëtarëve të personelit të tij</w:t>
      </w:r>
      <w:r>
        <w:rPr>
          <w:rStyle w:val="FootnoteReference"/>
          <w:spacing w:val="-4"/>
          <w:lang w:val="sq-AL"/>
        </w:rPr>
        <w:footnoteReference w:id="15"/>
      </w:r>
      <w:r>
        <w:rPr>
          <w:spacing w:val="-4"/>
          <w:lang w:val="sq-AL"/>
        </w:rPr>
        <w:t xml:space="preserve"> të cilët janë punësuar për këtë qëllim dhe mbeten në dispozicion.</w:t>
      </w:r>
    </w:p>
    <w:p w:rsidR="005C0BD2" w:rsidRDefault="005C0BD2" w:rsidP="005C0BD2">
      <w:pPr>
        <w:pStyle w:val="Paragrafi"/>
        <w:rPr>
          <w:spacing w:val="-4"/>
          <w:lang w:val="sq-AL"/>
        </w:rPr>
      </w:pPr>
      <w:r>
        <w:rPr>
          <w:spacing w:val="-4"/>
          <w:lang w:val="sq-AL"/>
        </w:rPr>
        <w:t>2.2</w:t>
      </w:r>
      <w:r>
        <w:rPr>
          <w:spacing w:val="-4"/>
          <w:lang w:val="sq-AL"/>
        </w:rPr>
        <w:tab/>
        <w:t xml:space="preserve"> Vlerësimi i nivelit të personelit të ofertuesit në lidhje me shërbimet e kërkuara</w:t>
      </w:r>
    </w:p>
    <w:p w:rsidR="005C0BD2" w:rsidRDefault="005C0BD2" w:rsidP="005C0BD2">
      <w:pPr>
        <w:pStyle w:val="Paragrafi"/>
        <w:rPr>
          <w:spacing w:val="-4"/>
          <w:lang w:val="sq-AL"/>
        </w:rPr>
      </w:pPr>
      <w:r>
        <w:rPr>
          <w:spacing w:val="-4"/>
          <w:lang w:val="sq-AL"/>
        </w:rPr>
        <w:t>Vlerësimi përfshin nëse personeli i brendshëm i ofertuesit është ngushtësisht apo gjerësisht i bazuar në lidhje me shërbimet e kërkuara (personel total, fusha kualifikimi, lëndët, kualifikime speciale). Në varësi të shërbimeve që do të kryhen, aftësia për të trajtuarçështje të cilat dalin në mënyrë të papritur, mund të ketë një rëndësi të veçantë. Këtu vlerësimi fokusohet në fushën e veprimit të burimeve njerëzore të specializuar të personelit të ofertuesit.</w:t>
      </w:r>
    </w:p>
    <w:p w:rsidR="005C0BD2" w:rsidRDefault="005C0BD2" w:rsidP="005C0BD2">
      <w:pPr>
        <w:pStyle w:val="Paragrafi"/>
        <w:rPr>
          <w:spacing w:val="-4"/>
          <w:lang w:val="sq-AL"/>
        </w:rPr>
      </w:pPr>
      <w:r>
        <w:rPr>
          <w:spacing w:val="-4"/>
          <w:lang w:val="sq-AL"/>
        </w:rPr>
        <w:t>2.3 Vlerësimi i personelit kyç në dispozicion të përhershëm për monitorimin dhe mbështetjen e ekipit të projektit nga zyra qendrore</w:t>
      </w:r>
    </w:p>
    <w:p w:rsidR="005C0BD2" w:rsidRDefault="005C0BD2" w:rsidP="005C0BD2">
      <w:pPr>
        <w:pStyle w:val="Paragrafi"/>
        <w:rPr>
          <w:spacing w:val="-4"/>
          <w:lang w:val="sq-AL"/>
        </w:rPr>
      </w:pPr>
      <w:r>
        <w:rPr>
          <w:spacing w:val="-4"/>
          <w:lang w:val="sq-AL"/>
        </w:rPr>
        <w:t>Ky kriter është për vlerësimin e kapacitetit të ofertuesit për drejtimin e projektit dhe sigurimin e cilësisë. Në këtë fazë, ofertuesit nuk i kërkohet të prezantojë ekipin për detyrën, por të provojë se firma ka personelin e kualifikuar me aftësi drejtuese, koordinuese dhe një ekip projekti që mund të kryejë drejtimin e punimeve. Nëse funksionet kyçe monitoruese dhe drejtuese nuk mbulohen nga personeli i ofertuesit, pikët do të zbriten nga vlerësimi; kjo mund të çojë në përjashtimin e ofertuesit nëse i mungojnë burimet. CV-të e detajuara nuk kërkohen për parakualifikimin. Dorëzimi i një tabele që tregon burimet njerëzore të përshtatshme për këto funksione, është i mjaftueshëm</w:t>
      </w:r>
      <w:r>
        <w:rPr>
          <w:rStyle w:val="FootnoteReference"/>
          <w:spacing w:val="-4"/>
          <w:lang w:val="sq-AL"/>
        </w:rPr>
        <w:footnoteReference w:id="16"/>
      </w:r>
    </w:p>
    <w:p w:rsidR="005C0BD2" w:rsidRDefault="005C0BD2" w:rsidP="005C0BD2">
      <w:pPr>
        <w:pStyle w:val="Paragrafi"/>
        <w:rPr>
          <w:spacing w:val="-4"/>
          <w:lang w:val="sq-AL"/>
        </w:rPr>
      </w:pPr>
      <w:r>
        <w:rPr>
          <w:spacing w:val="-4"/>
          <w:lang w:val="sq-AL"/>
        </w:rPr>
        <w:t xml:space="preserve">2.4 A i plotësojnë kriteret formale dokumentet e aplikimit, a janë të plota dhe specifike për projektin? </w:t>
      </w:r>
    </w:p>
    <w:p w:rsidR="005C0BD2" w:rsidRDefault="005C0BD2" w:rsidP="005C0BD2">
      <w:pPr>
        <w:pStyle w:val="Paragrafi"/>
        <w:rPr>
          <w:spacing w:val="-4"/>
          <w:lang w:val="sq-AL"/>
        </w:rPr>
      </w:pPr>
      <w:r>
        <w:rPr>
          <w:spacing w:val="-4"/>
          <w:lang w:val="sq-AL"/>
        </w:rPr>
        <w:t xml:space="preserve">Dokumentet duhet të përpilohen dhe paraqiten në një mënyrë që është specifike për projektin (jo si broshurë), në mënyrë të qartë dhe të kuptueshme. Dokumentacioni shumë i gjerë dhe i pasaktë mund të </w:t>
      </w:r>
      <w:r>
        <w:rPr>
          <w:spacing w:val="-4"/>
          <w:lang w:val="sq-AL"/>
        </w:rPr>
        <w:lastRenderedPageBreak/>
        <w:t xml:space="preserve">kushtojë pikë. </w:t>
      </w:r>
    </w:p>
    <w:p w:rsidR="005C0BD2" w:rsidRDefault="005C0BD2" w:rsidP="005C0BD2">
      <w:pPr>
        <w:pStyle w:val="Paragrafi"/>
        <w:rPr>
          <w:spacing w:val="-4"/>
          <w:sz w:val="14"/>
          <w:lang w:val="sq-AL"/>
        </w:rPr>
      </w:pPr>
    </w:p>
    <w:p w:rsidR="005C0BD2" w:rsidRDefault="005C0BD2" w:rsidP="005C0BD2">
      <w:pPr>
        <w:pStyle w:val="NeniTitull"/>
        <w:rPr>
          <w:b w:val="0"/>
          <w:spacing w:val="-4"/>
          <w:lang w:val="sq-AL"/>
        </w:rPr>
      </w:pPr>
      <w:bookmarkStart w:id="15" w:name="page33"/>
      <w:bookmarkEnd w:id="15"/>
      <w:r>
        <w:rPr>
          <w:b w:val="0"/>
          <w:spacing w:val="-4"/>
          <w:lang w:val="sq-AL"/>
        </w:rPr>
        <w:t>SHTOJCA 6</w:t>
      </w:r>
    </w:p>
    <w:p w:rsidR="005C0BD2" w:rsidRDefault="005C0BD2" w:rsidP="005C0BD2">
      <w:pPr>
        <w:pStyle w:val="Paragrafi"/>
        <w:jc w:val="center"/>
        <w:rPr>
          <w:spacing w:val="-4"/>
          <w:lang w:val="sq-AL"/>
        </w:rPr>
      </w:pPr>
      <w:r>
        <w:rPr>
          <w:spacing w:val="-4"/>
          <w:lang w:val="sq-AL"/>
        </w:rPr>
        <w:t>KOMPONENTËT PËRBËRËS TË KËRKESËS PËR TENDERA</w:t>
      </w:r>
    </w:p>
    <w:p w:rsidR="005C0BD2" w:rsidRDefault="005C0BD2" w:rsidP="005C0BD2">
      <w:pPr>
        <w:pStyle w:val="Paragrafi"/>
        <w:jc w:val="center"/>
        <w:rPr>
          <w:spacing w:val="-4"/>
          <w:sz w:val="14"/>
          <w:lang w:val="sq-AL"/>
        </w:rPr>
      </w:pPr>
    </w:p>
    <w:p w:rsidR="005C0BD2" w:rsidRDefault="005C0BD2" w:rsidP="005C0BD2">
      <w:pPr>
        <w:pStyle w:val="Paragrafi"/>
        <w:rPr>
          <w:spacing w:val="-4"/>
          <w:lang w:val="sq-AL"/>
        </w:rPr>
      </w:pPr>
      <w:r>
        <w:rPr>
          <w:spacing w:val="-4"/>
          <w:lang w:val="sq-AL"/>
        </w:rPr>
        <w:t>Kërkesa për tendera duhet t’iu ofrojë firmave të parakualifikuara të konsulencës informacion të detajuar në projektin e parashikuar dhe shërbimet e kërkuara të konsulencës. Dokumentet duhet të jenë informuese dhe duhet të ofrojnë të gjitha të dhënat e nevojshme për hartimin efikas të ofertave për shërbime dhe kuotat e çmimit. Kjo përfshin fiksimin e detajeve të vlerësimit të ofertave.</w:t>
      </w:r>
    </w:p>
    <w:p w:rsidR="005C0BD2" w:rsidRDefault="005C0BD2" w:rsidP="005C0BD2">
      <w:pPr>
        <w:pStyle w:val="Paragrafi"/>
        <w:rPr>
          <w:spacing w:val="-4"/>
          <w:lang w:val="sq-AL"/>
        </w:rPr>
      </w:pPr>
      <w:r>
        <w:rPr>
          <w:spacing w:val="-4"/>
          <w:lang w:val="sq-AL"/>
        </w:rPr>
        <w:t>Kërkesa për tendera përfshin dokumentet e mëposhtme në gjuhën e zakonshme në transaksionet ndërkombëtare</w:t>
      </w:r>
      <w:r>
        <w:rPr>
          <w:rStyle w:val="FootnoteReference"/>
          <w:spacing w:val="-4"/>
          <w:lang w:val="sq-AL"/>
        </w:rPr>
        <w:footnoteReference w:id="17"/>
      </w:r>
      <w:r>
        <w:rPr>
          <w:spacing w:val="-4"/>
          <w:lang w:val="sq-AL"/>
        </w:rPr>
        <w:t>:</w:t>
      </w:r>
    </w:p>
    <w:p w:rsidR="005C0BD2" w:rsidRDefault="005C0BD2" w:rsidP="005C0BD2">
      <w:pPr>
        <w:pStyle w:val="Paragrafi"/>
        <w:rPr>
          <w:spacing w:val="-4"/>
          <w:lang w:val="sq-AL"/>
        </w:rPr>
      </w:pPr>
      <w:r>
        <w:rPr>
          <w:spacing w:val="-4"/>
          <w:lang w:val="sq-AL"/>
        </w:rPr>
        <w:t xml:space="preserve">1. Ftesë për ofertë </w:t>
      </w:r>
    </w:p>
    <w:p w:rsidR="005C0BD2" w:rsidRDefault="005C0BD2" w:rsidP="005C0BD2">
      <w:pPr>
        <w:pStyle w:val="Paragrafi"/>
        <w:rPr>
          <w:spacing w:val="-4"/>
          <w:lang w:val="sq-AL"/>
        </w:rPr>
      </w:pPr>
      <w:r>
        <w:rPr>
          <w:spacing w:val="-4"/>
          <w:lang w:val="sq-AL"/>
        </w:rPr>
        <w:t>2. Kushtet e tenderit dhe kushtet e kontratës (nëse nuk përfshihet projekt-kontrata e konsulencës, i gjithë informacioni që është i rëndësishëm për përgatitjen e ofertës dhe që ndikon te kostot duhet të renditet veçmas)</w:t>
      </w:r>
    </w:p>
    <w:p w:rsidR="005C0BD2" w:rsidRDefault="005C0BD2" w:rsidP="005C0BD2">
      <w:pPr>
        <w:pStyle w:val="Paragrafi"/>
        <w:rPr>
          <w:spacing w:val="-4"/>
          <w:lang w:val="sq-AL"/>
        </w:rPr>
      </w:pPr>
      <w:r>
        <w:rPr>
          <w:spacing w:val="-4"/>
          <w:lang w:val="sq-AL"/>
        </w:rPr>
        <w:t>3. Termat e referencës</w:t>
      </w:r>
    </w:p>
    <w:p w:rsidR="005C0BD2" w:rsidRDefault="005C0BD2" w:rsidP="005C0BD2">
      <w:pPr>
        <w:pStyle w:val="Paragrafi"/>
        <w:rPr>
          <w:spacing w:val="-6"/>
          <w:lang w:val="sq-AL"/>
        </w:rPr>
      </w:pPr>
      <w:r>
        <w:rPr>
          <w:spacing w:val="-6"/>
          <w:lang w:val="sq-AL"/>
        </w:rPr>
        <w:t>Formatet</w:t>
      </w:r>
      <w:r>
        <w:rPr>
          <w:rStyle w:val="FootnoteReference"/>
          <w:spacing w:val="-6"/>
          <w:lang w:val="sq-AL"/>
        </w:rPr>
        <w:footnoteReference w:id="18"/>
      </w:r>
      <w:r>
        <w:rPr>
          <w:spacing w:val="-6"/>
          <w:lang w:val="sq-AL"/>
        </w:rPr>
        <w:t xml:space="preserve"> mund të parashikohen gjithashtu për prezantimin e ofertës për shërbime dhe kuotimin e çmimit. Nëse nuk parashikohet asnjë format, prezantimi i ofertës për shërbimet dhe kuotimi i çmimit duhet të ndjekin prezantimin lidhur me termat e referencës dhe informacionin për ofertuesit. </w:t>
      </w:r>
    </w:p>
    <w:p w:rsidR="005C0BD2" w:rsidRDefault="005C0BD2" w:rsidP="005C0BD2">
      <w:pPr>
        <w:pStyle w:val="Paragrafi"/>
        <w:rPr>
          <w:spacing w:val="-4"/>
          <w:lang w:val="sq-AL"/>
        </w:rPr>
      </w:pPr>
      <w:r>
        <w:rPr>
          <w:spacing w:val="-4"/>
          <w:lang w:val="sq-AL"/>
        </w:rPr>
        <w:t>Komponentët përbërës të kushteve të tenderit dhe kushteve të kontratës renditen shkurtimisht më poshtë. Kjo listë nuk është gjithëpërfshirëse. Dokumentet e tenderit duhet të përshtaten, të detajohen më shumë dhe kur është e mundur të plotësohen në përputhje me kërkesat e projektit.</w:t>
      </w:r>
    </w:p>
    <w:p w:rsidR="005C0BD2" w:rsidRDefault="005C0BD2" w:rsidP="005C0BD2">
      <w:pPr>
        <w:pStyle w:val="Paragrafi"/>
        <w:rPr>
          <w:b/>
          <w:spacing w:val="-4"/>
          <w:lang w:val="sq-AL"/>
        </w:rPr>
      </w:pPr>
      <w:r>
        <w:rPr>
          <w:b/>
          <w:spacing w:val="-4"/>
          <w:lang w:val="sq-AL"/>
        </w:rPr>
        <w:t xml:space="preserve">1. Elementet e përgjithshme </w:t>
      </w:r>
    </w:p>
    <w:p w:rsidR="005C0BD2" w:rsidRDefault="005C0BD2" w:rsidP="005C0BD2">
      <w:pPr>
        <w:pStyle w:val="Paragrafi"/>
        <w:rPr>
          <w:spacing w:val="-4"/>
          <w:lang w:val="sq-AL"/>
        </w:rPr>
      </w:pPr>
      <w:r>
        <w:rPr>
          <w:spacing w:val="-4"/>
          <w:lang w:val="sq-AL"/>
        </w:rPr>
        <w:t>- Emri i Klientit dhe Agjencisë së Zbatimit të Projektit, nëse janë të ndryshëm.</w:t>
      </w:r>
    </w:p>
    <w:p w:rsidR="005C0BD2" w:rsidRDefault="005C0BD2" w:rsidP="005C0BD2">
      <w:pPr>
        <w:pStyle w:val="Paragrafi"/>
        <w:rPr>
          <w:spacing w:val="-4"/>
          <w:lang w:val="sq-AL"/>
        </w:rPr>
      </w:pPr>
      <w:r>
        <w:rPr>
          <w:spacing w:val="-4"/>
          <w:lang w:val="sq-AL"/>
        </w:rPr>
        <w:t>- Procedura me dy zarfe: oferta për shërbimet dhe kuotat e çmimit të dërgohen veçmas, në dy zarfe të vulosur.</w:t>
      </w:r>
    </w:p>
    <w:p w:rsidR="005C0BD2" w:rsidRDefault="005C0BD2" w:rsidP="005C0BD2">
      <w:pPr>
        <w:pStyle w:val="Paragrafi"/>
        <w:rPr>
          <w:spacing w:val="-4"/>
          <w:lang w:val="sq-AL"/>
        </w:rPr>
      </w:pPr>
      <w:r>
        <w:rPr>
          <w:spacing w:val="-4"/>
          <w:lang w:val="sq-AL"/>
        </w:rPr>
        <w:t>- Gjuha e hartimit të ofertës.</w:t>
      </w:r>
    </w:p>
    <w:p w:rsidR="005C0BD2" w:rsidRDefault="005C0BD2" w:rsidP="005C0BD2">
      <w:pPr>
        <w:pStyle w:val="Paragrafi"/>
        <w:rPr>
          <w:spacing w:val="-4"/>
          <w:lang w:val="sq-AL"/>
        </w:rPr>
      </w:pPr>
      <w:r>
        <w:rPr>
          <w:spacing w:val="-4"/>
          <w:lang w:val="sq-AL"/>
        </w:rPr>
        <w:t>- Vizitë informimi në terren (me rrezikun dhe shpenzimet e veta të ofertuesit).</w:t>
      </w:r>
    </w:p>
    <w:p w:rsidR="005C0BD2" w:rsidRDefault="005C0BD2" w:rsidP="005C0BD2">
      <w:pPr>
        <w:pStyle w:val="Paragrafi"/>
        <w:rPr>
          <w:spacing w:val="-4"/>
          <w:lang w:val="sq-AL"/>
        </w:rPr>
      </w:pPr>
      <w:r>
        <w:rPr>
          <w:spacing w:val="-4"/>
          <w:lang w:val="sq-AL"/>
        </w:rPr>
        <w:t>- Kërkesat lejohen vetëm me shkrim, përgjigjet do t’iu dërgohen të gjithë ofertuesve, njëkohësisht dhe në kohën e duhur, por jo më vonë se katërmbëdhjetë ditë kalendarike brenda afatit të dorëzimit.</w:t>
      </w:r>
    </w:p>
    <w:p w:rsidR="005C0BD2" w:rsidRDefault="005C0BD2" w:rsidP="005C0BD2">
      <w:pPr>
        <w:pStyle w:val="Paragrafi"/>
        <w:rPr>
          <w:spacing w:val="-4"/>
          <w:lang w:val="sq-AL"/>
        </w:rPr>
      </w:pPr>
      <w:r>
        <w:rPr>
          <w:spacing w:val="-4"/>
          <w:lang w:val="sq-AL"/>
        </w:rPr>
        <w:t>- Ofertuesit e parakualifikuar mund të krijojnë ndërmarrje të përbashkëta vetëm me miratimin e Klientit dhe KfW-së, me kusht që ato të mos pengojnë konkurrencën.</w:t>
      </w:r>
    </w:p>
    <w:p w:rsidR="005C0BD2" w:rsidRDefault="005C0BD2" w:rsidP="005C0BD2">
      <w:pPr>
        <w:pStyle w:val="Paragrafi"/>
        <w:rPr>
          <w:spacing w:val="-4"/>
          <w:lang w:val="sq-AL"/>
        </w:rPr>
      </w:pPr>
      <w:r>
        <w:rPr>
          <w:spacing w:val="-4"/>
          <w:lang w:val="sq-AL"/>
        </w:rPr>
        <w:t>- Duhet arsyetuar çdo ndryshim në përbërjen e ndërmarrjeve të përbashkëta të parakualifikuara ose shkrirjen e tyre, dhe këto duhet të miratohen, në të kundërt ofertuesit do të përjashtohen nga procedura e kontraktimit.</w:t>
      </w:r>
    </w:p>
    <w:p w:rsidR="005C0BD2" w:rsidRDefault="005C0BD2" w:rsidP="005C0BD2">
      <w:pPr>
        <w:pStyle w:val="Paragrafi"/>
        <w:rPr>
          <w:spacing w:val="-4"/>
          <w:lang w:val="sq-AL"/>
        </w:rPr>
      </w:pPr>
      <w:r>
        <w:rPr>
          <w:spacing w:val="-4"/>
          <w:lang w:val="sq-AL"/>
        </w:rPr>
        <w:t xml:space="preserve">- Emrat e konsulentëve të parazgjedhur. </w:t>
      </w:r>
    </w:p>
    <w:p w:rsidR="005C0BD2" w:rsidRDefault="005C0BD2" w:rsidP="005C0BD2">
      <w:pPr>
        <w:pStyle w:val="Paragrafi"/>
        <w:rPr>
          <w:b/>
          <w:spacing w:val="-4"/>
          <w:lang w:val="sq-AL"/>
        </w:rPr>
      </w:pPr>
      <w:r>
        <w:rPr>
          <w:b/>
          <w:spacing w:val="-4"/>
          <w:lang w:val="sq-AL"/>
        </w:rPr>
        <w:t xml:space="preserve">2. Dorëzimi i ofertave </w:t>
      </w:r>
    </w:p>
    <w:p w:rsidR="005C0BD2" w:rsidRDefault="005C0BD2" w:rsidP="005C0BD2">
      <w:pPr>
        <w:pStyle w:val="Paragrafi"/>
        <w:rPr>
          <w:spacing w:val="-4"/>
          <w:lang w:val="sq-AL"/>
        </w:rPr>
      </w:pPr>
      <w:r>
        <w:rPr>
          <w:spacing w:val="-4"/>
          <w:lang w:val="sq-AL"/>
        </w:rPr>
        <w:t>- Ofertat i dorëzohen Klientit dhe KfW-së.</w:t>
      </w:r>
    </w:p>
    <w:p w:rsidR="005C0BD2" w:rsidRDefault="005C0BD2" w:rsidP="005C0BD2">
      <w:pPr>
        <w:pStyle w:val="Paragrafi"/>
        <w:rPr>
          <w:spacing w:val="-4"/>
          <w:lang w:val="sq-AL"/>
        </w:rPr>
      </w:pPr>
      <w:r>
        <w:rPr>
          <w:spacing w:val="-4"/>
          <w:lang w:val="sq-AL"/>
        </w:rPr>
        <w:t>- Data dhe ora e dorëzimit (në zonën UTC/GMT); ofertuesit duhet të kenë në dispozicion të paktën 45 ditë kohë për të bërë ofertat e tyre, dhe më shumë ditë nëse puna është komplekse.</w:t>
      </w:r>
    </w:p>
    <w:p w:rsidR="005C0BD2" w:rsidRDefault="005C0BD2" w:rsidP="005C0BD2">
      <w:pPr>
        <w:pStyle w:val="Paragrafi"/>
        <w:rPr>
          <w:spacing w:val="-4"/>
          <w:lang w:val="sq-AL"/>
        </w:rPr>
      </w:pPr>
      <w:r>
        <w:rPr>
          <w:spacing w:val="-4"/>
          <w:lang w:val="sq-AL"/>
        </w:rPr>
        <w:t>- Ofertat i dorëzohen Klientit dhe KfW-së.</w:t>
      </w:r>
    </w:p>
    <w:p w:rsidR="005C0BD2" w:rsidRDefault="005C0BD2" w:rsidP="005C0BD2">
      <w:pPr>
        <w:pStyle w:val="Paragrafi"/>
        <w:rPr>
          <w:spacing w:val="-4"/>
          <w:lang w:val="sq-AL"/>
        </w:rPr>
      </w:pPr>
      <w:r>
        <w:rPr>
          <w:spacing w:val="-4"/>
          <w:lang w:val="sq-AL"/>
        </w:rPr>
        <w:t>- Vendi ku duhet kryer dorëzimi sipas afatit është …………………</w:t>
      </w:r>
    </w:p>
    <w:p w:rsidR="005C0BD2" w:rsidRDefault="005C0BD2" w:rsidP="005C0BD2">
      <w:pPr>
        <w:pStyle w:val="Paragrafi"/>
        <w:rPr>
          <w:spacing w:val="-4"/>
          <w:lang w:val="sq-AL"/>
        </w:rPr>
      </w:pPr>
      <w:r>
        <w:rPr>
          <w:spacing w:val="-4"/>
          <w:lang w:val="sq-AL"/>
        </w:rPr>
        <w:t>- Adresa e Klientit/organit që bën ftesën për tendera për marrjen e ofertave, në një kopje origjinale dhe në një numër specifik kopjesh.</w:t>
      </w:r>
    </w:p>
    <w:p w:rsidR="005C0BD2" w:rsidRDefault="005C0BD2" w:rsidP="005C0BD2">
      <w:pPr>
        <w:pStyle w:val="Paragrafi"/>
        <w:rPr>
          <w:spacing w:val="-4"/>
          <w:lang w:val="sq-AL"/>
        </w:rPr>
      </w:pPr>
      <w:r>
        <w:rPr>
          <w:spacing w:val="-4"/>
          <w:lang w:val="sq-AL"/>
        </w:rPr>
        <w:t>- Adresa e KfW-së, numër specifik kopjesh.</w:t>
      </w:r>
    </w:p>
    <w:p w:rsidR="005C0BD2" w:rsidRDefault="005C0BD2" w:rsidP="005C0BD2">
      <w:pPr>
        <w:pStyle w:val="Paragrafi"/>
        <w:rPr>
          <w:spacing w:val="-4"/>
          <w:lang w:val="sq-AL"/>
        </w:rPr>
      </w:pPr>
      <w:r>
        <w:rPr>
          <w:spacing w:val="-4"/>
          <w:lang w:val="sq-AL"/>
        </w:rPr>
        <w:t>- Takim publik për dorëzimin.</w:t>
      </w:r>
    </w:p>
    <w:p w:rsidR="005C0BD2" w:rsidRDefault="005C0BD2" w:rsidP="005C0BD2">
      <w:pPr>
        <w:pStyle w:val="Paragrafi"/>
        <w:rPr>
          <w:spacing w:val="-4"/>
          <w:lang w:val="sq-AL"/>
        </w:rPr>
      </w:pPr>
      <w:r>
        <w:rPr>
          <w:spacing w:val="-4"/>
          <w:lang w:val="sq-AL"/>
        </w:rPr>
        <w:t xml:space="preserve">- Afati detyrues për ofertat për shërbime dhe kuotat e çmimit; pa obligacionet e performancës/ përmbushjes. </w:t>
      </w:r>
    </w:p>
    <w:p w:rsidR="005C0BD2" w:rsidRDefault="005C0BD2" w:rsidP="005C0BD2">
      <w:pPr>
        <w:pStyle w:val="Paragrafi"/>
        <w:rPr>
          <w:b/>
          <w:spacing w:val="-4"/>
          <w:lang w:val="sq-AL"/>
        </w:rPr>
      </w:pPr>
      <w:r>
        <w:rPr>
          <w:b/>
          <w:spacing w:val="-4"/>
          <w:lang w:val="sq-AL"/>
        </w:rPr>
        <w:t>3. Përmbajtja e ofertës për shërbime</w:t>
      </w:r>
    </w:p>
    <w:p w:rsidR="005C0BD2" w:rsidRDefault="005C0BD2" w:rsidP="005C0BD2">
      <w:pPr>
        <w:pStyle w:val="Paragrafi"/>
        <w:rPr>
          <w:spacing w:val="-4"/>
          <w:lang w:val="sq-AL"/>
        </w:rPr>
      </w:pPr>
      <w:r>
        <w:rPr>
          <w:spacing w:val="-4"/>
          <w:lang w:val="sq-AL"/>
        </w:rPr>
        <w:t>- Analiza kritike e termave të referencës;</w:t>
      </w:r>
    </w:p>
    <w:p w:rsidR="005C0BD2" w:rsidRDefault="005C0BD2" w:rsidP="005C0BD2">
      <w:pPr>
        <w:pStyle w:val="Paragrafi"/>
        <w:rPr>
          <w:spacing w:val="-4"/>
          <w:lang w:val="sq-AL"/>
        </w:rPr>
      </w:pPr>
      <w:r>
        <w:rPr>
          <w:spacing w:val="-4"/>
          <w:lang w:val="sq-AL"/>
        </w:rPr>
        <w:t>- Koncepti dhe metodat;</w:t>
      </w:r>
    </w:p>
    <w:p w:rsidR="005C0BD2" w:rsidRDefault="005C0BD2" w:rsidP="005C0BD2">
      <w:pPr>
        <w:pStyle w:val="Paragrafi"/>
        <w:rPr>
          <w:spacing w:val="-4"/>
          <w:lang w:val="sq-AL"/>
        </w:rPr>
      </w:pPr>
      <w:r>
        <w:rPr>
          <w:spacing w:val="-4"/>
          <w:lang w:val="sq-AL"/>
        </w:rPr>
        <w:t>- Organizimi dhe logjistika;</w:t>
      </w:r>
    </w:p>
    <w:p w:rsidR="005C0BD2" w:rsidRDefault="005C0BD2" w:rsidP="005C0BD2">
      <w:pPr>
        <w:pStyle w:val="Paragrafi"/>
        <w:rPr>
          <w:spacing w:val="-4"/>
          <w:lang w:val="sq-AL"/>
        </w:rPr>
      </w:pPr>
      <w:r>
        <w:rPr>
          <w:spacing w:val="-4"/>
          <w:lang w:val="sq-AL"/>
        </w:rPr>
        <w:lastRenderedPageBreak/>
        <w:t>- Orari dhe programimi i personelit;</w:t>
      </w:r>
    </w:p>
    <w:p w:rsidR="005C0BD2" w:rsidRDefault="005C0BD2" w:rsidP="005C0BD2">
      <w:pPr>
        <w:pStyle w:val="Paragrafi"/>
        <w:rPr>
          <w:spacing w:val="-4"/>
          <w:lang w:val="sq-AL"/>
        </w:rPr>
      </w:pPr>
      <w:r>
        <w:rPr>
          <w:spacing w:val="-4"/>
          <w:lang w:val="sq-AL"/>
        </w:rPr>
        <w:t>- Përbërja dhe CV-të e ekipit të projektit, duke përfshirë personelin mbështetës dhe kontratat me pagesë të vetme vetëm për personelin kyç;</w:t>
      </w:r>
    </w:p>
    <w:p w:rsidR="005C0BD2" w:rsidRDefault="005C0BD2" w:rsidP="005C0BD2">
      <w:pPr>
        <w:pStyle w:val="Paragrafi"/>
        <w:rPr>
          <w:spacing w:val="-4"/>
          <w:lang w:val="sq-AL"/>
        </w:rPr>
      </w:pPr>
      <w:r>
        <w:rPr>
          <w:spacing w:val="-4"/>
          <w:lang w:val="sq-AL"/>
        </w:rPr>
        <w:t>- Shpjegim i detyrës së secilit anëtar të ekipit;</w:t>
      </w:r>
    </w:p>
    <w:p w:rsidR="005C0BD2" w:rsidRDefault="005C0BD2" w:rsidP="005C0BD2">
      <w:pPr>
        <w:pStyle w:val="Paragrafi"/>
        <w:rPr>
          <w:spacing w:val="-4"/>
          <w:lang w:val="sq-AL"/>
        </w:rPr>
      </w:pPr>
      <w:r>
        <w:rPr>
          <w:spacing w:val="-4"/>
          <w:lang w:val="sq-AL"/>
        </w:rPr>
        <w:t>- Raport për shërbimet mbështetëse të parashikuara nga zyra qendrore;</w:t>
      </w:r>
    </w:p>
    <w:p w:rsidR="005C0BD2" w:rsidRDefault="005C0BD2" w:rsidP="005C0BD2">
      <w:pPr>
        <w:pStyle w:val="Paragrafi"/>
        <w:rPr>
          <w:spacing w:val="-4"/>
          <w:lang w:val="sq-AL"/>
        </w:rPr>
      </w:pPr>
      <w:r>
        <w:rPr>
          <w:spacing w:val="-4"/>
          <w:lang w:val="sq-AL"/>
        </w:rPr>
        <w:t>- Shërbimet që do të ofrohen nga nënkontraktuesët;</w:t>
      </w:r>
    </w:p>
    <w:p w:rsidR="005C0BD2" w:rsidRDefault="005C0BD2" w:rsidP="005C0BD2">
      <w:pPr>
        <w:pStyle w:val="Paragrafi"/>
        <w:rPr>
          <w:spacing w:val="-4"/>
          <w:lang w:val="sq-AL"/>
        </w:rPr>
      </w:pPr>
      <w:r>
        <w:rPr>
          <w:spacing w:val="-4"/>
          <w:lang w:val="sq-AL"/>
        </w:rPr>
        <w:t>- Deklarata e firmave/shoqërive partnere;</w:t>
      </w:r>
    </w:p>
    <w:p w:rsidR="005C0BD2" w:rsidRDefault="005C0BD2" w:rsidP="005C0BD2">
      <w:pPr>
        <w:pStyle w:val="Paragrafi"/>
        <w:rPr>
          <w:spacing w:val="-4"/>
          <w:lang w:val="sq-AL"/>
        </w:rPr>
      </w:pPr>
      <w:r>
        <w:rPr>
          <w:spacing w:val="-4"/>
          <w:lang w:val="sq-AL"/>
        </w:rPr>
        <w:t>- Deklarata e shërbimeve ose furnizimeve të tjera të ofruara nga Klienti (p.sh. ambientet e zyrës, transporti, pajisjet etj.).</w:t>
      </w:r>
    </w:p>
    <w:p w:rsidR="005C0BD2" w:rsidRDefault="005C0BD2" w:rsidP="005C0BD2">
      <w:pPr>
        <w:pStyle w:val="Paragrafi"/>
        <w:rPr>
          <w:spacing w:val="-4"/>
          <w:lang w:val="sq-AL"/>
        </w:rPr>
      </w:pPr>
      <w:r>
        <w:rPr>
          <w:spacing w:val="-4"/>
          <w:lang w:val="sq-AL"/>
        </w:rPr>
        <w:t xml:space="preserve">Kur është ndjekur procedura e parakualifikimit, as referencat dhe as deklarata e pranimit të përgjegjësisë (shihni shtojcën 4) nuk duhen ridorëzuar. </w:t>
      </w:r>
    </w:p>
    <w:p w:rsidR="005C0BD2" w:rsidRPr="005C0BD2" w:rsidRDefault="005C0BD2" w:rsidP="005C0BD2">
      <w:pPr>
        <w:pStyle w:val="Paragrafi"/>
        <w:rPr>
          <w:b/>
          <w:spacing w:val="-4"/>
          <w:lang w:val="sq-AL"/>
        </w:rPr>
      </w:pPr>
      <w:r w:rsidRPr="005C0BD2">
        <w:rPr>
          <w:b/>
          <w:spacing w:val="-4"/>
          <w:lang w:val="sq-AL"/>
        </w:rPr>
        <w:t>4. Përmbajtja për kuotimin e çmimit</w:t>
      </w:r>
    </w:p>
    <w:p w:rsidR="005C0BD2" w:rsidRDefault="005C0BD2" w:rsidP="005C0BD2">
      <w:pPr>
        <w:pStyle w:val="Paragrafi"/>
        <w:rPr>
          <w:spacing w:val="-4"/>
          <w:lang w:val="sq-AL"/>
        </w:rPr>
      </w:pPr>
      <w:r>
        <w:rPr>
          <w:spacing w:val="-4"/>
          <w:lang w:val="sq-AL"/>
        </w:rPr>
        <w:t>- Struktura e kuotimit të çmimit (kur është e përshtatshme, formati i parashikuar).</w:t>
      </w:r>
    </w:p>
    <w:p w:rsidR="005C0BD2" w:rsidRDefault="005C0BD2" w:rsidP="005C0BD2">
      <w:pPr>
        <w:pStyle w:val="Paragrafi"/>
        <w:rPr>
          <w:spacing w:val="-4"/>
          <w:lang w:val="sq-AL"/>
        </w:rPr>
      </w:pPr>
      <w:r>
        <w:rPr>
          <w:spacing w:val="-4"/>
          <w:lang w:val="sq-AL"/>
        </w:rPr>
        <w:t>- Valuta që do të përdoret (kostot e këmbimit valutor për valutën e huaj, kostot vendore në valutën kombëtare).</w:t>
      </w:r>
    </w:p>
    <w:p w:rsidR="005C0BD2" w:rsidRDefault="005C0BD2" w:rsidP="005C0BD2">
      <w:pPr>
        <w:pStyle w:val="Paragrafi"/>
        <w:rPr>
          <w:spacing w:val="-4"/>
          <w:lang w:val="sq-AL"/>
        </w:rPr>
      </w:pPr>
      <w:r>
        <w:rPr>
          <w:spacing w:val="-4"/>
          <w:lang w:val="sq-AL"/>
        </w:rPr>
        <w:t>- Tarifat (të paraqitura veçmas sipas përqindjeve mujore të personelit të ekspertëve,</w:t>
      </w:r>
      <w:r>
        <w:rPr>
          <w:rStyle w:val="FootnoteReference"/>
          <w:spacing w:val="-4"/>
          <w:lang w:val="sq-AL"/>
        </w:rPr>
        <w:footnoteReference w:id="19"/>
      </w:r>
      <w:r>
        <w:rPr>
          <w:spacing w:val="-4"/>
          <w:lang w:val="sq-AL"/>
        </w:rPr>
        <w:t xml:space="preserve"> pagesa në valutë të huaj, kostot për jetesën dhe akomodimin në vendin e ofrimit të shërbimit).</w:t>
      </w:r>
    </w:p>
    <w:p w:rsidR="005C0BD2" w:rsidRDefault="005C0BD2" w:rsidP="005C0BD2">
      <w:pPr>
        <w:pStyle w:val="Paragrafi"/>
        <w:rPr>
          <w:spacing w:val="-4"/>
          <w:lang w:val="sq-AL"/>
        </w:rPr>
      </w:pPr>
      <w:r>
        <w:rPr>
          <w:spacing w:val="-4"/>
          <w:lang w:val="sq-AL"/>
        </w:rPr>
        <w:t>- Kostot e transportit ndërmjet vendit të origjinës dhe vendit të ofrimit të shërbimit.</w:t>
      </w:r>
    </w:p>
    <w:p w:rsidR="005C0BD2" w:rsidRDefault="005C0BD2" w:rsidP="005C0BD2">
      <w:pPr>
        <w:pStyle w:val="Paragrafi"/>
        <w:rPr>
          <w:spacing w:val="-4"/>
          <w:lang w:val="sq-AL"/>
        </w:rPr>
      </w:pPr>
      <w:r>
        <w:rPr>
          <w:spacing w:val="-4"/>
          <w:lang w:val="sq-AL"/>
        </w:rPr>
        <w:t>- Kostot e transportit vendor.</w:t>
      </w:r>
    </w:p>
    <w:p w:rsidR="005C0BD2" w:rsidRDefault="005C0BD2" w:rsidP="005C0BD2">
      <w:pPr>
        <w:pStyle w:val="Paragrafi"/>
        <w:rPr>
          <w:spacing w:val="-6"/>
          <w:lang w:val="sq-AL"/>
        </w:rPr>
      </w:pPr>
      <w:r>
        <w:rPr>
          <w:spacing w:val="-6"/>
          <w:lang w:val="sq-AL"/>
        </w:rPr>
        <w:t>- Kostot e zyrës në vendin e ofrimit të shërbimit.</w:t>
      </w:r>
    </w:p>
    <w:p w:rsidR="005C0BD2" w:rsidRDefault="005C0BD2" w:rsidP="005C0BD2">
      <w:pPr>
        <w:pStyle w:val="Paragrafi"/>
        <w:rPr>
          <w:spacing w:val="-4"/>
          <w:lang w:val="sq-AL"/>
        </w:rPr>
      </w:pPr>
      <w:r>
        <w:rPr>
          <w:spacing w:val="-4"/>
          <w:lang w:val="sq-AL"/>
        </w:rPr>
        <w:t>- Blerje.</w:t>
      </w:r>
    </w:p>
    <w:p w:rsidR="005C0BD2" w:rsidRDefault="005C0BD2" w:rsidP="005C0BD2">
      <w:pPr>
        <w:pStyle w:val="Paragrafi"/>
        <w:rPr>
          <w:spacing w:val="-4"/>
          <w:lang w:val="sq-AL"/>
        </w:rPr>
      </w:pPr>
      <w:r>
        <w:rPr>
          <w:spacing w:val="-4"/>
          <w:lang w:val="sq-AL"/>
        </w:rPr>
        <w:t>- Hartimi i raporteve.</w:t>
      </w:r>
    </w:p>
    <w:p w:rsidR="005C0BD2" w:rsidRDefault="005C0BD2" w:rsidP="005C0BD2">
      <w:pPr>
        <w:pStyle w:val="Paragrafi"/>
        <w:rPr>
          <w:spacing w:val="-4"/>
          <w:lang w:val="sq-AL"/>
        </w:rPr>
      </w:pPr>
      <w:r>
        <w:rPr>
          <w:spacing w:val="-4"/>
          <w:lang w:val="sq-AL"/>
        </w:rPr>
        <w:t>- Kostot e tjera (në përgjithësi këto mund të jenë vetëm kosto për nënkontraktimin, qiramarrja e pajisjeve, testet laboratorike, shpime etj.); çdo kosto duhet arsyetuar.</w:t>
      </w:r>
    </w:p>
    <w:p w:rsidR="005C0BD2" w:rsidRDefault="005C0BD2" w:rsidP="005C0BD2">
      <w:pPr>
        <w:pStyle w:val="Paragrafi"/>
        <w:rPr>
          <w:b/>
          <w:spacing w:val="-4"/>
          <w:lang w:val="sq-AL"/>
        </w:rPr>
      </w:pPr>
      <w:r>
        <w:rPr>
          <w:b/>
          <w:spacing w:val="-4"/>
          <w:lang w:val="sq-AL"/>
        </w:rPr>
        <w:t xml:space="preserve">5. Mënyrat e pagesës </w:t>
      </w:r>
    </w:p>
    <w:p w:rsidR="005C0BD2" w:rsidRDefault="005C0BD2" w:rsidP="005C0BD2">
      <w:pPr>
        <w:pStyle w:val="Paragrafi"/>
        <w:rPr>
          <w:spacing w:val="-4"/>
          <w:lang w:val="sq-AL"/>
        </w:rPr>
      </w:pPr>
      <w:r>
        <w:rPr>
          <w:spacing w:val="-4"/>
          <w:lang w:val="sq-AL"/>
        </w:rPr>
        <w:t>- Lloji i kontratës (shpërblimi me pagesë të vetme ose bazuar në punën e kryer).</w:t>
      </w:r>
    </w:p>
    <w:p w:rsidR="005C0BD2" w:rsidRDefault="005C0BD2" w:rsidP="005C0BD2">
      <w:pPr>
        <w:pStyle w:val="Paragrafi"/>
        <w:rPr>
          <w:spacing w:val="-4"/>
          <w:lang w:val="sq-AL"/>
        </w:rPr>
      </w:pPr>
      <w:r>
        <w:rPr>
          <w:spacing w:val="-4"/>
          <w:lang w:val="sq-AL"/>
        </w:rPr>
        <w:t>- Valuta.</w:t>
      </w:r>
    </w:p>
    <w:p w:rsidR="005C0BD2" w:rsidRDefault="005C0BD2" w:rsidP="005C0BD2">
      <w:pPr>
        <w:pStyle w:val="Paragrafi"/>
        <w:rPr>
          <w:spacing w:val="-4"/>
          <w:lang w:val="sq-AL"/>
        </w:rPr>
      </w:pPr>
      <w:r>
        <w:rPr>
          <w:spacing w:val="-4"/>
          <w:lang w:val="sq-AL"/>
        </w:rPr>
        <w:t>- Çmime fikse/të shkallëzuara; kur është e përshtatshme, deklarata e formulës për shkallëzimin e çmimit (ndryshime në çmim vetëm bazuar në statistika zyrtare).</w:t>
      </w:r>
    </w:p>
    <w:p w:rsidR="005C0BD2" w:rsidRDefault="005C0BD2" w:rsidP="005C0BD2">
      <w:pPr>
        <w:pStyle w:val="Paragrafi"/>
        <w:rPr>
          <w:spacing w:val="-4"/>
          <w:lang w:val="sq-AL"/>
        </w:rPr>
      </w:pPr>
      <w:r>
        <w:rPr>
          <w:spacing w:val="-4"/>
          <w:lang w:val="sq-AL"/>
        </w:rPr>
        <w:t>- Marrëveshje për pagesën e tarifave dhe taksave doganore dhe akcizës; duhet deklaruar nëse Konsulenti përjashtohet nga taksat, tarifat doganore dhe akciza, pagesat dhe detyrimet në vendin e Klientit (kur është e përshtatshme, nuk mund të jepet deklaratë për taksat dhe detyrimet nga përjashtimi) ose garanci se këto shpenzime do të rimbursohen nga Klienti.</w:t>
      </w:r>
    </w:p>
    <w:p w:rsidR="005C0BD2" w:rsidRDefault="005C0BD2" w:rsidP="005C0BD2">
      <w:pPr>
        <w:pStyle w:val="Paragrafi"/>
        <w:rPr>
          <w:spacing w:val="-4"/>
          <w:lang w:val="sq-AL"/>
        </w:rPr>
      </w:pPr>
      <w:r>
        <w:rPr>
          <w:spacing w:val="-4"/>
          <w:lang w:val="sq-AL"/>
        </w:rPr>
        <w:t>- Mënyra e pagesës; obligacione të parapaguara (shihni shtesën 1 te shtojca 8); kur është e përshtatshme, obligacione mirëmbajtjeje (shihni shtesën 2 te shtojca 8), kriteret për disbursimin e pagesave të ndërmjetme/përfundimtare.</w:t>
      </w:r>
    </w:p>
    <w:p w:rsidR="005C0BD2" w:rsidRDefault="005C0BD2" w:rsidP="005C0BD2">
      <w:pPr>
        <w:pStyle w:val="Paragrafi"/>
        <w:rPr>
          <w:spacing w:val="-4"/>
          <w:lang w:val="sq-AL"/>
        </w:rPr>
      </w:pPr>
      <w:r>
        <w:rPr>
          <w:spacing w:val="-4"/>
          <w:lang w:val="sq-AL"/>
        </w:rPr>
        <w:t>- Nëse Konsulenti kërkon një mënyrë tjetër pagese, ai duhet ta arsyetojë këtë.</w:t>
      </w:r>
    </w:p>
    <w:p w:rsidR="005C0BD2" w:rsidRDefault="005C0BD2" w:rsidP="005C0BD2">
      <w:pPr>
        <w:pStyle w:val="Paragrafi"/>
        <w:rPr>
          <w:b/>
          <w:spacing w:val="-4"/>
          <w:lang w:val="sq-AL"/>
        </w:rPr>
      </w:pPr>
      <w:r>
        <w:rPr>
          <w:b/>
          <w:spacing w:val="-4"/>
          <w:lang w:val="sq-AL"/>
        </w:rPr>
        <w:t>6. Organizimi i kryerjes së shërbimeve</w:t>
      </w:r>
    </w:p>
    <w:p w:rsidR="005C0BD2" w:rsidRDefault="005C0BD2" w:rsidP="005C0BD2">
      <w:pPr>
        <w:pStyle w:val="Paragrafi"/>
        <w:rPr>
          <w:spacing w:val="-4"/>
          <w:lang w:val="sq-AL"/>
        </w:rPr>
      </w:pPr>
      <w:r>
        <w:rPr>
          <w:spacing w:val="-4"/>
          <w:lang w:val="sq-AL"/>
        </w:rPr>
        <w:t>- Kohëzgjatja totale e pritshme; data e pritshme e fillimit të punës; kur është e përshtatshme, ndarje në faza.</w:t>
      </w:r>
    </w:p>
    <w:p w:rsidR="005C0BD2" w:rsidRDefault="005C0BD2" w:rsidP="005C0BD2">
      <w:pPr>
        <w:pStyle w:val="Paragrafi"/>
        <w:rPr>
          <w:spacing w:val="-4"/>
          <w:lang w:val="sq-AL"/>
        </w:rPr>
      </w:pPr>
      <w:r>
        <w:rPr>
          <w:spacing w:val="-4"/>
          <w:lang w:val="sq-AL"/>
        </w:rPr>
        <w:t>- Caktimi i personit të kontaktit në organizatën e Klientit.</w:t>
      </w:r>
    </w:p>
    <w:p w:rsidR="005C0BD2" w:rsidRDefault="005C0BD2" w:rsidP="005C0BD2">
      <w:pPr>
        <w:pStyle w:val="Paragrafi"/>
        <w:rPr>
          <w:spacing w:val="-4"/>
          <w:lang w:val="sq-AL"/>
        </w:rPr>
      </w:pPr>
      <w:r>
        <w:rPr>
          <w:spacing w:val="-4"/>
          <w:lang w:val="sq-AL"/>
        </w:rPr>
        <w:t>- Nëse është e zbatueshme, rekomandim/ kërkesë për bashkëpunim me Konsulentin/ ekspertët me përvojë vendëse.</w:t>
      </w:r>
    </w:p>
    <w:p w:rsidR="005C0BD2" w:rsidRDefault="005C0BD2" w:rsidP="005C0BD2">
      <w:pPr>
        <w:pStyle w:val="Paragrafi"/>
        <w:rPr>
          <w:spacing w:val="-4"/>
          <w:lang w:val="sq-AL"/>
        </w:rPr>
      </w:pPr>
      <w:r>
        <w:rPr>
          <w:spacing w:val="-4"/>
          <w:lang w:val="sq-AL"/>
        </w:rPr>
        <w:t>- Vendi ku do të kryhet puna; vendi i shërbimit/zyra qendrore.</w:t>
      </w:r>
    </w:p>
    <w:p w:rsidR="005C0BD2" w:rsidRDefault="005C0BD2" w:rsidP="005C0BD2">
      <w:pPr>
        <w:pStyle w:val="Paragrafi"/>
        <w:rPr>
          <w:spacing w:val="-4"/>
          <w:lang w:val="sq-AL"/>
        </w:rPr>
      </w:pPr>
      <w:r>
        <w:rPr>
          <w:spacing w:val="-4"/>
          <w:lang w:val="sq-AL"/>
        </w:rPr>
        <w:t>- Kërkesa për prezantimin e logjistikës së parashikuar të Konsulentit për këtë punë.</w:t>
      </w:r>
    </w:p>
    <w:p w:rsidR="005C0BD2" w:rsidRDefault="005C0BD2" w:rsidP="005C0BD2">
      <w:pPr>
        <w:pStyle w:val="Paragrafi"/>
        <w:rPr>
          <w:b/>
          <w:spacing w:val="-4"/>
          <w:lang w:val="sq-AL"/>
        </w:rPr>
      </w:pPr>
      <w:bookmarkStart w:id="16" w:name="page36"/>
      <w:bookmarkEnd w:id="16"/>
      <w:r>
        <w:rPr>
          <w:b/>
          <w:spacing w:val="-4"/>
          <w:lang w:val="sq-AL"/>
        </w:rPr>
        <w:t>7. Deklarata shtrënguese për shërbimet që do të ofrohen nga Klienti</w:t>
      </w:r>
    </w:p>
    <w:p w:rsidR="005C0BD2" w:rsidRDefault="005C0BD2" w:rsidP="005C0BD2">
      <w:pPr>
        <w:pStyle w:val="Paragrafi"/>
        <w:rPr>
          <w:spacing w:val="-4"/>
          <w:lang w:val="sq-AL"/>
        </w:rPr>
      </w:pPr>
      <w:r>
        <w:rPr>
          <w:spacing w:val="-4"/>
          <w:lang w:val="sq-AL"/>
        </w:rPr>
        <w:t>- Klienti do t’i ofrojë Konsulentit të gjithë informacionin, hartat, fotografitë ajrore që ai ka në zotërim, pa pagesë, për kohëzgjatjen e autorizimit.</w:t>
      </w:r>
    </w:p>
    <w:p w:rsidR="005C0BD2" w:rsidRDefault="005C0BD2" w:rsidP="005C0BD2">
      <w:pPr>
        <w:pStyle w:val="Paragrafi"/>
        <w:rPr>
          <w:spacing w:val="-4"/>
          <w:lang w:val="sq-AL"/>
        </w:rPr>
      </w:pPr>
      <w:r>
        <w:rPr>
          <w:spacing w:val="-4"/>
          <w:lang w:val="sq-AL"/>
        </w:rPr>
        <w:t>- Klienti do të sigurojë se Konsulenti i ka të gjitha lejet e nevojshme për të marrë dokumente të tjera, harta dhe fotografi ajrore.</w:t>
      </w:r>
    </w:p>
    <w:p w:rsidR="005C0BD2" w:rsidRDefault="005C0BD2" w:rsidP="005C0BD2">
      <w:pPr>
        <w:pStyle w:val="Paragrafi"/>
        <w:rPr>
          <w:spacing w:val="-4"/>
          <w:lang w:val="sq-AL"/>
        </w:rPr>
      </w:pPr>
      <w:r>
        <w:rPr>
          <w:spacing w:val="-4"/>
          <w:lang w:val="sq-AL"/>
        </w:rPr>
        <w:t xml:space="preserve">- Klienti do ta mbështesë Konsulentin në marrjen e të gjitha lejeve të nevojshme të punës, lejet rezidenciale </w:t>
      </w:r>
      <w:r>
        <w:rPr>
          <w:spacing w:val="-4"/>
          <w:lang w:val="sq-AL"/>
        </w:rPr>
        <w:lastRenderedPageBreak/>
        <w:t>dhe licencat për import.</w:t>
      </w:r>
    </w:p>
    <w:p w:rsidR="005C0BD2" w:rsidRDefault="005C0BD2" w:rsidP="005C0BD2">
      <w:pPr>
        <w:pStyle w:val="Paragrafi"/>
        <w:rPr>
          <w:spacing w:val="-4"/>
          <w:lang w:val="sq-AL"/>
        </w:rPr>
      </w:pPr>
      <w:r>
        <w:rPr>
          <w:spacing w:val="-4"/>
          <w:lang w:val="sq-AL"/>
        </w:rPr>
        <w:t>- Klienti do të ofrojë disa shërbime pa pagesë, p.sh. ambientet e zyrës dhe pajisjet (mobilie, kondicioner, energji elektrike, ujë, telefon, pastrim, siguri etj.), personel të kualifikuar (lloji, numri, kualifikimet, në varësi ose të caktuar, kohëzgjatja), asistentë, shërbime të tjera mbështetëse.</w:t>
      </w:r>
    </w:p>
    <w:p w:rsidR="005C0BD2" w:rsidRDefault="005C0BD2" w:rsidP="005C0BD2">
      <w:pPr>
        <w:pStyle w:val="Paragrafi"/>
        <w:rPr>
          <w:spacing w:val="-4"/>
          <w:lang w:val="sq-AL"/>
        </w:rPr>
      </w:pPr>
      <w:r>
        <w:rPr>
          <w:spacing w:val="-4"/>
          <w:lang w:val="sq-AL"/>
        </w:rPr>
        <w:t>- Klienti do të paguajë taksat, tarifat doganore dhe akcizën dhe detyrime të tjera që lindin nga zbatimi i projektit në vendin e shërbimit.</w:t>
      </w:r>
    </w:p>
    <w:p w:rsidR="005C0BD2" w:rsidRDefault="005C0BD2" w:rsidP="005C0BD2">
      <w:pPr>
        <w:pStyle w:val="Paragrafi"/>
        <w:rPr>
          <w:b/>
          <w:spacing w:val="-4"/>
          <w:lang w:val="sq-AL"/>
        </w:rPr>
      </w:pPr>
      <w:r>
        <w:rPr>
          <w:b/>
          <w:spacing w:val="-4"/>
          <w:lang w:val="sq-AL"/>
        </w:rPr>
        <w:t>8. Vlerësimi i ofertave për shërbime dhe kuotimi i çmimit</w:t>
      </w:r>
    </w:p>
    <w:p w:rsidR="005C0BD2" w:rsidRDefault="005C0BD2" w:rsidP="005C0BD2">
      <w:pPr>
        <w:pStyle w:val="Paragrafi"/>
        <w:rPr>
          <w:spacing w:val="-4"/>
          <w:lang w:val="sq-AL"/>
        </w:rPr>
      </w:pPr>
      <w:r>
        <w:rPr>
          <w:spacing w:val="-4"/>
          <w:lang w:val="sq-AL"/>
        </w:rPr>
        <w:t>- Kriteret për oferta për shërbime: deklarata në përputhje me shtojcën 5 të këtyre udhëzimeve (dhe çdo nënkriter të rënë dakord) me një sistem vlerësimi fiks pikësh dhe koeficientësh.</w:t>
      </w:r>
    </w:p>
    <w:p w:rsidR="005C0BD2" w:rsidRDefault="005C0BD2" w:rsidP="005C0BD2">
      <w:pPr>
        <w:pStyle w:val="Paragrafi"/>
        <w:rPr>
          <w:spacing w:val="-4"/>
          <w:lang w:val="sq-AL"/>
        </w:rPr>
      </w:pPr>
      <w:r>
        <w:rPr>
          <w:spacing w:val="-4"/>
          <w:lang w:val="sq-AL"/>
        </w:rPr>
        <w:t>- Deklarata nëse tarifat doganore dhe akciza, taksat dhe detyrimet në vendin e Klientit duhet të përfshihen në krahasimin e çmimit (zakonisht vlerësimi nuk përfshin taksat ose detyrimet).</w:t>
      </w:r>
    </w:p>
    <w:p w:rsidR="005C0BD2" w:rsidRDefault="005C0BD2" w:rsidP="005C0BD2">
      <w:pPr>
        <w:pStyle w:val="Paragrafi"/>
        <w:rPr>
          <w:spacing w:val="-4"/>
          <w:lang w:val="sq-AL"/>
        </w:rPr>
      </w:pPr>
      <w:r>
        <w:rPr>
          <w:spacing w:val="-4"/>
          <w:lang w:val="sq-AL"/>
        </w:rPr>
        <w:t>- Cilësia minimale e ofertave për shërbimet që do të merren në konsideratë në vlerësimin e kuotave të çmimit dhe në vlerësimin e përgjithshëm (të jepen pikët minimale të 75% të pikëve).</w:t>
      </w:r>
    </w:p>
    <w:p w:rsidR="005C0BD2" w:rsidRDefault="005C0BD2" w:rsidP="005C0BD2">
      <w:pPr>
        <w:pStyle w:val="Paragrafi"/>
        <w:rPr>
          <w:spacing w:val="-4"/>
          <w:lang w:val="sq-AL"/>
        </w:rPr>
      </w:pPr>
      <w:r>
        <w:rPr>
          <w:spacing w:val="-4"/>
          <w:lang w:val="sq-AL"/>
        </w:rPr>
        <w:t>- Koeficienti i ofertës për shërbimet (zakonisht 70%) dhe koeficienti i kuotimit të çmimit (zakonisht 30%) në vlerësimin total.</w:t>
      </w:r>
    </w:p>
    <w:p w:rsidR="005C0BD2" w:rsidRDefault="005C0BD2" w:rsidP="005C0BD2">
      <w:pPr>
        <w:pStyle w:val="Paragrafi"/>
        <w:rPr>
          <w:spacing w:val="-4"/>
          <w:lang w:val="sq-AL"/>
        </w:rPr>
      </w:pPr>
      <w:r>
        <w:rPr>
          <w:spacing w:val="-4"/>
          <w:lang w:val="sq-AL"/>
        </w:rPr>
        <w:t>- Merrni në konsideratë se bisedimet për kontratën shërbejnë vetëm për qartësimin e zërave të paqartë.</w:t>
      </w:r>
    </w:p>
    <w:p w:rsidR="005C0BD2" w:rsidRDefault="005C0BD2" w:rsidP="005C0BD2">
      <w:pPr>
        <w:pStyle w:val="Paragrafi"/>
        <w:rPr>
          <w:b/>
          <w:spacing w:val="-4"/>
          <w:lang w:val="sq-AL"/>
        </w:rPr>
      </w:pPr>
      <w:r>
        <w:rPr>
          <w:b/>
          <w:spacing w:val="-4"/>
          <w:lang w:val="sq-AL"/>
        </w:rPr>
        <w:t>9. Raportet</w:t>
      </w:r>
    </w:p>
    <w:p w:rsidR="005C0BD2" w:rsidRDefault="005C0BD2" w:rsidP="005C0BD2">
      <w:pPr>
        <w:pStyle w:val="Paragrafi"/>
        <w:rPr>
          <w:spacing w:val="-4"/>
          <w:lang w:val="sq-AL"/>
        </w:rPr>
      </w:pPr>
      <w:r>
        <w:rPr>
          <w:spacing w:val="-4"/>
          <w:lang w:val="sq-AL"/>
        </w:rPr>
        <w:t xml:space="preserve">- Raporte nga konsulenti (lloji i raportit, përmbajtja, shpeshtësia e raportimit, marrësi, numri i kopjeve), duke përfshirë raportin përfundimtar që mbulon periudhën kontraktuese pas përfundimit të autorizimit. </w:t>
      </w:r>
    </w:p>
    <w:p w:rsidR="005C0BD2" w:rsidRDefault="005C0BD2" w:rsidP="005C0BD2">
      <w:pPr>
        <w:pStyle w:val="Paragrafi"/>
        <w:rPr>
          <w:spacing w:val="-4"/>
          <w:lang w:val="sq-AL"/>
        </w:rPr>
      </w:pPr>
      <w:r>
        <w:rPr>
          <w:spacing w:val="-4"/>
          <w:lang w:val="sq-AL"/>
        </w:rPr>
        <w:t>- Përmbajtja dhe ndarja e parashikuar (seksioni kryesor), shtojca/t, lloji dhe madhësia e çdo përmbledhjeje të krijuar).</w:t>
      </w:r>
    </w:p>
    <w:p w:rsidR="005C0BD2" w:rsidRDefault="005C0BD2" w:rsidP="005C0BD2">
      <w:pPr>
        <w:pStyle w:val="Paragrafi"/>
        <w:rPr>
          <w:spacing w:val="-4"/>
          <w:lang w:val="sq-AL"/>
        </w:rPr>
      </w:pPr>
      <w:r>
        <w:rPr>
          <w:spacing w:val="-4"/>
          <w:lang w:val="sq-AL"/>
        </w:rPr>
        <w:t>- Formati i parashikuar i raporteve (nga të dyja anët, numri maksimal i faqeve të kërkuara).</w:t>
      </w:r>
    </w:p>
    <w:p w:rsidR="005C0BD2" w:rsidRDefault="005C0BD2" w:rsidP="005C0BD2">
      <w:pPr>
        <w:pStyle w:val="Paragrafi"/>
        <w:ind w:firstLine="0"/>
        <w:rPr>
          <w:spacing w:val="-4"/>
          <w:lang w:val="sq-AL"/>
        </w:rPr>
      </w:pPr>
    </w:p>
    <w:p w:rsidR="005C0BD2" w:rsidRDefault="005C0BD2" w:rsidP="005C0BD2">
      <w:pPr>
        <w:pStyle w:val="NeniTitull"/>
        <w:rPr>
          <w:b w:val="0"/>
          <w:spacing w:val="-4"/>
          <w:lang w:val="sq-AL"/>
        </w:rPr>
      </w:pPr>
      <w:bookmarkStart w:id="17" w:name="page37"/>
      <w:bookmarkEnd w:id="17"/>
      <w:r>
        <w:rPr>
          <w:b w:val="0"/>
          <w:spacing w:val="-4"/>
          <w:lang w:val="sq-AL"/>
        </w:rPr>
        <w:t>SHTOJCA 7</w:t>
      </w:r>
    </w:p>
    <w:p w:rsidR="005C0BD2" w:rsidRDefault="005C0BD2" w:rsidP="005C0BD2">
      <w:pPr>
        <w:pStyle w:val="Paragrafi"/>
        <w:jc w:val="center"/>
        <w:rPr>
          <w:spacing w:val="-4"/>
          <w:lang w:val="sq-AL"/>
        </w:rPr>
      </w:pPr>
      <w:r>
        <w:rPr>
          <w:spacing w:val="-4"/>
          <w:lang w:val="sq-AL"/>
        </w:rPr>
        <w:t>KOMENTE PËR VLERËSIMIN E OFERTAVE</w:t>
      </w:r>
    </w:p>
    <w:p w:rsidR="005C0BD2" w:rsidRDefault="005C0BD2" w:rsidP="005C0BD2">
      <w:pPr>
        <w:pStyle w:val="Paragrafi"/>
        <w:jc w:val="center"/>
        <w:rPr>
          <w:b/>
          <w:spacing w:val="-4"/>
          <w:sz w:val="14"/>
          <w:lang w:val="sq-AL"/>
        </w:rPr>
      </w:pPr>
    </w:p>
    <w:p w:rsidR="005C0BD2" w:rsidRDefault="005C0BD2" w:rsidP="005C0BD2">
      <w:pPr>
        <w:pStyle w:val="Paragrafi"/>
        <w:rPr>
          <w:spacing w:val="-4"/>
          <w:lang w:val="sq-AL"/>
        </w:rPr>
      </w:pPr>
      <w:r>
        <w:rPr>
          <w:spacing w:val="-4"/>
          <w:lang w:val="sq-AL"/>
        </w:rPr>
        <w:t>1. Oferta për shërbimet duhet të paraqesë termat e referencës dhe objektivi i tyre duhet të jetë kuptuar plotësisht, si dhe metodat dhe burimet e propozuara duhet të jenë të përshtatshme dhe të përdoren si duhet për të përmbushur detyrat e kërkuara. Gjatë hartimit të ofertës për shërbimet, ofertuesit duhet të studiojnë termat e referencës, çdo kusht të veçantë në kërkesën për tendera dhe kriteret e mëposhtme të vlerësimit.</w:t>
      </w:r>
    </w:p>
    <w:p w:rsidR="005C0BD2" w:rsidRDefault="005C0BD2" w:rsidP="005C0BD2">
      <w:pPr>
        <w:pStyle w:val="Paragrafi"/>
        <w:rPr>
          <w:spacing w:val="-4"/>
          <w:lang w:val="sq-AL"/>
        </w:rPr>
      </w:pPr>
      <w:r>
        <w:rPr>
          <w:spacing w:val="-4"/>
          <w:lang w:val="sq-AL"/>
        </w:rPr>
        <w:t>2. Gjatë vlerësimit të ofertave për shërbime, duhet t’i jepet vlerë shkurtësisë/përmbledhjes dhe saktësisë së deklaratave të ofertuesit. Meqë vlerësimi kryhet nga profesionistët, ofertuesit duhet të shmangin shpjegimet shabllon. Dokumentet duhet të jenë të plota, të qarta dhe të rregulluara në mënyrë të kuptueshme. Veçanërisht, në rastin e termave më komplekse të referencës, prezantimi duhet të përfshijë diagrama, tabela dhe grafikë.</w:t>
      </w:r>
    </w:p>
    <w:p w:rsidR="005C0BD2" w:rsidRDefault="005C0BD2" w:rsidP="005C0BD2">
      <w:pPr>
        <w:pStyle w:val="Paragrafi"/>
        <w:rPr>
          <w:spacing w:val="-4"/>
          <w:lang w:val="sq-AL"/>
        </w:rPr>
      </w:pPr>
      <w:r>
        <w:rPr>
          <w:spacing w:val="-4"/>
          <w:lang w:val="sq-AL"/>
        </w:rPr>
        <w:t xml:space="preserve">3. Vetëm ofertuesit që marrin jo më pak se numrin minimal të pikëve të përcaktuara në kërkesën për tendera, do t’i nënshtrohen vlerësimit të kuotave të çmimit. </w:t>
      </w:r>
    </w:p>
    <w:p w:rsidR="005C0BD2" w:rsidRDefault="005C0BD2" w:rsidP="005C0BD2">
      <w:pPr>
        <w:pStyle w:val="Paragrafi"/>
        <w:rPr>
          <w:spacing w:val="-4"/>
          <w:lang w:val="sq-AL"/>
        </w:rPr>
      </w:pPr>
      <w:r>
        <w:rPr>
          <w:spacing w:val="-4"/>
          <w:lang w:val="sq-AL"/>
        </w:rPr>
        <w:t>4. Koeficienti i kritereve do të vendoset në kërkesën për tendera në përputhje me kërkesat e projektit. Koeficienti për “konceptin dhe metodat” do të jetë përgjithësisht 55%-60% në fazën e studimit, dhe 40%–45% për mbikëqyrjen e ndërtimit. Koeficienti për “analizën kritike të objektivit të projektit dhe termave të referencës” mund të reduktohet deri në 50% për termat e referencës që përfshijnë pak ose aspak analizë kritike të termave të referencës (p.sh. mbikëqyrja e ndërtimit). Në rastin kur Klienti dhe KfW-ja kanë rënë dakord për nënkriteret, këto dhe koeficienti i tyre do të paraqiten në kërkesën për tendera.</w:t>
      </w:r>
    </w:p>
    <w:p w:rsidR="005C0BD2" w:rsidRDefault="005C0BD2" w:rsidP="005C0BD2">
      <w:pPr>
        <w:pStyle w:val="Paragrafi"/>
        <w:rPr>
          <w:spacing w:val="-4"/>
          <w:lang w:val="sq-AL"/>
        </w:rPr>
      </w:pPr>
      <w:r>
        <w:rPr>
          <w:spacing w:val="-4"/>
          <w:lang w:val="sq-AL"/>
        </w:rPr>
        <w:t>5. Vlerësimi i ofertave për shërbimet do të bazohet në kriteret e mëposhtme:</w:t>
      </w:r>
    </w:p>
    <w:p w:rsidR="005C0BD2" w:rsidRDefault="005C0BD2" w:rsidP="005C0BD2">
      <w:pPr>
        <w:pStyle w:val="Paragrafi"/>
        <w:rPr>
          <w:lang w:val="sq-AL"/>
        </w:rPr>
      </w:pPr>
    </w:p>
    <w:p w:rsidR="005C0BD2" w:rsidRDefault="005C0BD2" w:rsidP="005C0BD2">
      <w:pPr>
        <w:spacing w:after="0" w:line="240" w:lineRule="auto"/>
        <w:ind w:firstLine="0"/>
        <w:jc w:val="left"/>
        <w:rPr>
          <w:rFonts w:ascii="Garamond" w:eastAsia="MS Mincho" w:hAnsi="Garamond" w:cs="CG Times"/>
          <w:sz w:val="24"/>
          <w:lang w:val="sq-AL"/>
        </w:rPr>
        <w:sectPr w:rsidR="005C0BD2" w:rsidSect="005C0BD2">
          <w:type w:val="continuous"/>
          <w:pgSz w:w="11907" w:h="16840"/>
          <w:pgMar w:top="720" w:right="1134" w:bottom="720" w:left="1134" w:header="851" w:footer="851" w:gutter="0"/>
          <w:cols w:space="454"/>
        </w:sectPr>
      </w:pPr>
    </w:p>
    <w:p w:rsidR="005C0BD2" w:rsidRDefault="005C0BD2" w:rsidP="005C0BD2">
      <w:pPr>
        <w:pStyle w:val="Hapesira7"/>
        <w:rPr>
          <w:lang w:val="sq-AL"/>
        </w:rPr>
      </w:pPr>
    </w:p>
    <w:tbl>
      <w:tblPr>
        <w:tblW w:w="5000" w:type="pct"/>
        <w:jc w:val="center"/>
        <w:tblCellMar>
          <w:left w:w="0" w:type="dxa"/>
          <w:right w:w="0" w:type="dxa"/>
        </w:tblCellMar>
        <w:tblLook w:val="04A0" w:firstRow="1" w:lastRow="0" w:firstColumn="1" w:lastColumn="0" w:noHBand="0" w:noVBand="1"/>
      </w:tblPr>
      <w:tblGrid>
        <w:gridCol w:w="1012"/>
        <w:gridCol w:w="5984"/>
        <w:gridCol w:w="2643"/>
      </w:tblGrid>
      <w:tr w:rsidR="005C0BD2" w:rsidTr="005C0BD2">
        <w:trPr>
          <w:trHeight w:val="292"/>
          <w:jc w:val="center"/>
        </w:trPr>
        <w:tc>
          <w:tcPr>
            <w:tcW w:w="3629" w:type="pct"/>
            <w:gridSpan w:val="2"/>
            <w:vAlign w:val="bottom"/>
            <w:hideMark/>
          </w:tcPr>
          <w:p w:rsidR="005C0BD2" w:rsidRDefault="005C0BD2">
            <w:pPr>
              <w:pStyle w:val="Paragrafi"/>
              <w:spacing w:line="276" w:lineRule="auto"/>
              <w:ind w:left="113" w:right="113" w:firstLine="0"/>
              <w:rPr>
                <w:b/>
                <w:lang w:val="sq-AL"/>
              </w:rPr>
            </w:pPr>
            <w:r>
              <w:rPr>
                <w:b/>
                <w:lang w:val="sq-AL"/>
              </w:rPr>
              <w:t>Kriteret</w:t>
            </w:r>
          </w:p>
        </w:tc>
        <w:tc>
          <w:tcPr>
            <w:tcW w:w="1371" w:type="pct"/>
            <w:vAlign w:val="bottom"/>
            <w:hideMark/>
          </w:tcPr>
          <w:p w:rsidR="005C0BD2" w:rsidRDefault="005C0BD2">
            <w:pPr>
              <w:pStyle w:val="Paragrafi"/>
              <w:spacing w:line="276" w:lineRule="auto"/>
              <w:ind w:left="113" w:right="113" w:firstLine="0"/>
              <w:jc w:val="center"/>
              <w:rPr>
                <w:b/>
                <w:lang w:val="sq-AL"/>
              </w:rPr>
            </w:pPr>
            <w:r>
              <w:rPr>
                <w:b/>
                <w:lang w:val="sq-AL"/>
              </w:rPr>
              <w:t>Pikët</w:t>
            </w:r>
          </w:p>
        </w:tc>
      </w:tr>
      <w:tr w:rsidR="005C0BD2" w:rsidTr="005C0BD2">
        <w:trPr>
          <w:trHeight w:val="171"/>
          <w:jc w:val="center"/>
        </w:trPr>
        <w:tc>
          <w:tcPr>
            <w:tcW w:w="525" w:type="pct"/>
            <w:vAlign w:val="bottom"/>
            <w:hideMark/>
          </w:tcPr>
          <w:p w:rsidR="005C0BD2" w:rsidRDefault="005C0BD2">
            <w:pPr>
              <w:pStyle w:val="Paragrafi"/>
              <w:spacing w:line="276" w:lineRule="auto"/>
              <w:ind w:left="113" w:right="113" w:firstLine="0"/>
              <w:rPr>
                <w:b/>
                <w:lang w:val="sq-AL"/>
              </w:rPr>
            </w:pPr>
            <w:r>
              <w:rPr>
                <w:b/>
                <w:lang w:val="sq-AL"/>
              </w:rPr>
              <w:t>1.</w:t>
            </w:r>
          </w:p>
        </w:tc>
        <w:tc>
          <w:tcPr>
            <w:tcW w:w="3104" w:type="pct"/>
            <w:vAlign w:val="bottom"/>
            <w:hideMark/>
          </w:tcPr>
          <w:p w:rsidR="005C0BD2" w:rsidRDefault="005C0BD2">
            <w:pPr>
              <w:pStyle w:val="Paragrafi"/>
              <w:spacing w:line="276" w:lineRule="auto"/>
              <w:ind w:left="113" w:right="113" w:firstLine="0"/>
              <w:rPr>
                <w:b/>
                <w:lang w:val="sq-AL"/>
              </w:rPr>
            </w:pPr>
            <w:r>
              <w:rPr>
                <w:b/>
                <w:lang w:val="sq-AL"/>
              </w:rPr>
              <w:t>Koncepti dhe metodat</w:t>
            </w:r>
          </w:p>
        </w:tc>
        <w:tc>
          <w:tcPr>
            <w:tcW w:w="1371" w:type="pct"/>
            <w:vAlign w:val="bottom"/>
            <w:hideMark/>
          </w:tcPr>
          <w:p w:rsidR="005C0BD2" w:rsidRDefault="005C0BD2">
            <w:pPr>
              <w:pStyle w:val="Paragrafi"/>
              <w:spacing w:line="276" w:lineRule="auto"/>
              <w:ind w:left="113" w:right="113" w:firstLine="0"/>
              <w:jc w:val="center"/>
              <w:rPr>
                <w:b/>
                <w:lang w:val="sq-AL"/>
              </w:rPr>
            </w:pPr>
            <w:r>
              <w:rPr>
                <w:b/>
                <w:lang w:val="sq-AL"/>
              </w:rPr>
              <w:t>40–60</w:t>
            </w:r>
          </w:p>
        </w:tc>
      </w:tr>
      <w:tr w:rsidR="005C0BD2" w:rsidTr="005C0BD2">
        <w:trPr>
          <w:trHeight w:val="174"/>
          <w:jc w:val="center"/>
        </w:trPr>
        <w:tc>
          <w:tcPr>
            <w:tcW w:w="525" w:type="pct"/>
            <w:vAlign w:val="bottom"/>
            <w:hideMark/>
          </w:tcPr>
          <w:p w:rsidR="005C0BD2" w:rsidRDefault="005C0BD2">
            <w:pPr>
              <w:pStyle w:val="Paragrafi"/>
              <w:spacing w:line="276" w:lineRule="auto"/>
              <w:ind w:left="113" w:right="113" w:firstLine="0"/>
              <w:rPr>
                <w:lang w:val="sq-AL"/>
              </w:rPr>
            </w:pPr>
            <w:r>
              <w:rPr>
                <w:lang w:val="sq-AL"/>
              </w:rPr>
              <w:t>1.1</w:t>
            </w:r>
          </w:p>
        </w:tc>
        <w:tc>
          <w:tcPr>
            <w:tcW w:w="3104" w:type="pct"/>
            <w:vAlign w:val="bottom"/>
            <w:hideMark/>
          </w:tcPr>
          <w:p w:rsidR="005C0BD2" w:rsidRDefault="005C0BD2">
            <w:pPr>
              <w:pStyle w:val="Paragrafi"/>
              <w:spacing w:line="276" w:lineRule="auto"/>
              <w:ind w:left="113" w:right="113" w:firstLine="0"/>
              <w:rPr>
                <w:lang w:val="sq-AL"/>
              </w:rPr>
            </w:pPr>
            <w:r>
              <w:rPr>
                <w:lang w:val="sq-AL"/>
              </w:rPr>
              <w:t>Qartësia dhe plotësia e ofertës</w:t>
            </w:r>
          </w:p>
        </w:tc>
        <w:tc>
          <w:tcPr>
            <w:tcW w:w="1371" w:type="pct"/>
            <w:vAlign w:val="bottom"/>
            <w:hideMark/>
          </w:tcPr>
          <w:p w:rsidR="005C0BD2" w:rsidRDefault="005C0BD2">
            <w:pPr>
              <w:pStyle w:val="Paragrafi"/>
              <w:spacing w:line="276" w:lineRule="auto"/>
              <w:ind w:left="113" w:right="113" w:firstLine="0"/>
              <w:jc w:val="center"/>
              <w:rPr>
                <w:lang w:val="sq-AL"/>
              </w:rPr>
            </w:pPr>
            <w:r>
              <w:rPr>
                <w:lang w:val="sq-AL"/>
              </w:rPr>
              <w:t>rreth 10 pikë</w:t>
            </w:r>
          </w:p>
        </w:tc>
      </w:tr>
      <w:tr w:rsidR="005C0BD2" w:rsidTr="005C0BD2">
        <w:trPr>
          <w:trHeight w:val="334"/>
          <w:jc w:val="center"/>
        </w:trPr>
        <w:tc>
          <w:tcPr>
            <w:tcW w:w="525" w:type="pct"/>
            <w:hideMark/>
          </w:tcPr>
          <w:p w:rsidR="005C0BD2" w:rsidRDefault="005C0BD2">
            <w:pPr>
              <w:pStyle w:val="Paragrafi"/>
              <w:spacing w:line="276" w:lineRule="auto"/>
              <w:ind w:right="113" w:firstLine="0"/>
              <w:jc w:val="left"/>
              <w:rPr>
                <w:lang w:val="sq-AL"/>
              </w:rPr>
            </w:pPr>
            <w:r>
              <w:rPr>
                <w:lang w:val="sq-AL"/>
              </w:rPr>
              <w:t xml:space="preserve"> 1.2</w:t>
            </w:r>
          </w:p>
        </w:tc>
        <w:tc>
          <w:tcPr>
            <w:tcW w:w="3104" w:type="pct"/>
            <w:vAlign w:val="bottom"/>
            <w:hideMark/>
          </w:tcPr>
          <w:p w:rsidR="005C0BD2" w:rsidRDefault="005C0BD2">
            <w:pPr>
              <w:pStyle w:val="Paragrafi"/>
              <w:spacing w:line="276" w:lineRule="auto"/>
              <w:ind w:left="113" w:right="113" w:firstLine="0"/>
              <w:rPr>
                <w:lang w:val="sq-AL"/>
              </w:rPr>
            </w:pPr>
            <w:r>
              <w:rPr>
                <w:lang w:val="sq-AL"/>
              </w:rPr>
              <w:t>Analizë kritike e objektivit të projektit dhe termave të referencës</w:t>
            </w:r>
          </w:p>
        </w:tc>
        <w:tc>
          <w:tcPr>
            <w:tcW w:w="1371" w:type="pct"/>
            <w:vAlign w:val="bottom"/>
            <w:hideMark/>
          </w:tcPr>
          <w:p w:rsidR="005C0BD2" w:rsidRDefault="005C0BD2">
            <w:pPr>
              <w:pStyle w:val="Paragrafi"/>
              <w:spacing w:line="276" w:lineRule="auto"/>
              <w:ind w:left="113" w:right="113" w:firstLine="0"/>
              <w:jc w:val="center"/>
              <w:rPr>
                <w:lang w:val="sq-AL"/>
              </w:rPr>
            </w:pPr>
            <w:r>
              <w:rPr>
                <w:lang w:val="sq-AL"/>
              </w:rPr>
              <w:t>rreth 30 pikë</w:t>
            </w:r>
          </w:p>
        </w:tc>
      </w:tr>
      <w:tr w:rsidR="005C0BD2" w:rsidTr="005C0BD2">
        <w:trPr>
          <w:trHeight w:val="324"/>
          <w:jc w:val="center"/>
        </w:trPr>
        <w:tc>
          <w:tcPr>
            <w:tcW w:w="525" w:type="pct"/>
            <w:hideMark/>
          </w:tcPr>
          <w:p w:rsidR="005C0BD2" w:rsidRDefault="005C0BD2">
            <w:pPr>
              <w:pStyle w:val="Paragrafi"/>
              <w:spacing w:line="276" w:lineRule="auto"/>
              <w:ind w:left="113" w:right="113" w:firstLine="0"/>
              <w:jc w:val="left"/>
              <w:rPr>
                <w:lang w:val="sq-AL"/>
              </w:rPr>
            </w:pPr>
            <w:r>
              <w:rPr>
                <w:lang w:val="sq-AL"/>
              </w:rPr>
              <w:t>1.3</w:t>
            </w:r>
          </w:p>
        </w:tc>
        <w:tc>
          <w:tcPr>
            <w:tcW w:w="3104" w:type="pct"/>
            <w:vAlign w:val="bottom"/>
            <w:hideMark/>
          </w:tcPr>
          <w:p w:rsidR="005C0BD2" w:rsidRDefault="005C0BD2">
            <w:pPr>
              <w:pStyle w:val="Paragrafi"/>
              <w:spacing w:line="276" w:lineRule="auto"/>
              <w:ind w:left="113" w:right="113" w:firstLine="0"/>
              <w:rPr>
                <w:lang w:val="sq-AL"/>
              </w:rPr>
            </w:pPr>
            <w:r>
              <w:rPr>
                <w:lang w:val="sq-AL"/>
              </w:rPr>
              <w:t>Koncepti dhe metoda e propozuar, duke përfshirë programin e punës, programimin e personelit dhe mekanizmat e monitorimit dhe koordinimit</w:t>
            </w:r>
          </w:p>
        </w:tc>
        <w:tc>
          <w:tcPr>
            <w:tcW w:w="1371" w:type="pct"/>
            <w:vAlign w:val="bottom"/>
            <w:hideMark/>
          </w:tcPr>
          <w:p w:rsidR="005C0BD2" w:rsidRDefault="005C0BD2">
            <w:pPr>
              <w:pStyle w:val="Paragrafi"/>
              <w:spacing w:line="276" w:lineRule="auto"/>
              <w:ind w:left="113" w:right="113" w:firstLine="0"/>
              <w:jc w:val="center"/>
              <w:rPr>
                <w:lang w:val="sq-AL"/>
              </w:rPr>
            </w:pPr>
            <w:r>
              <w:rPr>
                <w:lang w:val="sq-AL"/>
              </w:rPr>
              <w:t>rreth 60 pikë</w:t>
            </w:r>
          </w:p>
        </w:tc>
      </w:tr>
      <w:tr w:rsidR="005C0BD2" w:rsidTr="005C0BD2">
        <w:trPr>
          <w:trHeight w:val="370"/>
          <w:jc w:val="center"/>
        </w:trPr>
        <w:tc>
          <w:tcPr>
            <w:tcW w:w="3629" w:type="pct"/>
            <w:gridSpan w:val="2"/>
            <w:vAlign w:val="bottom"/>
            <w:hideMark/>
          </w:tcPr>
          <w:p w:rsidR="005C0BD2" w:rsidRDefault="005C0BD2">
            <w:pPr>
              <w:pStyle w:val="Paragrafi"/>
              <w:spacing w:line="276" w:lineRule="auto"/>
              <w:ind w:left="113" w:right="113" w:firstLine="0"/>
              <w:rPr>
                <w:b/>
                <w:lang w:val="sq-AL"/>
              </w:rPr>
            </w:pPr>
            <w:r>
              <w:rPr>
                <w:b/>
                <w:lang w:val="sq-AL"/>
              </w:rPr>
              <w:t xml:space="preserve">2. Kualifikimet e personelit të caktuar përfundimisht </w:t>
            </w:r>
          </w:p>
        </w:tc>
        <w:tc>
          <w:tcPr>
            <w:tcW w:w="1371" w:type="pct"/>
            <w:vAlign w:val="bottom"/>
            <w:hideMark/>
          </w:tcPr>
          <w:p w:rsidR="005C0BD2" w:rsidRDefault="005C0BD2">
            <w:pPr>
              <w:pStyle w:val="Paragrafi"/>
              <w:spacing w:line="276" w:lineRule="auto"/>
              <w:ind w:left="113" w:right="113" w:firstLine="0"/>
              <w:jc w:val="center"/>
              <w:rPr>
                <w:b/>
                <w:lang w:val="sq-AL"/>
              </w:rPr>
            </w:pPr>
            <w:r>
              <w:rPr>
                <w:b/>
                <w:lang w:val="sq-AL"/>
              </w:rPr>
              <w:t>60- 40</w:t>
            </w:r>
          </w:p>
        </w:tc>
      </w:tr>
      <w:tr w:rsidR="005C0BD2" w:rsidTr="005C0BD2">
        <w:trPr>
          <w:trHeight w:val="396"/>
          <w:jc w:val="center"/>
        </w:trPr>
        <w:tc>
          <w:tcPr>
            <w:tcW w:w="525" w:type="pct"/>
            <w:hideMark/>
          </w:tcPr>
          <w:p w:rsidR="005C0BD2" w:rsidRDefault="005C0BD2">
            <w:pPr>
              <w:pStyle w:val="Paragrafi"/>
              <w:spacing w:line="276" w:lineRule="auto"/>
              <w:ind w:left="113" w:right="113" w:firstLine="0"/>
              <w:jc w:val="left"/>
              <w:rPr>
                <w:lang w:val="sq-AL"/>
              </w:rPr>
            </w:pPr>
            <w:r>
              <w:rPr>
                <w:lang w:val="sq-AL"/>
              </w:rPr>
              <w:t>2.1</w:t>
            </w:r>
          </w:p>
        </w:tc>
        <w:tc>
          <w:tcPr>
            <w:tcW w:w="3104" w:type="pct"/>
            <w:vAlign w:val="bottom"/>
            <w:hideMark/>
          </w:tcPr>
          <w:p w:rsidR="005C0BD2" w:rsidRDefault="005C0BD2">
            <w:pPr>
              <w:pStyle w:val="Paragrafi"/>
              <w:spacing w:line="276" w:lineRule="auto"/>
              <w:ind w:left="113" w:right="113" w:firstLine="0"/>
              <w:rPr>
                <w:lang w:val="sq-AL"/>
              </w:rPr>
            </w:pPr>
            <w:r>
              <w:rPr>
                <w:lang w:val="sq-AL"/>
              </w:rPr>
              <w:t>Kualifikimet e personelit kyç që do të punësohet në projekt, veçanërisht menaxheri i projektit</w:t>
            </w:r>
          </w:p>
        </w:tc>
        <w:tc>
          <w:tcPr>
            <w:tcW w:w="1371" w:type="pct"/>
            <w:vAlign w:val="bottom"/>
            <w:hideMark/>
          </w:tcPr>
          <w:p w:rsidR="005C0BD2" w:rsidRDefault="005C0BD2">
            <w:pPr>
              <w:pStyle w:val="Paragrafi"/>
              <w:spacing w:line="276" w:lineRule="auto"/>
              <w:ind w:left="113" w:right="113" w:firstLine="0"/>
              <w:jc w:val="center"/>
              <w:rPr>
                <w:lang w:val="sq-AL"/>
              </w:rPr>
            </w:pPr>
            <w:r>
              <w:rPr>
                <w:lang w:val="sq-AL"/>
              </w:rPr>
              <w:t>rreth 90 pikë</w:t>
            </w:r>
          </w:p>
        </w:tc>
      </w:tr>
      <w:tr w:rsidR="005C0BD2" w:rsidTr="005C0BD2">
        <w:trPr>
          <w:trHeight w:val="324"/>
          <w:jc w:val="center"/>
        </w:trPr>
        <w:tc>
          <w:tcPr>
            <w:tcW w:w="525" w:type="pct"/>
            <w:hideMark/>
          </w:tcPr>
          <w:p w:rsidR="005C0BD2" w:rsidRDefault="005C0BD2">
            <w:pPr>
              <w:pStyle w:val="Paragrafi"/>
              <w:spacing w:line="276" w:lineRule="auto"/>
              <w:ind w:left="113" w:right="113" w:firstLine="0"/>
              <w:jc w:val="left"/>
              <w:rPr>
                <w:lang w:val="sq-AL"/>
              </w:rPr>
            </w:pPr>
            <w:r>
              <w:rPr>
                <w:lang w:val="sq-AL"/>
              </w:rPr>
              <w:lastRenderedPageBreak/>
              <w:t>2.2</w:t>
            </w:r>
          </w:p>
        </w:tc>
        <w:tc>
          <w:tcPr>
            <w:tcW w:w="3104" w:type="pct"/>
            <w:vAlign w:val="bottom"/>
            <w:hideMark/>
          </w:tcPr>
          <w:p w:rsidR="005C0BD2" w:rsidRDefault="005C0BD2">
            <w:pPr>
              <w:pStyle w:val="Paragrafi"/>
              <w:spacing w:line="276" w:lineRule="auto"/>
              <w:ind w:left="113" w:right="113" w:firstLine="0"/>
              <w:rPr>
                <w:lang w:val="sq-AL"/>
              </w:rPr>
            </w:pPr>
            <w:r>
              <w:rPr>
                <w:lang w:val="sq-AL"/>
              </w:rPr>
              <w:t>Kualifikimet e personelit në zyrën qendrore që do të kontrollojnë dhe monitorojnë ekipin, dhe do të ofrojnë shërbime mbështetëse</w:t>
            </w:r>
          </w:p>
        </w:tc>
        <w:tc>
          <w:tcPr>
            <w:tcW w:w="1371" w:type="pct"/>
            <w:vAlign w:val="bottom"/>
            <w:hideMark/>
          </w:tcPr>
          <w:p w:rsidR="005C0BD2" w:rsidRDefault="005C0BD2">
            <w:pPr>
              <w:pStyle w:val="Paragrafi"/>
              <w:spacing w:line="276" w:lineRule="auto"/>
              <w:ind w:left="113" w:right="113" w:firstLine="0"/>
              <w:jc w:val="center"/>
              <w:rPr>
                <w:lang w:val="sq-AL"/>
              </w:rPr>
            </w:pPr>
            <w:r>
              <w:rPr>
                <w:lang w:val="sq-AL"/>
              </w:rPr>
              <w:t>rreth 10 pikë</w:t>
            </w:r>
          </w:p>
        </w:tc>
      </w:tr>
      <w:tr w:rsidR="005C0BD2" w:rsidTr="005C0BD2">
        <w:trPr>
          <w:trHeight w:val="372"/>
          <w:jc w:val="center"/>
        </w:trPr>
        <w:tc>
          <w:tcPr>
            <w:tcW w:w="3629" w:type="pct"/>
            <w:gridSpan w:val="2"/>
            <w:vAlign w:val="bottom"/>
            <w:hideMark/>
          </w:tcPr>
          <w:p w:rsidR="005C0BD2" w:rsidRDefault="005C0BD2">
            <w:pPr>
              <w:pStyle w:val="Paragrafi"/>
              <w:spacing w:line="276" w:lineRule="auto"/>
              <w:ind w:left="113" w:right="113" w:firstLine="0"/>
              <w:rPr>
                <w:b/>
                <w:lang w:val="sq-AL"/>
              </w:rPr>
            </w:pPr>
            <w:r>
              <w:rPr>
                <w:b/>
                <w:lang w:val="sq-AL"/>
              </w:rPr>
              <w:t>Totali</w:t>
            </w:r>
          </w:p>
        </w:tc>
        <w:tc>
          <w:tcPr>
            <w:tcW w:w="1371" w:type="pct"/>
            <w:vAlign w:val="bottom"/>
            <w:hideMark/>
          </w:tcPr>
          <w:p w:rsidR="005C0BD2" w:rsidRDefault="005C0BD2">
            <w:pPr>
              <w:pStyle w:val="Paragrafi"/>
              <w:spacing w:line="276" w:lineRule="auto"/>
              <w:ind w:left="113" w:right="113" w:firstLine="0"/>
              <w:jc w:val="center"/>
              <w:rPr>
                <w:b/>
                <w:lang w:val="sq-AL"/>
              </w:rPr>
            </w:pPr>
            <w:r>
              <w:rPr>
                <w:b/>
                <w:lang w:val="sq-AL"/>
              </w:rPr>
              <w:t>100</w:t>
            </w:r>
          </w:p>
        </w:tc>
      </w:tr>
    </w:tbl>
    <w:p w:rsidR="005C0BD2" w:rsidRDefault="005C0BD2" w:rsidP="005C0BD2">
      <w:pPr>
        <w:pStyle w:val="Paragrafi"/>
        <w:rPr>
          <w:b/>
          <w:lang w:val="sq-AL"/>
        </w:rPr>
      </w:pPr>
      <w:bookmarkStart w:id="18" w:name="page38"/>
      <w:bookmarkEnd w:id="18"/>
    </w:p>
    <w:p w:rsidR="005C0BD2" w:rsidRDefault="005C0BD2" w:rsidP="005C0BD2">
      <w:pPr>
        <w:pStyle w:val="Paragrafi"/>
        <w:rPr>
          <w:b/>
          <w:lang w:val="sq-AL"/>
        </w:rPr>
      </w:pPr>
    </w:p>
    <w:p w:rsidR="005C0BD2" w:rsidRDefault="005C0BD2" w:rsidP="005C0BD2">
      <w:pPr>
        <w:spacing w:after="0" w:line="240" w:lineRule="auto"/>
        <w:ind w:firstLine="0"/>
        <w:jc w:val="left"/>
        <w:rPr>
          <w:rFonts w:ascii="Garamond" w:eastAsia="MS Mincho" w:hAnsi="Garamond" w:cs="CG Times"/>
          <w:b/>
          <w:sz w:val="24"/>
          <w:lang w:val="sq-AL"/>
        </w:rPr>
        <w:sectPr w:rsidR="005C0BD2" w:rsidSect="005C0BD2">
          <w:type w:val="continuous"/>
          <w:pgSz w:w="11907" w:h="16840"/>
          <w:pgMar w:top="720" w:right="1134" w:bottom="720" w:left="1134" w:header="851" w:footer="851" w:gutter="0"/>
          <w:cols w:space="720"/>
        </w:sectPr>
      </w:pPr>
    </w:p>
    <w:p w:rsidR="005C0BD2" w:rsidRDefault="005C0BD2" w:rsidP="005C0BD2">
      <w:pPr>
        <w:pStyle w:val="Paragrafi"/>
        <w:rPr>
          <w:b/>
          <w:spacing w:val="-4"/>
          <w:lang w:val="sq-AL"/>
        </w:rPr>
      </w:pPr>
      <w:r>
        <w:rPr>
          <w:b/>
          <w:spacing w:val="-4"/>
          <w:lang w:val="sq-AL"/>
        </w:rPr>
        <w:t>Shënime për kriteret</w:t>
      </w:r>
    </w:p>
    <w:p w:rsidR="005C0BD2" w:rsidRDefault="005C0BD2" w:rsidP="005C0BD2">
      <w:pPr>
        <w:pStyle w:val="Paragrafi"/>
        <w:rPr>
          <w:spacing w:val="-4"/>
          <w:lang w:val="sq-AL"/>
        </w:rPr>
      </w:pPr>
      <w:r>
        <w:rPr>
          <w:spacing w:val="-4"/>
          <w:lang w:val="sq-AL"/>
        </w:rPr>
        <w:t>1.1</w:t>
      </w:r>
      <w:r>
        <w:rPr>
          <w:spacing w:val="-4"/>
          <w:lang w:val="sq-AL"/>
        </w:rPr>
        <w:tab/>
        <w:t xml:space="preserve"> Qartësia dhe plotësia e ofertës</w:t>
      </w:r>
    </w:p>
    <w:p w:rsidR="005C0BD2" w:rsidRDefault="005C0BD2" w:rsidP="005C0BD2">
      <w:pPr>
        <w:pStyle w:val="Paragrafi"/>
        <w:rPr>
          <w:spacing w:val="-4"/>
          <w:lang w:val="sq-AL"/>
        </w:rPr>
      </w:pPr>
      <w:r>
        <w:rPr>
          <w:spacing w:val="-4"/>
          <w:lang w:val="sq-AL"/>
        </w:rPr>
        <w:t>Oferta për shërbimet duhet të marrë plotësisht në konsideratë, në formë dhe përmbajtje, termat e referencës dhe kushtet e ofertës për shërbimet në kërkesën për tendera. Duhet të paraqiten të gjithë komponentët e kërkuar të ofertës për shërbime. Qartësia e ofertës nënkupton strukturë të qartë, deklarata me shkrim të mbështetura me tabela dhe lista të përshtatshme, dhe mjete të tjera botimi në përputhje me kompleksitetin e termave të referencës, dhe përdorim të ekuilibruar të shtojcave që teksti kryesor të jetë i qartë dhe i saktë. Nëse ka mungesa të vogla në lidhje me termat e referencës, pikët do të zbriten. Mungesat që e kufizojnë shumë krahasimin me ofertat e tjera sjellin përjashtimin e ofertuesit.</w:t>
      </w:r>
    </w:p>
    <w:p w:rsidR="005C0BD2" w:rsidRDefault="005C0BD2" w:rsidP="005C0BD2">
      <w:pPr>
        <w:pStyle w:val="Paragrafi"/>
        <w:rPr>
          <w:spacing w:val="-4"/>
          <w:lang w:val="sq-AL"/>
        </w:rPr>
      </w:pPr>
      <w:r>
        <w:rPr>
          <w:spacing w:val="-4"/>
          <w:lang w:val="sq-AL"/>
        </w:rPr>
        <w:t>1.2</w:t>
      </w:r>
      <w:r>
        <w:rPr>
          <w:spacing w:val="-4"/>
          <w:lang w:val="sq-AL"/>
        </w:rPr>
        <w:tab/>
        <w:t xml:space="preserve"> Analiza kritike e objektivit të projektit dhe termave të referencës</w:t>
      </w:r>
    </w:p>
    <w:p w:rsidR="005C0BD2" w:rsidRDefault="005C0BD2" w:rsidP="005C0BD2">
      <w:pPr>
        <w:pStyle w:val="Paragrafi"/>
        <w:rPr>
          <w:spacing w:val="-4"/>
          <w:lang w:val="sq-AL"/>
        </w:rPr>
      </w:pPr>
      <w:r>
        <w:rPr>
          <w:spacing w:val="-4"/>
          <w:lang w:val="sq-AL"/>
        </w:rPr>
        <w:t xml:space="preserve">Oferta për shërbime duhet të tregojë se Konsulenti e ka marrë projektin në konsideratë në mënyrë objektive, dhe i ka shqyrtuar termat e tij të referencës në mënyrë kritike dhe hollësisht. Duhet shprehur çdo dyshim për përshtatshmërinë, lidhjen logjike dhe fizibilitetin e aspekteve të veçanta dhe konceptin në tërësi. Seksioni i metodologjisë duhet t’i marrë në konsideratë në mënyrë konstruktive, duke shmangur kufizimet e papranueshme. </w:t>
      </w:r>
    </w:p>
    <w:p w:rsidR="005C0BD2" w:rsidRDefault="005C0BD2" w:rsidP="005C0BD2">
      <w:pPr>
        <w:pStyle w:val="Paragrafi"/>
        <w:rPr>
          <w:spacing w:val="-4"/>
          <w:lang w:val="sq-AL"/>
        </w:rPr>
      </w:pPr>
      <w:r>
        <w:rPr>
          <w:spacing w:val="-4"/>
          <w:lang w:val="sq-AL"/>
        </w:rPr>
        <w:t>1.3</w:t>
      </w:r>
      <w:r>
        <w:rPr>
          <w:spacing w:val="-4"/>
          <w:lang w:val="sq-AL"/>
        </w:rPr>
        <w:tab/>
        <w:t xml:space="preserve"> Koncepti dhe metoda e propozuar, duke përfshirë programin e punës, planin për marrjen e personelit dhe mekanizmat e monitorimit dhe koordinimit</w:t>
      </w:r>
    </w:p>
    <w:p w:rsidR="005C0BD2" w:rsidRDefault="005C0BD2" w:rsidP="005C0BD2">
      <w:pPr>
        <w:pStyle w:val="Paragrafi"/>
        <w:rPr>
          <w:spacing w:val="-4"/>
          <w:lang w:val="sq-AL"/>
        </w:rPr>
      </w:pPr>
      <w:r>
        <w:rPr>
          <w:spacing w:val="-4"/>
          <w:lang w:val="sq-AL"/>
        </w:rPr>
        <w:t>Oferta për shërbime duhet të paraqesë qasjen metodologjike dhe programin e punës në atë mënyrë që të vlerësohet përshtatshmëria e tyre në lidhje me termat e referencës, dhe ato të mund të krahasohen me ofertat e tjera të kualifikuara. Kjo përfshin një deklaratë për organizimin e planifikuar të punës dhe logjistikën. Nëse, në gjykimin profesional të vlerësuesve dhe KfW-së, ka mospërputhje të qarta dhe të mëdha ndërmjet termave të referencës dhe sasive të përcaktuara, oferta nuk do të merret në shqyrtim. Teksti duhet të përcaktojë qartë se si do të zgjidhet detyra dhe se si do të përdoren burimet, si do të ndahet puna ndërmjet anëtarëve të ekipit, si do të organizohet koordinimi me personat e përfshirë dhe ata të prekur dhe sesi do të sigurohet cilësia e punës. Ai duhet shoqëruar me diagrama, tabela, dhe në rastin e punës komplekse, edhe me grafikët e duhur</w:t>
      </w:r>
      <w:r>
        <w:rPr>
          <w:rStyle w:val="FootnoteReference"/>
          <w:spacing w:val="-4"/>
          <w:lang w:val="sq-AL"/>
        </w:rPr>
        <w:footnoteReference w:id="20"/>
      </w:r>
      <w:r>
        <w:rPr>
          <w:spacing w:val="-4"/>
          <w:lang w:val="sq-AL"/>
        </w:rPr>
        <w:t>.</w:t>
      </w:r>
    </w:p>
    <w:p w:rsidR="005C0BD2" w:rsidRDefault="005C0BD2" w:rsidP="005C0BD2">
      <w:pPr>
        <w:pStyle w:val="Paragrafi"/>
        <w:rPr>
          <w:spacing w:val="-4"/>
          <w:lang w:val="sq-AL"/>
        </w:rPr>
      </w:pPr>
      <w:r>
        <w:rPr>
          <w:spacing w:val="-4"/>
          <w:lang w:val="sq-AL"/>
        </w:rPr>
        <w:t xml:space="preserve">2.1 </w:t>
      </w:r>
      <w:r>
        <w:rPr>
          <w:spacing w:val="-4"/>
          <w:lang w:val="sq-AL"/>
        </w:rPr>
        <w:tab/>
        <w:t xml:space="preserve">Kualifikimet e personelit kyç që do të punësohet në projekt, veçanërisht menaxheri i projektit </w:t>
      </w:r>
    </w:p>
    <w:p w:rsidR="005C0BD2" w:rsidRDefault="005C0BD2" w:rsidP="005C0BD2">
      <w:pPr>
        <w:pStyle w:val="Paragrafi"/>
        <w:rPr>
          <w:spacing w:val="-4"/>
          <w:lang w:val="sq-AL"/>
        </w:rPr>
      </w:pPr>
      <w:r>
        <w:rPr>
          <w:spacing w:val="-4"/>
          <w:lang w:val="sq-AL"/>
        </w:rPr>
        <w:t>CV-ja e personelit të ekspertëve për kontratat me pagesë të vetme të personelit kyç duhet të ketë një faqe të parë që përmban një përmbledhje</w:t>
      </w:r>
      <w:r>
        <w:rPr>
          <w:rStyle w:val="FootnoteReference"/>
          <w:spacing w:val="-4"/>
          <w:lang w:val="sq-AL"/>
        </w:rPr>
        <w:footnoteReference w:id="21"/>
      </w:r>
      <w:r>
        <w:rPr>
          <w:spacing w:val="-4"/>
          <w:lang w:val="sq-AL"/>
        </w:rPr>
        <w:t xml:space="preserve"> dhe përfshin, këtu ose në tekst, një deklaratë të shkurtër nga ofertuesi për përshtatshmërinë e tyre për punën dhe funksionin e parashikuar sipas këtij projekti të veçantë (me më shumë detaje për ekspertët vendorë). Për kontratat me pagesë të vetme, ofertuesi duhet të deklarojë gjithashtu përbërjen e ekipit të plotë të projektit, pa renditur asnjë emër, dhe periudhat e planifikuara për detyrat e ekspertëve. Këto kualifikime personale nuk do të vlerësohen në terma absolutë, por në lidhje me detyrat që do të kryhen, në përputhje me funksionet dhe fushat teknike të kërkuara, dhe duke krahasuar përvojën dhe profilin e kërkesave. Vlerësimi i kritereve formale (trajnim, përvojë profesionale, përvojë rajonale, aftësi gjuhësore, përvojë në menaxhim dhe trajnim) do të ndryshojë në varësi të termave të referencës dhe funksionit.</w:t>
      </w:r>
    </w:p>
    <w:p w:rsidR="005C0BD2" w:rsidRDefault="005C0BD2" w:rsidP="005C0BD2">
      <w:pPr>
        <w:pStyle w:val="Paragrafi"/>
        <w:rPr>
          <w:spacing w:val="-4"/>
          <w:lang w:val="sq-AL"/>
        </w:rPr>
      </w:pPr>
      <w:r>
        <w:rPr>
          <w:spacing w:val="-4"/>
          <w:lang w:val="sq-AL"/>
        </w:rPr>
        <w:t xml:space="preserve">Vlerësuesit do të shqyrtojnë gjithashtu nëse të gjitha fushat e nevojshme teknike dhe funksionale mbulohen </w:t>
      </w:r>
      <w:r>
        <w:rPr>
          <w:spacing w:val="-4"/>
          <w:lang w:val="sq-AL"/>
        </w:rPr>
        <w:lastRenderedPageBreak/>
        <w:t>në përputhje me kërkesat e projektit. Rëndësi e veçantë do t’i kushtohet edhe kualifikimeve të menaxherit të projektit, pasi ai ka përgjegjësi operacionale për kryerjen e shërbimeve. Në rastin e tij, përvoja menaxheriale, aftësitë gjuhësore, njohuritë për metodat e planifikimit dhe përvoja e kufizuar do të jenë përgjithësisht më të rëndësishme sesa në rastin e punonjësve të tjerë të kualifikuar.</w:t>
      </w:r>
    </w:p>
    <w:p w:rsidR="005C0BD2" w:rsidRDefault="005C0BD2" w:rsidP="005C0BD2">
      <w:pPr>
        <w:pStyle w:val="Paragrafi"/>
        <w:rPr>
          <w:spacing w:val="-4"/>
          <w:lang w:val="sq-AL"/>
        </w:rPr>
      </w:pPr>
      <w:r>
        <w:rPr>
          <w:spacing w:val="-4"/>
          <w:lang w:val="sq-AL"/>
        </w:rPr>
        <w:t>2.2</w:t>
      </w:r>
      <w:r>
        <w:rPr>
          <w:spacing w:val="-4"/>
          <w:lang w:val="sq-AL"/>
        </w:rPr>
        <w:tab/>
        <w:t xml:space="preserve"> Kualifikimet e personelit në zyrën qendrore që do të kontrollojnë dhe monitorojnë ekipin dhe do të ofrojnë shërbime mbështetëse.</w:t>
      </w:r>
    </w:p>
    <w:p w:rsidR="005C0BD2" w:rsidRDefault="005C0BD2" w:rsidP="005C0BD2">
      <w:pPr>
        <w:pStyle w:val="Paragrafi"/>
        <w:rPr>
          <w:spacing w:val="-4"/>
          <w:szCs w:val="24"/>
          <w:lang w:val="sq-AL"/>
        </w:rPr>
      </w:pPr>
      <w:r>
        <w:rPr>
          <w:spacing w:val="-4"/>
          <w:szCs w:val="24"/>
          <w:lang w:val="sq-AL"/>
        </w:rPr>
        <w:t xml:space="preserve">Konsulenti duhet të tregojë se ai (vetëm ose në bashkëpunim me firma/shoqëri të tjera) mund të ofrojë shërbime mbështetëse kompetente për ekipin që punon në nivel vendor për të gjitha çështjet teknike që mund të lindin, duke përdorur personelin e brendshëm me përvojë dhe që mund të kontrollojë dhe monitorojë punën. Ekspertiza e përgjithshme profesionale dhe përvoja menaxheriale janë më të rëndësishme në këtë rast sesa njohuritë gjuhësore ose për rajonin. Në rastin e shërbimit afatgjatë dhe studimeve të detajuara, mbështetja nga zyra qendrore do të jetë më e rëndësishme sesa në rastin e studimeve të shkurtra, pasi menaxherit të projektit do i kalojnë më shumë përgjegjësi. </w:t>
      </w:r>
    </w:p>
    <w:p w:rsidR="005C0BD2" w:rsidRDefault="005C0BD2" w:rsidP="005C0BD2">
      <w:pPr>
        <w:pStyle w:val="Hapesira7"/>
        <w:rPr>
          <w:lang w:val="sq-AL"/>
        </w:rPr>
      </w:pPr>
    </w:p>
    <w:p w:rsidR="005C0BD2" w:rsidRDefault="005C0BD2" w:rsidP="005C0BD2">
      <w:pPr>
        <w:pStyle w:val="NeniTitull"/>
        <w:rPr>
          <w:b w:val="0"/>
          <w:spacing w:val="-4"/>
          <w:lang w:val="sq-AL"/>
        </w:rPr>
      </w:pPr>
      <w:bookmarkStart w:id="19" w:name="page40"/>
      <w:bookmarkEnd w:id="19"/>
      <w:r>
        <w:rPr>
          <w:b w:val="0"/>
          <w:spacing w:val="-4"/>
          <w:lang w:val="sq-AL"/>
        </w:rPr>
        <w:t>SHTOJCA 8</w:t>
      </w:r>
    </w:p>
    <w:p w:rsidR="005C0BD2" w:rsidRDefault="005C0BD2" w:rsidP="005C0BD2">
      <w:pPr>
        <w:pStyle w:val="Paragrafi"/>
        <w:jc w:val="center"/>
        <w:rPr>
          <w:spacing w:val="-4"/>
          <w:lang w:val="sq-AL"/>
        </w:rPr>
      </w:pPr>
      <w:r>
        <w:rPr>
          <w:spacing w:val="-4"/>
          <w:lang w:val="sq-AL"/>
        </w:rPr>
        <w:t>KUSHTET E PËRGJITHSHME TË KONTRATËS / KOMPONENTËT KRYESORË TË KONTRATËS SË SHËRBIMEVE TË KONSULENCËS</w:t>
      </w:r>
    </w:p>
    <w:p w:rsidR="005C0BD2" w:rsidRDefault="005C0BD2" w:rsidP="005C0BD2">
      <w:pPr>
        <w:pStyle w:val="Paragrafi"/>
        <w:jc w:val="center"/>
        <w:rPr>
          <w:spacing w:val="-4"/>
          <w:sz w:val="14"/>
          <w:lang w:val="sq-AL"/>
        </w:rPr>
      </w:pPr>
    </w:p>
    <w:p w:rsidR="005C0BD2" w:rsidRDefault="005C0BD2" w:rsidP="005C0BD2">
      <w:pPr>
        <w:pStyle w:val="Paragrafi"/>
        <w:rPr>
          <w:spacing w:val="-4"/>
          <w:lang w:val="sq-AL"/>
        </w:rPr>
      </w:pPr>
      <w:r>
        <w:rPr>
          <w:spacing w:val="-4"/>
          <w:lang w:val="sq-AL"/>
        </w:rPr>
        <w:t>1. Kontrata</w:t>
      </w:r>
    </w:p>
    <w:p w:rsidR="005C0BD2" w:rsidRDefault="005C0BD2" w:rsidP="005C0BD2">
      <w:pPr>
        <w:pStyle w:val="Paragrafi"/>
        <w:rPr>
          <w:spacing w:val="-6"/>
          <w:lang w:val="sq-AL"/>
        </w:rPr>
      </w:pPr>
      <w:r>
        <w:rPr>
          <w:spacing w:val="-6"/>
          <w:lang w:val="sq-AL"/>
        </w:rPr>
        <w:t xml:space="preserve">Kur është e mundur, duhet të përdoret kontrata tip e hartuar nga KfW-ja. Nëse jo, kontrata duhet të formulohet mbi bazën e praktikave të pranuara në nivel ndërkombëtar. Duhet të përfshihen minimalisht përcaktimet e mëposhtme kontraktuese. </w:t>
      </w:r>
    </w:p>
    <w:p w:rsidR="005C0BD2" w:rsidRDefault="005C0BD2" w:rsidP="005C0BD2">
      <w:pPr>
        <w:pStyle w:val="Paragrafi"/>
        <w:rPr>
          <w:spacing w:val="-4"/>
          <w:lang w:val="sq-AL"/>
        </w:rPr>
      </w:pPr>
      <w:r>
        <w:rPr>
          <w:spacing w:val="-4"/>
          <w:lang w:val="sq-AL"/>
        </w:rPr>
        <w:t>2. Shërbimet që do të ofrohen nga konsulenti</w:t>
      </w:r>
    </w:p>
    <w:p w:rsidR="005C0BD2" w:rsidRDefault="005C0BD2" w:rsidP="005C0BD2">
      <w:pPr>
        <w:pStyle w:val="Paragrafi"/>
        <w:rPr>
          <w:spacing w:val="-4"/>
          <w:lang w:val="sq-AL"/>
        </w:rPr>
      </w:pPr>
      <w:r>
        <w:rPr>
          <w:spacing w:val="-4"/>
          <w:lang w:val="sq-AL"/>
        </w:rPr>
        <w:t>2.1 Përshkrimi</w:t>
      </w:r>
    </w:p>
    <w:p w:rsidR="005C0BD2" w:rsidRDefault="005C0BD2" w:rsidP="005C0BD2">
      <w:pPr>
        <w:pStyle w:val="Paragrafi"/>
        <w:rPr>
          <w:spacing w:val="-4"/>
          <w:lang w:val="sq-AL"/>
        </w:rPr>
      </w:pPr>
      <w:r>
        <w:rPr>
          <w:spacing w:val="-4"/>
          <w:lang w:val="sq-AL"/>
        </w:rPr>
        <w:t>Me nënshkrimin e kontratës së konsulencës, Konsulenti merr përsipër të përmbushë detyrën që i është caktuar. Shërbimet e detajuara të rëna dakord për këtë qëllim dhe metodat e punës që do të përdoren rezultojnë nga termat e referencës, të mbështetura nga oferta për shërbime që dorëzohet nga konsulenti. Kjo ofertë e detajuar e shërbimeve, ku bazohet vendimi për dhënien e kontratës, është pjesë kryesore e kontratës së konsulencës, me shtesa dhe ndryshime që rezultojnë nga bisedimet për kontratën.</w:t>
      </w:r>
    </w:p>
    <w:p w:rsidR="005C0BD2" w:rsidRDefault="005C0BD2" w:rsidP="005C0BD2">
      <w:pPr>
        <w:pStyle w:val="Paragrafi"/>
        <w:rPr>
          <w:spacing w:val="-4"/>
          <w:lang w:val="sq-AL"/>
        </w:rPr>
      </w:pPr>
      <w:r>
        <w:rPr>
          <w:spacing w:val="-4"/>
          <w:lang w:val="sq-AL"/>
        </w:rPr>
        <w:t>Në përgjithësi, përshkrimi i shërbimeve to të përfshijë:</w:t>
      </w:r>
    </w:p>
    <w:p w:rsidR="005C0BD2" w:rsidRDefault="005C0BD2" w:rsidP="005C0BD2">
      <w:pPr>
        <w:pStyle w:val="Paragrafi"/>
        <w:rPr>
          <w:spacing w:val="-4"/>
          <w:lang w:val="sq-AL"/>
        </w:rPr>
      </w:pPr>
      <w:r>
        <w:rPr>
          <w:spacing w:val="-4"/>
          <w:lang w:val="sq-AL"/>
        </w:rPr>
        <w:t>- një deklaratë për objektivin e detyrës së konsulencës dhe termat e referencës që rezultojnë për Konsulentin;</w:t>
      </w:r>
    </w:p>
    <w:p w:rsidR="005C0BD2" w:rsidRDefault="005C0BD2" w:rsidP="005C0BD2">
      <w:pPr>
        <w:pStyle w:val="Paragrafi"/>
        <w:rPr>
          <w:spacing w:val="-4"/>
          <w:lang w:val="sq-AL"/>
        </w:rPr>
      </w:pPr>
      <w:r>
        <w:rPr>
          <w:spacing w:val="-4"/>
          <w:lang w:val="sq-AL"/>
        </w:rPr>
        <w:t>- një listë të detajuar të shërbimeve individuale minimale të nevojshme për arritjen e këtij objektivi;</w:t>
      </w:r>
    </w:p>
    <w:p w:rsidR="005C0BD2" w:rsidRDefault="005C0BD2" w:rsidP="005C0BD2">
      <w:pPr>
        <w:pStyle w:val="Paragrafi"/>
        <w:rPr>
          <w:spacing w:val="-4"/>
          <w:lang w:val="sq-AL"/>
        </w:rPr>
      </w:pPr>
      <w:r>
        <w:rPr>
          <w:spacing w:val="-4"/>
          <w:lang w:val="sq-AL"/>
        </w:rPr>
        <w:t>- një listë të dokumenteve (studime, raporte, plane) që do të paraqitet nga Konsulenti për të treguar progresin dhe rezultatet e punës së tij. Qëllimi, shpeshtësia dhe kërkesat e cilësisë për raportet duhet të përcaktohen me detaje dhe duhet të jenë detyruese. Për vonesa ose mangësi në raporte mund të vendosen gjoba deri në shuma të mëdha.</w:t>
      </w:r>
    </w:p>
    <w:p w:rsidR="005C0BD2" w:rsidRDefault="005C0BD2" w:rsidP="005C0BD2">
      <w:pPr>
        <w:pStyle w:val="Paragrafi"/>
        <w:rPr>
          <w:spacing w:val="-4"/>
          <w:lang w:val="sq-AL"/>
        </w:rPr>
      </w:pPr>
      <w:r>
        <w:rPr>
          <w:spacing w:val="-4"/>
          <w:lang w:val="sq-AL"/>
        </w:rPr>
        <w:t>2.2</w:t>
      </w:r>
      <w:r>
        <w:rPr>
          <w:spacing w:val="-4"/>
          <w:lang w:val="sq-AL"/>
        </w:rPr>
        <w:tab/>
        <w:t xml:space="preserve"> Grafiku kohor</w:t>
      </w:r>
    </w:p>
    <w:p w:rsidR="005C0BD2" w:rsidRDefault="005C0BD2" w:rsidP="005C0BD2">
      <w:pPr>
        <w:pStyle w:val="Paragrafi"/>
        <w:rPr>
          <w:spacing w:val="-4"/>
          <w:lang w:val="sq-AL"/>
        </w:rPr>
      </w:pPr>
      <w:r>
        <w:rPr>
          <w:spacing w:val="-4"/>
          <w:lang w:val="sq-AL"/>
        </w:rPr>
        <w:t>Grafiku kohor duhet të dokumentojë rendin kronologjik, sipas së cilit do të kryhen shërbimet dhe përmbajtjen e tyre, si dhe do të jetë detyrues. Ai duhet të paraqesë, gjithashtu, ngjarjet kryesore të projektit (“fazat më të rëndësishme”), që lidhen me shërbimet e konsulencës. Për vonesa mund të vendosen gjoba deri në shuma të mëdha.</w:t>
      </w:r>
    </w:p>
    <w:p w:rsidR="005C0BD2" w:rsidRDefault="005C0BD2" w:rsidP="005C0BD2">
      <w:pPr>
        <w:pStyle w:val="Paragrafi"/>
        <w:rPr>
          <w:spacing w:val="-4"/>
          <w:lang w:val="sq-AL"/>
        </w:rPr>
      </w:pPr>
      <w:r>
        <w:rPr>
          <w:spacing w:val="-4"/>
          <w:lang w:val="sq-AL"/>
        </w:rPr>
        <w:t xml:space="preserve">2.3 </w:t>
      </w:r>
      <w:r>
        <w:rPr>
          <w:spacing w:val="-4"/>
          <w:lang w:val="sq-AL"/>
        </w:rPr>
        <w:tab/>
        <w:t xml:space="preserve">Plani për pajisjen me personel </w:t>
      </w:r>
    </w:p>
    <w:p w:rsidR="005C0BD2" w:rsidRDefault="005C0BD2" w:rsidP="005C0BD2">
      <w:pPr>
        <w:pStyle w:val="Paragrafi"/>
        <w:rPr>
          <w:spacing w:val="-4"/>
          <w:lang w:val="sq-AL"/>
        </w:rPr>
      </w:pPr>
      <w:r>
        <w:rPr>
          <w:spacing w:val="-4"/>
          <w:lang w:val="sq-AL"/>
        </w:rPr>
        <w:t>Plani për pajisjen me personel rregullon numrin dhe kualifikimet specifike të projektit për personelin që do të punësohet në fusha të ndryshme të shërbimit dhe kohëzgjatjen e shërbimit të tyre, dhe i cakton qartë në planin e veprimtarive. Ai duhet të dokumentojë gjithashtu bashkëpunimin me personelin e Klientit të caktuar për projektin.</w:t>
      </w:r>
    </w:p>
    <w:p w:rsidR="005C0BD2" w:rsidRDefault="005C0BD2" w:rsidP="005C0BD2">
      <w:pPr>
        <w:pStyle w:val="Paragrafi"/>
        <w:rPr>
          <w:spacing w:val="-4"/>
          <w:lang w:val="sq-AL"/>
        </w:rPr>
      </w:pPr>
      <w:bookmarkStart w:id="20" w:name="page41"/>
      <w:bookmarkEnd w:id="20"/>
      <w:r>
        <w:rPr>
          <w:spacing w:val="-4"/>
          <w:lang w:val="sq-AL"/>
        </w:rPr>
        <w:t>3. Shërbimet që do të ofrohen nga Agjencia e Zbatimit të Projektit (si Klient)</w:t>
      </w:r>
      <w:r>
        <w:rPr>
          <w:rStyle w:val="FootnoteReference"/>
          <w:spacing w:val="-4"/>
          <w:lang w:val="sq-AL"/>
        </w:rPr>
        <w:footnoteReference w:id="22"/>
      </w:r>
    </w:p>
    <w:p w:rsidR="005C0BD2" w:rsidRDefault="005C0BD2" w:rsidP="005C0BD2">
      <w:pPr>
        <w:pStyle w:val="Paragrafi"/>
        <w:rPr>
          <w:spacing w:val="-4"/>
          <w:lang w:val="sq-AL"/>
        </w:rPr>
      </w:pPr>
      <w:r>
        <w:rPr>
          <w:spacing w:val="-4"/>
          <w:lang w:val="sq-AL"/>
        </w:rPr>
        <w:t xml:space="preserve">3.1 Detyrimi për ofrimin e informacionit </w:t>
      </w:r>
    </w:p>
    <w:p w:rsidR="005C0BD2" w:rsidRDefault="005C0BD2" w:rsidP="005C0BD2">
      <w:pPr>
        <w:pStyle w:val="Paragrafi"/>
        <w:rPr>
          <w:spacing w:val="-4"/>
          <w:lang w:val="sq-AL"/>
        </w:rPr>
      </w:pPr>
      <w:r>
        <w:rPr>
          <w:spacing w:val="-4"/>
          <w:lang w:val="sq-AL"/>
        </w:rPr>
        <w:t>Klienti do ta pajisë Konsulentin, për kohëzgjatjen e shërbimit dhe pa pagesë, me të gjitha të dhënat, dokumentet dhe informacionin ku ai ka akses dhe që janë të nevojshme për zbatimin e kontratës së konsulencës.</w:t>
      </w:r>
    </w:p>
    <w:p w:rsidR="005C0BD2" w:rsidRDefault="005C0BD2" w:rsidP="005C0BD2">
      <w:pPr>
        <w:pStyle w:val="Paragrafi"/>
        <w:rPr>
          <w:spacing w:val="-4"/>
          <w:lang w:val="sq-AL"/>
        </w:rPr>
      </w:pPr>
      <w:r>
        <w:rPr>
          <w:spacing w:val="-4"/>
          <w:lang w:val="sq-AL"/>
        </w:rPr>
        <w:t xml:space="preserve">3.2 </w:t>
      </w:r>
      <w:r>
        <w:rPr>
          <w:spacing w:val="-4"/>
          <w:lang w:val="sq-AL"/>
        </w:rPr>
        <w:tab/>
        <w:t>Shërbimet homologe</w:t>
      </w:r>
    </w:p>
    <w:p w:rsidR="005C0BD2" w:rsidRDefault="005C0BD2" w:rsidP="005C0BD2">
      <w:pPr>
        <w:pStyle w:val="Paragrafi"/>
        <w:rPr>
          <w:spacing w:val="-4"/>
          <w:lang w:val="sq-AL"/>
        </w:rPr>
      </w:pPr>
      <w:r>
        <w:rPr>
          <w:spacing w:val="-4"/>
          <w:lang w:val="sq-AL"/>
        </w:rPr>
        <w:t>Klienti merr përsipër t’i ofrojë Konsulentit, në kohën e duhur dhe plotësisht, të gjitha shërbimet e nevojshme për përmbushjen e detyrimeve të tij dhe që janë të detajuara në dokumentet e tenderit.</w:t>
      </w:r>
    </w:p>
    <w:p w:rsidR="005C0BD2" w:rsidRDefault="005C0BD2" w:rsidP="005C0BD2">
      <w:pPr>
        <w:pStyle w:val="Paragrafi"/>
        <w:rPr>
          <w:spacing w:val="-4"/>
          <w:lang w:val="sq-AL"/>
        </w:rPr>
      </w:pPr>
      <w:r>
        <w:rPr>
          <w:spacing w:val="-4"/>
          <w:lang w:val="sq-AL"/>
        </w:rPr>
        <w:lastRenderedPageBreak/>
        <w:t>3.3</w:t>
      </w:r>
      <w:r>
        <w:rPr>
          <w:spacing w:val="-4"/>
          <w:lang w:val="sq-AL"/>
        </w:rPr>
        <w:t xml:space="preserve"> Detyrimi i përgjithshëm për ofrimin e mbështetjes</w:t>
      </w:r>
    </w:p>
    <w:p w:rsidR="005C0BD2" w:rsidRDefault="005C0BD2" w:rsidP="005C0BD2">
      <w:pPr>
        <w:pStyle w:val="Paragrafi"/>
        <w:rPr>
          <w:spacing w:val="-4"/>
          <w:lang w:val="sq-AL"/>
        </w:rPr>
      </w:pPr>
      <w:r>
        <w:rPr>
          <w:spacing w:val="-4"/>
          <w:lang w:val="sq-AL"/>
        </w:rPr>
        <w:t>Klienti merr përsipër të marrë në kohë lejet zyrtare të nevojshme nga Konsulenti për punën e tij (vizat, lejet e punës etj.).</w:t>
      </w:r>
    </w:p>
    <w:p w:rsidR="005C0BD2" w:rsidRDefault="005C0BD2" w:rsidP="005C0BD2">
      <w:pPr>
        <w:pStyle w:val="Paragrafi"/>
        <w:rPr>
          <w:spacing w:val="-4"/>
          <w:lang w:val="sq-AL"/>
        </w:rPr>
      </w:pPr>
      <w:r>
        <w:rPr>
          <w:spacing w:val="-4"/>
          <w:lang w:val="sq-AL"/>
        </w:rPr>
        <w:t xml:space="preserve">4. </w:t>
      </w:r>
      <w:r>
        <w:rPr>
          <w:spacing w:val="-4"/>
          <w:lang w:val="sq-AL"/>
        </w:rPr>
        <w:t xml:space="preserve">Pagesa </w:t>
      </w:r>
    </w:p>
    <w:p w:rsidR="005C0BD2" w:rsidRDefault="005C0BD2" w:rsidP="005C0BD2">
      <w:pPr>
        <w:pStyle w:val="Paragrafi"/>
        <w:rPr>
          <w:spacing w:val="-4"/>
          <w:lang w:val="sq-AL"/>
        </w:rPr>
      </w:pPr>
      <w:r>
        <w:rPr>
          <w:spacing w:val="-4"/>
          <w:lang w:val="sq-AL"/>
        </w:rPr>
        <w:t>Pagesa e Konsulentit (tarifa dhe shpenzime të tjera rastësore) do të bihet dakord mbi bazën e kuotimit të tij të detajuar të çmimit, kur është e përshtatshme të ndryshohen gjatë bisedimeve për kontratën. Pagesa do të bëhet veçmas për komponentët e valutës vendëse dhe të huaj. Tarifa llogaritet për kontributin e personelit të propozuar në ofertë dhe është e përshtatshme për shërbimet e rëna dakord, në norma mujore të ekspertit për kualifikimet e kërkuara. Pagesa do të bëhet gjithashtu për shpenzimet e nevojshme për materialet dhe kostot e udhëtimit, dhe shpenzime të tjera rastësore. Këto kosto duhen paguar në një pagesë të vetme. Në kontratë deklarohet nëse pagesa për shërbimet do të kryhet si pagesë e vetme kundrejt shërbimeve të kryera apo në këste për arritjen e objektivave të rëna dakord. Në rastin e studimeve do të preferohet pagesa e vetme. Zakonisht KfW-ja nuk pranon një marrëveshje për tarifat si përqindje e kostove të projektit.</w:t>
      </w:r>
    </w:p>
    <w:p w:rsidR="005C0BD2" w:rsidRDefault="005C0BD2" w:rsidP="005C0BD2">
      <w:pPr>
        <w:pStyle w:val="Paragrafi"/>
        <w:rPr>
          <w:b/>
          <w:spacing w:val="-4"/>
          <w:lang w:val="sq-AL"/>
        </w:rPr>
      </w:pPr>
      <w:r>
        <w:rPr>
          <w:b/>
          <w:spacing w:val="-4"/>
          <w:lang w:val="sq-AL"/>
        </w:rPr>
        <w:t xml:space="preserve">5. </w:t>
      </w:r>
      <w:r w:rsidRPr="005C0BD2">
        <w:rPr>
          <w:spacing w:val="-4"/>
          <w:lang w:val="sq-AL"/>
        </w:rPr>
        <w:t>Kushtet e pagesës</w:t>
      </w:r>
      <w:r>
        <w:rPr>
          <w:b/>
          <w:spacing w:val="-4"/>
          <w:lang w:val="sq-AL"/>
        </w:rPr>
        <w:t xml:space="preserve"> </w:t>
      </w:r>
    </w:p>
    <w:p w:rsidR="005C0BD2" w:rsidRDefault="005C0BD2" w:rsidP="005C0BD2">
      <w:pPr>
        <w:pStyle w:val="Paragrafi"/>
        <w:rPr>
          <w:spacing w:val="-4"/>
          <w:lang w:val="sq-AL"/>
        </w:rPr>
      </w:pPr>
      <w:r>
        <w:rPr>
          <w:spacing w:val="-4"/>
          <w:lang w:val="sq-AL"/>
        </w:rPr>
        <w:t>Klienti është përgjegjës për zbatimin e projektit, dhe si rrjedhojë edhe për kryerjen e pagesave sipas kontratës së konsulencës. Në veçanti, Klienti është përgjegjës për të garantuar se të gjitha pagesat janë kryer pa vonesë dhe në përputhje me përcaktimet kontraktuese. Nëse pagesat nuk merren në kohën e duhur për arsye për të cilat përgjegjës është Klienti, Konsulenti mund të kërkojë rimbursim të kostove të shkaktuara nga vonesa.</w:t>
      </w:r>
    </w:p>
    <w:p w:rsidR="005C0BD2" w:rsidRDefault="005C0BD2" w:rsidP="005C0BD2">
      <w:pPr>
        <w:pStyle w:val="Paragrafi"/>
        <w:rPr>
          <w:spacing w:val="-4"/>
          <w:lang w:val="sq-AL"/>
        </w:rPr>
      </w:pPr>
      <w:r>
        <w:rPr>
          <w:spacing w:val="-4"/>
          <w:lang w:val="sq-AL"/>
        </w:rPr>
        <w:t>Konsulenti nuk ka të drejtë rekursi, dhe në veçanti as pretendime për pagesë ndaj KfW-së sipas marrëveshjes së huas ose financimit të nënshkruar për projektin. KfW-ja kryen pagesën sipas marrëveshjes së huas ose financimit, me kërkesë të personit të autorizuar sipas kësaj kontrate.</w:t>
      </w:r>
    </w:p>
    <w:p w:rsidR="005C0BD2" w:rsidRDefault="005C0BD2" w:rsidP="005C0BD2">
      <w:pPr>
        <w:pStyle w:val="Paragrafi"/>
        <w:rPr>
          <w:spacing w:val="-4"/>
          <w:lang w:val="sq-AL"/>
        </w:rPr>
      </w:pPr>
      <w:bookmarkStart w:id="21" w:name="page42"/>
      <w:bookmarkEnd w:id="21"/>
      <w:r>
        <w:rPr>
          <w:spacing w:val="-4"/>
          <w:lang w:val="sq-AL"/>
        </w:rPr>
        <w:t xml:space="preserve">5.1 </w:t>
      </w:r>
      <w:r>
        <w:rPr>
          <w:spacing w:val="-4"/>
          <w:lang w:val="sq-AL"/>
        </w:rPr>
        <w:t>Pagesa paraprake</w:t>
      </w:r>
    </w:p>
    <w:p w:rsidR="005C0BD2" w:rsidRDefault="005C0BD2" w:rsidP="005C0BD2">
      <w:pPr>
        <w:pStyle w:val="Paragrafi"/>
        <w:rPr>
          <w:spacing w:val="-4"/>
          <w:lang w:val="sq-AL"/>
        </w:rPr>
      </w:pPr>
      <w:r>
        <w:rPr>
          <w:spacing w:val="-4"/>
          <w:lang w:val="sq-AL"/>
        </w:rPr>
        <w:t>Pagesa paraprake është një shërbim paraprak nga Klienti për të mbuluar kostot e mobilizimit të Konsulentit. Ajo kryhet kur nënshkruhet kontrata ose menjëherë pas saj, me dorëzimin e një fature. Si rregull, ajo nuk duhet ta tejkalojë masën 15% të vlerës totale të kontratës ose 150,000 euro apo ekuivalentin e saj në valutë tjetër. Ofrimi i një garancie të pagesës paraprake [Garanci tip për pagesën paraprake] kërkohet nëse pagesa paraprake tejkalon 15% të Vlerës së Porosisë, dhe në rast se e tejkalon shifrën 150,000 euro (apo ekuivalentin e saj në valutë tjetër).</w:t>
      </w:r>
      <w:r>
        <w:rPr>
          <w:rStyle w:val="FootnoteReference"/>
          <w:spacing w:val="-4"/>
          <w:lang w:val="sq-AL"/>
        </w:rPr>
        <w:footnoteReference w:id="23"/>
      </w:r>
    </w:p>
    <w:p w:rsidR="005C0BD2" w:rsidRDefault="005C0BD2" w:rsidP="005C0BD2">
      <w:pPr>
        <w:pStyle w:val="Paragrafi"/>
        <w:rPr>
          <w:spacing w:val="-4"/>
          <w:lang w:val="sq-AL"/>
        </w:rPr>
      </w:pPr>
      <w:r>
        <w:rPr>
          <w:spacing w:val="-4"/>
          <w:lang w:val="sq-AL"/>
        </w:rPr>
        <w:t xml:space="preserve">5.2 </w:t>
      </w:r>
      <w:r>
        <w:rPr>
          <w:spacing w:val="-4"/>
          <w:lang w:val="sq-AL"/>
        </w:rPr>
        <w:t>Pagesat e ndërmjetme</w:t>
      </w:r>
    </w:p>
    <w:p w:rsidR="005C0BD2" w:rsidRDefault="005C0BD2" w:rsidP="005C0BD2">
      <w:pPr>
        <w:pStyle w:val="Paragrafi"/>
        <w:rPr>
          <w:spacing w:val="-4"/>
          <w:lang w:val="sq-AL"/>
        </w:rPr>
      </w:pPr>
      <w:r>
        <w:rPr>
          <w:spacing w:val="-4"/>
          <w:lang w:val="sq-AL"/>
        </w:rPr>
        <w:t>Pagesat e tjera (këstet) do të kryhen në përputhje me progresin e pritshëm të shërbimeve me jo më pak se një pagesë në çdo tremujor me dorëzimin e një fature. Pas disbursimit në masën 70% të pagesës së kontratës, çdo pagesë tjetër e ndërmjetme do të kryhet vetëm për dokumentet që lidhen me fazat specifike të rëndësishme të projektit (p.sh. raportet e progresit).</w:t>
      </w:r>
    </w:p>
    <w:p w:rsidR="005C0BD2" w:rsidRDefault="005C0BD2" w:rsidP="005C0BD2">
      <w:pPr>
        <w:pStyle w:val="Paragrafi"/>
        <w:rPr>
          <w:spacing w:val="-4"/>
          <w:lang w:val="sq-AL"/>
        </w:rPr>
      </w:pPr>
      <w:r>
        <w:rPr>
          <w:spacing w:val="-4"/>
          <w:lang w:val="sq-AL"/>
        </w:rPr>
        <w:t>Nëse sipas marrëveshjes, një pjesë e pagesës varet nga rezultatet ose suksesi, kjo pjesë e saj duhet të faturohet veçmas. Pagesat do të kryhen vetëm për të dhëna të rëna dakord të rezultateve ose suksesit.</w:t>
      </w:r>
    </w:p>
    <w:p w:rsidR="005C0BD2" w:rsidRDefault="005C0BD2" w:rsidP="005C0BD2">
      <w:pPr>
        <w:pStyle w:val="Paragrafi"/>
        <w:rPr>
          <w:spacing w:val="-4"/>
          <w:lang w:val="sq-AL"/>
        </w:rPr>
      </w:pPr>
      <w:r>
        <w:rPr>
          <w:spacing w:val="-4"/>
          <w:lang w:val="sq-AL"/>
        </w:rPr>
        <w:t xml:space="preserve">5.3 </w:t>
      </w:r>
      <w:r>
        <w:rPr>
          <w:spacing w:val="-4"/>
          <w:lang w:val="sq-AL"/>
        </w:rPr>
        <w:t xml:space="preserve">Pagesat përfundimtare </w:t>
      </w:r>
    </w:p>
    <w:p w:rsidR="005C0BD2" w:rsidRDefault="005C0BD2" w:rsidP="005C0BD2">
      <w:pPr>
        <w:pStyle w:val="Paragrafi"/>
        <w:rPr>
          <w:spacing w:val="-4"/>
          <w:lang w:val="sq-AL"/>
        </w:rPr>
      </w:pPr>
      <w:r>
        <w:rPr>
          <w:spacing w:val="-4"/>
          <w:lang w:val="sq-AL"/>
        </w:rPr>
        <w:t>Pagesa përfundimtare do të kryhet pas përfundimit të shërbimeve dhe pranimit të tyre nga Klienti dhe KfW-ja. Kjo do të jetë të paktën 5% e pagesës së kontraktuar (p.sh. projektimi përfundimtar dhe mbikëqyrja e ndërtimit). Në rastin e studimeve, ajo është zakonisht 10% (për kontratat e punës 20%) e pagesës së kontraktuar. Në rastin e projektimit përfundimtar dhe mbikëqyrjes së ndërtimit, pagesa për pranimin përfundimtar mund të disbursohet me pranimin e përkohshëm kundrejt një garancie bankare për shumën e përshtatshme që është e vlefshme deri në datën e pranimit përfundimtar. Kjo garanci duhet t’i shlyhet KfW-së</w:t>
      </w:r>
      <w:r>
        <w:rPr>
          <w:rStyle w:val="FootnoteReference"/>
          <w:spacing w:val="-4"/>
          <w:lang w:val="sq-AL"/>
        </w:rPr>
        <w:footnoteReference w:id="24"/>
      </w:r>
      <w:r>
        <w:rPr>
          <w:spacing w:val="-4"/>
          <w:lang w:val="sq-AL"/>
        </w:rPr>
        <w:t>.</w:t>
      </w:r>
    </w:p>
    <w:p w:rsidR="005C0BD2" w:rsidRDefault="005C0BD2" w:rsidP="005C0BD2">
      <w:pPr>
        <w:pStyle w:val="Paragrafi"/>
        <w:rPr>
          <w:spacing w:val="-4"/>
          <w:lang w:val="sq-AL"/>
        </w:rPr>
      </w:pPr>
      <w:r>
        <w:rPr>
          <w:spacing w:val="-4"/>
          <w:lang w:val="sq-AL"/>
        </w:rPr>
        <w:t xml:space="preserve">5.4 </w:t>
      </w:r>
      <w:r>
        <w:rPr>
          <w:spacing w:val="-4"/>
          <w:lang w:val="sq-AL"/>
        </w:rPr>
        <w:t xml:space="preserve">Klauzola e përshkallëzimit të çmimit </w:t>
      </w:r>
    </w:p>
    <w:p w:rsidR="005C0BD2" w:rsidRDefault="005C0BD2" w:rsidP="005C0BD2">
      <w:pPr>
        <w:pStyle w:val="Paragrafi"/>
        <w:rPr>
          <w:spacing w:val="-4"/>
          <w:lang w:val="sq-AL"/>
        </w:rPr>
      </w:pPr>
      <w:r>
        <w:rPr>
          <w:spacing w:val="-4"/>
          <w:lang w:val="sq-AL"/>
        </w:rPr>
        <w:t>Kontratat më shumë se njëvjeçare mund të përfshijnë një klauzolë përshkallëzimi të çmimit. Ajo duhet të orientohet përgjithësisht drejt pagës zyrtare dhe nivelit të çmimit në vendin e Konsulentit (kostot e këmbimit të valutës së huaj) ose në vendin e Klientit (kostot e valutës vendëse). Kontrata mund të përcaktojë formulën e shkallëzimit të çmimit dhe bazën për llogaritje në formularin e treguesve bazuar në statistika zyrtare.</w:t>
      </w:r>
    </w:p>
    <w:p w:rsidR="005C0BD2" w:rsidRDefault="005C0BD2" w:rsidP="005C0BD2">
      <w:pPr>
        <w:pStyle w:val="Paragrafi"/>
        <w:rPr>
          <w:spacing w:val="-4"/>
          <w:lang w:val="sq-AL"/>
        </w:rPr>
      </w:pPr>
      <w:r>
        <w:rPr>
          <w:spacing w:val="-4"/>
          <w:lang w:val="sq-AL"/>
        </w:rPr>
        <w:t xml:space="preserve">6. </w:t>
      </w:r>
      <w:r>
        <w:rPr>
          <w:spacing w:val="-4"/>
          <w:lang w:val="sq-AL"/>
        </w:rPr>
        <w:t>Procedura e disbursimit</w:t>
      </w:r>
    </w:p>
    <w:p w:rsidR="005C0BD2" w:rsidRDefault="005C0BD2" w:rsidP="005C0BD2">
      <w:pPr>
        <w:pStyle w:val="Paragrafi"/>
        <w:rPr>
          <w:spacing w:val="-4"/>
          <w:lang w:val="sq-AL"/>
        </w:rPr>
      </w:pPr>
      <w:r>
        <w:rPr>
          <w:spacing w:val="-4"/>
          <w:lang w:val="sq-AL"/>
        </w:rPr>
        <w:t>Për disbursimin mund të bihet dakord për një nga dy procedurat e mëposhtme:</w:t>
      </w:r>
    </w:p>
    <w:p w:rsidR="005C0BD2" w:rsidRDefault="005C0BD2" w:rsidP="005C0BD2">
      <w:pPr>
        <w:pStyle w:val="Paragrafi"/>
        <w:rPr>
          <w:spacing w:val="-4"/>
          <w:lang w:val="sq-AL"/>
        </w:rPr>
      </w:pPr>
      <w:r>
        <w:rPr>
          <w:spacing w:val="-4"/>
          <w:lang w:val="sq-AL"/>
        </w:rPr>
        <w:t>- Klienti mund t’i ketë paguar shumat e faturuara nga Konsulenti drejtpërdrejt te Konsulenti nëpërmjet KfW-së në datën e caktuar (metoda e drejtpërdrejtë e pagesës);</w:t>
      </w:r>
    </w:p>
    <w:p w:rsidR="005C0BD2" w:rsidRDefault="005C0BD2" w:rsidP="005C0BD2">
      <w:pPr>
        <w:pStyle w:val="Paragrafi"/>
        <w:rPr>
          <w:spacing w:val="-4"/>
          <w:lang w:val="sq-AL"/>
        </w:rPr>
      </w:pPr>
      <w:r>
        <w:rPr>
          <w:spacing w:val="-4"/>
          <w:lang w:val="sq-AL"/>
        </w:rPr>
        <w:lastRenderedPageBreak/>
        <w:t>- Klienti mund të kryejë pagesa për shërbimet e paraqitura të konsulencës dhe mund të rimbursohet nga KfW-ja (procedura e rimbursimit).</w:t>
      </w:r>
    </w:p>
    <w:p w:rsidR="005C0BD2" w:rsidRDefault="005C0BD2" w:rsidP="005C0BD2">
      <w:pPr>
        <w:pStyle w:val="Paragrafi"/>
        <w:rPr>
          <w:spacing w:val="-4"/>
          <w:lang w:val="sq-AL"/>
        </w:rPr>
      </w:pPr>
      <w:r>
        <w:rPr>
          <w:spacing w:val="-4"/>
          <w:lang w:val="sq-AL"/>
        </w:rPr>
        <w:t xml:space="preserve">7. </w:t>
      </w:r>
      <w:r>
        <w:rPr>
          <w:spacing w:val="-4"/>
          <w:lang w:val="sq-AL"/>
        </w:rPr>
        <w:t>Dispozita të tjera</w:t>
      </w:r>
    </w:p>
    <w:p w:rsidR="005C0BD2" w:rsidRDefault="005C0BD2" w:rsidP="005C0BD2">
      <w:pPr>
        <w:pStyle w:val="Paragrafi"/>
        <w:rPr>
          <w:spacing w:val="-4"/>
          <w:lang w:val="sq-AL"/>
        </w:rPr>
      </w:pPr>
      <w:bookmarkStart w:id="22" w:name="page43"/>
      <w:bookmarkEnd w:id="22"/>
      <w:r>
        <w:rPr>
          <w:spacing w:val="-4"/>
          <w:lang w:val="sq-AL"/>
        </w:rPr>
        <w:t xml:space="preserve">7.1 </w:t>
      </w:r>
      <w:r>
        <w:rPr>
          <w:spacing w:val="-4"/>
          <w:lang w:val="sq-AL"/>
        </w:rPr>
        <w:t xml:space="preserve">Pavarësia e konsulentit </w:t>
      </w:r>
    </w:p>
    <w:p w:rsidR="005C0BD2" w:rsidRDefault="005C0BD2" w:rsidP="005C0BD2">
      <w:pPr>
        <w:pStyle w:val="Paragrafi"/>
        <w:rPr>
          <w:spacing w:val="-4"/>
          <w:lang w:val="sq-AL"/>
        </w:rPr>
      </w:pPr>
      <w:r>
        <w:rPr>
          <w:spacing w:val="-4"/>
          <w:lang w:val="sq-AL"/>
        </w:rPr>
        <w:t>Konsulenti dhe firmat/shoqëritë me të cilat lidhet ai marrin përsipër të mos aplikojnë si prodhues, furnizues apo firma ndërtimi në të njëjtin projekt ku ata veprojnë si Konsulentë. Shkelja e kësaj dispozite mund të rezultojë në zgjidhjen përfundimtare të kontratës së konsulencës dhe rimbursimin e të gjitha shpenzimeve të shkaktuara nga Klienti në atë datë, dhe të të gjitha humbjeve dhe dëmeve të shkaktuara nga Klienti nëpërmjet zgjidhjes së kontratës.</w:t>
      </w:r>
    </w:p>
    <w:p w:rsidR="005C0BD2" w:rsidRDefault="005C0BD2" w:rsidP="005C0BD2">
      <w:pPr>
        <w:pStyle w:val="Paragrafi"/>
        <w:rPr>
          <w:spacing w:val="-4"/>
          <w:lang w:val="sq-AL"/>
        </w:rPr>
      </w:pPr>
      <w:r>
        <w:rPr>
          <w:spacing w:val="-4"/>
          <w:lang w:val="sq-AL"/>
        </w:rPr>
        <w:t xml:space="preserve">7.2 Përgjegjësitë </w:t>
      </w:r>
    </w:p>
    <w:p w:rsidR="005C0BD2" w:rsidRDefault="005C0BD2" w:rsidP="005C0BD2">
      <w:pPr>
        <w:pStyle w:val="Paragrafi"/>
        <w:rPr>
          <w:spacing w:val="-4"/>
          <w:lang w:val="sq-AL"/>
        </w:rPr>
      </w:pPr>
      <w:r>
        <w:rPr>
          <w:spacing w:val="-4"/>
          <w:lang w:val="sq-AL"/>
        </w:rPr>
        <w:t>Konsulenti angazhohet para Klientit të kryejë shërbimet e rëna dakord, të plota, në përputhje me kalendarin e rënë dakord dhe në përputhje me standardet e njohura profesionale. Brenda kësaj fushe veprimi ai është përgjegjës për çdo shkelje të kontratës që i atribuohet atij.</w:t>
      </w:r>
    </w:p>
    <w:p w:rsidR="005C0BD2" w:rsidRDefault="005C0BD2" w:rsidP="005C0BD2">
      <w:pPr>
        <w:pStyle w:val="Paragrafi"/>
        <w:rPr>
          <w:spacing w:val="-4"/>
          <w:lang w:val="sq-AL"/>
        </w:rPr>
      </w:pPr>
      <w:r>
        <w:rPr>
          <w:spacing w:val="-4"/>
          <w:lang w:val="sq-AL"/>
        </w:rPr>
        <w:t>Në rastet e neglizhencës së vogël, përgjegjësia e Konsulentit kufizohet në vlerën e kontratës ose në shumën përkatëse të shkaktuar, cilado qoftë më e madhe. Përgjegjësia për neglizhencën e qëllimshme dhe të madhe nuk preket nga kjo.</w:t>
      </w:r>
    </w:p>
    <w:p w:rsidR="005C0BD2" w:rsidRDefault="005C0BD2" w:rsidP="005C0BD2">
      <w:pPr>
        <w:pStyle w:val="Paragrafi"/>
        <w:rPr>
          <w:spacing w:val="-4"/>
          <w:lang w:val="sq-AL"/>
        </w:rPr>
      </w:pPr>
      <w:r>
        <w:rPr>
          <w:spacing w:val="-4"/>
          <w:lang w:val="sq-AL"/>
        </w:rPr>
        <w:t>Përgjegjësia përfundon kur shërbimet e rëna dakord në kontratë pranohen nga Klienti, ose me skadimin e periudhës së garancisë. Zakonisht, përjashtohet detyrimi për dëmet pasuese.</w:t>
      </w:r>
    </w:p>
    <w:p w:rsidR="005C0BD2" w:rsidRDefault="005C0BD2" w:rsidP="005C0BD2">
      <w:pPr>
        <w:pStyle w:val="Paragrafi"/>
        <w:rPr>
          <w:spacing w:val="-4"/>
          <w:lang w:val="sq-AL"/>
        </w:rPr>
      </w:pPr>
      <w:r>
        <w:rPr>
          <w:spacing w:val="-4"/>
          <w:lang w:val="sq-AL"/>
        </w:rPr>
        <w:t xml:space="preserve">7.3 </w:t>
      </w:r>
      <w:r>
        <w:rPr>
          <w:spacing w:val="-4"/>
          <w:lang w:val="sq-AL"/>
        </w:rPr>
        <w:t>Forca madhore</w:t>
      </w:r>
    </w:p>
    <w:p w:rsidR="005C0BD2" w:rsidRDefault="005C0BD2" w:rsidP="005C0BD2">
      <w:pPr>
        <w:pStyle w:val="Paragrafi"/>
        <w:rPr>
          <w:spacing w:val="-4"/>
          <w:lang w:val="sq-AL"/>
        </w:rPr>
      </w:pPr>
      <w:r>
        <w:rPr>
          <w:spacing w:val="-4"/>
          <w:lang w:val="sq-AL"/>
        </w:rPr>
        <w:t xml:space="preserve">Forca madhore nënkupton ngjarje të jashtëzakonshme përtej kontrollit të palëve të kontratës dhe që pengojnë njërën prej tyre ose të dyja që të zbatojnë kontratën. Ato përshijnë kriza, të cilat bëjnë që Konsulenti të tërheqë personelin e tij me kërkesën e Qeverisë së Republikës Federale të Gjermanisë. Përjashtohet përgjegjësia për dëmet gjatë mungesës së Konsulentit të shkaktuara nga forca madhore. Për aq kohë sa një rast i tillë vazhdon, pala e cenuar do të lirohet nga detyrimet e saj sipas kontratës. Në parim, Konsulenti ka një pretendim për vijimin e duhur të kontratës, dhe, në përgjithësi, rimbursimin e humbjeve dhe dëmeve që ai pëson. Nëse forca madhore vazhdon pa ndërprerje për një periudhë më të gjatë (p.sh. 180 ditë kalendarike), secila prej palëve mund ta zgjidhë kontratën. </w:t>
      </w:r>
    </w:p>
    <w:p w:rsidR="005C0BD2" w:rsidRDefault="005C0BD2" w:rsidP="005C0BD2">
      <w:pPr>
        <w:pStyle w:val="Paragrafi"/>
        <w:rPr>
          <w:spacing w:val="-4"/>
          <w:lang w:val="sq-AL"/>
        </w:rPr>
      </w:pPr>
      <w:r>
        <w:rPr>
          <w:spacing w:val="-4"/>
          <w:lang w:val="sq-AL"/>
        </w:rPr>
        <w:t xml:space="preserve">7.4 </w:t>
      </w:r>
      <w:r>
        <w:rPr>
          <w:spacing w:val="-4"/>
          <w:lang w:val="sq-AL"/>
        </w:rPr>
        <w:t xml:space="preserve">Zgjidhja e kontratës </w:t>
      </w:r>
    </w:p>
    <w:p w:rsidR="005C0BD2" w:rsidRDefault="005C0BD2" w:rsidP="005C0BD2">
      <w:pPr>
        <w:pStyle w:val="Paragrafi"/>
        <w:rPr>
          <w:spacing w:val="-4"/>
          <w:lang w:val="sq-AL"/>
        </w:rPr>
      </w:pPr>
      <w:r>
        <w:rPr>
          <w:spacing w:val="-4"/>
          <w:lang w:val="sq-AL"/>
        </w:rPr>
        <w:t>Si rregull, Klienti mund ta zgjidhë kontratën e konsulencës në çdo kohë, duke bërë një njoftim të paktën 30 ditë kalendarike para zgjidhjes së saj, me miratimin paraprak të KfW-së. Konsulenti mund ta zgjidhë kontratën nëse pagesat që i takojnë atij nuk merren brenda 60 ditësh kalendarike nga data e caktuar. Zgjidhja lejohet vetëm nëse Konsulenti ka dorëzuar një letër kujtese me shkrim brenda 30 ditësh pas skadimit të afatit të mësipërm, dhe nëse shumat e papaguara nuk paguhen brenda 30 ditëve të ardhshme.</w:t>
      </w:r>
    </w:p>
    <w:p w:rsidR="005C0BD2" w:rsidRDefault="005C0BD2" w:rsidP="005C0BD2">
      <w:pPr>
        <w:pStyle w:val="Paragrafi"/>
        <w:rPr>
          <w:spacing w:val="-4"/>
          <w:lang w:val="sq-AL"/>
        </w:rPr>
      </w:pPr>
      <w:r>
        <w:rPr>
          <w:spacing w:val="-4"/>
          <w:lang w:val="sq-AL"/>
        </w:rPr>
        <w:t>Nëse kontrata zgjidhet pa asnjë faj të Konsulentit, ai ka të drejtën e pagesës deri në datën e zgjidhjes së kontratës. Konsulenti mund të kërkojë rimbursim të të gjitha kostove të shkaktuara deri në atë datë dhe kompensim për të gjitha humbjet dhe dëmet e shkaktuara nga zgjidhja e kontratës. Nëse kontrata zgjidhet për faj të Konsulentit, Klienti ka të drejtën të kërkojë kompensim për dëmet. Pas zgjidhjes së kontratës, shërbimet e konsulencës duhet të përfundojnë shpejt dhe me kujdesin dhe angazhimin e duhur. Raportet, draftet dhe dokumentet e tjera të plotësuara deri në atë datë duhet t’i dorëzohen Klientit pa vonesë.</w:t>
      </w:r>
    </w:p>
    <w:p w:rsidR="005C0BD2" w:rsidRDefault="005C0BD2" w:rsidP="005C0BD2">
      <w:pPr>
        <w:pStyle w:val="Paragrafi"/>
        <w:rPr>
          <w:spacing w:val="-4"/>
          <w:lang w:val="sq-AL"/>
        </w:rPr>
      </w:pPr>
      <w:bookmarkStart w:id="23" w:name="page44"/>
      <w:bookmarkEnd w:id="23"/>
      <w:r>
        <w:rPr>
          <w:spacing w:val="-4"/>
          <w:lang w:val="sq-AL"/>
        </w:rPr>
        <w:t xml:space="preserve">7.5 </w:t>
      </w:r>
      <w:r>
        <w:rPr>
          <w:spacing w:val="-4"/>
          <w:lang w:val="sq-AL"/>
        </w:rPr>
        <w:t xml:space="preserve">Ligji i zbatueshëm dhe zgjidhja e mosmarrëveshjeve </w:t>
      </w:r>
    </w:p>
    <w:p w:rsidR="005C0BD2" w:rsidRDefault="005C0BD2" w:rsidP="005C0BD2">
      <w:pPr>
        <w:pStyle w:val="Paragrafi"/>
        <w:rPr>
          <w:spacing w:val="-4"/>
          <w:lang w:val="sq-AL"/>
        </w:rPr>
      </w:pPr>
      <w:r>
        <w:rPr>
          <w:spacing w:val="-4"/>
          <w:lang w:val="sq-AL"/>
        </w:rPr>
        <w:t>Kontrata e konsulencës duhet të përcaktojë se cili legjislacion zbatohet në kontratë. Ajo duhet të përmbajë edhe një klauzolë për zgjidhjen e mosmarrëveshjeve. Nëse një mosmarrëveshje nuk mund të zgjidhet më mënyrë miqësore, palët do të kërkojnë ndërmjetësim para fillimit të procedimeve gjyqësore. Këto procedime ndjekin rregullat e gjykatave ndërkombëtare të arbitrazhit.</w:t>
      </w:r>
    </w:p>
    <w:p w:rsidR="005C0BD2" w:rsidRDefault="005C0BD2" w:rsidP="005C0BD2">
      <w:pPr>
        <w:pStyle w:val="Paragrafi"/>
        <w:rPr>
          <w:spacing w:val="-4"/>
          <w:lang w:val="sq-AL"/>
        </w:rPr>
      </w:pPr>
      <w:r>
        <w:rPr>
          <w:spacing w:val="-4"/>
          <w:lang w:val="sq-AL"/>
        </w:rPr>
        <w:t xml:space="preserve">7.6 </w:t>
      </w:r>
      <w:r>
        <w:rPr>
          <w:spacing w:val="-4"/>
          <w:lang w:val="sq-AL"/>
        </w:rPr>
        <w:t>Gjuha e kontratës</w:t>
      </w:r>
    </w:p>
    <w:p w:rsidR="005C0BD2" w:rsidRDefault="005C0BD2" w:rsidP="005C0BD2">
      <w:pPr>
        <w:pStyle w:val="Paragrafi"/>
        <w:rPr>
          <w:spacing w:val="-4"/>
          <w:lang w:val="sq-AL"/>
        </w:rPr>
      </w:pPr>
      <w:r>
        <w:rPr>
          <w:spacing w:val="-4"/>
          <w:lang w:val="sq-AL"/>
        </w:rPr>
        <w:t>Kontratat e konsulencës mund të hartohen në gjuhën gjermane, angleze, frënge, spanjolle ose portugeze.</w:t>
      </w:r>
    </w:p>
    <w:p w:rsidR="005C0BD2" w:rsidRDefault="005C0BD2" w:rsidP="005C0BD2">
      <w:pPr>
        <w:pStyle w:val="Paragrafi"/>
        <w:rPr>
          <w:spacing w:val="-4"/>
          <w:lang w:val="sq-AL"/>
        </w:rPr>
      </w:pPr>
      <w:r>
        <w:rPr>
          <w:spacing w:val="-4"/>
          <w:lang w:val="sq-AL"/>
        </w:rPr>
        <w:t xml:space="preserve">7.7 </w:t>
      </w:r>
      <w:r>
        <w:rPr>
          <w:spacing w:val="-4"/>
          <w:lang w:val="sq-AL"/>
        </w:rPr>
        <w:t>Sigurimi</w:t>
      </w:r>
    </w:p>
    <w:p w:rsidR="005C0BD2" w:rsidRDefault="005C0BD2" w:rsidP="005C0BD2">
      <w:pPr>
        <w:pStyle w:val="Paragrafi"/>
        <w:rPr>
          <w:spacing w:val="-4"/>
          <w:lang w:val="sq-AL"/>
        </w:rPr>
      </w:pPr>
      <w:r>
        <w:rPr>
          <w:spacing w:val="-4"/>
          <w:lang w:val="sq-AL"/>
        </w:rPr>
        <w:t xml:space="preserve">Kontrata e konsulencës duhet të ofrojë sigurimet e duhura për personelin dhe pajisjet e përdorura. Zakonisht, Konsulentit i kërkohet të përfitojë sigurime për zhdëmtimin e përshtatshëm profesional, sigurime personale dhe sigurime për dëmet e shkaktuara ndaj pajisjeve dhe makinerive të prokuruara nga projekti, dhe sigurime gjithëpërfshirëse dhe përgjegjësie për mjetet e blera për projektin. </w:t>
      </w:r>
    </w:p>
    <w:p w:rsidR="005C0BD2" w:rsidRDefault="005C0BD2" w:rsidP="005C0BD2">
      <w:pPr>
        <w:pStyle w:val="Paragrafi"/>
        <w:rPr>
          <w:spacing w:val="-4"/>
          <w:lang w:val="sq-AL"/>
        </w:rPr>
      </w:pPr>
      <w:r>
        <w:rPr>
          <w:spacing w:val="-4"/>
          <w:lang w:val="sq-AL"/>
        </w:rPr>
        <w:t xml:space="preserve">7.8 </w:t>
      </w:r>
      <w:r>
        <w:rPr>
          <w:spacing w:val="-4"/>
          <w:lang w:val="sq-AL"/>
        </w:rPr>
        <w:t xml:space="preserve">Tatimi i shërbimeve të konsulencës  </w:t>
      </w:r>
    </w:p>
    <w:p w:rsidR="005C0BD2" w:rsidRDefault="005C0BD2" w:rsidP="005C0BD2">
      <w:pPr>
        <w:pStyle w:val="Paragrafi"/>
        <w:rPr>
          <w:spacing w:val="-4"/>
          <w:lang w:val="sq-AL"/>
        </w:rPr>
      </w:pPr>
      <w:r>
        <w:rPr>
          <w:spacing w:val="-4"/>
          <w:lang w:val="sq-AL"/>
        </w:rPr>
        <w:t xml:space="preserve">Kontrata e konsulencës mund të përcaktojë nëse Konsulenti dhe personeli i punësuar nga ai përjashtohen nga taksat, detyrimet doganore dhe detyrime të tjera zyrtare në vendin e Klientit. Në përgjithësi, pagesa e Konsulentit përjashtohet nga këto taksa dhe detyrime, siç përjashtohen edhe pagat e personelit të punësuar prej tij. Pajisjet e importuara nga Konsulenti, si dhe mallrat dhe objektet shtëpiake për përdorim personal nga personeli i tij (pajisjet bazë) zakonisht përjashtohen nga detyrimet doganore. Nëse nuk ndodh përjashtimi nga </w:t>
      </w:r>
      <w:r>
        <w:rPr>
          <w:spacing w:val="-4"/>
          <w:lang w:val="sq-AL"/>
        </w:rPr>
        <w:lastRenderedPageBreak/>
        <w:t>taksat, detyrimet doganore dhe detyrimet e tjera zyrtare, atëherë duhet rënë dakord se Klienti do ta rimbursojë Konsulentin për të gjitha shumat e paguara për këta zëra.</w:t>
      </w:r>
    </w:p>
    <w:p w:rsidR="005C0BD2" w:rsidRDefault="005C0BD2" w:rsidP="005C0BD2">
      <w:pPr>
        <w:pStyle w:val="Paragrafi"/>
        <w:rPr>
          <w:b/>
          <w:spacing w:val="-4"/>
          <w:lang w:val="sq-AL"/>
        </w:rPr>
      </w:pPr>
      <w:r>
        <w:rPr>
          <w:spacing w:val="-4"/>
          <w:lang w:val="sq-AL"/>
        </w:rPr>
        <w:t xml:space="preserve">7.9 </w:t>
      </w:r>
      <w:r>
        <w:rPr>
          <w:spacing w:val="-4"/>
          <w:lang w:val="sq-AL"/>
        </w:rPr>
        <w:t>Deklarata e pranimit të përgjegjësisë</w:t>
      </w:r>
      <w:r>
        <w:rPr>
          <w:b/>
          <w:spacing w:val="-4"/>
          <w:lang w:val="sq-AL"/>
        </w:rPr>
        <w:t xml:space="preserve"> </w:t>
      </w:r>
    </w:p>
    <w:p w:rsidR="005C0BD2" w:rsidRDefault="005C0BD2" w:rsidP="005C0BD2">
      <w:pPr>
        <w:pStyle w:val="Paragrafi"/>
        <w:rPr>
          <w:spacing w:val="-4"/>
          <w:lang w:val="sq-AL"/>
        </w:rPr>
      </w:pPr>
      <w:r>
        <w:rPr>
          <w:spacing w:val="-4"/>
          <w:lang w:val="sq-AL"/>
        </w:rPr>
        <w:t>Deklarata e pranimit të përgjegjësisë (shihni shtojcën 4), e paraqitur gjatë procesit të parakualifikimit ose me dorëzimin e propozimit nga ofertuesi i suksesshëm, bëhet pjesë përbërëse e kontratës së konsulencës. Në këtë deklaratë të Konsulentit deklarohet se punonjësit dhe nënkontraktuesit e tij nuk janë përfshirë dhe nuk do të përfshihen në asnjë formë të sjelljes korruptive, dhe se do të pajtohen me standardet sociale minimale (“standardet bazë të punës”) të miratuara nga vendi, dhe se nuk janë përfshirë në asnjë listë sanksionesh, dhe se ai do t’i raportojë menjëherë Klientit dhe KfW-së në një rast të tillë. Nëse deklarata e pranimit të përgjegjësisë shkelet gjatë zbatimit të marrëveshjes, KfW-ja autorizohet të ndërmarrë masat e përcaktuara në paragrafin 1.09.</w:t>
      </w:r>
    </w:p>
    <w:p w:rsidR="005C0BD2" w:rsidRDefault="005C0BD2" w:rsidP="005C0BD2">
      <w:pPr>
        <w:spacing w:after="0" w:line="240" w:lineRule="auto"/>
        <w:ind w:firstLine="0"/>
        <w:jc w:val="left"/>
        <w:rPr>
          <w:rFonts w:ascii="Garamond" w:eastAsia="MS Mincho" w:hAnsi="Garamond" w:cs="CG Times"/>
          <w:sz w:val="24"/>
          <w:szCs w:val="24"/>
          <w:lang w:val="sq-AL"/>
        </w:rPr>
        <w:sectPr w:rsidR="005C0BD2" w:rsidSect="005C0BD2">
          <w:type w:val="continuous"/>
          <w:pgSz w:w="11907" w:h="16840"/>
          <w:pgMar w:top="720" w:right="1134" w:bottom="720" w:left="1134" w:header="851" w:footer="851" w:gutter="0"/>
          <w:cols w:space="454"/>
        </w:sectPr>
      </w:pPr>
    </w:p>
    <w:p w:rsidR="005C0BD2" w:rsidRDefault="005C0BD2" w:rsidP="005C0BD2">
      <w:pPr>
        <w:pStyle w:val="Paragrafi"/>
        <w:rPr>
          <w:szCs w:val="24"/>
          <w:lang w:val="sq-AL"/>
        </w:rPr>
      </w:pPr>
    </w:p>
    <w:p w:rsidR="005C0BD2" w:rsidRDefault="005C0BD2" w:rsidP="005C0BD2">
      <w:pPr>
        <w:pStyle w:val="NeniTitull"/>
        <w:rPr>
          <w:rFonts w:eastAsia="Arial"/>
          <w:b w:val="0"/>
          <w:lang w:val="sq-AL"/>
        </w:rPr>
      </w:pPr>
      <w:r>
        <w:rPr>
          <w:b w:val="0"/>
          <w:lang w:val="sq-AL"/>
        </w:rPr>
        <w:t>SHTOJCA 8</w:t>
      </w:r>
    </w:p>
    <w:p w:rsidR="005C0BD2" w:rsidRDefault="005C0BD2" w:rsidP="005C0BD2">
      <w:pPr>
        <w:pStyle w:val="NeniTitull"/>
        <w:rPr>
          <w:rFonts w:eastAsia="Arial"/>
          <w:b w:val="0"/>
          <w:lang w:val="sq-AL"/>
        </w:rPr>
      </w:pPr>
      <w:r>
        <w:rPr>
          <w:b w:val="0"/>
          <w:lang w:val="sq-AL"/>
        </w:rPr>
        <w:t>SHTESA 1</w:t>
      </w:r>
    </w:p>
    <w:p w:rsidR="005C0BD2" w:rsidRDefault="005C0BD2" w:rsidP="005C0BD2">
      <w:pPr>
        <w:spacing w:after="0" w:line="240" w:lineRule="auto"/>
        <w:rPr>
          <w:rFonts w:ascii="Garamond" w:eastAsia="Arial" w:hAnsi="Garamond"/>
          <w:b/>
          <w:sz w:val="24"/>
          <w:szCs w:val="24"/>
          <w:lang w:val="sq-AL"/>
        </w:rPr>
      </w:pPr>
      <w:r>
        <w:rPr>
          <w:rFonts w:ascii="Garamond" w:hAnsi="Garamond"/>
          <w:b/>
          <w:sz w:val="24"/>
          <w:szCs w:val="24"/>
          <w:lang w:val="sq-AL"/>
        </w:rPr>
        <w:t xml:space="preserve">Modeli i obligacioneve të parapaguara </w:t>
      </w:r>
    </w:p>
    <w:p w:rsidR="005C0BD2" w:rsidRDefault="005C0BD2" w:rsidP="005C0BD2">
      <w:pPr>
        <w:spacing w:after="0" w:line="240" w:lineRule="auto"/>
        <w:rPr>
          <w:rFonts w:ascii="Garamond" w:eastAsia="Arial" w:hAnsi="Garamond"/>
          <w:sz w:val="24"/>
          <w:szCs w:val="24"/>
          <w:lang w:val="sq-AL"/>
        </w:rPr>
      </w:pPr>
      <w:r>
        <w:rPr>
          <w:rFonts w:ascii="Garamond" w:hAnsi="Garamond"/>
          <w:sz w:val="24"/>
          <w:szCs w:val="24"/>
          <w:lang w:val="sq-AL"/>
        </w:rPr>
        <w:t>Adresa e garantuesit: …</w:t>
      </w:r>
    </w:p>
    <w:p w:rsidR="005C0BD2" w:rsidRDefault="005C0BD2" w:rsidP="005C0BD2">
      <w:pPr>
        <w:spacing w:after="0" w:line="240" w:lineRule="auto"/>
        <w:rPr>
          <w:rFonts w:ascii="Garamond" w:eastAsia="Arial" w:hAnsi="Garamond"/>
          <w:sz w:val="24"/>
          <w:szCs w:val="24"/>
          <w:lang w:val="sq-AL"/>
        </w:rPr>
      </w:pPr>
      <w:r>
        <w:rPr>
          <w:rFonts w:ascii="Garamond" w:hAnsi="Garamond"/>
          <w:sz w:val="24"/>
          <w:szCs w:val="24"/>
          <w:lang w:val="sq-AL"/>
        </w:rPr>
        <w:t>………………………………………………………</w:t>
      </w:r>
    </w:p>
    <w:p w:rsidR="005C0BD2" w:rsidRDefault="005C0BD2" w:rsidP="005C0BD2">
      <w:pPr>
        <w:spacing w:after="0" w:line="240" w:lineRule="auto"/>
        <w:rPr>
          <w:rFonts w:ascii="Garamond" w:eastAsia="Arial" w:hAnsi="Garamond"/>
          <w:sz w:val="24"/>
          <w:szCs w:val="24"/>
          <w:lang w:val="sq-AL"/>
        </w:rPr>
      </w:pPr>
      <w:r>
        <w:rPr>
          <w:rFonts w:ascii="Garamond" w:hAnsi="Garamond"/>
          <w:sz w:val="24"/>
          <w:szCs w:val="24"/>
          <w:lang w:val="sq-AL"/>
        </w:rPr>
        <w:t>……………………………………………………….</w:t>
      </w:r>
    </w:p>
    <w:p w:rsidR="005C0BD2" w:rsidRDefault="005C0BD2" w:rsidP="005C0BD2">
      <w:pPr>
        <w:spacing w:after="0" w:line="240" w:lineRule="auto"/>
        <w:rPr>
          <w:rFonts w:ascii="Garamond" w:eastAsia="Arial" w:hAnsi="Garamond"/>
          <w:sz w:val="24"/>
          <w:szCs w:val="24"/>
          <w:lang w:val="sq-AL"/>
        </w:rPr>
      </w:pPr>
      <w:r>
        <w:rPr>
          <w:rFonts w:ascii="Garamond" w:hAnsi="Garamond"/>
          <w:sz w:val="24"/>
          <w:szCs w:val="24"/>
          <w:lang w:val="sq-AL"/>
        </w:rPr>
        <w:t>Adresa e marrësit (Klienti): ….</w:t>
      </w:r>
    </w:p>
    <w:p w:rsidR="005C0BD2" w:rsidRDefault="005C0BD2" w:rsidP="005C0BD2">
      <w:pPr>
        <w:pStyle w:val="Hapesira7"/>
        <w:rPr>
          <w:sz w:val="2"/>
          <w:lang w:val="sq-AL"/>
        </w:rPr>
      </w:pPr>
    </w:p>
    <w:p w:rsidR="005C0BD2" w:rsidRDefault="005C0BD2" w:rsidP="005C0BD2">
      <w:pPr>
        <w:spacing w:after="0" w:line="240" w:lineRule="auto"/>
        <w:rPr>
          <w:rFonts w:ascii="Garamond" w:eastAsia="Arial" w:hAnsi="Garamond"/>
          <w:sz w:val="24"/>
          <w:szCs w:val="24"/>
          <w:lang w:val="sq-AL"/>
        </w:rPr>
      </w:pPr>
      <w:r>
        <w:rPr>
          <w:rFonts w:ascii="Garamond" w:hAnsi="Garamond"/>
          <w:sz w:val="24"/>
          <w:szCs w:val="24"/>
          <w:lang w:val="sq-AL"/>
        </w:rPr>
        <w:t>………………………………………………………</w:t>
      </w:r>
    </w:p>
    <w:p w:rsidR="005C0BD2" w:rsidRDefault="005C0BD2" w:rsidP="005C0BD2">
      <w:pPr>
        <w:spacing w:after="0" w:line="240" w:lineRule="auto"/>
        <w:rPr>
          <w:rFonts w:ascii="Garamond" w:eastAsia="Arial" w:hAnsi="Garamond"/>
          <w:sz w:val="24"/>
          <w:szCs w:val="24"/>
          <w:lang w:val="sq-AL"/>
        </w:rPr>
      </w:pPr>
      <w:r>
        <w:rPr>
          <w:rFonts w:ascii="Garamond" w:hAnsi="Garamond"/>
          <w:sz w:val="24"/>
          <w:szCs w:val="24"/>
          <w:lang w:val="sq-AL"/>
        </w:rPr>
        <w:t>………………………………………………………..</w:t>
      </w:r>
    </w:p>
    <w:p w:rsidR="005C0BD2" w:rsidRDefault="005C0BD2" w:rsidP="005C0BD2">
      <w:pPr>
        <w:spacing w:after="0" w:line="240" w:lineRule="auto"/>
        <w:rPr>
          <w:rFonts w:ascii="Garamond" w:eastAsia="Arial" w:hAnsi="Garamond"/>
          <w:sz w:val="24"/>
          <w:szCs w:val="24"/>
          <w:lang w:val="sq-AL"/>
        </w:rPr>
      </w:pPr>
      <w:r>
        <w:rPr>
          <w:rFonts w:ascii="Garamond" w:hAnsi="Garamond"/>
          <w:sz w:val="24"/>
          <w:szCs w:val="24"/>
          <w:lang w:val="sq-AL"/>
        </w:rPr>
        <w:t>Në datën ............................................. ju nënshkruat me (emri dhe adresa e plotë)</w:t>
      </w:r>
    </w:p>
    <w:p w:rsidR="005C0BD2" w:rsidRDefault="005C0BD2" w:rsidP="005C0BD2">
      <w:pPr>
        <w:spacing w:after="0" w:line="240" w:lineRule="auto"/>
        <w:rPr>
          <w:rFonts w:ascii="Garamond" w:eastAsia="Arial" w:hAnsi="Garamond"/>
          <w:sz w:val="24"/>
          <w:szCs w:val="24"/>
          <w:lang w:val="sq-AL"/>
        </w:rPr>
      </w:pPr>
      <w:r>
        <w:rPr>
          <w:rFonts w:ascii="Garamond" w:hAnsi="Garamond"/>
          <w:sz w:val="24"/>
          <w:szCs w:val="24"/>
          <w:lang w:val="sq-AL"/>
        </w:rPr>
        <w:t>....................................................................................................................................................</w:t>
      </w:r>
    </w:p>
    <w:p w:rsidR="005C0BD2" w:rsidRDefault="005C0BD2" w:rsidP="005C0BD2">
      <w:pPr>
        <w:spacing w:after="0" w:line="240" w:lineRule="auto"/>
        <w:rPr>
          <w:rFonts w:ascii="Garamond" w:eastAsia="Arial" w:hAnsi="Garamond"/>
          <w:sz w:val="24"/>
          <w:szCs w:val="24"/>
          <w:lang w:val="sq-AL"/>
        </w:rPr>
      </w:pPr>
      <w:r>
        <w:rPr>
          <w:rFonts w:ascii="Garamond" w:hAnsi="Garamond"/>
          <w:sz w:val="24"/>
          <w:szCs w:val="24"/>
          <w:lang w:val="sq-AL"/>
        </w:rPr>
        <w:t xml:space="preserve"> (“Kontraktuesi”) një kontratë për …………………………………………………………….</w:t>
      </w:r>
    </w:p>
    <w:p w:rsidR="005C0BD2" w:rsidRDefault="005C0BD2" w:rsidP="005C0BD2">
      <w:pPr>
        <w:spacing w:after="0" w:line="240" w:lineRule="auto"/>
        <w:rPr>
          <w:rFonts w:ascii="Garamond" w:eastAsia="Arial" w:hAnsi="Garamond"/>
          <w:sz w:val="24"/>
          <w:szCs w:val="24"/>
          <w:lang w:val="sq-AL"/>
        </w:rPr>
      </w:pPr>
      <w:r>
        <w:rPr>
          <w:rFonts w:ascii="Garamond" w:hAnsi="Garamond"/>
          <w:sz w:val="24"/>
          <w:szCs w:val="24"/>
          <w:lang w:val="sq-AL"/>
        </w:rPr>
        <w:t xml:space="preserve">(projekti, objekti i kontratës) me çmimin prej </w:t>
      </w:r>
    </w:p>
    <w:p w:rsidR="005C0BD2" w:rsidRDefault="005C0BD2" w:rsidP="005C0BD2">
      <w:pPr>
        <w:spacing w:after="0" w:line="240" w:lineRule="auto"/>
        <w:rPr>
          <w:rFonts w:ascii="Garamond" w:eastAsia="Arial" w:hAnsi="Garamond"/>
          <w:sz w:val="24"/>
          <w:szCs w:val="24"/>
          <w:lang w:val="sq-AL"/>
        </w:rPr>
      </w:pPr>
      <w:r>
        <w:rPr>
          <w:rFonts w:ascii="Garamond" w:hAnsi="Garamond"/>
          <w:sz w:val="24"/>
          <w:szCs w:val="24"/>
          <w:lang w:val="sq-AL"/>
        </w:rPr>
        <w:t>................................................................ .</w:t>
      </w:r>
    </w:p>
    <w:p w:rsidR="005C0BD2" w:rsidRDefault="005C0BD2" w:rsidP="005C0BD2">
      <w:pPr>
        <w:spacing w:after="0" w:line="240" w:lineRule="auto"/>
        <w:rPr>
          <w:rFonts w:ascii="Garamond" w:eastAsia="Arial" w:hAnsi="Garamond"/>
          <w:sz w:val="24"/>
          <w:szCs w:val="24"/>
          <w:lang w:val="sq-AL"/>
        </w:rPr>
      </w:pPr>
      <w:r>
        <w:rPr>
          <w:rFonts w:ascii="Garamond" w:hAnsi="Garamond"/>
          <w:sz w:val="24"/>
          <w:szCs w:val="24"/>
          <w:lang w:val="sq-AL"/>
        </w:rPr>
        <w:t>Sipas dispozitave të kontratës, Kontraktuesi merr një pagesë paraprake në shumën e ……</w:t>
      </w:r>
    </w:p>
    <w:p w:rsidR="005C0BD2" w:rsidRDefault="005C0BD2" w:rsidP="005C0BD2">
      <w:pPr>
        <w:spacing w:after="0" w:line="240" w:lineRule="auto"/>
        <w:rPr>
          <w:rFonts w:ascii="Garamond" w:eastAsia="Arial" w:hAnsi="Garamond"/>
          <w:sz w:val="24"/>
          <w:szCs w:val="24"/>
          <w:lang w:val="sq-AL"/>
        </w:rPr>
      </w:pPr>
      <w:r>
        <w:rPr>
          <w:rFonts w:ascii="Garamond" w:hAnsi="Garamond"/>
          <w:sz w:val="24"/>
          <w:szCs w:val="24"/>
          <w:lang w:val="sq-AL"/>
        </w:rPr>
        <w:t>............................................................................................e barabartë me ………………………. %</w:t>
      </w:r>
    </w:p>
    <w:p w:rsidR="005C0BD2" w:rsidRDefault="005C0BD2" w:rsidP="005C0BD2">
      <w:pPr>
        <w:spacing w:line="0" w:lineRule="atLeast"/>
        <w:rPr>
          <w:rFonts w:ascii="Garamond" w:eastAsia="Arial" w:hAnsi="Garamond"/>
          <w:sz w:val="24"/>
          <w:szCs w:val="24"/>
          <w:lang w:val="sq-AL"/>
        </w:rPr>
      </w:pPr>
      <w:r>
        <w:rPr>
          <w:rFonts w:ascii="Garamond" w:hAnsi="Garamond"/>
          <w:sz w:val="24"/>
          <w:szCs w:val="24"/>
          <w:lang w:val="sq-AL"/>
        </w:rPr>
        <w:t>të vlerës së kontratës, si pagesë paraprake.</w:t>
      </w:r>
    </w:p>
    <w:p w:rsidR="005C0BD2" w:rsidRDefault="005C0BD2" w:rsidP="005C0BD2">
      <w:pPr>
        <w:spacing w:line="0" w:lineRule="atLeast"/>
        <w:ind w:left="140"/>
        <w:rPr>
          <w:rFonts w:ascii="Garamond" w:eastAsia="Arial" w:hAnsi="Garamond"/>
          <w:sz w:val="24"/>
          <w:szCs w:val="24"/>
          <w:lang w:val="sq-AL"/>
        </w:rPr>
      </w:pPr>
      <w:r>
        <w:rPr>
          <w:rFonts w:ascii="Garamond" w:hAnsi="Garamond"/>
          <w:sz w:val="24"/>
          <w:szCs w:val="24"/>
          <w:lang w:val="sq-AL"/>
        </w:rPr>
        <w:t>Ne, të nënshkruarit ………………………………………………………………………………..</w:t>
      </w:r>
    </w:p>
    <w:p w:rsidR="005C0BD2" w:rsidRDefault="005C0BD2" w:rsidP="005C0BD2">
      <w:pPr>
        <w:spacing w:after="0" w:line="240" w:lineRule="auto"/>
        <w:ind w:left="140" w:right="460"/>
        <w:rPr>
          <w:rFonts w:ascii="Garamond" w:eastAsia="Arial" w:hAnsi="Garamond"/>
          <w:sz w:val="24"/>
          <w:szCs w:val="24"/>
          <w:lang w:val="sq-AL"/>
        </w:rPr>
      </w:pPr>
      <w:r>
        <w:rPr>
          <w:rFonts w:ascii="Garamond" w:hAnsi="Garamond"/>
          <w:sz w:val="24"/>
          <w:szCs w:val="24"/>
          <w:lang w:val="sq-AL"/>
        </w:rPr>
        <w:t>(banka), heqim dorë nga të gjitha kundërshtimet dhe pretendimet sipas kontratës së lartpërmendur dhe garantojmë në mënyrë të pakthyeshme dhe të pavarur të paguajmë pas marrjes së kërkesës tuaj të parë me shkrim, çdo shumë paradhënie ndaj Kontraktuesit deri në</w:t>
      </w:r>
    </w:p>
    <w:p w:rsidR="005C0BD2" w:rsidRDefault="005C0BD2" w:rsidP="005C0BD2">
      <w:pPr>
        <w:spacing w:after="0" w:line="240" w:lineRule="auto"/>
        <w:ind w:left="2840"/>
        <w:rPr>
          <w:rFonts w:ascii="Garamond" w:eastAsia="Arial" w:hAnsi="Garamond"/>
          <w:sz w:val="24"/>
          <w:szCs w:val="24"/>
          <w:lang w:val="sq-AL"/>
        </w:rPr>
      </w:pPr>
      <w:r>
        <w:rPr>
          <w:rFonts w:ascii="Garamond" w:hAnsi="Garamond"/>
          <w:sz w:val="24"/>
          <w:szCs w:val="24"/>
          <w:lang w:val="sq-AL"/>
        </w:rPr>
        <w:t>...........................................................</w:t>
      </w:r>
    </w:p>
    <w:p w:rsidR="005C0BD2" w:rsidRDefault="005C0BD2" w:rsidP="005C0BD2">
      <w:pPr>
        <w:spacing w:after="0" w:line="240" w:lineRule="auto"/>
        <w:ind w:left="2400"/>
        <w:rPr>
          <w:rFonts w:ascii="Garamond" w:eastAsia="Arial" w:hAnsi="Garamond"/>
          <w:sz w:val="24"/>
          <w:szCs w:val="24"/>
          <w:lang w:val="sq-AL"/>
        </w:rPr>
      </w:pPr>
      <w:r>
        <w:rPr>
          <w:rFonts w:ascii="Garamond" w:hAnsi="Garamond"/>
          <w:sz w:val="24"/>
          <w:szCs w:val="24"/>
          <w:lang w:val="sq-AL"/>
        </w:rPr>
        <w:t>(me fjalë………………………………………….)</w:t>
      </w:r>
    </w:p>
    <w:p w:rsidR="005C0BD2" w:rsidRDefault="005C0BD2" w:rsidP="005C0BD2">
      <w:pPr>
        <w:widowControl w:val="0"/>
        <w:spacing w:after="0" w:line="240" w:lineRule="auto"/>
        <w:rPr>
          <w:rFonts w:ascii="Garamond" w:eastAsia="Arial" w:hAnsi="Garamond"/>
          <w:sz w:val="24"/>
          <w:szCs w:val="24"/>
          <w:lang w:val="sq-AL"/>
        </w:rPr>
      </w:pPr>
      <w:r>
        <w:rPr>
          <w:rFonts w:ascii="Garamond" w:hAnsi="Garamond"/>
          <w:sz w:val="24"/>
          <w:szCs w:val="24"/>
          <w:lang w:val="sq-AL"/>
        </w:rPr>
        <w:t>kundrejt deklaratës suaj me shkrim që Kontraktuesi ka dështuar të zbatojë kontratën e lartpërmendur.</w:t>
      </w:r>
    </w:p>
    <w:p w:rsidR="005C0BD2" w:rsidRDefault="005C0BD2" w:rsidP="005C0BD2">
      <w:pPr>
        <w:widowControl w:val="0"/>
        <w:spacing w:after="0" w:line="240" w:lineRule="auto"/>
        <w:rPr>
          <w:rFonts w:ascii="Garamond" w:eastAsia="Arial" w:hAnsi="Garamond"/>
          <w:sz w:val="24"/>
          <w:szCs w:val="24"/>
          <w:lang w:val="sq-AL"/>
        </w:rPr>
      </w:pPr>
      <w:r>
        <w:rPr>
          <w:rFonts w:ascii="Garamond" w:hAnsi="Garamond"/>
          <w:sz w:val="24"/>
          <w:szCs w:val="24"/>
          <w:lang w:val="sq-AL"/>
        </w:rPr>
        <w:t>Kjo garanci hyn në fuqi menjëherë sapo pagesa paraprake të kreditohet në llogarinë e Kontraktuesit. Kjo garanci reduktohet proporcionalisht në mënyrë automatike në përputhje me pagesat e kryera.</w:t>
      </w:r>
    </w:p>
    <w:p w:rsidR="005C0BD2" w:rsidRDefault="005C0BD2" w:rsidP="005C0BD2">
      <w:pPr>
        <w:widowControl w:val="0"/>
        <w:spacing w:after="0" w:line="240" w:lineRule="auto"/>
        <w:rPr>
          <w:rFonts w:ascii="Garamond" w:eastAsia="Arial" w:hAnsi="Garamond"/>
          <w:sz w:val="24"/>
          <w:szCs w:val="24"/>
          <w:lang w:val="sq-AL"/>
        </w:rPr>
      </w:pPr>
      <w:r>
        <w:rPr>
          <w:rFonts w:ascii="Garamond" w:hAnsi="Garamond"/>
          <w:sz w:val="24"/>
          <w:szCs w:val="24"/>
          <w:lang w:val="sq-AL"/>
        </w:rPr>
        <w:t>Në rast të ndonjë pretendimi sipas kësaj garancie, pagesa i bëhet KfW-së, Frankfurt am Main, BIC: KFWIDEFF, IBAN: DE53 5002 0400 3800 0000 00, për llogari të (Klienti/Agjencia e Zbatimit të Projektit/Blerësi).</w:t>
      </w:r>
    </w:p>
    <w:p w:rsidR="005C0BD2" w:rsidRDefault="005C0BD2" w:rsidP="005C0BD2">
      <w:pPr>
        <w:widowControl w:val="0"/>
        <w:spacing w:after="0" w:line="240" w:lineRule="auto"/>
        <w:rPr>
          <w:rFonts w:ascii="Garamond" w:eastAsia="Arial" w:hAnsi="Garamond"/>
          <w:sz w:val="24"/>
          <w:szCs w:val="24"/>
          <w:lang w:val="sq-AL"/>
        </w:rPr>
      </w:pPr>
      <w:r>
        <w:rPr>
          <w:rFonts w:ascii="Garamond" w:hAnsi="Garamond"/>
          <w:sz w:val="24"/>
          <w:szCs w:val="24"/>
          <w:lang w:val="sq-AL"/>
        </w:rPr>
        <w:t>Kjo garanci skadon jo më vonë se .............</w:t>
      </w:r>
    </w:p>
    <w:p w:rsidR="005C0BD2" w:rsidRDefault="005C0BD2" w:rsidP="005C0BD2">
      <w:pPr>
        <w:widowControl w:val="0"/>
        <w:spacing w:after="0" w:line="240" w:lineRule="auto"/>
        <w:rPr>
          <w:rFonts w:ascii="Garamond" w:eastAsia="Arial" w:hAnsi="Garamond"/>
          <w:sz w:val="24"/>
          <w:szCs w:val="24"/>
          <w:lang w:val="sq-AL"/>
        </w:rPr>
      </w:pPr>
      <w:r>
        <w:rPr>
          <w:rFonts w:ascii="Garamond" w:hAnsi="Garamond"/>
          <w:sz w:val="24"/>
          <w:szCs w:val="24"/>
          <w:lang w:val="sq-AL"/>
        </w:rPr>
        <w:t>datë në të cilën ne duhet të kemi marrë çdo pretendim nëpërmjet shkresave ose telekomunikimit të koduar.</w:t>
      </w:r>
    </w:p>
    <w:p w:rsidR="005C0BD2" w:rsidRDefault="005C0BD2" w:rsidP="005C0BD2">
      <w:pPr>
        <w:widowControl w:val="0"/>
        <w:spacing w:after="0" w:line="240" w:lineRule="auto"/>
        <w:rPr>
          <w:rFonts w:ascii="Garamond" w:eastAsia="Arial" w:hAnsi="Garamond"/>
          <w:sz w:val="24"/>
          <w:szCs w:val="24"/>
          <w:lang w:val="sq-AL"/>
        </w:rPr>
      </w:pPr>
      <w:r>
        <w:rPr>
          <w:rFonts w:ascii="Garamond" w:hAnsi="Garamond"/>
          <w:sz w:val="24"/>
          <w:szCs w:val="24"/>
          <w:lang w:val="sq-AL"/>
        </w:rPr>
        <w:t>Nënkuptohet që ju do të na ktheni këtë garanci me skadimin ose pas shlyerjes së shumës totale që pretendohet në këtë dokument.</w:t>
      </w:r>
    </w:p>
    <w:p w:rsidR="005C0BD2" w:rsidRDefault="005C0BD2" w:rsidP="005C0BD2">
      <w:pPr>
        <w:tabs>
          <w:tab w:val="left" w:pos="5220"/>
        </w:tabs>
        <w:spacing w:line="0" w:lineRule="atLeast"/>
        <w:ind w:left="160"/>
        <w:rPr>
          <w:rFonts w:ascii="Garamond" w:eastAsia="Arial" w:hAnsi="Garamond"/>
          <w:sz w:val="24"/>
          <w:szCs w:val="24"/>
          <w:lang w:val="sq-AL"/>
        </w:rPr>
      </w:pPr>
      <w:r>
        <w:rPr>
          <w:rFonts w:ascii="Garamond" w:hAnsi="Garamond"/>
          <w:sz w:val="24"/>
          <w:szCs w:val="24"/>
          <w:lang w:val="sq-AL"/>
        </w:rPr>
        <w:t>.............................................</w:t>
      </w:r>
      <w:r>
        <w:rPr>
          <w:rFonts w:ascii="Garamond" w:hAnsi="Garamond"/>
          <w:sz w:val="24"/>
          <w:szCs w:val="24"/>
          <w:lang w:val="sq-AL"/>
        </w:rPr>
        <w:tab/>
        <w:t>..............................................................</w:t>
      </w:r>
    </w:p>
    <w:p w:rsidR="005C0BD2" w:rsidRDefault="005C0BD2" w:rsidP="005C0BD2">
      <w:pPr>
        <w:tabs>
          <w:tab w:val="left" w:pos="5220"/>
        </w:tabs>
        <w:spacing w:line="0" w:lineRule="atLeast"/>
        <w:ind w:left="140"/>
        <w:rPr>
          <w:rFonts w:ascii="Garamond" w:hAnsi="Garamond"/>
          <w:sz w:val="24"/>
          <w:szCs w:val="24"/>
          <w:lang w:val="sq-AL"/>
        </w:rPr>
      </w:pPr>
      <w:r>
        <w:rPr>
          <w:rFonts w:ascii="Garamond" w:hAnsi="Garamond"/>
          <w:sz w:val="24"/>
          <w:szCs w:val="24"/>
          <w:lang w:val="sq-AL"/>
        </w:rPr>
        <w:t>Vendi, data</w:t>
      </w:r>
      <w:r>
        <w:rPr>
          <w:rFonts w:ascii="Garamond" w:hAnsi="Garamond"/>
          <w:sz w:val="24"/>
          <w:szCs w:val="24"/>
          <w:lang w:val="sq-AL"/>
        </w:rPr>
        <w:tab/>
      </w:r>
      <w:r>
        <w:rPr>
          <w:rFonts w:ascii="Garamond" w:hAnsi="Garamond"/>
          <w:sz w:val="24"/>
          <w:szCs w:val="24"/>
          <w:lang w:val="sq-AL"/>
        </w:rPr>
        <w:tab/>
      </w:r>
      <w:r>
        <w:rPr>
          <w:rFonts w:ascii="Garamond" w:hAnsi="Garamond"/>
          <w:sz w:val="24"/>
          <w:szCs w:val="24"/>
          <w:lang w:val="sq-AL"/>
        </w:rPr>
        <w:tab/>
      </w:r>
      <w:r>
        <w:rPr>
          <w:rFonts w:ascii="Garamond" w:hAnsi="Garamond"/>
          <w:sz w:val="24"/>
          <w:szCs w:val="24"/>
          <w:lang w:val="sq-AL"/>
        </w:rPr>
        <w:tab/>
      </w:r>
      <w:r>
        <w:rPr>
          <w:rFonts w:ascii="Garamond" w:hAnsi="Garamond"/>
          <w:sz w:val="24"/>
          <w:szCs w:val="24"/>
          <w:lang w:val="sq-AL"/>
        </w:rPr>
        <w:tab/>
      </w:r>
      <w:r>
        <w:rPr>
          <w:rFonts w:ascii="Garamond" w:hAnsi="Garamond"/>
          <w:sz w:val="24"/>
          <w:szCs w:val="24"/>
          <w:lang w:val="sq-AL"/>
        </w:rPr>
        <w:tab/>
      </w:r>
      <w:r>
        <w:rPr>
          <w:rFonts w:ascii="Garamond" w:hAnsi="Garamond"/>
          <w:sz w:val="24"/>
          <w:szCs w:val="24"/>
          <w:lang w:val="sq-AL"/>
        </w:rPr>
        <w:tab/>
      </w:r>
      <w:r>
        <w:rPr>
          <w:rFonts w:ascii="Garamond" w:hAnsi="Garamond"/>
          <w:sz w:val="24"/>
          <w:szCs w:val="24"/>
          <w:lang w:val="sq-AL"/>
        </w:rPr>
        <w:tab/>
        <w:t>Garantuesi</w:t>
      </w:r>
    </w:p>
    <w:p w:rsidR="005C0BD2" w:rsidRDefault="005C0BD2" w:rsidP="005C0BD2">
      <w:pPr>
        <w:pStyle w:val="Paragrafi"/>
        <w:rPr>
          <w:lang w:val="sq-AL"/>
        </w:rPr>
      </w:pPr>
      <w:r>
        <w:rPr>
          <w:noProof/>
        </w:rPr>
        <w:lastRenderedPageBreak/>
        <w:drawing>
          <wp:inline distT="0" distB="0" distL="0" distR="0">
            <wp:extent cx="5759450" cy="62096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6209665"/>
                    </a:xfrm>
                    <a:prstGeom prst="rect">
                      <a:avLst/>
                    </a:prstGeom>
                    <a:noFill/>
                    <a:ln>
                      <a:noFill/>
                    </a:ln>
                  </pic:spPr>
                </pic:pic>
              </a:graphicData>
            </a:graphic>
          </wp:inline>
        </w:drawing>
      </w:r>
    </w:p>
    <w:p w:rsidR="005C0BD2" w:rsidRDefault="005C0BD2" w:rsidP="005C0BD2">
      <w:pPr>
        <w:spacing w:after="0" w:line="240" w:lineRule="auto"/>
        <w:ind w:firstLine="0"/>
        <w:jc w:val="left"/>
        <w:rPr>
          <w:rFonts w:ascii="Garamond" w:eastAsia="MS Mincho" w:hAnsi="Garamond" w:cs="CG Times"/>
          <w:bCs/>
          <w:sz w:val="24"/>
          <w:lang w:val="sq-AL"/>
        </w:rPr>
        <w:sectPr w:rsidR="005C0BD2" w:rsidSect="005C0BD2">
          <w:type w:val="continuous"/>
          <w:pgSz w:w="11907" w:h="16840"/>
          <w:pgMar w:top="720" w:right="1134" w:bottom="720" w:left="1134" w:header="851" w:footer="851" w:gutter="0"/>
          <w:cols w:space="720"/>
        </w:sectPr>
      </w:pPr>
    </w:p>
    <w:p w:rsidR="005C0BD2" w:rsidRDefault="005C0BD2" w:rsidP="005C0BD2">
      <w:pPr>
        <w:pStyle w:val="NeniTitull"/>
        <w:rPr>
          <w:b w:val="0"/>
          <w:spacing w:val="-4"/>
          <w:lang w:val="sq-AL"/>
        </w:rPr>
      </w:pPr>
    </w:p>
    <w:p w:rsidR="005C0BD2" w:rsidRDefault="005C0BD2" w:rsidP="005C0BD2">
      <w:pPr>
        <w:pStyle w:val="NeniTitull"/>
        <w:rPr>
          <w:b w:val="0"/>
          <w:spacing w:val="-4"/>
          <w:lang w:val="sq-AL"/>
        </w:rPr>
      </w:pPr>
      <w:r>
        <w:rPr>
          <w:b w:val="0"/>
          <w:spacing w:val="-4"/>
          <w:lang w:val="sq-AL"/>
        </w:rPr>
        <w:t>SHTOJCA 9</w:t>
      </w:r>
    </w:p>
    <w:p w:rsidR="005C0BD2" w:rsidRDefault="005C0BD2" w:rsidP="005C0BD2">
      <w:pPr>
        <w:pStyle w:val="Paragrafi"/>
        <w:jc w:val="center"/>
        <w:rPr>
          <w:spacing w:val="-4"/>
          <w:lang w:val="sq-AL"/>
        </w:rPr>
      </w:pPr>
      <w:r>
        <w:rPr>
          <w:spacing w:val="-4"/>
          <w:lang w:val="sq-AL"/>
        </w:rPr>
        <w:t>INFORMACION PËR KONTRATAT ME PAGESË TË VETME</w:t>
      </w:r>
    </w:p>
    <w:p w:rsidR="005C0BD2" w:rsidRDefault="005C0BD2" w:rsidP="005C0BD2">
      <w:pPr>
        <w:pStyle w:val="Paragrafi"/>
        <w:jc w:val="center"/>
        <w:rPr>
          <w:b/>
          <w:spacing w:val="-4"/>
          <w:sz w:val="14"/>
          <w:lang w:val="sq-AL"/>
        </w:rPr>
      </w:pPr>
    </w:p>
    <w:p w:rsidR="005C0BD2" w:rsidRDefault="005C0BD2" w:rsidP="005C0BD2">
      <w:pPr>
        <w:pStyle w:val="Paragrafi"/>
        <w:rPr>
          <w:b/>
          <w:spacing w:val="-4"/>
          <w:lang w:val="sq-AL"/>
        </w:rPr>
      </w:pPr>
      <w:r>
        <w:rPr>
          <w:b/>
          <w:spacing w:val="-4"/>
          <w:lang w:val="sq-AL"/>
        </w:rPr>
        <w:t>Elementet e përgjithshme</w:t>
      </w:r>
    </w:p>
    <w:p w:rsidR="005C0BD2" w:rsidRDefault="005C0BD2" w:rsidP="005C0BD2">
      <w:pPr>
        <w:pStyle w:val="Paragrafi"/>
        <w:rPr>
          <w:spacing w:val="-4"/>
          <w:lang w:val="sq-AL"/>
        </w:rPr>
      </w:pPr>
      <w:r>
        <w:rPr>
          <w:spacing w:val="-4"/>
          <w:lang w:val="sq-AL"/>
        </w:rPr>
        <w:t xml:space="preserve">1. Klienti, në bashkërendim me KfW-në, mund të bjerë dakord me Konsulentin për pagesën bazuar ose në punën aktuale të kryer, ose në pagesën e vetme. Pagesa bazuar në punën aktuale të kryer rekomandohet, nëse puna që duhet kryer nga Konsulenti nuk është përcaktuar përfundimisht në kohën e bisedimeve kontraktuese, për shembull, detyrat e menaxhimit të ndërtimit. Për pagesën e vetme duhet të bihet dakord nëse janë përcaktuar qartë shërbimet që do të ofrohen dhe afati brenda të cilit do të ofrohen. </w:t>
      </w:r>
    </w:p>
    <w:p w:rsidR="005C0BD2" w:rsidRDefault="005C0BD2" w:rsidP="005C0BD2">
      <w:pPr>
        <w:pStyle w:val="Paragrafi"/>
        <w:rPr>
          <w:spacing w:val="-4"/>
          <w:lang w:val="sq-AL"/>
        </w:rPr>
      </w:pPr>
      <w:r>
        <w:rPr>
          <w:spacing w:val="-4"/>
          <w:lang w:val="sq-AL"/>
        </w:rPr>
        <w:t>2. Ofertuesit duhet të njoftohen në kohën e duhur për mënyrën sesi do të paguhen shërbimet, dhe jo më vonë se së bashku me kërkesën për tendera.</w:t>
      </w:r>
    </w:p>
    <w:p w:rsidR="005C0BD2" w:rsidRDefault="005C0BD2" w:rsidP="005C0BD2">
      <w:pPr>
        <w:pStyle w:val="Paragrafi"/>
        <w:rPr>
          <w:b/>
          <w:spacing w:val="-4"/>
          <w:lang w:val="sq-AL"/>
        </w:rPr>
      </w:pPr>
      <w:r>
        <w:rPr>
          <w:b/>
          <w:spacing w:val="-4"/>
          <w:lang w:val="sq-AL"/>
        </w:rPr>
        <w:t xml:space="preserve">Avantazhet e pagesës së vetme </w:t>
      </w:r>
    </w:p>
    <w:p w:rsidR="005C0BD2" w:rsidRDefault="005C0BD2" w:rsidP="005C0BD2">
      <w:pPr>
        <w:pStyle w:val="Paragrafi"/>
        <w:rPr>
          <w:spacing w:val="-4"/>
          <w:lang w:val="sq-AL"/>
        </w:rPr>
      </w:pPr>
      <w:r>
        <w:rPr>
          <w:spacing w:val="-4"/>
          <w:lang w:val="sq-AL"/>
        </w:rPr>
        <w:t xml:space="preserve">3. Sipas kontratës me pagesë të vetme, shpërblimi dhe shpenzimet materiale shlyhen nëpërmjet një pagese të vetme. Faturat e veçanta që verifikojnë afatin e caktimit të ekspertëve nuk janë më të nevojshme. Krahas thjeshtimit të procedurës së shlyerjes, ky përcaktim është bërë për t’iu ofruar Konsulentëve fushë të gjerë veprimi për kryerjen e detyrës, duke nxitur në këtë mënyrë ndjenjën e tyre të përgjegjësisë dhe aftësinë e tyre krijuese novatore, si dhe për të theksuar orientimin e kontratës ndaj rezultateve. </w:t>
      </w:r>
    </w:p>
    <w:p w:rsidR="005C0BD2" w:rsidRDefault="005C0BD2" w:rsidP="005C0BD2">
      <w:pPr>
        <w:pStyle w:val="Paragrafi"/>
        <w:rPr>
          <w:spacing w:val="-4"/>
          <w:lang w:val="sq-AL"/>
        </w:rPr>
      </w:pPr>
      <w:r>
        <w:rPr>
          <w:spacing w:val="-4"/>
          <w:lang w:val="sq-AL"/>
        </w:rPr>
        <w:t xml:space="preserve">4. Mënyra e pagesës së vetme duhet aplikuar, nëse shërbimi që do të ofrohet është përcaktuar qartë dhe Konsulenti mund të vendosë vetë sesi t’i përmbushë këto detyra. Metoda e pagesës së vetme përshtatet fillimisht për studime, planifikim të detajuar dhe detyra të ngjashme të përcaktuara qartë. Risku ekonomik që </w:t>
      </w:r>
      <w:r>
        <w:rPr>
          <w:spacing w:val="-4"/>
          <w:lang w:val="sq-AL"/>
        </w:rPr>
        <w:lastRenderedPageBreak/>
        <w:t xml:space="preserve">i shkaktohet Konsulentit nëpërmjet metodës së pagesës së vetme nuk duhet të çojë në shpërblime të papërshtatshme me rrezik të lartë. </w:t>
      </w:r>
    </w:p>
    <w:p w:rsidR="005C0BD2" w:rsidRDefault="005C0BD2" w:rsidP="005C0BD2">
      <w:pPr>
        <w:pStyle w:val="Paragrafi"/>
        <w:rPr>
          <w:b/>
          <w:spacing w:val="-4"/>
          <w:lang w:val="sq-AL"/>
        </w:rPr>
      </w:pPr>
      <w:r>
        <w:rPr>
          <w:b/>
          <w:spacing w:val="-4"/>
          <w:lang w:val="sq-AL"/>
        </w:rPr>
        <w:t>Veçantitë e përgatitjes së kontratave me pagesë të vetme</w:t>
      </w:r>
    </w:p>
    <w:p w:rsidR="005C0BD2" w:rsidRDefault="005C0BD2" w:rsidP="005C0BD2">
      <w:pPr>
        <w:pStyle w:val="Paragrafi"/>
        <w:rPr>
          <w:spacing w:val="-4"/>
          <w:lang w:val="sq-AL"/>
        </w:rPr>
      </w:pPr>
      <w:r>
        <w:rPr>
          <w:spacing w:val="-4"/>
          <w:lang w:val="sq-AL"/>
        </w:rPr>
        <w:t xml:space="preserve">5. Sipas kontratave me pagesë të vetme, nuk është më e nevojshme që të rekomandohet personel për çdo pozicion, si dhe plotësimi i CV-ve të tyre; mjafton që të kërkohet CV-ja e personelit kyç në propozimin teknik. Vetëm ato vlerësohen. Fakti se cilët punonjës kyç janë të nevojshëm për kryerjen e detyrës duhet specifikuar në termat e referencës. Vetëm zëvendësimi i personelit kyç kërkon miratimin e Klientit dhe KfW-së. Ndryshimet në planifikimin e detyrës nuk kërkojnë miratim për aq kohë sa ato nuk reduktojnë periudhën e detyrës së personelit kyç. Konsulenti është përgjegjës që t’i përmbahet afatit dhe të kryejë punën e rënë dakord në kontratë. </w:t>
      </w:r>
    </w:p>
    <w:p w:rsidR="005C0BD2" w:rsidRDefault="005C0BD2" w:rsidP="005C0BD2">
      <w:pPr>
        <w:pStyle w:val="Paragrafi"/>
        <w:rPr>
          <w:spacing w:val="-4"/>
          <w:lang w:val="sq-AL"/>
        </w:rPr>
      </w:pPr>
      <w:r>
        <w:rPr>
          <w:spacing w:val="-4"/>
          <w:lang w:val="sq-AL"/>
        </w:rPr>
        <w:t xml:space="preserve">6. Pagesat sipas kontratës së konsulencës duhen kryer në bazë të progresit të shërbimeve; me arritjen e shumës prej 70% të pagesës së kontraktuar, ato duhen kryer në bazë të shërbimeve të dokumentuara që lidhen me fazat specifike më të rëndësishme të projektit. </w:t>
      </w:r>
    </w:p>
    <w:p w:rsidR="005C0BD2" w:rsidRDefault="005C0BD2" w:rsidP="005C0BD2">
      <w:pPr>
        <w:pStyle w:val="Paragrafi"/>
        <w:rPr>
          <w:spacing w:val="-4"/>
          <w:lang w:val="sq-AL"/>
        </w:rPr>
      </w:pPr>
      <w:r>
        <w:rPr>
          <w:spacing w:val="-4"/>
          <w:lang w:val="sq-AL"/>
        </w:rPr>
        <w:t>7. Nënshkrimi i kontratës me pagesë të vetme nuk përjashton pagesën e produkteve të rimbursueshme për disa punë ndihmëse (si shpimi gjeoteknik), qëllimi i të cilave nuk është i njohur në kohën nënshkrimit të kontratës, me dorëzimin e faturës përkatëse.</w:t>
      </w:r>
    </w:p>
    <w:p w:rsidR="005C0BD2" w:rsidRDefault="005C0BD2" w:rsidP="005C0BD2">
      <w:pPr>
        <w:spacing w:after="0" w:line="240" w:lineRule="auto"/>
        <w:ind w:firstLine="0"/>
        <w:jc w:val="left"/>
        <w:rPr>
          <w:rFonts w:ascii="Garamond" w:eastAsia="MS Mincho" w:hAnsi="Garamond" w:cs="CG Times"/>
          <w:sz w:val="24"/>
          <w:lang w:val="sq-AL"/>
        </w:rPr>
        <w:sectPr w:rsidR="005C0BD2" w:rsidSect="005C0BD2">
          <w:type w:val="continuous"/>
          <w:pgSz w:w="11907" w:h="16840"/>
          <w:pgMar w:top="720" w:right="1134" w:bottom="720" w:left="1134" w:header="851" w:footer="851" w:gutter="0"/>
          <w:cols w:space="454"/>
        </w:sectPr>
      </w:pPr>
    </w:p>
    <w:p w:rsidR="005C0BD2" w:rsidRDefault="005C0BD2" w:rsidP="005C0BD2">
      <w:pPr>
        <w:pStyle w:val="Paragrafi"/>
        <w:rPr>
          <w:sz w:val="14"/>
          <w:lang w:val="sq-AL"/>
        </w:rPr>
      </w:pPr>
    </w:p>
    <w:p w:rsidR="005C0BD2" w:rsidRDefault="005C0BD2" w:rsidP="005C0BD2">
      <w:pPr>
        <w:pStyle w:val="NeniTitull"/>
        <w:rPr>
          <w:b w:val="0"/>
          <w:lang w:val="sq-AL"/>
        </w:rPr>
      </w:pPr>
      <w:r>
        <w:rPr>
          <w:b w:val="0"/>
          <w:lang w:val="sq-AL"/>
        </w:rPr>
        <w:t>SHTOJCA 10</w:t>
      </w:r>
    </w:p>
    <w:p w:rsidR="005C0BD2" w:rsidRDefault="005C0BD2" w:rsidP="005C0BD2">
      <w:pPr>
        <w:pStyle w:val="Paragrafi"/>
        <w:jc w:val="center"/>
        <w:rPr>
          <w:lang w:val="sq-AL"/>
        </w:rPr>
      </w:pPr>
      <w:r>
        <w:rPr>
          <w:lang w:val="sq-AL"/>
        </w:rPr>
        <w:t>LISTA E AKRONIMEVE DHE SHKURTIMEVE DHE FJALORTHI</w:t>
      </w:r>
    </w:p>
    <w:tbl>
      <w:tblPr>
        <w:tblW w:w="5000" w:type="pct"/>
        <w:tblCellMar>
          <w:left w:w="0" w:type="dxa"/>
          <w:right w:w="0" w:type="dxa"/>
        </w:tblCellMar>
        <w:tblLook w:val="04A0" w:firstRow="1" w:lastRow="0" w:firstColumn="1" w:lastColumn="0" w:noHBand="0" w:noVBand="1"/>
      </w:tblPr>
      <w:tblGrid>
        <w:gridCol w:w="2431"/>
        <w:gridCol w:w="7208"/>
      </w:tblGrid>
      <w:tr w:rsidR="005C0BD2" w:rsidTr="005C0BD2">
        <w:trPr>
          <w:trHeight w:val="434"/>
        </w:trPr>
        <w:tc>
          <w:tcPr>
            <w:tcW w:w="1261" w:type="pct"/>
            <w:vAlign w:val="bottom"/>
            <w:hideMark/>
          </w:tcPr>
          <w:p w:rsidR="005C0BD2" w:rsidRDefault="005C0BD2">
            <w:pPr>
              <w:pStyle w:val="Paragrafi"/>
              <w:spacing w:line="276" w:lineRule="auto"/>
              <w:ind w:left="113" w:firstLine="0"/>
              <w:rPr>
                <w:b/>
                <w:sz w:val="22"/>
                <w:lang w:val="sq-AL"/>
              </w:rPr>
            </w:pPr>
            <w:bookmarkStart w:id="24" w:name="page48"/>
            <w:bookmarkEnd w:id="24"/>
            <w:r>
              <w:rPr>
                <w:b/>
                <w:sz w:val="22"/>
                <w:lang w:val="sq-AL"/>
              </w:rPr>
              <w:t xml:space="preserve">Raport vlerësimi </w:t>
            </w:r>
          </w:p>
        </w:tc>
        <w:tc>
          <w:tcPr>
            <w:tcW w:w="3739" w:type="pct"/>
            <w:vAlign w:val="bottom"/>
            <w:hideMark/>
          </w:tcPr>
          <w:p w:rsidR="005C0BD2" w:rsidRDefault="005C0BD2">
            <w:pPr>
              <w:pStyle w:val="Paragrafi"/>
              <w:spacing w:line="276" w:lineRule="auto"/>
              <w:ind w:left="113" w:firstLine="0"/>
              <w:rPr>
                <w:sz w:val="22"/>
                <w:lang w:val="sq-AL"/>
              </w:rPr>
            </w:pPr>
            <w:r>
              <w:rPr>
                <w:sz w:val="22"/>
                <w:lang w:val="sq-AL"/>
              </w:rPr>
              <w:t>Shihni përkufizimet në paragrafët 2.12 dhe 2.32.</w:t>
            </w:r>
          </w:p>
        </w:tc>
      </w:tr>
      <w:tr w:rsidR="005C0BD2" w:rsidTr="005C0BD2">
        <w:trPr>
          <w:trHeight w:val="327"/>
        </w:trPr>
        <w:tc>
          <w:tcPr>
            <w:tcW w:w="1261" w:type="pct"/>
            <w:vAlign w:val="bottom"/>
            <w:hideMark/>
          </w:tcPr>
          <w:p w:rsidR="005C0BD2" w:rsidRDefault="005C0BD2">
            <w:pPr>
              <w:pStyle w:val="Paragrafi"/>
              <w:spacing w:line="276" w:lineRule="auto"/>
              <w:ind w:left="113" w:firstLine="0"/>
              <w:rPr>
                <w:b/>
                <w:sz w:val="22"/>
                <w:lang w:val="sq-AL"/>
              </w:rPr>
            </w:pPr>
            <w:r>
              <w:rPr>
                <w:b/>
                <w:sz w:val="22"/>
                <w:lang w:val="sq-AL"/>
              </w:rPr>
              <w:t>BOT</w:t>
            </w:r>
          </w:p>
        </w:tc>
        <w:tc>
          <w:tcPr>
            <w:tcW w:w="3739" w:type="pct"/>
            <w:vAlign w:val="bottom"/>
            <w:hideMark/>
          </w:tcPr>
          <w:p w:rsidR="005C0BD2" w:rsidRDefault="005C0BD2">
            <w:pPr>
              <w:pStyle w:val="Paragrafi"/>
              <w:spacing w:line="276" w:lineRule="auto"/>
              <w:ind w:left="113" w:firstLine="0"/>
              <w:rPr>
                <w:sz w:val="22"/>
                <w:lang w:val="sq-AL"/>
              </w:rPr>
            </w:pPr>
            <w:r>
              <w:rPr>
                <w:sz w:val="22"/>
                <w:lang w:val="sq-AL"/>
              </w:rPr>
              <w:t>Ndërto-Opero-Transfero; termi përdoret si sinonim me termat BOOT dhe BOO.</w:t>
            </w:r>
          </w:p>
        </w:tc>
      </w:tr>
      <w:tr w:rsidR="005C0BD2" w:rsidTr="005C0BD2">
        <w:trPr>
          <w:trHeight w:val="384"/>
        </w:trPr>
        <w:tc>
          <w:tcPr>
            <w:tcW w:w="1261" w:type="pct"/>
            <w:vAlign w:val="bottom"/>
            <w:hideMark/>
          </w:tcPr>
          <w:p w:rsidR="005C0BD2" w:rsidRDefault="005C0BD2">
            <w:pPr>
              <w:pStyle w:val="Paragrafi"/>
              <w:spacing w:line="276" w:lineRule="auto"/>
              <w:ind w:left="113" w:firstLine="0"/>
              <w:rPr>
                <w:b/>
                <w:sz w:val="22"/>
                <w:lang w:val="sq-AL"/>
              </w:rPr>
            </w:pPr>
            <w:r>
              <w:rPr>
                <w:b/>
                <w:sz w:val="22"/>
                <w:lang w:val="sq-AL"/>
              </w:rPr>
              <w:t>Klienti</w:t>
            </w:r>
          </w:p>
        </w:tc>
        <w:tc>
          <w:tcPr>
            <w:tcW w:w="3739" w:type="pct"/>
            <w:vAlign w:val="bottom"/>
            <w:hideMark/>
          </w:tcPr>
          <w:p w:rsidR="005C0BD2" w:rsidRDefault="005C0BD2">
            <w:pPr>
              <w:pStyle w:val="Paragrafi"/>
              <w:spacing w:line="276" w:lineRule="auto"/>
              <w:ind w:left="113" w:firstLine="0"/>
              <w:rPr>
                <w:sz w:val="22"/>
                <w:lang w:val="sq-AL"/>
              </w:rPr>
            </w:pPr>
            <w:r>
              <w:rPr>
                <w:sz w:val="22"/>
                <w:lang w:val="sq-AL"/>
              </w:rPr>
              <w:t>Shihni përkufizimin te hyrja.</w:t>
            </w:r>
          </w:p>
        </w:tc>
      </w:tr>
      <w:tr w:rsidR="005C0BD2" w:rsidTr="005C0BD2">
        <w:trPr>
          <w:trHeight w:val="327"/>
        </w:trPr>
        <w:tc>
          <w:tcPr>
            <w:tcW w:w="1261" w:type="pct"/>
            <w:vAlign w:val="bottom"/>
            <w:hideMark/>
          </w:tcPr>
          <w:p w:rsidR="005C0BD2" w:rsidRDefault="005C0BD2">
            <w:pPr>
              <w:pStyle w:val="Paragrafi"/>
              <w:spacing w:line="276" w:lineRule="auto"/>
              <w:ind w:left="113" w:firstLine="0"/>
              <w:rPr>
                <w:b/>
                <w:sz w:val="22"/>
                <w:lang w:val="sq-AL"/>
              </w:rPr>
            </w:pPr>
            <w:r>
              <w:rPr>
                <w:b/>
                <w:sz w:val="22"/>
                <w:lang w:val="sq-AL"/>
              </w:rPr>
              <w:t>Kontraktimi</w:t>
            </w:r>
          </w:p>
        </w:tc>
        <w:tc>
          <w:tcPr>
            <w:tcW w:w="3739" w:type="pct"/>
            <w:vAlign w:val="bottom"/>
            <w:hideMark/>
          </w:tcPr>
          <w:p w:rsidR="005C0BD2" w:rsidRDefault="005C0BD2">
            <w:pPr>
              <w:pStyle w:val="Paragrafi"/>
              <w:spacing w:line="276" w:lineRule="auto"/>
              <w:ind w:left="113" w:firstLine="0"/>
              <w:rPr>
                <w:sz w:val="22"/>
                <w:lang w:val="sq-AL"/>
              </w:rPr>
            </w:pPr>
            <w:r>
              <w:rPr>
                <w:sz w:val="22"/>
                <w:lang w:val="sq-AL"/>
              </w:rPr>
              <w:t>Procedurat për dhënien e një kontrate dhe rezultatin e tyre. Procedurat parashikojnë publikimin fillestar, kualifikimin, përgatitjen dhe vlerësimin e ofertave, dhënien e kontratës dhe njoftimin e ofertuesve të pasuksesshëm.</w:t>
            </w:r>
          </w:p>
        </w:tc>
      </w:tr>
      <w:tr w:rsidR="005C0BD2" w:rsidTr="005C0BD2">
        <w:trPr>
          <w:trHeight w:val="337"/>
        </w:trPr>
        <w:tc>
          <w:tcPr>
            <w:tcW w:w="1261" w:type="pct"/>
            <w:vAlign w:val="bottom"/>
            <w:hideMark/>
          </w:tcPr>
          <w:p w:rsidR="005C0BD2" w:rsidRDefault="005C0BD2">
            <w:pPr>
              <w:pStyle w:val="Paragrafi"/>
              <w:spacing w:line="276" w:lineRule="auto"/>
              <w:ind w:left="113" w:firstLine="0"/>
              <w:rPr>
                <w:b/>
                <w:sz w:val="22"/>
                <w:lang w:val="sq-AL"/>
              </w:rPr>
            </w:pPr>
            <w:r>
              <w:rPr>
                <w:b/>
                <w:sz w:val="22"/>
                <w:lang w:val="sq-AL"/>
              </w:rPr>
              <w:t>Standardet bazë të punës</w:t>
            </w:r>
          </w:p>
        </w:tc>
        <w:tc>
          <w:tcPr>
            <w:tcW w:w="3739" w:type="pct"/>
            <w:vAlign w:val="bottom"/>
            <w:hideMark/>
          </w:tcPr>
          <w:p w:rsidR="005C0BD2" w:rsidRDefault="005C0BD2">
            <w:pPr>
              <w:pStyle w:val="Paragrafi"/>
              <w:spacing w:line="276" w:lineRule="auto"/>
              <w:ind w:left="113" w:firstLine="0"/>
              <w:rPr>
                <w:sz w:val="22"/>
                <w:lang w:val="sq-AL"/>
              </w:rPr>
            </w:pPr>
            <w:r>
              <w:rPr>
                <w:sz w:val="22"/>
                <w:lang w:val="sq-AL"/>
              </w:rPr>
              <w:t xml:space="preserve">Standardet bazë të punës përcaktojnë standardet minimale të rëna dakord për të drejtat e punonjësve. Ndër të tjera, ato mbulojnë punën e detyruar dhe punën shfrytëzuese të fëmijëve, dhe kërkojnë të mbrojnë lirinë e punonjësve për asocim dhe lirinë e tyre nga diskriminimi. Agjencia drejtuese. </w:t>
            </w:r>
          </w:p>
          <w:p w:rsidR="005C0BD2" w:rsidRDefault="005C0BD2">
            <w:pPr>
              <w:pStyle w:val="Paragrafi"/>
              <w:spacing w:line="276" w:lineRule="auto"/>
              <w:ind w:left="113" w:firstLine="0"/>
              <w:rPr>
                <w:sz w:val="22"/>
                <w:lang w:val="sq-AL"/>
              </w:rPr>
            </w:pPr>
            <w:r>
              <w:rPr>
                <w:sz w:val="22"/>
                <w:lang w:val="sq-AL"/>
              </w:rPr>
              <w:t>është Organizata Ndërkombëtare e Punës (ILO). Për detaje të mëtejshme për standardet bazë të punës, dhe listën që tregon se cilat vende kanë ratifikuar standarde të caktuara, vizitoni</w:t>
            </w:r>
            <w:hyperlink r:id="rId11" w:history="1">
              <w:r>
                <w:rPr>
                  <w:rStyle w:val="Hyperlink"/>
                  <w:sz w:val="22"/>
                  <w:lang w:val="sq-AL"/>
                </w:rPr>
                <w:t>http//www.ilo.org</w:t>
              </w:r>
            </w:hyperlink>
            <w:r>
              <w:rPr>
                <w:sz w:val="22"/>
                <w:lang w:val="sq-AL"/>
              </w:rPr>
              <w:t>.</w:t>
            </w:r>
          </w:p>
        </w:tc>
      </w:tr>
      <w:tr w:rsidR="005C0BD2" w:rsidTr="005C0BD2">
        <w:trPr>
          <w:trHeight w:val="337"/>
        </w:trPr>
        <w:tc>
          <w:tcPr>
            <w:tcW w:w="1261" w:type="pct"/>
            <w:vAlign w:val="bottom"/>
            <w:hideMark/>
          </w:tcPr>
          <w:p w:rsidR="005C0BD2" w:rsidRDefault="005C0BD2">
            <w:pPr>
              <w:pStyle w:val="Paragrafi"/>
              <w:spacing w:line="276" w:lineRule="auto"/>
              <w:ind w:left="113" w:firstLine="0"/>
              <w:rPr>
                <w:b/>
                <w:sz w:val="22"/>
                <w:lang w:val="sq-AL"/>
              </w:rPr>
            </w:pPr>
            <w:r>
              <w:rPr>
                <w:b/>
                <w:sz w:val="22"/>
                <w:lang w:val="sq-AL"/>
              </w:rPr>
              <w:t xml:space="preserve">Afati për dorëzimin e </w:t>
            </w:r>
          </w:p>
          <w:p w:rsidR="005C0BD2" w:rsidRDefault="005C0BD2">
            <w:pPr>
              <w:pStyle w:val="Paragrafi"/>
              <w:spacing w:line="276" w:lineRule="auto"/>
              <w:ind w:left="113" w:firstLine="0"/>
              <w:rPr>
                <w:b/>
                <w:sz w:val="22"/>
                <w:lang w:val="sq-AL"/>
              </w:rPr>
            </w:pPr>
            <w:r>
              <w:rPr>
                <w:b/>
                <w:sz w:val="22"/>
                <w:lang w:val="sq-AL"/>
              </w:rPr>
              <w:t>ofertave</w:t>
            </w:r>
          </w:p>
        </w:tc>
        <w:tc>
          <w:tcPr>
            <w:tcW w:w="3739" w:type="pct"/>
            <w:vAlign w:val="bottom"/>
            <w:hideMark/>
          </w:tcPr>
          <w:p w:rsidR="005C0BD2" w:rsidRDefault="005C0BD2">
            <w:pPr>
              <w:pStyle w:val="Paragrafi"/>
              <w:spacing w:line="276" w:lineRule="auto"/>
              <w:ind w:left="113" w:firstLine="0"/>
              <w:rPr>
                <w:sz w:val="22"/>
                <w:lang w:val="sq-AL"/>
              </w:rPr>
            </w:pPr>
            <w:r>
              <w:rPr>
                <w:sz w:val="22"/>
                <w:lang w:val="sq-AL"/>
              </w:rPr>
              <w:t>Numri i ditëve kalendarike nërmjet datës së lëshimit të dokumenteve të tenderit dhe datës kur do të dorëzohen ofertat.</w:t>
            </w:r>
          </w:p>
        </w:tc>
      </w:tr>
      <w:tr w:rsidR="005C0BD2" w:rsidTr="005C0BD2">
        <w:trPr>
          <w:trHeight w:val="334"/>
        </w:trPr>
        <w:tc>
          <w:tcPr>
            <w:tcW w:w="1261" w:type="pct"/>
            <w:vAlign w:val="bottom"/>
            <w:hideMark/>
          </w:tcPr>
          <w:p w:rsidR="005C0BD2" w:rsidRDefault="005C0BD2">
            <w:pPr>
              <w:pStyle w:val="Paragrafi"/>
              <w:spacing w:line="276" w:lineRule="auto"/>
              <w:ind w:left="113" w:firstLine="0"/>
              <w:jc w:val="left"/>
              <w:rPr>
                <w:b/>
                <w:sz w:val="22"/>
                <w:lang w:val="sq-AL"/>
              </w:rPr>
            </w:pPr>
            <w:r>
              <w:rPr>
                <w:b/>
                <w:sz w:val="22"/>
                <w:lang w:val="sq-AL"/>
              </w:rPr>
              <w:t>Porta e Zhvillimit</w:t>
            </w:r>
          </w:p>
        </w:tc>
        <w:tc>
          <w:tcPr>
            <w:tcW w:w="3739" w:type="pct"/>
            <w:vAlign w:val="bottom"/>
            <w:hideMark/>
          </w:tcPr>
          <w:p w:rsidR="005C0BD2" w:rsidRDefault="005C0BD2">
            <w:pPr>
              <w:pStyle w:val="Paragrafi"/>
              <w:spacing w:line="276" w:lineRule="auto"/>
              <w:ind w:left="113" w:firstLine="0"/>
              <w:rPr>
                <w:sz w:val="22"/>
                <w:lang w:val="sq-AL"/>
              </w:rPr>
            </w:pPr>
            <w:r>
              <w:rPr>
                <w:sz w:val="22"/>
                <w:lang w:val="sq-AL"/>
              </w:rPr>
              <w:t xml:space="preserve">Një listë e ftesave aktuale për ofertë është e disponueshme në </w:t>
            </w:r>
            <w:hyperlink r:id="rId12" w:history="1">
              <w:r>
                <w:rPr>
                  <w:rStyle w:val="Hyperlink"/>
                  <w:sz w:val="22"/>
                  <w:lang w:val="sq-AL"/>
                </w:rPr>
                <w:t>http://www.dgmarket.com</w:t>
              </w:r>
            </w:hyperlink>
            <w:r>
              <w:rPr>
                <w:sz w:val="22"/>
                <w:lang w:val="sq-AL"/>
              </w:rPr>
              <w:t>.</w:t>
            </w:r>
          </w:p>
        </w:tc>
      </w:tr>
      <w:tr w:rsidR="005C0BD2" w:rsidTr="005C0BD2">
        <w:trPr>
          <w:trHeight w:val="334"/>
        </w:trPr>
        <w:tc>
          <w:tcPr>
            <w:tcW w:w="1261" w:type="pct"/>
            <w:vAlign w:val="bottom"/>
            <w:hideMark/>
          </w:tcPr>
          <w:p w:rsidR="005C0BD2" w:rsidRDefault="005C0BD2">
            <w:pPr>
              <w:pStyle w:val="Paragrafi"/>
              <w:spacing w:line="276" w:lineRule="auto"/>
              <w:ind w:left="113" w:firstLine="0"/>
              <w:jc w:val="left"/>
              <w:rPr>
                <w:b/>
                <w:sz w:val="22"/>
                <w:lang w:val="sq-AL"/>
              </w:rPr>
            </w:pPr>
            <w:r>
              <w:rPr>
                <w:b/>
                <w:sz w:val="22"/>
                <w:lang w:val="sq-AL"/>
              </w:rPr>
              <w:t>Prokurimi i drejtpërdrejtë</w:t>
            </w:r>
          </w:p>
        </w:tc>
        <w:tc>
          <w:tcPr>
            <w:tcW w:w="3739" w:type="pct"/>
            <w:vAlign w:val="bottom"/>
            <w:hideMark/>
          </w:tcPr>
          <w:p w:rsidR="005C0BD2" w:rsidRDefault="005C0BD2">
            <w:pPr>
              <w:pStyle w:val="Paragrafi"/>
              <w:spacing w:line="276" w:lineRule="auto"/>
              <w:ind w:left="113" w:firstLine="0"/>
              <w:rPr>
                <w:sz w:val="22"/>
                <w:lang w:val="sq-AL"/>
              </w:rPr>
            </w:pPr>
            <w:r>
              <w:rPr>
                <w:sz w:val="22"/>
                <w:lang w:val="sq-AL"/>
              </w:rPr>
              <w:t>Kontratat lidhen drejtpërdrejt, pa ofertim konkurrues</w:t>
            </w:r>
          </w:p>
        </w:tc>
      </w:tr>
      <w:tr w:rsidR="005C0BD2" w:rsidTr="005C0BD2">
        <w:trPr>
          <w:trHeight w:val="337"/>
        </w:trPr>
        <w:tc>
          <w:tcPr>
            <w:tcW w:w="1261" w:type="pct"/>
            <w:vAlign w:val="bottom"/>
            <w:hideMark/>
          </w:tcPr>
          <w:p w:rsidR="005C0BD2" w:rsidRDefault="005C0BD2">
            <w:pPr>
              <w:pStyle w:val="Paragrafi"/>
              <w:spacing w:line="276" w:lineRule="auto"/>
              <w:ind w:left="113" w:firstLine="0"/>
              <w:rPr>
                <w:b/>
                <w:sz w:val="22"/>
                <w:lang w:val="sq-AL"/>
              </w:rPr>
            </w:pPr>
            <w:r>
              <w:rPr>
                <w:b/>
                <w:sz w:val="22"/>
                <w:lang w:val="sq-AL"/>
              </w:rPr>
              <w:t>FIDIC</w:t>
            </w:r>
          </w:p>
        </w:tc>
        <w:tc>
          <w:tcPr>
            <w:tcW w:w="3739" w:type="pct"/>
            <w:vAlign w:val="bottom"/>
            <w:hideMark/>
          </w:tcPr>
          <w:p w:rsidR="005C0BD2" w:rsidRDefault="005C0BD2">
            <w:pPr>
              <w:pStyle w:val="Paragrafi"/>
              <w:spacing w:line="276" w:lineRule="auto"/>
              <w:ind w:left="113" w:firstLine="0"/>
              <w:rPr>
                <w:sz w:val="22"/>
                <w:lang w:val="sq-AL"/>
              </w:rPr>
            </w:pPr>
            <w:r>
              <w:rPr>
                <w:sz w:val="22"/>
                <w:lang w:val="sq-AL"/>
              </w:rPr>
              <w:t>Federata e Ndërkombëtare e Inxhinierëve dhe Konsulentëve(</w:t>
            </w:r>
            <w:hyperlink r:id="rId13" w:history="1">
              <w:r>
                <w:rPr>
                  <w:rStyle w:val="Hyperlink"/>
                  <w:sz w:val="22"/>
                  <w:lang w:val="sq-AL"/>
                </w:rPr>
                <w:t>http://www.fidic.org</w:t>
              </w:r>
            </w:hyperlink>
            <w:r>
              <w:rPr>
                <w:sz w:val="22"/>
                <w:lang w:val="sq-AL"/>
              </w:rPr>
              <w:t>). “Libri i kuq” lidhet me punimet ndërtimore, “libri i verdhë” mbulon impiantin elektrik dhe mekanik, dhe projektet e projektim–ndërtimit, dhe “libri i gjelbër” përdoret për projekte të vogla, p.sh. projekte që reklamohen në nivel vendor. “Libri i argjendtë” për projekte të gatshme “me çelësa në dorë” është vetëm për projekte me rëndësi të ulët të financuara nga FC-ja për shkak të mungesës së një konsulenti të pavarur.</w:t>
            </w:r>
          </w:p>
        </w:tc>
      </w:tr>
      <w:tr w:rsidR="005C0BD2" w:rsidTr="005C0BD2">
        <w:trPr>
          <w:trHeight w:val="382"/>
        </w:trPr>
        <w:tc>
          <w:tcPr>
            <w:tcW w:w="1261" w:type="pct"/>
            <w:vAlign w:val="bottom"/>
            <w:hideMark/>
          </w:tcPr>
          <w:p w:rsidR="005C0BD2" w:rsidRDefault="005C0BD2">
            <w:pPr>
              <w:pStyle w:val="Paragrafi"/>
              <w:spacing w:line="276" w:lineRule="auto"/>
              <w:ind w:left="113" w:firstLine="0"/>
              <w:jc w:val="left"/>
              <w:rPr>
                <w:b/>
                <w:sz w:val="22"/>
                <w:lang w:val="sq-AL"/>
              </w:rPr>
            </w:pPr>
            <w:r>
              <w:rPr>
                <w:b/>
                <w:sz w:val="22"/>
                <w:lang w:val="sq-AL"/>
              </w:rPr>
              <w:t>Bashkëpunimi Financiar (FC)</w:t>
            </w:r>
          </w:p>
        </w:tc>
        <w:tc>
          <w:tcPr>
            <w:tcW w:w="3739" w:type="pct"/>
            <w:vAlign w:val="bottom"/>
            <w:hideMark/>
          </w:tcPr>
          <w:p w:rsidR="005C0BD2" w:rsidRDefault="005C0BD2">
            <w:pPr>
              <w:pStyle w:val="Paragrafi"/>
              <w:spacing w:line="276" w:lineRule="auto"/>
              <w:ind w:left="113" w:firstLine="0"/>
              <w:rPr>
                <w:sz w:val="22"/>
                <w:lang w:val="sq-AL"/>
              </w:rPr>
            </w:pPr>
            <w:r>
              <w:rPr>
                <w:sz w:val="22"/>
                <w:lang w:val="sq-AL"/>
              </w:rPr>
              <w:t>Shihni përkufizimin te hyrja (kutia)</w:t>
            </w:r>
          </w:p>
        </w:tc>
      </w:tr>
    </w:tbl>
    <w:p w:rsidR="005C0BD2" w:rsidRDefault="005C0BD2" w:rsidP="005C0BD2">
      <w:pPr>
        <w:pStyle w:val="Paragrafi"/>
        <w:rPr>
          <w:lang w:val="sq-AL"/>
        </w:rPr>
      </w:pPr>
    </w:p>
    <w:tbl>
      <w:tblPr>
        <w:tblW w:w="4926" w:type="pct"/>
        <w:tblInd w:w="142" w:type="dxa"/>
        <w:tblCellMar>
          <w:left w:w="0" w:type="dxa"/>
          <w:right w:w="0" w:type="dxa"/>
        </w:tblCellMar>
        <w:tblLook w:val="04A0" w:firstRow="1" w:lastRow="0" w:firstColumn="1" w:lastColumn="0" w:noHBand="0" w:noVBand="1"/>
      </w:tblPr>
      <w:tblGrid>
        <w:gridCol w:w="2378"/>
        <w:gridCol w:w="7118"/>
      </w:tblGrid>
      <w:tr w:rsidR="005C0BD2" w:rsidTr="005C0BD2">
        <w:trPr>
          <w:trHeight w:val="261"/>
        </w:trPr>
        <w:tc>
          <w:tcPr>
            <w:tcW w:w="1252" w:type="pct"/>
            <w:vAlign w:val="center"/>
            <w:hideMark/>
          </w:tcPr>
          <w:p w:rsidR="005C0BD2" w:rsidRDefault="005C0BD2">
            <w:pPr>
              <w:pStyle w:val="Paragrafi"/>
              <w:spacing w:line="276" w:lineRule="auto"/>
              <w:ind w:left="113" w:right="113" w:firstLine="0"/>
              <w:jc w:val="left"/>
              <w:rPr>
                <w:b/>
                <w:sz w:val="22"/>
                <w:lang w:val="sq-AL"/>
              </w:rPr>
            </w:pPr>
            <w:bookmarkStart w:id="25" w:name="page49"/>
            <w:bookmarkEnd w:id="25"/>
            <w:r>
              <w:rPr>
                <w:b/>
                <w:sz w:val="22"/>
                <w:lang w:val="sq-AL"/>
              </w:rPr>
              <w:t>GTAI</w:t>
            </w:r>
          </w:p>
        </w:tc>
        <w:tc>
          <w:tcPr>
            <w:tcW w:w="3748" w:type="pct"/>
            <w:vAlign w:val="bottom"/>
            <w:hideMark/>
          </w:tcPr>
          <w:p w:rsidR="005C0BD2" w:rsidRDefault="005C0BD2">
            <w:pPr>
              <w:pStyle w:val="Paragrafi"/>
              <w:spacing w:line="276" w:lineRule="auto"/>
              <w:ind w:left="113" w:right="113" w:firstLine="0"/>
              <w:rPr>
                <w:sz w:val="22"/>
                <w:lang w:val="sq-AL"/>
              </w:rPr>
            </w:pPr>
            <w:r>
              <w:rPr>
                <w:sz w:val="22"/>
                <w:lang w:val="sq-AL"/>
              </w:rPr>
              <w:t xml:space="preserve">Agjencia e Qeverisë Gjermane për nxitjen e tregtisë dhe investimeve </w:t>
            </w:r>
          </w:p>
          <w:p w:rsidR="005C0BD2" w:rsidRDefault="005C0BD2">
            <w:pPr>
              <w:pStyle w:val="Paragrafi"/>
              <w:spacing w:line="276" w:lineRule="auto"/>
              <w:ind w:left="113" w:right="113" w:firstLine="0"/>
              <w:rPr>
                <w:sz w:val="22"/>
                <w:lang w:val="sq-AL"/>
              </w:rPr>
            </w:pPr>
            <w:r>
              <w:rPr>
                <w:sz w:val="22"/>
                <w:lang w:val="sq-AL"/>
              </w:rPr>
              <w:t>Adresa: Tregtia dhe Investimi Gjerman</w:t>
            </w:r>
            <w:r>
              <w:rPr>
                <w:rStyle w:val="FootnoteReference"/>
                <w:sz w:val="22"/>
                <w:lang w:val="sq-AL"/>
              </w:rPr>
              <w:footnoteReference w:id="25"/>
            </w:r>
            <w:r>
              <w:rPr>
                <w:sz w:val="22"/>
                <w:lang w:val="sq-AL"/>
              </w:rPr>
              <w:t xml:space="preserve"> </w:t>
            </w:r>
          </w:p>
          <w:p w:rsidR="005C0BD2" w:rsidRDefault="005C0BD2">
            <w:pPr>
              <w:pStyle w:val="Paragrafi"/>
              <w:spacing w:line="276" w:lineRule="auto"/>
              <w:ind w:left="113" w:right="113" w:firstLine="0"/>
              <w:rPr>
                <w:sz w:val="22"/>
                <w:lang w:val="sq-AL"/>
              </w:rPr>
            </w:pPr>
            <w:r>
              <w:rPr>
                <w:sz w:val="22"/>
                <w:lang w:val="sq-AL"/>
              </w:rPr>
              <w:t>Villemombler Strasse 76</w:t>
            </w:r>
          </w:p>
          <w:p w:rsidR="005C0BD2" w:rsidRDefault="005C0BD2">
            <w:pPr>
              <w:pStyle w:val="Paragrafi"/>
              <w:spacing w:line="276" w:lineRule="auto"/>
              <w:ind w:left="113" w:right="113" w:firstLine="0"/>
              <w:rPr>
                <w:sz w:val="22"/>
                <w:lang w:val="sq-AL"/>
              </w:rPr>
            </w:pPr>
            <w:r>
              <w:rPr>
                <w:sz w:val="22"/>
                <w:lang w:val="sq-AL"/>
              </w:rPr>
              <w:lastRenderedPageBreak/>
              <w:t xml:space="preserve">53123 Bon </w:t>
            </w:r>
          </w:p>
          <w:p w:rsidR="005C0BD2" w:rsidRDefault="005C0BD2">
            <w:pPr>
              <w:pStyle w:val="Paragrafi"/>
              <w:spacing w:line="276" w:lineRule="auto"/>
              <w:ind w:left="113" w:right="113" w:firstLine="0"/>
              <w:rPr>
                <w:sz w:val="22"/>
                <w:lang w:val="sq-AL"/>
              </w:rPr>
            </w:pPr>
            <w:r>
              <w:rPr>
                <w:sz w:val="22"/>
                <w:lang w:val="sq-AL"/>
              </w:rPr>
              <w:t>Gjermani</w:t>
            </w:r>
          </w:p>
          <w:p w:rsidR="005C0BD2" w:rsidRDefault="005C0BD2">
            <w:pPr>
              <w:pStyle w:val="Paragrafi"/>
              <w:spacing w:line="276" w:lineRule="auto"/>
              <w:ind w:left="113" w:right="113" w:firstLine="0"/>
              <w:rPr>
                <w:sz w:val="22"/>
                <w:lang w:val="sq-AL"/>
              </w:rPr>
            </w:pPr>
            <w:r>
              <w:rPr>
                <w:sz w:val="22"/>
                <w:lang w:val="sq-AL"/>
              </w:rPr>
              <w:t>Tel: +49 (228) 24993 - 374 or 377</w:t>
            </w:r>
          </w:p>
          <w:p w:rsidR="005C0BD2" w:rsidRDefault="005C0BD2">
            <w:pPr>
              <w:pStyle w:val="Paragrafi"/>
              <w:spacing w:line="276" w:lineRule="auto"/>
              <w:ind w:left="113" w:right="113" w:firstLine="0"/>
              <w:rPr>
                <w:sz w:val="22"/>
                <w:lang w:val="sq-AL"/>
              </w:rPr>
            </w:pPr>
            <w:r>
              <w:rPr>
                <w:sz w:val="22"/>
                <w:lang w:val="sq-AL"/>
              </w:rPr>
              <w:t>Faks: +49 (228) 24993 – 446</w:t>
            </w:r>
          </w:p>
          <w:p w:rsidR="005C0BD2" w:rsidRDefault="005C0BD2">
            <w:pPr>
              <w:pStyle w:val="Paragrafi"/>
              <w:spacing w:line="276" w:lineRule="auto"/>
              <w:ind w:left="113" w:right="113" w:firstLine="0"/>
              <w:rPr>
                <w:sz w:val="22"/>
                <w:lang w:val="sq-AL"/>
              </w:rPr>
            </w:pPr>
            <w:r>
              <w:rPr>
                <w:sz w:val="22"/>
                <w:lang w:val="sq-AL"/>
              </w:rPr>
              <w:t xml:space="preserve">Email: </w:t>
            </w:r>
            <w:hyperlink r:id="rId14" w:history="1">
              <w:r>
                <w:rPr>
                  <w:rStyle w:val="Hyperlink"/>
                  <w:sz w:val="22"/>
                  <w:lang w:val="sq-AL"/>
                </w:rPr>
                <w:t>kfw-tender@gtai.de</w:t>
              </w:r>
            </w:hyperlink>
          </w:p>
          <w:p w:rsidR="005C0BD2" w:rsidRDefault="005C0BD2">
            <w:pPr>
              <w:pStyle w:val="Paragrafi"/>
              <w:spacing w:line="276" w:lineRule="auto"/>
              <w:ind w:left="113" w:right="113" w:firstLine="0"/>
              <w:rPr>
                <w:sz w:val="22"/>
                <w:lang w:val="sq-AL"/>
              </w:rPr>
            </w:pPr>
            <w:r>
              <w:rPr>
                <w:sz w:val="22"/>
                <w:lang w:val="sq-AL"/>
              </w:rPr>
              <w:t xml:space="preserve">Internet: </w:t>
            </w:r>
            <w:hyperlink r:id="rId15" w:history="1">
              <w:r>
                <w:rPr>
                  <w:rStyle w:val="Hyperlink"/>
                  <w:sz w:val="22"/>
                  <w:lang w:val="sq-AL"/>
                </w:rPr>
                <w:t>www.gtai.de</w:t>
              </w:r>
            </w:hyperlink>
          </w:p>
        </w:tc>
      </w:tr>
      <w:tr w:rsidR="005C0BD2" w:rsidTr="005C0BD2">
        <w:trPr>
          <w:trHeight w:val="261"/>
        </w:trPr>
        <w:tc>
          <w:tcPr>
            <w:tcW w:w="1252" w:type="pct"/>
            <w:vAlign w:val="center"/>
            <w:hideMark/>
          </w:tcPr>
          <w:p w:rsidR="005C0BD2" w:rsidRDefault="005C0BD2">
            <w:pPr>
              <w:pStyle w:val="Paragrafi"/>
              <w:spacing w:line="276" w:lineRule="auto"/>
              <w:ind w:left="113" w:right="113" w:firstLine="0"/>
              <w:jc w:val="left"/>
              <w:rPr>
                <w:b/>
                <w:sz w:val="22"/>
                <w:lang w:val="sq-AL"/>
              </w:rPr>
            </w:pPr>
            <w:r>
              <w:rPr>
                <w:b/>
                <w:sz w:val="22"/>
                <w:lang w:val="sq-AL"/>
              </w:rPr>
              <w:lastRenderedPageBreak/>
              <w:t>Udhëzime për prokurimin e mallrave, punëve dhe shërbimeve të ngjashme</w:t>
            </w:r>
          </w:p>
        </w:tc>
        <w:tc>
          <w:tcPr>
            <w:tcW w:w="3748" w:type="pct"/>
            <w:vAlign w:val="bottom"/>
            <w:hideMark/>
          </w:tcPr>
          <w:p w:rsidR="005C0BD2" w:rsidRDefault="005C0BD2">
            <w:pPr>
              <w:pStyle w:val="Paragrafi"/>
              <w:spacing w:line="276" w:lineRule="auto"/>
              <w:ind w:left="113" w:right="113" w:firstLine="0"/>
              <w:rPr>
                <w:sz w:val="22"/>
                <w:lang w:val="sq-AL"/>
              </w:rPr>
            </w:pPr>
            <w:r>
              <w:rPr>
                <w:sz w:val="22"/>
                <w:lang w:val="sq-AL"/>
              </w:rPr>
              <w:t xml:space="preserve">Të disponueshme në pesë gjuhë në internet sipas udhëzimeve/kontratave: </w:t>
            </w:r>
          </w:p>
          <w:p w:rsidR="005C0BD2" w:rsidRDefault="005C0BD2">
            <w:pPr>
              <w:pStyle w:val="Paragrafi"/>
              <w:spacing w:line="276" w:lineRule="auto"/>
              <w:ind w:left="113" w:right="113" w:firstLine="0"/>
              <w:rPr>
                <w:sz w:val="22"/>
                <w:lang w:val="sq-AL"/>
              </w:rPr>
            </w:pPr>
            <w:hyperlink r:id="rId16" w:history="1">
              <w:r>
                <w:rPr>
                  <w:rStyle w:val="Hyperlink"/>
                  <w:sz w:val="22"/>
                  <w:lang w:val="sq-AL"/>
                </w:rPr>
                <w:t>https://www.kfw-entwicklungsbank.de/International-</w:t>
              </w:r>
            </w:hyperlink>
            <w:hyperlink r:id="rId17" w:history="1">
              <w:r>
                <w:rPr>
                  <w:rStyle w:val="Hyperlink"/>
                  <w:sz w:val="22"/>
                  <w:lang w:val="sq-AL"/>
                </w:rPr>
                <w:t>financing/KfW-</w:t>
              </w:r>
              <w:hyperlink r:id="rId18" w:history="1">
                <w:r>
                  <w:rPr>
                    <w:rStyle w:val="Hyperlink"/>
                    <w:sz w:val="22"/>
                    <w:lang w:val="sq-AL"/>
                  </w:rPr>
                  <w:t>Videos/Publication-series/</w:t>
                </w:r>
              </w:hyperlink>
              <w:r>
                <w:rPr>
                  <w:rStyle w:val="Hyperlink"/>
                  <w:sz w:val="22"/>
                  <w:lang w:val="sq-AL"/>
                </w:rPr>
                <w:t>Development-Bank/Publications-</w:t>
              </w:r>
            </w:hyperlink>
            <w:r>
              <w:rPr>
                <w:rStyle w:val="Hyperlink"/>
                <w:sz w:val="22"/>
                <w:lang w:val="sq-AL"/>
              </w:rPr>
              <w:t>Videos/Publication-series/</w:t>
            </w:r>
          </w:p>
        </w:tc>
      </w:tr>
      <w:tr w:rsidR="005C0BD2" w:rsidTr="005C0BD2">
        <w:trPr>
          <w:trHeight w:val="495"/>
        </w:trPr>
        <w:tc>
          <w:tcPr>
            <w:tcW w:w="1252" w:type="pct"/>
            <w:vAlign w:val="center"/>
            <w:hideMark/>
          </w:tcPr>
          <w:p w:rsidR="005C0BD2" w:rsidRDefault="005C0BD2">
            <w:pPr>
              <w:pStyle w:val="Paragrafi"/>
              <w:spacing w:line="276" w:lineRule="auto"/>
              <w:ind w:left="113" w:right="113" w:firstLine="0"/>
              <w:jc w:val="left"/>
              <w:rPr>
                <w:b/>
                <w:sz w:val="22"/>
                <w:lang w:val="sq-AL"/>
              </w:rPr>
            </w:pPr>
            <w:r>
              <w:rPr>
                <w:b/>
                <w:sz w:val="22"/>
                <w:lang w:val="sq-AL"/>
              </w:rPr>
              <w:t>ICC</w:t>
            </w:r>
          </w:p>
        </w:tc>
        <w:tc>
          <w:tcPr>
            <w:tcW w:w="3748" w:type="pct"/>
            <w:vAlign w:val="bottom"/>
            <w:hideMark/>
          </w:tcPr>
          <w:p w:rsidR="005C0BD2" w:rsidRDefault="005C0BD2">
            <w:pPr>
              <w:pStyle w:val="Paragrafi"/>
              <w:spacing w:line="276" w:lineRule="auto"/>
              <w:ind w:left="113" w:right="113" w:firstLine="0"/>
              <w:rPr>
                <w:sz w:val="22"/>
                <w:lang w:val="sq-AL"/>
              </w:rPr>
            </w:pPr>
            <w:r>
              <w:rPr>
                <w:sz w:val="22"/>
                <w:lang w:val="sq-AL"/>
              </w:rPr>
              <w:t xml:space="preserve">Dhoma Ndërkombëtare e Tregtisë Faqja e internetit: </w:t>
            </w:r>
            <w:hyperlink r:id="rId19" w:history="1">
              <w:r>
                <w:rPr>
                  <w:rStyle w:val="Hyperlink"/>
                  <w:sz w:val="22"/>
                  <w:lang w:val="sq-AL"/>
                </w:rPr>
                <w:t>http://www.icc-deutschland.de</w:t>
              </w:r>
            </w:hyperlink>
          </w:p>
        </w:tc>
      </w:tr>
      <w:tr w:rsidR="005C0BD2" w:rsidTr="005C0BD2">
        <w:trPr>
          <w:trHeight w:val="1323"/>
        </w:trPr>
        <w:tc>
          <w:tcPr>
            <w:tcW w:w="1252" w:type="pct"/>
            <w:vAlign w:val="center"/>
            <w:hideMark/>
          </w:tcPr>
          <w:p w:rsidR="005C0BD2" w:rsidRDefault="005C0BD2">
            <w:pPr>
              <w:pStyle w:val="Paragrafi"/>
              <w:spacing w:line="276" w:lineRule="auto"/>
              <w:ind w:left="113" w:right="113" w:firstLine="0"/>
              <w:jc w:val="left"/>
              <w:rPr>
                <w:b/>
                <w:sz w:val="22"/>
                <w:lang w:val="sq-AL"/>
              </w:rPr>
            </w:pPr>
            <w:r>
              <w:rPr>
                <w:b/>
                <w:sz w:val="22"/>
                <w:lang w:val="sq-AL"/>
              </w:rPr>
              <w:t>IFI</w:t>
            </w:r>
          </w:p>
        </w:tc>
        <w:tc>
          <w:tcPr>
            <w:tcW w:w="3748" w:type="pct"/>
            <w:vAlign w:val="bottom"/>
            <w:hideMark/>
          </w:tcPr>
          <w:p w:rsidR="005C0BD2" w:rsidRDefault="005C0BD2">
            <w:pPr>
              <w:pStyle w:val="Paragrafi"/>
              <w:spacing w:line="276" w:lineRule="auto"/>
              <w:ind w:left="113" w:right="113" w:firstLine="0"/>
              <w:rPr>
                <w:sz w:val="22"/>
                <w:lang w:val="sq-AL"/>
              </w:rPr>
            </w:pPr>
            <w:r>
              <w:rPr>
                <w:sz w:val="22"/>
                <w:lang w:val="sq-AL"/>
              </w:rPr>
              <w:t>Institucionet financiare ndërkombëtare, p.sh. Banka Botërore, Banka Aziatike për Zhvillim, Banka Afrikane për Zhvillim, Banka Evropiane për Rindërtim dhe Zhvillim, Banka Ndër-amerikane për Zhvillim, Banka e Karaibeve për Zhvillim.</w:t>
            </w:r>
          </w:p>
        </w:tc>
      </w:tr>
      <w:tr w:rsidR="005C0BD2" w:rsidTr="005C0BD2">
        <w:trPr>
          <w:trHeight w:val="817"/>
        </w:trPr>
        <w:tc>
          <w:tcPr>
            <w:tcW w:w="1252" w:type="pct"/>
            <w:vAlign w:val="center"/>
          </w:tcPr>
          <w:p w:rsidR="005C0BD2" w:rsidRDefault="005C0BD2">
            <w:pPr>
              <w:pStyle w:val="Paragrafi"/>
              <w:spacing w:line="276" w:lineRule="auto"/>
              <w:ind w:left="113" w:right="113" w:firstLine="0"/>
              <w:jc w:val="left"/>
              <w:rPr>
                <w:b/>
                <w:sz w:val="22"/>
                <w:lang w:val="sq-AL"/>
              </w:rPr>
            </w:pPr>
            <w:r>
              <w:rPr>
                <w:b/>
                <w:sz w:val="22"/>
                <w:lang w:val="sq-AL"/>
              </w:rPr>
              <w:t>Fletëpalosje për disbursimin e fondeve të bashkëpunimit financiar me vendet në zhvillim</w:t>
            </w:r>
          </w:p>
          <w:p w:rsidR="005C0BD2" w:rsidRDefault="005C0BD2">
            <w:pPr>
              <w:pStyle w:val="Paragrafi"/>
              <w:spacing w:line="276" w:lineRule="auto"/>
              <w:ind w:left="113" w:right="113" w:firstLine="0"/>
              <w:jc w:val="left"/>
              <w:rPr>
                <w:b/>
                <w:sz w:val="22"/>
                <w:lang w:val="sq-AL"/>
              </w:rPr>
            </w:pPr>
          </w:p>
        </w:tc>
        <w:tc>
          <w:tcPr>
            <w:tcW w:w="3748" w:type="pct"/>
            <w:vAlign w:val="bottom"/>
            <w:hideMark/>
          </w:tcPr>
          <w:p w:rsidR="005C0BD2" w:rsidRDefault="005C0BD2">
            <w:pPr>
              <w:pStyle w:val="Paragrafi"/>
              <w:spacing w:line="276" w:lineRule="auto"/>
              <w:ind w:left="113" w:right="113" w:firstLine="0"/>
              <w:rPr>
                <w:sz w:val="22"/>
                <w:lang w:val="sq-AL"/>
              </w:rPr>
            </w:pPr>
            <w:r>
              <w:rPr>
                <w:sz w:val="22"/>
                <w:lang w:val="sq-AL"/>
              </w:rPr>
              <w:t xml:space="preserve">E disponueshme në pesë gjuhë në internet sipas udhëzimeve/kontratave: </w:t>
            </w:r>
          </w:p>
          <w:p w:rsidR="005C0BD2" w:rsidRDefault="005C0BD2">
            <w:pPr>
              <w:pStyle w:val="Paragrafi"/>
              <w:spacing w:line="276" w:lineRule="auto"/>
              <w:ind w:left="113" w:right="113" w:firstLine="0"/>
              <w:rPr>
                <w:sz w:val="22"/>
                <w:lang w:val="sq-AL"/>
              </w:rPr>
            </w:pPr>
            <w:hyperlink r:id="rId20" w:history="1">
              <w:r>
                <w:rPr>
                  <w:rStyle w:val="Hyperlink"/>
                  <w:sz w:val="22"/>
                  <w:lang w:val="sq-AL"/>
                </w:rPr>
                <w:t>https://www.kfw-entwicklungsbank.de/International-</w:t>
              </w:r>
            </w:hyperlink>
          </w:p>
          <w:p w:rsidR="005C0BD2" w:rsidRDefault="005C0BD2">
            <w:pPr>
              <w:pStyle w:val="Paragrafi"/>
              <w:spacing w:line="276" w:lineRule="auto"/>
              <w:ind w:left="113" w:right="113" w:firstLine="0"/>
              <w:rPr>
                <w:sz w:val="22"/>
                <w:lang w:val="sq-AL"/>
              </w:rPr>
            </w:pPr>
            <w:hyperlink r:id="rId21" w:history="1">
              <w:r>
                <w:rPr>
                  <w:rStyle w:val="Hyperlink"/>
                  <w:sz w:val="22"/>
                  <w:lang w:val="sq-AL"/>
                </w:rPr>
                <w:t>financing/KfW-Development-Bank/Publications-</w:t>
              </w:r>
            </w:hyperlink>
          </w:p>
          <w:p w:rsidR="005C0BD2" w:rsidRDefault="005C0BD2">
            <w:pPr>
              <w:pStyle w:val="Paragrafi"/>
              <w:spacing w:line="276" w:lineRule="auto"/>
              <w:ind w:left="113" w:right="113" w:firstLine="0"/>
              <w:rPr>
                <w:sz w:val="22"/>
                <w:lang w:val="sq-AL"/>
              </w:rPr>
            </w:pPr>
            <w:hyperlink r:id="rId22" w:history="1">
              <w:r>
                <w:rPr>
                  <w:rStyle w:val="Hyperlink"/>
                  <w:sz w:val="22"/>
                  <w:lang w:val="sq-AL"/>
                </w:rPr>
                <w:t>Videos/Publication-series/</w:t>
              </w:r>
            </w:hyperlink>
          </w:p>
        </w:tc>
      </w:tr>
      <w:tr w:rsidR="005C0BD2" w:rsidTr="005C0BD2">
        <w:trPr>
          <w:trHeight w:val="367"/>
        </w:trPr>
        <w:tc>
          <w:tcPr>
            <w:tcW w:w="1252" w:type="pct"/>
            <w:vAlign w:val="center"/>
            <w:hideMark/>
          </w:tcPr>
          <w:p w:rsidR="005C0BD2" w:rsidRDefault="005C0BD2">
            <w:pPr>
              <w:pStyle w:val="Paragrafi"/>
              <w:spacing w:line="276" w:lineRule="auto"/>
              <w:ind w:left="113" w:right="113" w:firstLine="0"/>
              <w:jc w:val="left"/>
              <w:rPr>
                <w:b/>
                <w:sz w:val="22"/>
                <w:lang w:val="sq-AL"/>
              </w:rPr>
            </w:pPr>
            <w:r>
              <w:rPr>
                <w:b/>
                <w:sz w:val="22"/>
                <w:lang w:val="sq-AL"/>
              </w:rPr>
              <w:t>Vendi partner</w:t>
            </w:r>
          </w:p>
        </w:tc>
        <w:tc>
          <w:tcPr>
            <w:tcW w:w="3748" w:type="pct"/>
            <w:vAlign w:val="bottom"/>
            <w:hideMark/>
          </w:tcPr>
          <w:p w:rsidR="005C0BD2" w:rsidRDefault="005C0BD2">
            <w:pPr>
              <w:pStyle w:val="Paragrafi"/>
              <w:spacing w:line="276" w:lineRule="auto"/>
              <w:ind w:left="113" w:right="113" w:firstLine="0"/>
              <w:rPr>
                <w:sz w:val="22"/>
                <w:lang w:val="sq-AL"/>
              </w:rPr>
            </w:pPr>
            <w:r>
              <w:rPr>
                <w:sz w:val="22"/>
                <w:lang w:val="sq-AL"/>
              </w:rPr>
              <w:t>Shteti që është marrës i huas ose grantit të FC-së, ose shteti ku është vendosur partneri joqeveritar.</w:t>
            </w:r>
          </w:p>
        </w:tc>
      </w:tr>
      <w:tr w:rsidR="005C0BD2" w:rsidTr="005C0BD2">
        <w:trPr>
          <w:trHeight w:val="570"/>
        </w:trPr>
        <w:tc>
          <w:tcPr>
            <w:tcW w:w="1252" w:type="pct"/>
            <w:vAlign w:val="center"/>
            <w:hideMark/>
          </w:tcPr>
          <w:p w:rsidR="005C0BD2" w:rsidRDefault="005C0BD2">
            <w:pPr>
              <w:pStyle w:val="Paragrafi"/>
              <w:spacing w:line="276" w:lineRule="auto"/>
              <w:ind w:left="113" w:right="113" w:firstLine="0"/>
              <w:jc w:val="left"/>
              <w:rPr>
                <w:b/>
                <w:sz w:val="22"/>
                <w:lang w:val="sq-AL"/>
              </w:rPr>
            </w:pPr>
            <w:r>
              <w:rPr>
                <w:b/>
                <w:sz w:val="22"/>
                <w:lang w:val="sq-AL"/>
              </w:rPr>
              <w:t>Periudha e vlefshmërisë</w:t>
            </w:r>
          </w:p>
        </w:tc>
        <w:tc>
          <w:tcPr>
            <w:tcW w:w="3748" w:type="pct"/>
            <w:hideMark/>
          </w:tcPr>
          <w:p w:rsidR="005C0BD2" w:rsidRDefault="005C0BD2">
            <w:pPr>
              <w:pStyle w:val="Paragrafi"/>
              <w:spacing w:line="276" w:lineRule="auto"/>
              <w:ind w:left="113" w:right="113" w:firstLine="0"/>
              <w:jc w:val="left"/>
              <w:rPr>
                <w:sz w:val="22"/>
                <w:lang w:val="sq-AL"/>
              </w:rPr>
            </w:pPr>
            <w:r>
              <w:rPr>
                <w:sz w:val="22"/>
                <w:lang w:val="sq-AL"/>
              </w:rPr>
              <w:t>Periudha gjatë së cilës ofertat mbeten detyruese; kjo mbulon të njëjtën periudhë si garancia.</w:t>
            </w:r>
          </w:p>
        </w:tc>
      </w:tr>
      <w:tr w:rsidR="005C0BD2" w:rsidTr="005C0BD2">
        <w:trPr>
          <w:trHeight w:val="646"/>
        </w:trPr>
        <w:tc>
          <w:tcPr>
            <w:tcW w:w="1252" w:type="pct"/>
            <w:vAlign w:val="center"/>
            <w:hideMark/>
          </w:tcPr>
          <w:p w:rsidR="005C0BD2" w:rsidRDefault="005C0BD2">
            <w:pPr>
              <w:pStyle w:val="Paragrafi"/>
              <w:spacing w:line="276" w:lineRule="auto"/>
              <w:ind w:left="113" w:right="113" w:firstLine="0"/>
              <w:jc w:val="left"/>
              <w:rPr>
                <w:b/>
                <w:sz w:val="22"/>
                <w:lang w:val="sq-AL"/>
              </w:rPr>
            </w:pPr>
            <w:r>
              <w:rPr>
                <w:b/>
                <w:sz w:val="22"/>
                <w:lang w:val="sq-AL"/>
              </w:rPr>
              <w:t>Agjencia e Zbatimit të Projektit</w:t>
            </w:r>
          </w:p>
        </w:tc>
        <w:tc>
          <w:tcPr>
            <w:tcW w:w="3748" w:type="pct"/>
            <w:vAlign w:val="bottom"/>
            <w:hideMark/>
          </w:tcPr>
          <w:p w:rsidR="005C0BD2" w:rsidRDefault="005C0BD2">
            <w:pPr>
              <w:pStyle w:val="Paragrafi"/>
              <w:spacing w:line="276" w:lineRule="auto"/>
              <w:ind w:left="113" w:right="113" w:firstLine="0"/>
              <w:rPr>
                <w:sz w:val="22"/>
                <w:lang w:val="sq-AL"/>
              </w:rPr>
            </w:pPr>
            <w:r>
              <w:rPr>
                <w:sz w:val="22"/>
                <w:lang w:val="sq-AL"/>
              </w:rPr>
              <w:t>Organizata në vendin partner që është përgjegjëse për zbatimin e projektit; kjo organizatë është zakonisht edhe Klienti</w:t>
            </w:r>
          </w:p>
        </w:tc>
      </w:tr>
      <w:tr w:rsidR="005C0BD2" w:rsidTr="005C0BD2">
        <w:trPr>
          <w:trHeight w:val="843"/>
        </w:trPr>
        <w:tc>
          <w:tcPr>
            <w:tcW w:w="1252" w:type="pct"/>
            <w:vAlign w:val="center"/>
            <w:hideMark/>
          </w:tcPr>
          <w:p w:rsidR="005C0BD2" w:rsidRDefault="005C0BD2">
            <w:pPr>
              <w:pStyle w:val="Paragrafi"/>
              <w:spacing w:line="276" w:lineRule="auto"/>
              <w:ind w:left="113" w:right="113" w:firstLine="0"/>
              <w:jc w:val="left"/>
              <w:rPr>
                <w:b/>
                <w:sz w:val="22"/>
                <w:lang w:val="sq-AL"/>
              </w:rPr>
            </w:pPr>
            <w:r>
              <w:rPr>
                <w:b/>
                <w:sz w:val="22"/>
                <w:lang w:val="sq-AL"/>
              </w:rPr>
              <w:t>Dokumentet standarde të</w:t>
            </w:r>
          </w:p>
          <w:p w:rsidR="005C0BD2" w:rsidRDefault="005C0BD2">
            <w:pPr>
              <w:pStyle w:val="Paragrafi"/>
              <w:spacing w:line="276" w:lineRule="auto"/>
              <w:ind w:left="113" w:right="113" w:firstLine="0"/>
              <w:jc w:val="left"/>
              <w:rPr>
                <w:b/>
                <w:sz w:val="22"/>
                <w:lang w:val="sq-AL"/>
              </w:rPr>
            </w:pPr>
            <w:r>
              <w:rPr>
                <w:b/>
                <w:sz w:val="22"/>
                <w:lang w:val="sq-AL"/>
              </w:rPr>
              <w:t>ofertimit</w:t>
            </w:r>
          </w:p>
        </w:tc>
        <w:tc>
          <w:tcPr>
            <w:tcW w:w="3748" w:type="pct"/>
            <w:vAlign w:val="bottom"/>
            <w:hideMark/>
          </w:tcPr>
          <w:p w:rsidR="005C0BD2" w:rsidRDefault="005C0BD2">
            <w:pPr>
              <w:pStyle w:val="Paragrafi"/>
              <w:spacing w:line="276" w:lineRule="auto"/>
              <w:ind w:left="113" w:right="113" w:firstLine="0"/>
              <w:rPr>
                <w:sz w:val="22"/>
                <w:lang w:val="sq-AL"/>
              </w:rPr>
            </w:pPr>
            <w:r>
              <w:rPr>
                <w:sz w:val="22"/>
                <w:lang w:val="sq-AL"/>
              </w:rPr>
              <w:t>Dokumentet standarde të ofertimit të IFI-ve për publikimin e ftesës për tender, procedurat e kontraktimit dhe kontratat. Për të shkarkuar dokumentet vizitoni:</w:t>
            </w:r>
          </w:p>
          <w:p w:rsidR="005C0BD2" w:rsidRDefault="005C0BD2">
            <w:pPr>
              <w:pStyle w:val="Paragrafi"/>
              <w:spacing w:line="276" w:lineRule="auto"/>
              <w:ind w:left="113" w:right="113" w:firstLine="0"/>
              <w:rPr>
                <w:sz w:val="22"/>
                <w:lang w:val="sq-AL"/>
              </w:rPr>
            </w:pPr>
            <w:hyperlink r:id="rId23" w:history="1">
              <w:r>
                <w:rPr>
                  <w:rStyle w:val="Hyperlink"/>
                  <w:sz w:val="22"/>
                  <w:lang w:val="sq-AL"/>
                </w:rPr>
                <w:t xml:space="preserve">http://www.worldbank.org/ </w:t>
              </w:r>
            </w:hyperlink>
            <w:r>
              <w:rPr>
                <w:sz w:val="22"/>
                <w:lang w:val="sq-AL"/>
              </w:rPr>
              <w:t xml:space="preserve">ose </w:t>
            </w:r>
            <w:hyperlink r:id="rId24" w:history="1">
              <w:r>
                <w:rPr>
                  <w:rStyle w:val="Hyperlink"/>
                  <w:sz w:val="22"/>
                  <w:lang w:val="sq-AL"/>
                </w:rPr>
                <w:t>http://www.adb.org/</w:t>
              </w:r>
            </w:hyperlink>
          </w:p>
        </w:tc>
      </w:tr>
    </w:tbl>
    <w:p w:rsidR="005C0BD2" w:rsidRDefault="005C0BD2" w:rsidP="005C0BD2">
      <w:pPr>
        <w:pStyle w:val="Paragrafi"/>
        <w:rPr>
          <w:lang w:val="sq-AL"/>
        </w:rPr>
      </w:pPr>
    </w:p>
    <w:p w:rsidR="005C0BD2" w:rsidRDefault="005C0BD2" w:rsidP="005C0BD2">
      <w:pPr>
        <w:spacing w:after="0" w:line="240" w:lineRule="auto"/>
        <w:ind w:firstLine="0"/>
        <w:jc w:val="left"/>
        <w:rPr>
          <w:rFonts w:ascii="Garamond" w:eastAsia="MS Mincho" w:hAnsi="Garamond" w:cs="CG Times"/>
          <w:b/>
          <w:bCs/>
          <w:sz w:val="24"/>
          <w:lang w:val="sq-AL"/>
        </w:rPr>
        <w:sectPr w:rsidR="005C0BD2" w:rsidSect="005C0BD2">
          <w:type w:val="continuous"/>
          <w:pgSz w:w="11907" w:h="16840"/>
          <w:pgMar w:top="720" w:right="1134" w:bottom="720" w:left="1134" w:header="851" w:footer="851" w:gutter="0"/>
          <w:cols w:space="720"/>
        </w:sectPr>
      </w:pPr>
    </w:p>
    <w:p w:rsidR="005D52A3" w:rsidRDefault="005D52A3" w:rsidP="005C0BD2"/>
    <w:sectPr w:rsidR="005D52A3" w:rsidSect="005C0B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0BD2" w:rsidRDefault="005C0BD2" w:rsidP="005C0BD2">
      <w:pPr>
        <w:spacing w:after="0" w:line="240" w:lineRule="auto"/>
      </w:pPr>
      <w:r>
        <w:separator/>
      </w:r>
    </w:p>
  </w:endnote>
  <w:endnote w:type="continuationSeparator" w:id="0">
    <w:p w:rsidR="005C0BD2" w:rsidRDefault="005C0BD2" w:rsidP="005C0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Arrus BT">
    <w:altName w:val="Georgia"/>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roman"/>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0BD2" w:rsidRDefault="005C0BD2" w:rsidP="005C0BD2">
      <w:pPr>
        <w:spacing w:after="0" w:line="240" w:lineRule="auto"/>
      </w:pPr>
      <w:r>
        <w:separator/>
      </w:r>
    </w:p>
  </w:footnote>
  <w:footnote w:type="continuationSeparator" w:id="0">
    <w:p w:rsidR="005C0BD2" w:rsidRDefault="005C0BD2" w:rsidP="005C0BD2">
      <w:pPr>
        <w:spacing w:after="0" w:line="240" w:lineRule="auto"/>
      </w:pPr>
      <w:r>
        <w:continuationSeparator/>
      </w:r>
    </w:p>
  </w:footnote>
  <w:footnote w:id="1">
    <w:p w:rsidR="005C0BD2" w:rsidRDefault="005C0BD2" w:rsidP="005C0BD2">
      <w:pPr>
        <w:pStyle w:val="FootnoteText"/>
        <w:ind w:firstLine="0"/>
        <w:rPr>
          <w:spacing w:val="-4"/>
          <w:lang w:val="en-US"/>
        </w:rPr>
      </w:pPr>
      <w:r>
        <w:rPr>
          <w:rStyle w:val="FootnoteReference"/>
          <w:spacing w:val="-4"/>
        </w:rPr>
        <w:footnoteRef/>
      </w:r>
      <w:r>
        <w:rPr>
          <w:spacing w:val="-4"/>
        </w:rPr>
        <w:t xml:space="preserve"> </w:t>
      </w:r>
      <w:r>
        <w:rPr>
          <w:spacing w:val="-4"/>
          <w:lang w:val="en-US"/>
        </w:rPr>
        <w:t>Termi “Konsulent” i referohet një konsulenti individual ose firmave të konsulencës, por në këto udhëzime është i brasvlershëm me një inxhinier konsulence.</w:t>
      </w:r>
    </w:p>
  </w:footnote>
  <w:footnote w:id="2">
    <w:p w:rsidR="005C0BD2" w:rsidRDefault="005C0BD2" w:rsidP="005C0BD2">
      <w:pPr>
        <w:pStyle w:val="FootnoteText"/>
        <w:ind w:firstLine="0"/>
      </w:pPr>
      <w:r>
        <w:rPr>
          <w:rStyle w:val="FootnoteReference"/>
        </w:rPr>
        <w:footnoteRef/>
      </w:r>
      <w:r>
        <w:t xml:space="preserve"> </w:t>
      </w:r>
      <w:r>
        <w:t>Zakonisht, Agjencia e Zbatimit të Projektit është njëkohësisht edhe klienti. Këta terma përdoren si sinonime në këtë dokument.</w:t>
      </w:r>
    </w:p>
  </w:footnote>
  <w:footnote w:id="3">
    <w:p w:rsidR="005C0BD2" w:rsidRDefault="005C0BD2" w:rsidP="005C0BD2">
      <w:pPr>
        <w:spacing w:after="0" w:line="240" w:lineRule="auto"/>
        <w:ind w:firstLine="0"/>
        <w:jc w:val="left"/>
        <w:rPr>
          <w:rFonts w:ascii="Times New Roman" w:eastAsia="Arial" w:hAnsi="Times New Roman"/>
          <w:sz w:val="20"/>
          <w:szCs w:val="20"/>
          <w:vertAlign w:val="superscript"/>
          <w:lang w:val="sq-AL"/>
        </w:rPr>
      </w:pPr>
      <w:r>
        <w:rPr>
          <w:rStyle w:val="FootnoteReference"/>
          <w:rFonts w:ascii="Times New Roman" w:hAnsi="Times New Roman"/>
          <w:sz w:val="20"/>
          <w:szCs w:val="20"/>
          <w:lang w:val="sq-AL"/>
        </w:rPr>
        <w:footnoteRef/>
      </w:r>
      <w:r>
        <w:rPr>
          <w:rFonts w:ascii="Times New Roman" w:hAnsi="Times New Roman"/>
          <w:sz w:val="20"/>
          <w:szCs w:val="20"/>
          <w:lang w:val="sq-AL"/>
        </w:rPr>
        <w:t xml:space="preserve"> </w:t>
      </w:r>
      <w:r>
        <w:rPr>
          <w:rFonts w:ascii="Times New Roman" w:hAnsi="Times New Roman"/>
          <w:sz w:val="20"/>
          <w:szCs w:val="20"/>
          <w:lang w:val="sq-AL"/>
        </w:rPr>
        <w:t>Këtu përfshihen edhe procedurat e kontraktimit, ku KfW-ja vepron si pjesë e konsorciumit.</w:t>
      </w:r>
    </w:p>
    <w:p w:rsidR="005C0BD2" w:rsidRDefault="005C0BD2" w:rsidP="005C0BD2">
      <w:pPr>
        <w:pStyle w:val="FootnoteText"/>
        <w:rPr>
          <w:rFonts w:ascii="Garamond" w:hAnsi="Garamond"/>
        </w:rPr>
      </w:pPr>
    </w:p>
  </w:footnote>
  <w:footnote w:id="4">
    <w:p w:rsidR="005C0BD2" w:rsidRDefault="005C0BD2" w:rsidP="005C0BD2">
      <w:pPr>
        <w:spacing w:after="0" w:line="240" w:lineRule="auto"/>
        <w:ind w:firstLine="0"/>
        <w:rPr>
          <w:rFonts w:ascii="Garamond" w:eastAsia="Arial" w:hAnsi="Garamond"/>
          <w:spacing w:val="-4"/>
          <w:sz w:val="20"/>
          <w:szCs w:val="20"/>
          <w:lang w:val="sq-AL"/>
        </w:rPr>
      </w:pPr>
      <w:r>
        <w:rPr>
          <w:rStyle w:val="FootnoteReference"/>
          <w:rFonts w:ascii="Garamond" w:hAnsi="Garamond"/>
          <w:spacing w:val="-4"/>
          <w:sz w:val="20"/>
          <w:szCs w:val="20"/>
          <w:lang w:val="sq-AL"/>
        </w:rPr>
        <w:footnoteRef/>
      </w:r>
      <w:r>
        <w:rPr>
          <w:rFonts w:ascii="Garamond" w:hAnsi="Garamond"/>
          <w:spacing w:val="-4"/>
          <w:sz w:val="20"/>
          <w:szCs w:val="20"/>
          <w:lang w:val="sq-AL"/>
        </w:rPr>
        <w:t xml:space="preserve"> </w:t>
      </w:r>
      <w:r>
        <w:rPr>
          <w:rFonts w:ascii="Garamond" w:hAnsi="Garamond"/>
          <w:spacing w:val="-4"/>
          <w:sz w:val="20"/>
          <w:szCs w:val="20"/>
          <w:lang w:val="sq-AL"/>
        </w:rPr>
        <w:t>Nëse ftesa të shumta për të njëjtën ofertë planifikohen duke përdorur dokumente uniforme për të cilat është rënë dakord paraprakisht me KfW-në, shqyrtimi i ndarë i dokumenteve mund të zëvendësohet nga shqyrtimi i dokumenteve standarde të tenderave që kryhet vetëm një herë.</w:t>
      </w:r>
    </w:p>
  </w:footnote>
  <w:footnote w:id="5">
    <w:p w:rsidR="005C0BD2" w:rsidRDefault="005C0BD2" w:rsidP="005C0BD2">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Nëse parashikohet një numër i madh i procedurave kontraktuese mjaft të detajuara, mund të mos nevojitet miratimi paraprak, vetëm nëse është rënë paraprakisht dakord me KfW-n për rregullat e kontraktimit, detyrimet e dokumentacioneve, dhe kur çmohet i nevojshëm shqyrtimin pasues nga KfW-ja ose një përfaqësues (p.sh. në rast të fondeve në natyrë dhe ftesave vendore për ofertë).</w:t>
      </w:r>
    </w:p>
  </w:footnote>
  <w:footnote w:id="6">
    <w:p w:rsidR="005C0BD2" w:rsidRDefault="005C0BD2" w:rsidP="005C0BD2">
      <w:pPr>
        <w:pStyle w:val="Paragrafi"/>
        <w:ind w:firstLine="0"/>
        <w:rPr>
          <w:rFonts w:ascii="Times New Roman" w:hAnsi="Times New Roman" w:cs="Times New Roman"/>
          <w:lang w:val="sq-AL"/>
        </w:rPr>
      </w:pPr>
      <w:r>
        <w:rPr>
          <w:rStyle w:val="FootnoteReference"/>
          <w:rFonts w:ascii="Times New Roman" w:hAnsi="Times New Roman" w:cs="Times New Roman"/>
          <w:sz w:val="20"/>
          <w:szCs w:val="20"/>
          <w:lang w:val="sq-AL"/>
        </w:rPr>
        <w:footnoteRef/>
      </w:r>
      <w:r>
        <w:rPr>
          <w:rFonts w:ascii="Times New Roman" w:hAnsi="Times New Roman" w:cs="Times New Roman"/>
          <w:sz w:val="20"/>
          <w:szCs w:val="20"/>
          <w:lang w:val="sq-AL"/>
        </w:rPr>
        <w:t xml:space="preserve"> </w:t>
      </w:r>
      <w:r>
        <w:rPr>
          <w:rFonts w:ascii="Times New Roman" w:hAnsi="Times New Roman" w:cs="Times New Roman"/>
          <w:sz w:val="20"/>
          <w:szCs w:val="20"/>
          <w:lang w:val="sq-AL"/>
        </w:rPr>
        <w:t>Konsorciume, ndërmarrje të përbashkëta etj.</w:t>
      </w:r>
    </w:p>
  </w:footnote>
  <w:footnote w:id="7">
    <w:p w:rsidR="005C0BD2" w:rsidRDefault="005C0BD2" w:rsidP="005C0BD2">
      <w:pPr>
        <w:widowControl w:val="0"/>
        <w:tabs>
          <w:tab w:val="left" w:pos="282"/>
        </w:tabs>
        <w:spacing w:after="0" w:line="240" w:lineRule="auto"/>
        <w:ind w:firstLine="0"/>
        <w:jc w:val="left"/>
        <w:rPr>
          <w:rFonts w:ascii="Times New Roman" w:eastAsia="Arial" w:hAnsi="Times New Roman"/>
          <w:sz w:val="20"/>
          <w:szCs w:val="20"/>
          <w:vertAlign w:val="superscript"/>
          <w:lang w:val="sq-AL"/>
        </w:rPr>
      </w:pPr>
      <w:r>
        <w:rPr>
          <w:rStyle w:val="FootnoteReference"/>
          <w:rFonts w:ascii="Times New Roman" w:hAnsi="Times New Roman"/>
          <w:sz w:val="20"/>
          <w:szCs w:val="20"/>
          <w:lang w:val="sq-AL"/>
        </w:rPr>
        <w:footnoteRef/>
      </w:r>
      <w:r>
        <w:rPr>
          <w:rFonts w:ascii="Times New Roman" w:hAnsi="Times New Roman"/>
          <w:sz w:val="20"/>
          <w:szCs w:val="20"/>
          <w:lang w:val="sq-AL"/>
        </w:rPr>
        <w:t xml:space="preserve"> </w:t>
      </w:r>
      <w:r>
        <w:rPr>
          <w:rFonts w:ascii="Times New Roman" w:eastAsia="Arial" w:hAnsi="Times New Roman"/>
          <w:sz w:val="20"/>
          <w:szCs w:val="20"/>
          <w:lang w:val="sq-AL"/>
        </w:rPr>
        <w:t xml:space="preserve">Termi “ofertues” dhe  termi “aplikant” përdoren në vend të njëri-tjetrit me të njëjtin kuptim. </w:t>
      </w:r>
    </w:p>
  </w:footnote>
  <w:footnote w:id="8">
    <w:p w:rsidR="005C0BD2" w:rsidRDefault="005C0BD2" w:rsidP="005C0BD2">
      <w:pPr>
        <w:widowControl w:val="0"/>
        <w:tabs>
          <w:tab w:val="left" w:pos="282"/>
        </w:tabs>
        <w:spacing w:after="0" w:line="240" w:lineRule="auto"/>
        <w:ind w:firstLine="0"/>
        <w:jc w:val="left"/>
        <w:rPr>
          <w:rFonts w:ascii="Times New Roman" w:eastAsia="Arial" w:hAnsi="Times New Roman"/>
          <w:sz w:val="20"/>
          <w:szCs w:val="20"/>
          <w:vertAlign w:val="superscript"/>
          <w:lang w:val="sq-AL"/>
        </w:rPr>
      </w:pPr>
      <w:r>
        <w:rPr>
          <w:rStyle w:val="FootnoteReference"/>
          <w:rFonts w:ascii="Times New Roman" w:hAnsi="Times New Roman"/>
          <w:sz w:val="20"/>
          <w:szCs w:val="20"/>
          <w:lang w:val="sq-AL"/>
        </w:rPr>
        <w:footnoteRef/>
      </w:r>
      <w:r>
        <w:rPr>
          <w:rFonts w:ascii="Times New Roman" w:hAnsi="Times New Roman"/>
          <w:sz w:val="20"/>
          <w:szCs w:val="20"/>
          <w:lang w:val="sq-AL"/>
        </w:rPr>
        <w:t xml:space="preserve"> </w:t>
      </w:r>
      <w:r>
        <w:rPr>
          <w:rFonts w:ascii="Times New Roman" w:eastAsia="Arial" w:hAnsi="Times New Roman"/>
          <w:sz w:val="20"/>
          <w:szCs w:val="20"/>
          <w:lang w:val="sq-AL"/>
        </w:rPr>
        <w:t xml:space="preserve">Emri i plotë: tregtia dhe investimi gjerman  – Gesellschaft für Außenwirtschaft und Standortmarketing mbH; Faqja e internetit: </w:t>
      </w:r>
      <w:r>
        <w:rPr>
          <w:rFonts w:ascii="Times New Roman" w:eastAsia="Arial" w:hAnsi="Times New Roman"/>
          <w:color w:val="0000FF"/>
          <w:sz w:val="20"/>
          <w:szCs w:val="20"/>
          <w:u w:val="single"/>
          <w:lang w:val="sq-AL"/>
        </w:rPr>
        <w:t>www.gtai.de</w:t>
      </w:r>
      <w:r>
        <w:rPr>
          <w:rFonts w:ascii="Times New Roman" w:eastAsia="Arial" w:hAnsi="Times New Roman"/>
          <w:color w:val="000000"/>
          <w:sz w:val="20"/>
          <w:szCs w:val="20"/>
          <w:lang w:val="sq-AL"/>
        </w:rPr>
        <w:t>, për detaje të adresës së plotë, shihni shtojcën 3.</w:t>
      </w:r>
    </w:p>
    <w:p w:rsidR="005C0BD2" w:rsidRDefault="005C0BD2" w:rsidP="005C0BD2">
      <w:pPr>
        <w:pStyle w:val="FootnoteText"/>
        <w:rPr>
          <w:rFonts w:ascii="Garamond" w:hAnsi="Garamond"/>
        </w:rPr>
      </w:pPr>
    </w:p>
  </w:footnote>
  <w:footnote w:id="9">
    <w:p w:rsidR="005C0BD2" w:rsidRDefault="005C0BD2" w:rsidP="005C0BD2">
      <w:pPr>
        <w:widowControl w:val="0"/>
        <w:tabs>
          <w:tab w:val="left" w:pos="362"/>
        </w:tabs>
        <w:spacing w:after="0" w:line="240" w:lineRule="auto"/>
        <w:ind w:firstLine="0"/>
        <w:rPr>
          <w:rFonts w:ascii="Times New Roman" w:eastAsia="Arial" w:hAnsi="Times New Roman"/>
          <w:spacing w:val="-4"/>
          <w:sz w:val="20"/>
          <w:szCs w:val="20"/>
          <w:vertAlign w:val="superscript"/>
          <w:lang w:val="sq-AL"/>
        </w:rPr>
      </w:pPr>
      <w:r>
        <w:rPr>
          <w:rStyle w:val="FootnoteReference"/>
          <w:rFonts w:ascii="Times New Roman" w:hAnsi="Times New Roman"/>
          <w:spacing w:val="-4"/>
          <w:sz w:val="20"/>
          <w:szCs w:val="20"/>
          <w:lang w:val="sq-AL"/>
        </w:rPr>
        <w:footnoteRef/>
      </w:r>
      <w:r>
        <w:rPr>
          <w:rFonts w:ascii="Times New Roman" w:eastAsia="Arial" w:hAnsi="Times New Roman"/>
          <w:spacing w:val="-4"/>
          <w:sz w:val="20"/>
          <w:szCs w:val="20"/>
          <w:lang w:val="sq-AL"/>
        </w:rPr>
        <w:t xml:space="preserve"> </w:t>
      </w:r>
      <w:r>
        <w:rPr>
          <w:rFonts w:ascii="Times New Roman" w:eastAsia="Arial" w:hAnsi="Times New Roman"/>
          <w:spacing w:val="-4"/>
          <w:sz w:val="20"/>
          <w:szCs w:val="20"/>
          <w:lang w:val="sq-AL"/>
        </w:rPr>
        <w:t>Vlera e kontratës pa TVSH, por duke përfshirë të gjitha pjesët përbërëse të kontratës, dhe në rastet kur është e mundur.</w:t>
      </w:r>
    </w:p>
  </w:footnote>
  <w:footnote w:id="10">
    <w:p w:rsidR="005C0BD2" w:rsidRDefault="005C0BD2" w:rsidP="005C0BD2">
      <w:pPr>
        <w:pStyle w:val="FootnoteText"/>
        <w:ind w:firstLine="0"/>
      </w:pPr>
      <w:r>
        <w:rPr>
          <w:rStyle w:val="FootnoteReference"/>
        </w:rPr>
        <w:footnoteRef/>
      </w:r>
      <w:r>
        <w:t xml:space="preserve"> </w:t>
      </w:r>
      <w:r>
        <w:rPr>
          <w:rFonts w:eastAsia="Arial"/>
        </w:rPr>
        <w:t>Nëse klient është KfW-ja, do të aplikohet pragu i BE-së, vlera në 2016: 200,900 Euro</w:t>
      </w:r>
    </w:p>
  </w:footnote>
  <w:footnote w:id="11">
    <w:p w:rsidR="005C0BD2" w:rsidRDefault="005C0BD2" w:rsidP="005C0BD2">
      <w:pPr>
        <w:pStyle w:val="Paragrafi"/>
        <w:ind w:firstLine="0"/>
        <w:rPr>
          <w:spacing w:val="-4"/>
          <w:sz w:val="20"/>
          <w:szCs w:val="20"/>
          <w:lang w:val="sq-AL"/>
        </w:rPr>
      </w:pPr>
      <w:r>
        <w:rPr>
          <w:rStyle w:val="FootnoteReference"/>
          <w:rFonts w:ascii="Times New Roman" w:hAnsi="Times New Roman" w:cs="Times New Roman"/>
          <w:spacing w:val="-4"/>
          <w:sz w:val="20"/>
          <w:szCs w:val="20"/>
          <w:lang w:val="sq-AL"/>
        </w:rPr>
        <w:footnoteRef/>
      </w:r>
      <w:r>
        <w:rPr>
          <w:rFonts w:ascii="Times New Roman" w:hAnsi="Times New Roman" w:cs="Times New Roman"/>
          <w:spacing w:val="-4"/>
          <w:sz w:val="20"/>
          <w:szCs w:val="20"/>
          <w:lang w:val="sq-AL"/>
        </w:rPr>
        <w:t xml:space="preserve"> </w:t>
      </w:r>
      <w:r>
        <w:rPr>
          <w:rFonts w:ascii="Times New Roman" w:hAnsi="Times New Roman" w:cs="Times New Roman"/>
          <w:spacing w:val="-4"/>
          <w:sz w:val="20"/>
          <w:szCs w:val="20"/>
          <w:lang w:val="sq-AL"/>
        </w:rPr>
        <w:t>Kur është e mundur, do të përdoret kontrata tip e KfW-së</w:t>
      </w:r>
      <w:r>
        <w:rPr>
          <w:spacing w:val="-4"/>
          <w:sz w:val="20"/>
          <w:szCs w:val="20"/>
          <w:lang w:val="sq-AL"/>
        </w:rPr>
        <w:t>.</w:t>
      </w:r>
    </w:p>
  </w:footnote>
  <w:footnote w:id="12">
    <w:p w:rsidR="005C0BD2" w:rsidRDefault="005C0BD2" w:rsidP="005C0BD2">
      <w:pPr>
        <w:pStyle w:val="Paragrafi"/>
        <w:ind w:firstLine="0"/>
        <w:rPr>
          <w:rFonts w:ascii="Times New Roman" w:eastAsia="Times New Roman" w:hAnsi="Times New Roman" w:cs="Times New Roman"/>
          <w:spacing w:val="-4"/>
          <w:sz w:val="20"/>
          <w:szCs w:val="20"/>
          <w:lang w:val="sq-AL" w:eastAsia="en-GB"/>
        </w:rPr>
      </w:pPr>
      <w:r>
        <w:rPr>
          <w:rStyle w:val="FootnoteReference"/>
          <w:rFonts w:ascii="Times New Roman" w:hAnsi="Times New Roman" w:cs="Times New Roman"/>
          <w:sz w:val="20"/>
          <w:szCs w:val="20"/>
          <w:lang w:val="sq-AL"/>
        </w:rPr>
        <w:footnoteRef/>
      </w:r>
      <w:r>
        <w:rPr>
          <w:rFonts w:ascii="Times New Roman" w:hAnsi="Times New Roman" w:cs="Times New Roman"/>
          <w:sz w:val="20"/>
          <w:szCs w:val="20"/>
          <w:lang w:val="sq-AL"/>
        </w:rPr>
        <w:t xml:space="preserve"> </w:t>
      </w:r>
      <w:r>
        <w:rPr>
          <w:rFonts w:ascii="Times New Roman" w:hAnsi="Times New Roman" w:cs="Times New Roman"/>
          <w:sz w:val="20"/>
          <w:szCs w:val="20"/>
          <w:lang w:val="sq-AL"/>
        </w:rPr>
        <w:t>Shihni “Udhëzime për caktimin e konsulentëve në bashkëpunimin financiar me vendet partnere” dhe “Udhëzime për prokurimin e mallrave, punë dhe shërbime në bashkëpunimin financiar në vendet partnere”.</w:t>
      </w:r>
    </w:p>
    <w:p w:rsidR="005C0BD2" w:rsidRDefault="005C0BD2" w:rsidP="005C0BD2">
      <w:pPr>
        <w:pStyle w:val="FootnoteText"/>
        <w:rPr>
          <w:rFonts w:ascii="Garamond" w:hAnsi="Garamond"/>
        </w:rPr>
      </w:pPr>
    </w:p>
  </w:footnote>
  <w:footnote w:id="13">
    <w:p w:rsidR="005C0BD2" w:rsidRDefault="005C0BD2" w:rsidP="005C0BD2">
      <w:pPr>
        <w:pStyle w:val="Paragrafi"/>
        <w:ind w:firstLine="0"/>
        <w:rPr>
          <w:spacing w:val="-4"/>
          <w:sz w:val="20"/>
          <w:szCs w:val="20"/>
          <w:lang w:val="sq-AL"/>
        </w:rPr>
      </w:pPr>
      <w:r>
        <w:rPr>
          <w:rStyle w:val="FootnoteReference"/>
          <w:spacing w:val="-4"/>
          <w:sz w:val="20"/>
          <w:szCs w:val="20"/>
          <w:lang w:val="sq-AL"/>
        </w:rPr>
        <w:footnoteRef/>
      </w:r>
      <w:r>
        <w:rPr>
          <w:spacing w:val="-4"/>
          <w:sz w:val="20"/>
          <w:szCs w:val="20"/>
          <w:lang w:val="sq-AL"/>
        </w:rPr>
        <w:t xml:space="preserve"> </w:t>
      </w:r>
      <w:r>
        <w:rPr>
          <w:spacing w:val="-4"/>
          <w:sz w:val="20"/>
          <w:szCs w:val="20"/>
          <w:lang w:val="sq-AL"/>
        </w:rPr>
        <w:t xml:space="preserve">Nëse shërbimet mbulojnë sektorë të ndryshëm, përshkrimet e projektit do të grupohen sipas sektorit; nëse një projekt referues renditet disa herë në sektorë të ndryshëm, duhet të jepen vetëm shërbimet lidhur me sektorin në fjalë dhe të kryera nga firma. Si dëshmi për çdo sektorë do të jepen jo më shumë se dhjetë raste. </w:t>
      </w:r>
    </w:p>
  </w:footnote>
  <w:footnote w:id="14">
    <w:p w:rsidR="005C0BD2" w:rsidRDefault="005C0BD2" w:rsidP="005C0BD2">
      <w:pPr>
        <w:pStyle w:val="FootnoteText"/>
        <w:ind w:firstLine="0"/>
        <w:rPr>
          <w:rFonts w:ascii="Garamond" w:hAnsi="Garamond"/>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Faqja e projektit duhet të jetë e shkurtër. Duhet të japë informacionin e mëposhtëm: firma (personeli, si dhe në rastin e firmave të reja), vendi, emri i projektit, klienti, Agjencia e Zbatimit të Projektit, financimi, përmbledhje e shkurtër e projektit, shërbimet e kryera nga firma, përshkrim i shkurtër i shërbimit/ve, shtrirja e shërbimeve (numri i muajve të ekspertëve dhe pagesa).</w:t>
      </w:r>
    </w:p>
  </w:footnote>
  <w:footnote w:id="15">
    <w:p w:rsidR="005C0BD2" w:rsidRDefault="005C0BD2" w:rsidP="005C0BD2">
      <w:pPr>
        <w:pStyle w:val="Paragrafi"/>
        <w:ind w:firstLine="0"/>
        <w:rPr>
          <w:sz w:val="20"/>
          <w:szCs w:val="20"/>
          <w:lang w:val="sq-AL"/>
        </w:rPr>
      </w:pPr>
      <w:r>
        <w:rPr>
          <w:rStyle w:val="FootnoteReference"/>
          <w:sz w:val="20"/>
          <w:szCs w:val="20"/>
          <w:lang w:val="sq-AL"/>
        </w:rPr>
        <w:footnoteRef/>
      </w:r>
      <w:r>
        <w:rPr>
          <w:sz w:val="20"/>
          <w:szCs w:val="20"/>
          <w:lang w:val="sq-AL"/>
        </w:rPr>
        <w:t xml:space="preserve"> </w:t>
      </w:r>
      <w:r>
        <w:rPr>
          <w:sz w:val="20"/>
          <w:szCs w:val="20"/>
          <w:lang w:val="sq-AL"/>
        </w:rPr>
        <w:t>Personeli i pavarur që nuk ka një pozitë të përhershme punësimi me konsulentin, por ka punuar me të për shumë vite mund të llogaritet si personel i përhershëm, nëse kjo mund të dëshmohet në mënyrë të qartë.</w:t>
      </w:r>
    </w:p>
  </w:footnote>
  <w:footnote w:id="16">
    <w:p w:rsidR="005C0BD2" w:rsidRDefault="005C0BD2" w:rsidP="005C0BD2">
      <w:pPr>
        <w:pStyle w:val="Paragrafi"/>
        <w:ind w:firstLine="0"/>
        <w:rPr>
          <w:rFonts w:ascii="Times New Roman" w:hAnsi="Times New Roman" w:cs="Times New Roman"/>
          <w:spacing w:val="-4"/>
          <w:sz w:val="18"/>
          <w:szCs w:val="18"/>
          <w:lang w:val="sq-AL"/>
        </w:rPr>
      </w:pPr>
      <w:r>
        <w:rPr>
          <w:rStyle w:val="FootnoteReference"/>
          <w:rFonts w:ascii="Times New Roman" w:hAnsi="Times New Roman" w:cs="Times New Roman"/>
          <w:spacing w:val="-4"/>
          <w:sz w:val="18"/>
          <w:szCs w:val="18"/>
          <w:lang w:val="sq-AL"/>
        </w:rPr>
        <w:footnoteRef/>
      </w:r>
      <w:r>
        <w:rPr>
          <w:rFonts w:ascii="Times New Roman" w:hAnsi="Times New Roman" w:cs="Times New Roman"/>
          <w:spacing w:val="-4"/>
          <w:sz w:val="18"/>
          <w:szCs w:val="18"/>
          <w:lang w:val="sq-AL"/>
        </w:rPr>
        <w:t xml:space="preserve"> </w:t>
      </w:r>
      <w:r>
        <w:rPr>
          <w:rFonts w:ascii="Times New Roman" w:hAnsi="Times New Roman" w:cs="Times New Roman"/>
          <w:spacing w:val="-4"/>
          <w:sz w:val="18"/>
          <w:szCs w:val="18"/>
          <w:lang w:val="sq-AL"/>
        </w:rPr>
        <w:t>Informacion i shkurtër që përmban: emrin, kualifikimin profesional, vitet e përvojës profesionale, vitet që punon me firmën, pozicionin në firmë, fushën teknik dhe atë të specializimit, gjuhët, përvojën jashtë vendit.</w:t>
      </w:r>
    </w:p>
  </w:footnote>
  <w:footnote w:id="17">
    <w:p w:rsidR="005C0BD2" w:rsidRDefault="005C0BD2" w:rsidP="005C0BD2">
      <w:pPr>
        <w:pStyle w:val="Paragrafi"/>
        <w:ind w:firstLine="0"/>
        <w:rPr>
          <w:rFonts w:ascii="Times New Roman" w:hAnsi="Times New Roman" w:cs="Times New Roman"/>
          <w:spacing w:val="-4"/>
          <w:sz w:val="20"/>
          <w:szCs w:val="20"/>
          <w:lang w:val="sq-AL"/>
        </w:rPr>
      </w:pPr>
      <w:r>
        <w:rPr>
          <w:rStyle w:val="FootnoteReference"/>
          <w:rFonts w:ascii="Times New Roman" w:hAnsi="Times New Roman" w:cs="Times New Roman"/>
          <w:spacing w:val="-4"/>
          <w:sz w:val="20"/>
          <w:szCs w:val="20"/>
          <w:lang w:val="sq-AL"/>
        </w:rPr>
        <w:footnoteRef/>
      </w:r>
      <w:r>
        <w:rPr>
          <w:rFonts w:ascii="Times New Roman" w:hAnsi="Times New Roman" w:cs="Times New Roman"/>
          <w:spacing w:val="-4"/>
          <w:sz w:val="20"/>
          <w:szCs w:val="20"/>
          <w:lang w:val="sq-AL"/>
        </w:rPr>
        <w:t xml:space="preserve"> </w:t>
      </w:r>
      <w:r>
        <w:rPr>
          <w:rFonts w:ascii="Times New Roman" w:hAnsi="Times New Roman" w:cs="Times New Roman"/>
          <w:spacing w:val="-4"/>
          <w:sz w:val="20"/>
          <w:szCs w:val="20"/>
          <w:lang w:val="sq-AL"/>
        </w:rPr>
        <w:t>Nëse legjislacioni i vendit parashikojnë botimin në një gjuhë kombëtare, që zakonisht nuk përdoret në nivel ndërkombëtar, dokumentet duhet të përgatiten në dy gjuhë (gjuhën ndërkombëtare, gjuhën e vendit), të cilat preferohen të vendosen në dy kolona pranë njëra-tjetrës. Në ftesat kombëtare për ofertë kjo mund të mos merret në konsideratë, me kushtin se dokumentet kryesore i paraqiten KfW-së në një gjuhë që përdoret në nivel ndërkombëtar. Kostot e përkthimit i paguan klienti.</w:t>
      </w:r>
    </w:p>
  </w:footnote>
  <w:footnote w:id="18">
    <w:p w:rsidR="005C0BD2" w:rsidRDefault="005C0BD2" w:rsidP="005C0BD2">
      <w:pPr>
        <w:pStyle w:val="Paragrafi"/>
        <w:ind w:firstLine="0"/>
        <w:rPr>
          <w:spacing w:val="-4"/>
          <w:sz w:val="18"/>
          <w:szCs w:val="18"/>
          <w:lang w:val="sq-AL"/>
        </w:rPr>
      </w:pPr>
      <w:r>
        <w:rPr>
          <w:rStyle w:val="FootnoteReference"/>
          <w:rFonts w:ascii="Times New Roman" w:hAnsi="Times New Roman" w:cs="Times New Roman"/>
          <w:spacing w:val="-4"/>
          <w:sz w:val="20"/>
          <w:szCs w:val="20"/>
          <w:lang w:val="sq-AL"/>
        </w:rPr>
        <w:footnoteRef/>
      </w:r>
      <w:r>
        <w:rPr>
          <w:rFonts w:ascii="Times New Roman" w:hAnsi="Times New Roman" w:cs="Times New Roman"/>
          <w:spacing w:val="-4"/>
          <w:sz w:val="20"/>
          <w:szCs w:val="20"/>
          <w:lang w:val="sq-AL"/>
        </w:rPr>
        <w:t xml:space="preserve"> </w:t>
      </w:r>
      <w:r>
        <w:rPr>
          <w:rFonts w:ascii="Times New Roman" w:hAnsi="Times New Roman" w:cs="Times New Roman"/>
          <w:spacing w:val="-4"/>
          <w:sz w:val="20"/>
          <w:szCs w:val="20"/>
          <w:lang w:val="sq-AL"/>
        </w:rPr>
        <w:t>Për shembull, formate për referenca, për komente nga ofertuesi për termat e referencës dhe shërbime homologe të ofruara nga klienti, për planifikimin e stafit dhe programin e punës, për CV-të e stafit kyç dhe për strukturimin e kuotimit të çmimit.</w:t>
      </w:r>
    </w:p>
  </w:footnote>
  <w:footnote w:id="19">
    <w:p w:rsidR="005C0BD2" w:rsidRDefault="005C0BD2" w:rsidP="005C0BD2">
      <w:pPr>
        <w:pStyle w:val="Paragrafi"/>
        <w:ind w:firstLine="0"/>
        <w:rPr>
          <w:rFonts w:ascii="Times New Roman" w:hAnsi="Times New Roman" w:cs="Times New Roman"/>
          <w:sz w:val="20"/>
          <w:szCs w:val="20"/>
          <w:lang w:val="sq-AL"/>
        </w:rPr>
      </w:pPr>
      <w:r>
        <w:rPr>
          <w:rStyle w:val="FootnoteReference"/>
          <w:rFonts w:ascii="Times New Roman" w:hAnsi="Times New Roman" w:cs="Times New Roman"/>
          <w:sz w:val="20"/>
          <w:szCs w:val="20"/>
          <w:lang w:val="sq-AL"/>
        </w:rPr>
        <w:footnoteRef/>
      </w:r>
      <w:r>
        <w:rPr>
          <w:rFonts w:ascii="Times New Roman" w:hAnsi="Times New Roman" w:cs="Times New Roman"/>
          <w:sz w:val="20"/>
          <w:szCs w:val="20"/>
          <w:lang w:val="sq-AL"/>
        </w:rPr>
        <w:t xml:space="preserve"> </w:t>
      </w:r>
      <w:r>
        <w:rPr>
          <w:rFonts w:ascii="Times New Roman" w:hAnsi="Times New Roman" w:cs="Times New Roman"/>
          <w:sz w:val="20"/>
          <w:szCs w:val="20"/>
          <w:lang w:val="sq-AL"/>
        </w:rPr>
        <w:t>Për shembull, shpenzimet për një anëtar të personelit të kualifikuar në zyrën qendrore: paga bazë, sigurimet shoqërore, kostot e përgjithshme, administrimi i stafit, pushimet dhe leja shëndetësore, shërbimet e zyrës, kostot e komunikimeve për komisionin, shërbimet mbështetëse dhe monitorimi, përpunimi i të dhënave, siguracionet e ofruara nga firma, fitimi dhe humbjet. Kjo mbulon detyrat e përgjithshme të mbështetjes dhe monitorimit, të kryera nga stafi menaxherial në zyrën qendrore. Shërbimet e stafit menaxherial ose punonjësve të tjerë nga zyra qendrore mund të ngarkohen veçmas vetëm nëse ata kryejnë detyra që dallojnë nga fusha lëndore dhe në kohë nga lista e rën e shërbimeve individuale.</w:t>
      </w:r>
    </w:p>
  </w:footnote>
  <w:footnote w:id="20">
    <w:p w:rsidR="005C0BD2" w:rsidRDefault="005C0BD2" w:rsidP="005C0BD2">
      <w:pPr>
        <w:pStyle w:val="Paragrafi"/>
        <w:ind w:firstLine="0"/>
        <w:rPr>
          <w:sz w:val="20"/>
          <w:szCs w:val="20"/>
          <w:lang w:val="sq-AL"/>
        </w:rPr>
      </w:pPr>
      <w:r>
        <w:rPr>
          <w:rStyle w:val="FootnoteReference"/>
          <w:sz w:val="20"/>
          <w:szCs w:val="20"/>
          <w:lang w:val="sq-AL"/>
        </w:rPr>
        <w:footnoteRef/>
      </w:r>
      <w:r>
        <w:rPr>
          <w:sz w:val="20"/>
          <w:szCs w:val="20"/>
          <w:lang w:val="sq-AL"/>
        </w:rPr>
        <w:t xml:space="preserve"> </w:t>
      </w:r>
      <w:r>
        <w:rPr>
          <w:sz w:val="20"/>
          <w:szCs w:val="20"/>
          <w:lang w:val="sq-AL"/>
        </w:rPr>
        <w:t>Të paktën si në vijim:</w:t>
      </w:r>
    </w:p>
    <w:p w:rsidR="005C0BD2" w:rsidRDefault="005C0BD2" w:rsidP="005C0BD2">
      <w:pPr>
        <w:pStyle w:val="Paragrafi"/>
        <w:ind w:firstLine="0"/>
        <w:rPr>
          <w:sz w:val="20"/>
          <w:szCs w:val="20"/>
          <w:lang w:val="sq-AL"/>
        </w:rPr>
      </w:pPr>
      <w:r>
        <w:rPr>
          <w:sz w:val="20"/>
          <w:szCs w:val="20"/>
          <w:lang w:val="sq-AL"/>
        </w:rPr>
        <w:t>- përmbledhje e programit të planifikuar (grafik me kolona: faza pune të ndërvarura, persona që merren me secilën fazë, afate për mbledhjet, vendimet dhe dorëzimin e raporteve etj.).</w:t>
      </w:r>
    </w:p>
    <w:p w:rsidR="005C0BD2" w:rsidRDefault="005C0BD2" w:rsidP="005C0BD2">
      <w:pPr>
        <w:pStyle w:val="Paragrafi"/>
        <w:ind w:firstLine="0"/>
        <w:rPr>
          <w:sz w:val="20"/>
          <w:szCs w:val="20"/>
          <w:lang w:val="sq-AL"/>
        </w:rPr>
      </w:pPr>
      <w:r>
        <w:rPr>
          <w:sz w:val="20"/>
          <w:szCs w:val="20"/>
          <w:lang w:val="sq-AL"/>
        </w:rPr>
        <w:t>- programim i personelit (grafik me kolona: koha dhe vendi i detyrës për secilin profesionist, detyrë ose veprimtari në vazhdim/me ndërprerje; duke përfshirë një tabelë që përcakton periudhat e sakta të detyrës për secilin ekspert, sipas vendit të detyrës).</w:t>
      </w:r>
    </w:p>
    <w:p w:rsidR="005C0BD2" w:rsidRDefault="005C0BD2" w:rsidP="005C0BD2">
      <w:pPr>
        <w:pStyle w:val="Paragrafi"/>
        <w:ind w:firstLine="0"/>
        <w:rPr>
          <w:sz w:val="20"/>
          <w:szCs w:val="20"/>
          <w:lang w:val="sq-AL"/>
        </w:rPr>
      </w:pPr>
      <w:r>
        <w:rPr>
          <w:sz w:val="20"/>
          <w:szCs w:val="20"/>
          <w:lang w:val="sq-AL"/>
        </w:rPr>
        <w:t>- përmbledhje e sasive për të gjithë zërat e mbetur që prekin kostot (shërbimet, prokurimet, nënkontratat, qiraja, p.sh. personeli ndihmës, mjetet, udhëtimet, zyrat, pajisjet, studimet shtesë) reflektohen në kuotimin e çmimit.</w:t>
      </w:r>
    </w:p>
  </w:footnote>
  <w:footnote w:id="21">
    <w:p w:rsidR="005C0BD2" w:rsidRDefault="005C0BD2" w:rsidP="005C0BD2">
      <w:pPr>
        <w:pStyle w:val="Paragrafi"/>
        <w:ind w:firstLine="0"/>
        <w:rPr>
          <w:sz w:val="20"/>
          <w:szCs w:val="20"/>
          <w:lang w:val="sq-AL"/>
        </w:rPr>
      </w:pPr>
      <w:r>
        <w:rPr>
          <w:rStyle w:val="FootnoteReference"/>
          <w:sz w:val="20"/>
          <w:szCs w:val="20"/>
          <w:lang w:val="sq-AL"/>
        </w:rPr>
        <w:footnoteRef/>
      </w:r>
      <w:r>
        <w:rPr>
          <w:sz w:val="20"/>
          <w:szCs w:val="20"/>
          <w:lang w:val="sq-AL"/>
        </w:rPr>
        <w:t xml:space="preserve"> </w:t>
      </w:r>
      <w:r>
        <w:rPr>
          <w:sz w:val="20"/>
          <w:szCs w:val="20"/>
          <w:lang w:val="sq-AL"/>
        </w:rPr>
        <w:t>CV-ja duhet të përditësohet dhe nënshkruhet nga një përfaqësues i autorizuar i ofertuesit. Faqja e parë (një faqe) duhet të përmbajë emrin e firmës/shoqërisë, emrin e personit, kualifikimet profesionale dhe vitin e marrjes së këtyre kualifikimeve, specializim teknik dhe përvojë, llojin e përvojës (p.sh. studime, zbatim projektesh, industri, kërkim, administrim etj.), përvojën menaxheriale (p.sh. lider ekipi, menaxher departamenti, menaxher biznesi etj.), përvojën rajonale (vendi, lloji i veprimtarisë, kohëzgjatja), gjuhën amtare, gjuhët e huaja, marrëdhënien me ofertuesin (që prej...), grafik për punën profesionale dhe punëdhënësit (koha, punëdhënësi, veprimtaria, vendi i shërbimit), komente.</w:t>
      </w:r>
    </w:p>
  </w:footnote>
  <w:footnote w:id="22">
    <w:p w:rsidR="005C0BD2" w:rsidRDefault="005C0BD2" w:rsidP="005C0BD2">
      <w:pPr>
        <w:pStyle w:val="Paragrafi"/>
        <w:ind w:firstLine="0"/>
        <w:rPr>
          <w:rFonts w:ascii="Times New Roman" w:hAnsi="Times New Roman" w:cs="Times New Roman"/>
          <w:sz w:val="20"/>
          <w:szCs w:val="20"/>
          <w:lang w:val="sq-AL"/>
        </w:rPr>
      </w:pPr>
      <w:r>
        <w:rPr>
          <w:rStyle w:val="FootnoteReference"/>
          <w:rFonts w:ascii="Times New Roman" w:hAnsi="Times New Roman" w:cs="Times New Roman"/>
          <w:sz w:val="20"/>
          <w:szCs w:val="20"/>
          <w:lang w:val="sq-AL"/>
        </w:rPr>
        <w:footnoteRef/>
      </w:r>
      <w:r>
        <w:rPr>
          <w:rFonts w:ascii="Times New Roman" w:hAnsi="Times New Roman" w:cs="Times New Roman"/>
          <w:sz w:val="20"/>
          <w:szCs w:val="20"/>
          <w:lang w:val="sq-AL"/>
        </w:rPr>
        <w:t xml:space="preserve"> </w:t>
      </w:r>
      <w:r>
        <w:rPr>
          <w:rFonts w:ascii="Times New Roman" w:hAnsi="Times New Roman" w:cs="Times New Roman"/>
          <w:sz w:val="20"/>
          <w:szCs w:val="20"/>
          <w:lang w:val="sq-AL"/>
        </w:rPr>
        <w:t>Në rastin kur Agjencia e Zbatimit nuk është Klienti, parimet më poshtë zbatohen njëlloj për klientin aktual.</w:t>
      </w:r>
    </w:p>
    <w:p w:rsidR="005C0BD2" w:rsidRDefault="005C0BD2" w:rsidP="005C0BD2">
      <w:pPr>
        <w:pStyle w:val="FootnoteText"/>
        <w:rPr>
          <w:rFonts w:ascii="Garamond" w:hAnsi="Garamond"/>
        </w:rPr>
      </w:pPr>
    </w:p>
  </w:footnote>
  <w:footnote w:id="23">
    <w:p w:rsidR="005C0BD2" w:rsidRDefault="005C0BD2" w:rsidP="005C0BD2">
      <w:pPr>
        <w:pStyle w:val="Paragrafi"/>
        <w:ind w:firstLine="0"/>
        <w:rPr>
          <w:rFonts w:ascii="Times New Roman" w:hAnsi="Times New Roman" w:cs="Times New Roman"/>
          <w:sz w:val="20"/>
          <w:szCs w:val="20"/>
          <w:lang w:val="sq-AL"/>
        </w:rPr>
      </w:pPr>
      <w:r>
        <w:rPr>
          <w:rStyle w:val="FootnoteReference"/>
          <w:rFonts w:ascii="Times New Roman" w:hAnsi="Times New Roman" w:cs="Times New Roman"/>
          <w:sz w:val="20"/>
          <w:szCs w:val="20"/>
          <w:lang w:val="sq-AL"/>
        </w:rPr>
        <w:footnoteRef/>
      </w:r>
      <w:r>
        <w:rPr>
          <w:rFonts w:ascii="Times New Roman" w:hAnsi="Times New Roman" w:cs="Times New Roman"/>
          <w:sz w:val="20"/>
          <w:szCs w:val="20"/>
          <w:lang w:val="sq-AL"/>
        </w:rPr>
        <w:t xml:space="preserve"> </w:t>
      </w:r>
      <w:r>
        <w:rPr>
          <w:rFonts w:ascii="Times New Roman" w:hAnsi="Times New Roman" w:cs="Times New Roman"/>
          <w:sz w:val="20"/>
          <w:szCs w:val="20"/>
          <w:lang w:val="sq-AL"/>
        </w:rPr>
        <w:t>Në shtesën 1 paraqitet një model marrëveshjeje për obligacionet e parapaguara.</w:t>
      </w:r>
    </w:p>
  </w:footnote>
  <w:footnote w:id="24">
    <w:p w:rsidR="005C0BD2" w:rsidRDefault="005C0BD2" w:rsidP="005C0BD2">
      <w:pPr>
        <w:pStyle w:val="Paragrafi"/>
        <w:ind w:firstLine="0"/>
        <w:rPr>
          <w:rFonts w:ascii="Times New Roman" w:hAnsi="Times New Roman" w:cs="Times New Roman"/>
          <w:sz w:val="20"/>
          <w:szCs w:val="20"/>
          <w:lang w:val="sq-AL"/>
        </w:rPr>
      </w:pPr>
      <w:r>
        <w:rPr>
          <w:rStyle w:val="FootnoteReference"/>
          <w:rFonts w:ascii="Times New Roman" w:hAnsi="Times New Roman" w:cs="Times New Roman"/>
          <w:sz w:val="20"/>
          <w:szCs w:val="20"/>
          <w:lang w:val="sq-AL"/>
        </w:rPr>
        <w:footnoteRef/>
      </w:r>
      <w:r>
        <w:rPr>
          <w:rFonts w:ascii="Times New Roman" w:hAnsi="Times New Roman" w:cs="Times New Roman"/>
          <w:sz w:val="20"/>
          <w:szCs w:val="20"/>
          <w:lang w:val="sq-AL"/>
        </w:rPr>
        <w:t xml:space="preserve"> </w:t>
      </w:r>
      <w:r>
        <w:rPr>
          <w:rFonts w:ascii="Times New Roman" w:hAnsi="Times New Roman" w:cs="Times New Roman"/>
          <w:sz w:val="20"/>
          <w:szCs w:val="20"/>
          <w:lang w:val="sq-AL"/>
        </w:rPr>
        <w:t>Në shtesën 2 paraqitet një model garancie për obligacionet e mirëmbajtjes.</w:t>
      </w:r>
    </w:p>
    <w:p w:rsidR="005C0BD2" w:rsidRDefault="005C0BD2" w:rsidP="005C0BD2">
      <w:pPr>
        <w:pStyle w:val="FootnoteText"/>
        <w:rPr>
          <w:rFonts w:ascii="Garamond" w:hAnsi="Garamond"/>
        </w:rPr>
      </w:pPr>
    </w:p>
  </w:footnote>
  <w:footnote w:id="25">
    <w:p w:rsidR="005C0BD2" w:rsidRDefault="005C0BD2" w:rsidP="005C0BD2">
      <w:pPr>
        <w:pStyle w:val="Paragrafi"/>
        <w:rPr>
          <w:sz w:val="20"/>
          <w:szCs w:val="20"/>
          <w:lang w:val="sq-AL"/>
        </w:rPr>
      </w:pPr>
      <w:r>
        <w:rPr>
          <w:rStyle w:val="FootnoteReference"/>
          <w:sz w:val="20"/>
          <w:szCs w:val="20"/>
          <w:lang w:val="sq-AL"/>
        </w:rPr>
        <w:footnoteRef/>
      </w:r>
      <w:r>
        <w:rPr>
          <w:sz w:val="20"/>
          <w:szCs w:val="20"/>
          <w:lang w:val="sq-AL"/>
        </w:rPr>
        <w:t xml:space="preserve"> </w:t>
      </w:r>
      <w:r>
        <w:rPr>
          <w:sz w:val="20"/>
          <w:szCs w:val="20"/>
          <w:lang w:val="sq-AL"/>
        </w:rPr>
        <w:t>Emri i plotë: Tregtia dhe Investimi Gjerman – Gesellschaft für Außenwirtschaft und Standortmarketing mbH.</w:t>
      </w:r>
    </w:p>
    <w:p w:rsidR="005C0BD2" w:rsidRDefault="005C0BD2" w:rsidP="005C0BD2">
      <w:pPr>
        <w:pStyle w:val="FootnoteText"/>
        <w:rPr>
          <w:rFonts w:ascii="Garamond" w:hAnsi="Garamond"/>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B3C78B8"/>
    <w:multiLevelType w:val="multilevel"/>
    <w:tmpl w:val="96860D76"/>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3BBA7C4C"/>
    <w:multiLevelType w:val="multilevel"/>
    <w:tmpl w:val="08F286E0"/>
    <w:styleLink w:val="aAhs"/>
    <w:lvl w:ilvl="0">
      <w:start w:val="1"/>
      <w:numFmt w:val="decimal"/>
      <w:lvlText w:val="%1."/>
      <w:lvlJc w:val="left"/>
      <w:pPr>
        <w:ind w:left="360" w:hanging="360"/>
      </w:pPr>
    </w:lvl>
    <w:lvl w:ilvl="1">
      <w:start w:val="1"/>
      <w:numFmt w:val="decimal"/>
      <w:lvlText w:val="%1.%2"/>
      <w:lvlJc w:val="left"/>
      <w:pPr>
        <w:ind w:left="792" w:hanging="792"/>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upperLetter"/>
      <w:lvlRestart w:val="0"/>
      <w:lvlText w:val="Appendix %7: "/>
      <w:lvlJc w:val="left"/>
      <w:pPr>
        <w:ind w:left="2736" w:hanging="2736"/>
      </w:pPr>
    </w:lvl>
    <w:lvl w:ilvl="7">
      <w:start w:val="1"/>
      <w:numFmt w:val="decimal"/>
      <w:lvlText w:val="%7.%8"/>
      <w:lvlJc w:val="left"/>
      <w:pPr>
        <w:ind w:left="792" w:hanging="792"/>
      </w:pPr>
    </w:lvl>
    <w:lvl w:ilvl="8">
      <w:start w:val="1"/>
      <w:numFmt w:val="lowerRoman"/>
      <w:lvlText w:val="%9."/>
      <w:lvlJc w:val="right"/>
      <w:pPr>
        <w:ind w:left="7560" w:hanging="180"/>
      </w:pPr>
    </w:lvl>
  </w:abstractNum>
  <w:abstractNum w:abstractNumId="14"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lvlOverride w:ilvl="0">
      <w:startOverride w:val="1"/>
    </w:lvlOverride>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3"/>
  </w:num>
  <w:num w:numId="16">
    <w:abstractNumId w:val="14"/>
  </w:num>
  <w:num w:numId="17">
    <w:abstractNumId w:val="1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BD2"/>
    <w:rsid w:val="005C0BD2"/>
    <w:rsid w:val="005D5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6EA8F7EC-6C7B-4E58-A610-D9B28EBAA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Number" w:semiHidden="1" w:uiPriority="99" w:unhideWhenUsed="1" w:qFormat="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BD2"/>
    <w:pPr>
      <w:spacing w:after="200" w:line="276" w:lineRule="auto"/>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5C0BD2"/>
    <w:pPr>
      <w:keepNext/>
      <w:keepLines/>
      <w:numPr>
        <w:numId w:val="2"/>
      </w:numPr>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Section Heading 2,Section Heading"/>
    <w:basedOn w:val="Normal"/>
    <w:next w:val="Normal"/>
    <w:link w:val="Heading2Char1"/>
    <w:uiPriority w:val="9"/>
    <w:semiHidden/>
    <w:unhideWhenUsed/>
    <w:qFormat/>
    <w:rsid w:val="005C0BD2"/>
    <w:pPr>
      <w:keepNext/>
      <w:keepLines/>
      <w:numPr>
        <w:ilvl w:val="1"/>
        <w:numId w:val="2"/>
      </w:numPr>
      <w:spacing w:before="40" w:after="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Germa"/>
    <w:basedOn w:val="Normal"/>
    <w:next w:val="Normal"/>
    <w:link w:val="Heading3Char1"/>
    <w:uiPriority w:val="9"/>
    <w:semiHidden/>
    <w:unhideWhenUsed/>
    <w:qFormat/>
    <w:rsid w:val="005C0BD2"/>
    <w:pPr>
      <w:keepNext/>
      <w:keepLines/>
      <w:numPr>
        <w:ilvl w:val="2"/>
        <w:numId w:val="2"/>
      </w:numPr>
      <w:spacing w:before="40" w:after="0"/>
      <w:ind w:left="720" w:hanging="432"/>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C0BD2"/>
    <w:pPr>
      <w:keepNext/>
      <w:keepLines/>
      <w:numPr>
        <w:ilvl w:val="3"/>
        <w:numId w:val="2"/>
      </w:numPr>
      <w:spacing w:before="40" w:after="0"/>
      <w:ind w:left="864"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C0BD2"/>
    <w:pPr>
      <w:keepNext/>
      <w:keepLines/>
      <w:numPr>
        <w:ilvl w:val="4"/>
        <w:numId w:val="2"/>
      </w:numPr>
      <w:spacing w:before="40" w:after="0"/>
      <w:ind w:left="1008" w:hanging="432"/>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5C0BD2"/>
    <w:pPr>
      <w:keepNext/>
      <w:keepLines/>
      <w:numPr>
        <w:ilvl w:val="5"/>
        <w:numId w:val="2"/>
      </w:numPr>
      <w:spacing w:before="40" w:after="0"/>
      <w:ind w:left="1152" w:hanging="432"/>
      <w:outlineLvl w:val="5"/>
    </w:pPr>
    <w:rPr>
      <w:rFonts w:asciiTheme="majorHAnsi" w:eastAsiaTheme="majorEastAsia" w:hAnsiTheme="majorHAnsi" w:cstheme="majorBidi"/>
      <w:color w:val="1F4D78" w:themeColor="accent1" w:themeShade="7F"/>
    </w:rPr>
  </w:style>
  <w:style w:type="paragraph" w:styleId="Heading7">
    <w:name w:val="heading 7"/>
    <w:aliases w:val="Style Left: 3,25 cm"/>
    <w:basedOn w:val="Normal"/>
    <w:next w:val="Normal"/>
    <w:link w:val="Heading7Char"/>
    <w:uiPriority w:val="9"/>
    <w:semiHidden/>
    <w:unhideWhenUsed/>
    <w:qFormat/>
    <w:rsid w:val="005C0BD2"/>
    <w:pPr>
      <w:keepNext/>
      <w:keepLines/>
      <w:numPr>
        <w:ilvl w:val="6"/>
        <w:numId w:val="2"/>
      </w:numPr>
      <w:spacing w:before="40" w:after="0"/>
      <w:ind w:left="1296" w:hanging="288"/>
      <w:outlineLvl w:val="6"/>
    </w:pPr>
    <w:rPr>
      <w:rFonts w:asciiTheme="majorHAnsi" w:eastAsiaTheme="majorEastAsia" w:hAnsiTheme="majorHAnsi" w:cstheme="majorBidi"/>
      <w:i/>
      <w:iCs/>
      <w:color w:val="1F4D78" w:themeColor="accent1" w:themeShade="7F"/>
    </w:rPr>
  </w:style>
  <w:style w:type="paragraph" w:styleId="Heading8">
    <w:name w:val="heading 8"/>
    <w:aliases w:val="h"/>
    <w:basedOn w:val="Normal"/>
    <w:next w:val="Normal"/>
    <w:link w:val="Heading8Char"/>
    <w:uiPriority w:val="9"/>
    <w:semiHidden/>
    <w:unhideWhenUsed/>
    <w:qFormat/>
    <w:rsid w:val="005C0BD2"/>
    <w:pPr>
      <w:keepNext/>
      <w:keepLines/>
      <w:numPr>
        <w:ilvl w:val="7"/>
        <w:numId w:val="2"/>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5C0BD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5C0BD2"/>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ection Heading 2 Char1,Section Heading Char1"/>
    <w:basedOn w:val="DefaultParagraphFont"/>
    <w:uiPriority w:val="9"/>
    <w:semiHidden/>
    <w:rsid w:val="005C0BD2"/>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Germa Char"/>
    <w:basedOn w:val="DefaultParagraphFont"/>
    <w:uiPriority w:val="9"/>
    <w:semiHidden/>
    <w:rsid w:val="005C0BD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5C0BD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5C0BD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5C0BD2"/>
    <w:rPr>
      <w:rFonts w:asciiTheme="majorHAnsi" w:eastAsiaTheme="majorEastAsia" w:hAnsiTheme="majorHAnsi" w:cstheme="majorBidi"/>
      <w:color w:val="1F4D78" w:themeColor="accent1" w:themeShade="7F"/>
    </w:rPr>
  </w:style>
  <w:style w:type="character" w:customStyle="1" w:styleId="Heading7Char">
    <w:name w:val="Heading 7 Char"/>
    <w:aliases w:val="Style Left: 3 Char,25 cm Char"/>
    <w:basedOn w:val="DefaultParagraphFont"/>
    <w:link w:val="Heading7"/>
    <w:uiPriority w:val="9"/>
    <w:semiHidden/>
    <w:rsid w:val="005C0BD2"/>
    <w:rPr>
      <w:rFonts w:asciiTheme="majorHAnsi" w:eastAsiaTheme="majorEastAsia" w:hAnsiTheme="majorHAnsi" w:cstheme="majorBidi"/>
      <w:i/>
      <w:iCs/>
      <w:color w:val="1F4D78" w:themeColor="accent1" w:themeShade="7F"/>
    </w:rPr>
  </w:style>
  <w:style w:type="character" w:customStyle="1" w:styleId="Heading8Char">
    <w:name w:val="Heading 8 Char"/>
    <w:aliases w:val="h Char"/>
    <w:basedOn w:val="DefaultParagraphFont"/>
    <w:link w:val="Heading8"/>
    <w:uiPriority w:val="9"/>
    <w:semiHidden/>
    <w:rsid w:val="005C0BD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5C0BD2"/>
    <w:rPr>
      <w:rFonts w:asciiTheme="majorHAnsi" w:eastAsiaTheme="majorEastAsia" w:hAnsiTheme="majorHAnsi" w:cstheme="majorBidi"/>
      <w:i/>
      <w:iCs/>
      <w:color w:val="272727" w:themeColor="text1" w:themeTint="D8"/>
      <w:sz w:val="21"/>
      <w:szCs w:val="21"/>
    </w:rPr>
  </w:style>
  <w:style w:type="character" w:styleId="Hyperlink">
    <w:name w:val="Hyperlink"/>
    <w:uiPriority w:val="99"/>
    <w:semiHidden/>
    <w:unhideWhenUsed/>
    <w:rsid w:val="005C0BD2"/>
    <w:rPr>
      <w:color w:val="0000FF"/>
      <w:u w:val="single"/>
    </w:rPr>
  </w:style>
  <w:style w:type="character" w:styleId="FollowedHyperlink">
    <w:name w:val="FollowedHyperlink"/>
    <w:uiPriority w:val="99"/>
    <w:semiHidden/>
    <w:unhideWhenUsed/>
    <w:rsid w:val="005C0BD2"/>
    <w:rPr>
      <w:color w:val="800080"/>
      <w:u w:val="single"/>
    </w:rPr>
  </w:style>
  <w:style w:type="paragraph" w:styleId="HTMLAddress">
    <w:name w:val="HTML Address"/>
    <w:basedOn w:val="Normal"/>
    <w:link w:val="HTMLAddressChar"/>
    <w:semiHidden/>
    <w:unhideWhenUsed/>
    <w:rsid w:val="005C0BD2"/>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5C0BD2"/>
    <w:rPr>
      <w:rFonts w:ascii="Tahoma" w:eastAsia="Times New Roman" w:hAnsi="Tahoma" w:cs="Times New Roman"/>
      <w:i/>
      <w:iCs/>
      <w:lang w:val="de-AT" w:eastAsia="de-DE"/>
    </w:rPr>
  </w:style>
  <w:style w:type="character" w:styleId="HTMLCode">
    <w:name w:val="HTML Code"/>
    <w:semiHidden/>
    <w:unhideWhenUsed/>
    <w:rsid w:val="005C0BD2"/>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Article Heading Char1"/>
    <w:basedOn w:val="DefaultParagraphFont"/>
    <w:uiPriority w:val="9"/>
    <w:rsid w:val="005C0BD2"/>
    <w:rPr>
      <w:rFonts w:asciiTheme="majorHAnsi" w:eastAsiaTheme="majorEastAsia" w:hAnsiTheme="majorHAnsi" w:cstheme="majorBidi"/>
      <w:color w:val="2E74B5" w:themeColor="accent1" w:themeShade="BF"/>
      <w:sz w:val="32"/>
      <w:szCs w:val="32"/>
    </w:rPr>
  </w:style>
  <w:style w:type="character" w:customStyle="1" w:styleId="Heading2Char1">
    <w:name w:val="Heading 2 Char1"/>
    <w:aliases w:val="Section Heading 2 Char,Section Heading Char"/>
    <w:link w:val="Heading2"/>
    <w:uiPriority w:val="9"/>
    <w:semiHidden/>
    <w:locked/>
    <w:rsid w:val="005C0BD2"/>
    <w:rPr>
      <w:rFonts w:asciiTheme="majorHAnsi" w:eastAsiaTheme="majorEastAsia" w:hAnsiTheme="majorHAnsi" w:cstheme="majorBidi"/>
      <w:color w:val="2E74B5" w:themeColor="accent1" w:themeShade="BF"/>
      <w:sz w:val="26"/>
      <w:szCs w:val="26"/>
    </w:rPr>
  </w:style>
  <w:style w:type="character" w:customStyle="1" w:styleId="Heading3Char1">
    <w:name w:val="Heading 3 Char1"/>
    <w:aliases w:val="Germa Char1"/>
    <w:link w:val="Heading3"/>
    <w:uiPriority w:val="9"/>
    <w:semiHidden/>
    <w:locked/>
    <w:rsid w:val="005C0BD2"/>
    <w:rPr>
      <w:rFonts w:asciiTheme="majorHAnsi" w:eastAsiaTheme="majorEastAsia" w:hAnsiTheme="majorHAnsi" w:cstheme="majorBidi"/>
      <w:color w:val="1F4D78" w:themeColor="accent1" w:themeShade="7F"/>
      <w:sz w:val="24"/>
      <w:szCs w:val="24"/>
    </w:rPr>
  </w:style>
  <w:style w:type="character" w:styleId="HTMLKeyboard">
    <w:name w:val="HTML Keyboard"/>
    <w:semiHidden/>
    <w:unhideWhenUsed/>
    <w:rsid w:val="005C0BD2"/>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semiHidden/>
    <w:unhideWhenUsed/>
    <w:rsid w:val="005C0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5C0BD2"/>
    <w:rPr>
      <w:rFonts w:ascii="Courier New" w:eastAsia="Times New Roman" w:hAnsi="Courier New" w:cs="Times New Roman"/>
      <w:sz w:val="20"/>
      <w:lang w:val="de-AT" w:eastAsia="de-DE"/>
    </w:rPr>
  </w:style>
  <w:style w:type="character" w:styleId="HTMLSample">
    <w:name w:val="HTML Sample"/>
    <w:semiHidden/>
    <w:unhideWhenUsed/>
    <w:rsid w:val="005C0BD2"/>
    <w:rPr>
      <w:rFonts w:ascii="Courier New" w:eastAsia="Times New Roman" w:hAnsi="Courier New" w:cs="Courier New" w:hint="default"/>
    </w:rPr>
  </w:style>
  <w:style w:type="character" w:styleId="HTMLTypewriter">
    <w:name w:val="HTML Typewriter"/>
    <w:semiHidden/>
    <w:unhideWhenUsed/>
    <w:rsid w:val="005C0BD2"/>
    <w:rPr>
      <w:rFonts w:ascii="Courier New" w:eastAsia="Times New Roman" w:hAnsi="Courier New" w:cs="Courier New" w:hint="default"/>
      <w:sz w:val="20"/>
      <w:szCs w:val="20"/>
    </w:rPr>
  </w:style>
  <w:style w:type="paragraph" w:styleId="NormalWeb">
    <w:name w:val="Normal (Web)"/>
    <w:aliases w:val="Normal (Web) Char,Normal (Web) Char Char Char Char,Normal (Web) Char Char Char Char Char Char"/>
    <w:basedOn w:val="Heading1"/>
    <w:next w:val="Normal"/>
    <w:autoRedefine/>
    <w:uiPriority w:val="39"/>
    <w:semiHidden/>
    <w:unhideWhenUsed/>
    <w:qFormat/>
    <w:rsid w:val="005C0BD2"/>
    <w:pPr>
      <w:numPr>
        <w:numId w:val="0"/>
      </w:numPr>
      <w:tabs>
        <w:tab w:val="num" w:pos="360"/>
      </w:tabs>
      <w:spacing w:before="480"/>
      <w:ind w:left="360"/>
      <w:jc w:val="left"/>
      <w:outlineLvl w:val="9"/>
    </w:pPr>
    <w:rPr>
      <w:rFonts w:ascii="Cambria" w:eastAsia="Times New Roman" w:hAnsi="Cambria" w:cs="Times New Roman"/>
      <w:b/>
      <w:bCs/>
      <w:color w:val="365F91"/>
      <w:sz w:val="28"/>
      <w:szCs w:val="28"/>
      <w:lang w:eastAsia="ja-JP"/>
    </w:rPr>
  </w:style>
  <w:style w:type="character" w:customStyle="1" w:styleId="Heading7Char1">
    <w:name w:val="Heading 7 Char1"/>
    <w:aliases w:val="Style Left: 3 Char1,25 cm Char1"/>
    <w:basedOn w:val="DefaultParagraphFont"/>
    <w:uiPriority w:val="9"/>
    <w:semiHidden/>
    <w:rsid w:val="005C0BD2"/>
    <w:rPr>
      <w:rFonts w:asciiTheme="majorHAnsi" w:eastAsiaTheme="majorEastAsia" w:hAnsiTheme="majorHAnsi" w:cstheme="majorBidi"/>
      <w:i/>
      <w:iCs/>
      <w:color w:val="1F4D78" w:themeColor="accent1" w:themeShade="7F"/>
      <w:sz w:val="22"/>
      <w:szCs w:val="22"/>
    </w:rPr>
  </w:style>
  <w:style w:type="character" w:customStyle="1" w:styleId="Heading8Char1">
    <w:name w:val="Heading 8 Char1"/>
    <w:aliases w:val="h Char1"/>
    <w:basedOn w:val="DefaultParagraphFont"/>
    <w:uiPriority w:val="9"/>
    <w:semiHidden/>
    <w:rsid w:val="005C0BD2"/>
    <w:rPr>
      <w:rFonts w:asciiTheme="majorHAnsi" w:eastAsiaTheme="majorEastAsia" w:hAnsiTheme="majorHAnsi" w:cstheme="majorBidi"/>
      <w:color w:val="272727" w:themeColor="text1" w:themeTint="D8"/>
      <w:sz w:val="21"/>
      <w:szCs w:val="21"/>
    </w:rPr>
  </w:style>
  <w:style w:type="character" w:customStyle="1" w:styleId="NormalIndentChar">
    <w:name w:val="Normal Indent Char"/>
    <w:link w:val="NormalIndent"/>
    <w:semiHidden/>
    <w:locked/>
    <w:rsid w:val="005C0BD2"/>
    <w:rPr>
      <w:rFonts w:ascii="Tahoma" w:eastAsia="Times New Roman" w:hAnsi="Tahoma" w:cs="Times New Roman"/>
      <w:lang w:val="de-AT" w:eastAsia="de-DE"/>
    </w:rPr>
  </w:style>
  <w:style w:type="character" w:customStyle="1" w:styleId="FootnoteTextChar">
    <w:name w:val="Footnote Text Char"/>
    <w:aliases w:val="Char Char38,single space Char,footnote text Char,fn Char,FOOTNOTES Char,Fußnotentext Char Char,ADB Char,Footnote text Char,ft Char,Footnote Text Char2 Char Char,Footnote Text Char1 Char Char Char,Footno Char1,Geneva 9 Char1,f Char"/>
    <w:basedOn w:val="DefaultParagraphFont"/>
    <w:link w:val="FootnoteText"/>
    <w:uiPriority w:val="99"/>
    <w:locked/>
    <w:rsid w:val="005C0BD2"/>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99"/>
    <w:unhideWhenUsed/>
    <w:qFormat/>
    <w:rsid w:val="005C0BD2"/>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5C0BD2"/>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99"/>
    <w:semiHidden/>
    <w:locked/>
    <w:rsid w:val="005C0BD2"/>
    <w:rPr>
      <w:rFonts w:ascii="Calibri" w:eastAsia="MS Mincho" w:hAnsi="Calibri" w:cs="Times New Roman" w:hint="default"/>
      <w:sz w:val="20"/>
      <w:szCs w:val="20"/>
      <w:lang w:val="sq-AL"/>
    </w:rPr>
  </w:style>
  <w:style w:type="character" w:customStyle="1" w:styleId="HeaderChar">
    <w:name w:val="Header Char"/>
    <w:basedOn w:val="DefaultParagraphFont"/>
    <w:link w:val="Header"/>
    <w:uiPriority w:val="99"/>
    <w:semiHidden/>
    <w:locked/>
    <w:rsid w:val="005C0BD2"/>
    <w:rPr>
      <w:rFonts w:ascii="Calibri" w:eastAsia="Calibri" w:hAnsi="Calibri" w:cs="Times New Roman"/>
    </w:rPr>
  </w:style>
  <w:style w:type="character" w:customStyle="1" w:styleId="FooterChar">
    <w:name w:val="Footer Char"/>
    <w:basedOn w:val="DefaultParagraphFont"/>
    <w:link w:val="Footer"/>
    <w:uiPriority w:val="99"/>
    <w:semiHidden/>
    <w:locked/>
    <w:rsid w:val="005C0BD2"/>
    <w:rPr>
      <w:rFonts w:ascii="Calibri" w:eastAsia="Calibri" w:hAnsi="Calibri" w:cs="Times New Roman"/>
    </w:rPr>
  </w:style>
  <w:style w:type="character" w:customStyle="1" w:styleId="EndnoteTextChar">
    <w:name w:val="Endnote Text Char"/>
    <w:aliases w:val="Char Char Char"/>
    <w:basedOn w:val="DefaultParagraphFont"/>
    <w:link w:val="EndnoteText"/>
    <w:locked/>
    <w:rsid w:val="005C0BD2"/>
    <w:rPr>
      <w:rFonts w:ascii="Tahoma" w:eastAsia="Times New Roman" w:hAnsi="Tahoma" w:cs="Times New Roman"/>
      <w:sz w:val="20"/>
      <w:szCs w:val="20"/>
    </w:rPr>
  </w:style>
  <w:style w:type="paragraph" w:customStyle="1" w:styleId="EndnoteText">
    <w:name w:val="endnote text"/>
    <w:aliases w:val="Char Char"/>
    <w:basedOn w:val="Normal"/>
    <w:link w:val="EndnoteTextChar"/>
    <w:qFormat/>
    <w:rsid w:val="005C0BD2"/>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5C0BD2"/>
    <w:rPr>
      <w:rFonts w:ascii="Courier New" w:eastAsia="Times New Roman" w:hAnsi="Courier New" w:cs="Times New Roman"/>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qFormat/>
    <w:rsid w:val="005C0BD2"/>
    <w:pPr>
      <w:numPr>
        <w:numId w:val="4"/>
      </w:numPr>
      <w:spacing w:after="0" w:line="360" w:lineRule="auto"/>
      <w:jc w:val="left"/>
    </w:pPr>
    <w:rPr>
      <w:rFonts w:ascii="Tahoma" w:eastAsia="Times New Roman" w:hAnsi="Tahoma"/>
      <w:lang w:val="de-AT" w:eastAsia="de-DE"/>
    </w:rPr>
  </w:style>
  <w:style w:type="character" w:customStyle="1" w:styleId="TitleChar">
    <w:name w:val="Title Char"/>
    <w:basedOn w:val="DefaultParagraphFont"/>
    <w:link w:val="Title"/>
    <w:uiPriority w:val="10"/>
    <w:locked/>
    <w:rsid w:val="005C0BD2"/>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5C0BD2"/>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5C0BD2"/>
    <w:rPr>
      <w:rFonts w:ascii="Tahoma" w:eastAsia="Times New Roman" w:hAnsi="Tahoma" w:cs="Times New Roman"/>
      <w:lang w:val="de-AT" w:eastAsia="de-DE"/>
    </w:rPr>
  </w:style>
  <w:style w:type="character" w:customStyle="1" w:styleId="BodyTextChar">
    <w:name w:val="Body Text Char"/>
    <w:basedOn w:val="DefaultParagraphFont"/>
    <w:link w:val="BodyText"/>
    <w:semiHidden/>
    <w:locked/>
    <w:rsid w:val="005C0BD2"/>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uiPriority w:val="99"/>
    <w:semiHidden/>
    <w:locked/>
    <w:rsid w:val="005C0BD2"/>
    <w:rPr>
      <w:rFonts w:ascii="Calibri" w:eastAsia="Calibri" w:hAnsi="Calibri" w:cs="Times New Roman"/>
    </w:rPr>
  </w:style>
  <w:style w:type="character" w:customStyle="1" w:styleId="MessageHeaderChar">
    <w:name w:val="Message Header Char"/>
    <w:basedOn w:val="DefaultParagraphFont"/>
    <w:link w:val="MessageHeader"/>
    <w:semiHidden/>
    <w:locked/>
    <w:rsid w:val="005C0BD2"/>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uiPriority w:val="11"/>
    <w:locked/>
    <w:rsid w:val="005C0BD2"/>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5C0BD2"/>
    <w:rPr>
      <w:rFonts w:ascii="Tahoma" w:eastAsia="Times New Roman" w:hAnsi="Tahoma" w:cs="Times New Roman"/>
      <w:lang w:val="de-AT" w:eastAsia="de-DE"/>
    </w:rPr>
  </w:style>
  <w:style w:type="character" w:customStyle="1" w:styleId="DateChar">
    <w:name w:val="Date Char"/>
    <w:basedOn w:val="DefaultParagraphFont"/>
    <w:link w:val="Date"/>
    <w:semiHidden/>
    <w:locked/>
    <w:rsid w:val="005C0BD2"/>
    <w:rPr>
      <w:rFonts w:ascii="Tahoma" w:eastAsia="Times New Roman" w:hAnsi="Tahoma" w:cs="Times New Roman"/>
      <w:lang w:val="de-AT" w:eastAsia="de-DE"/>
    </w:rPr>
  </w:style>
  <w:style w:type="paragraph" w:styleId="BodyText">
    <w:name w:val="Body Text"/>
    <w:basedOn w:val="Normal"/>
    <w:link w:val="BodyTextChar"/>
    <w:semiHidden/>
    <w:unhideWhenUsed/>
    <w:qFormat/>
    <w:rsid w:val="005C0BD2"/>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99"/>
    <w:semiHidden/>
    <w:rsid w:val="005C0BD2"/>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5C0BD2"/>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uiPriority w:val="99"/>
    <w:semiHidden/>
    <w:unhideWhenUsed/>
    <w:rsid w:val="005C0BD2"/>
    <w:pPr>
      <w:spacing w:after="120"/>
      <w:ind w:left="360"/>
    </w:pPr>
  </w:style>
  <w:style w:type="character" w:customStyle="1" w:styleId="BodyTextIndentChar1">
    <w:name w:val="Body Text Indent Char1"/>
    <w:basedOn w:val="DefaultParagraphFont"/>
    <w:uiPriority w:val="99"/>
    <w:semiHidden/>
    <w:rsid w:val="005C0BD2"/>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5C0BD2"/>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5C0BD2"/>
    <w:rPr>
      <w:rFonts w:ascii="Tahoma" w:eastAsia="Times New Roman" w:hAnsi="Tahoma" w:cs="Times New Roman"/>
      <w:lang w:val="de-AT" w:eastAsia="de-DE"/>
    </w:rPr>
  </w:style>
  <w:style w:type="character" w:customStyle="1" w:styleId="BodyText2Char">
    <w:name w:val="Body Text 2 Char"/>
    <w:basedOn w:val="DefaultParagraphFont"/>
    <w:link w:val="BodyText2"/>
    <w:uiPriority w:val="99"/>
    <w:semiHidden/>
    <w:locked/>
    <w:rsid w:val="005C0BD2"/>
    <w:rPr>
      <w:rFonts w:ascii="Tahoma" w:eastAsia="Times New Roman" w:hAnsi="Tahoma" w:cs="Times New Roman"/>
      <w:lang w:val="de-AT" w:eastAsia="de-DE"/>
    </w:rPr>
  </w:style>
  <w:style w:type="character" w:customStyle="1" w:styleId="BodyText3Char">
    <w:name w:val="Body Text 3 Char"/>
    <w:basedOn w:val="DefaultParagraphFont"/>
    <w:link w:val="BodyText3"/>
    <w:uiPriority w:val="99"/>
    <w:semiHidden/>
    <w:locked/>
    <w:rsid w:val="005C0BD2"/>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uiPriority w:val="99"/>
    <w:semiHidden/>
    <w:locked/>
    <w:rsid w:val="005C0BD2"/>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uiPriority w:val="99"/>
    <w:semiHidden/>
    <w:locked/>
    <w:rsid w:val="005C0BD2"/>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uiPriority w:val="99"/>
    <w:semiHidden/>
    <w:locked/>
    <w:rsid w:val="005C0BD2"/>
    <w:rPr>
      <w:rFonts w:ascii="Tahoma" w:eastAsia="Times New Roman" w:hAnsi="Tahoma" w:cs="Times New Roman"/>
      <w:sz w:val="16"/>
      <w:szCs w:val="16"/>
      <w:lang w:val="sq-AL"/>
    </w:rPr>
  </w:style>
  <w:style w:type="character" w:customStyle="1" w:styleId="PlainTextChar">
    <w:name w:val="Plain Text Char"/>
    <w:basedOn w:val="DefaultParagraphFont"/>
    <w:link w:val="PlainText"/>
    <w:uiPriority w:val="99"/>
    <w:semiHidden/>
    <w:locked/>
    <w:rsid w:val="005C0BD2"/>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5C0BD2"/>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5C0BD2"/>
    <w:rPr>
      <w:rFonts w:ascii="Tahoma" w:eastAsia="Calibri" w:hAnsi="Tahoma" w:cs="Tahoma"/>
      <w:sz w:val="16"/>
      <w:szCs w:val="16"/>
    </w:rPr>
  </w:style>
  <w:style w:type="character" w:customStyle="1" w:styleId="NoSpacingChar">
    <w:name w:val="No Spacing Char"/>
    <w:basedOn w:val="DefaultParagraphFont"/>
    <w:link w:val="NoSpacing"/>
    <w:uiPriority w:val="1"/>
    <w:locked/>
    <w:rsid w:val="005C0BD2"/>
    <w:rPr>
      <w:rFonts w:ascii="Times New Roman" w:eastAsia="Times New Roman" w:hAnsi="Times New Roman" w:cs="Times New Roman"/>
      <w:sz w:val="24"/>
      <w:szCs w:val="24"/>
      <w:lang w:val="sq-AL"/>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5C0BD2"/>
    <w:rPr>
      <w:rFonts w:ascii="Calibri" w:eastAsia="Times New Roman" w:hAnsi="Calibri" w:cs="Times New Roman"/>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5C0BD2"/>
    <w:pPr>
      <w:ind w:left="720" w:firstLine="0"/>
      <w:contextualSpacing/>
      <w:jc w:val="left"/>
    </w:pPr>
    <w:rPr>
      <w:rFonts w:eastAsia="Times New Roman"/>
    </w:rPr>
  </w:style>
  <w:style w:type="character" w:customStyle="1" w:styleId="AktiChar">
    <w:name w:val="Akti Char"/>
    <w:basedOn w:val="DefaultParagraphFont"/>
    <w:link w:val="Akti"/>
    <w:locked/>
    <w:rsid w:val="005C0BD2"/>
    <w:rPr>
      <w:rFonts w:ascii="Garamond" w:eastAsia="MS Mincho" w:hAnsi="Garamond" w:cs="CG Times"/>
      <w:b/>
      <w:bCs/>
      <w:caps/>
      <w:color w:val="000000"/>
      <w:sz w:val="24"/>
      <w:lang w:val="en-GB"/>
    </w:rPr>
  </w:style>
  <w:style w:type="paragraph" w:customStyle="1" w:styleId="Akti">
    <w:name w:val="Akti"/>
    <w:link w:val="AktiChar"/>
    <w:qFormat/>
    <w:rsid w:val="005C0BD2"/>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5C0BD2"/>
    <w:rPr>
      <w:rFonts w:ascii="Garamond" w:eastAsia="MS Mincho" w:hAnsi="Garamond" w:cs="CG Times"/>
      <w:b/>
      <w:bCs/>
      <w:sz w:val="24"/>
      <w:lang w:val="en-GB"/>
    </w:rPr>
  </w:style>
  <w:style w:type="paragraph" w:customStyle="1" w:styleId="NumriData">
    <w:name w:val="Numri_Data"/>
    <w:next w:val="Normal"/>
    <w:link w:val="NumriDataChar"/>
    <w:qFormat/>
    <w:rsid w:val="005C0BD2"/>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5C0BD2"/>
    <w:rPr>
      <w:rFonts w:ascii="Garamond" w:eastAsia="MS Mincho" w:hAnsi="Garamond" w:cs="CG Times"/>
      <w:sz w:val="24"/>
    </w:rPr>
  </w:style>
  <w:style w:type="paragraph" w:customStyle="1" w:styleId="Paragrafi">
    <w:name w:val="Paragrafi"/>
    <w:link w:val="ParagrafiChar"/>
    <w:qFormat/>
    <w:rsid w:val="005C0BD2"/>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5C0BD2"/>
    <w:rPr>
      <w:rFonts w:ascii="Garamond" w:eastAsia="MS Mincho" w:hAnsi="Garamond" w:cs="CG Times"/>
      <w:b/>
      <w:bCs/>
      <w:caps/>
      <w:sz w:val="24"/>
      <w:lang w:val="en-GB"/>
    </w:rPr>
  </w:style>
  <w:style w:type="paragraph" w:customStyle="1" w:styleId="Titulli">
    <w:name w:val="Titulli"/>
    <w:next w:val="Normal"/>
    <w:link w:val="TitulliChar"/>
    <w:qFormat/>
    <w:rsid w:val="005C0BD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5C0BD2"/>
    <w:rPr>
      <w:rFonts w:ascii="Garamond" w:eastAsia="MS Mincho" w:hAnsi="Garamond" w:cs="CG Times"/>
      <w:sz w:val="24"/>
      <w:lang w:val="en-GB"/>
    </w:rPr>
  </w:style>
  <w:style w:type="paragraph" w:customStyle="1" w:styleId="NeniNr">
    <w:name w:val="Neni_Nr"/>
    <w:next w:val="Normal"/>
    <w:link w:val="NeniNrChar"/>
    <w:qFormat/>
    <w:rsid w:val="005C0BD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qFormat/>
    <w:rsid w:val="005C0BD2"/>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5C0BD2"/>
    <w:rPr>
      <w:rFonts w:ascii="Garamond" w:eastAsia="MS Mincho" w:hAnsi="Garamond" w:cs="CG Times"/>
      <w:caps/>
      <w:sz w:val="24"/>
      <w:lang w:val="en-GB"/>
    </w:rPr>
  </w:style>
  <w:style w:type="paragraph" w:customStyle="1" w:styleId="Autoriteti">
    <w:name w:val="Autoriteti"/>
    <w:next w:val="Normal"/>
    <w:link w:val="AutoritetiChar"/>
    <w:qFormat/>
    <w:rsid w:val="005C0BD2"/>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5C0BD2"/>
    <w:rPr>
      <w:rFonts w:ascii="Garamond" w:eastAsia="MS Mincho" w:hAnsi="Garamond" w:cs="Times New Roman"/>
      <w:b/>
      <w:bCs/>
      <w:sz w:val="24"/>
      <w:lang w:val="en-GB"/>
    </w:rPr>
  </w:style>
  <w:style w:type="paragraph" w:customStyle="1" w:styleId="AutoritetiEmer">
    <w:name w:val="Autoriteti_Emer"/>
    <w:next w:val="Normal"/>
    <w:link w:val="AutoritetiEmerChar"/>
    <w:qFormat/>
    <w:rsid w:val="005C0BD2"/>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5C0BD2"/>
    <w:pPr>
      <w:ind w:firstLine="0"/>
      <w:jc w:val="center"/>
    </w:pPr>
    <w:rPr>
      <w:caps/>
      <w:szCs w:val="24"/>
    </w:rPr>
  </w:style>
  <w:style w:type="paragraph" w:customStyle="1" w:styleId="Vendosi">
    <w:name w:val="Vendosi"/>
    <w:basedOn w:val="Titull-Titull"/>
    <w:uiPriority w:val="99"/>
    <w:qFormat/>
    <w:rsid w:val="005C0BD2"/>
  </w:style>
  <w:style w:type="paragraph" w:customStyle="1" w:styleId="Hapesira7">
    <w:name w:val="Hapesira 7"/>
    <w:basedOn w:val="Paragrafi"/>
    <w:uiPriority w:val="99"/>
    <w:qFormat/>
    <w:rsid w:val="005C0BD2"/>
    <w:rPr>
      <w:sz w:val="14"/>
      <w:szCs w:val="24"/>
    </w:rPr>
  </w:style>
  <w:style w:type="character" w:customStyle="1" w:styleId="Style1Char">
    <w:name w:val="Style1 Char"/>
    <w:link w:val="Style1"/>
    <w:locked/>
    <w:rsid w:val="005C0BD2"/>
    <w:rPr>
      <w:rFonts w:ascii="CG Times" w:eastAsia="MS Mincho" w:hAnsi="CG Times" w:cs="CG Times"/>
      <w:b/>
      <w:bCs/>
      <w:caps/>
      <w:color w:val="000000"/>
      <w:sz w:val="21"/>
      <w:lang w:val="en-GB"/>
    </w:rPr>
  </w:style>
  <w:style w:type="paragraph" w:customStyle="1" w:styleId="Style1">
    <w:name w:val="Style1"/>
    <w:basedOn w:val="Akti"/>
    <w:link w:val="Style1Char"/>
    <w:qFormat/>
    <w:rsid w:val="005C0BD2"/>
    <w:rPr>
      <w:rFonts w:ascii="CG Times" w:hAnsi="CG Times"/>
      <w:sz w:val="21"/>
    </w:rPr>
  </w:style>
  <w:style w:type="paragraph" w:customStyle="1" w:styleId="ADDRESS">
    <w:name w:val="ADDRESS"/>
    <w:basedOn w:val="Normal"/>
    <w:uiPriority w:val="99"/>
    <w:qFormat/>
    <w:rsid w:val="005C0BD2"/>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qFormat/>
    <w:rsid w:val="005C0BD2"/>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qFormat/>
    <w:rsid w:val="005C0BD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qFormat/>
    <w:rsid w:val="005C0BD2"/>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qFormat/>
    <w:rsid w:val="005C0BD2"/>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qFormat/>
    <w:rsid w:val="005C0BD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qFormat/>
    <w:rsid w:val="005C0BD2"/>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qFormat/>
    <w:rsid w:val="005C0BD2"/>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qFormat/>
    <w:rsid w:val="005C0BD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qFormat/>
    <w:rsid w:val="005C0BD2"/>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99"/>
    <w:qFormat/>
    <w:rsid w:val="005C0BD2"/>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qFormat/>
    <w:rsid w:val="005C0BD2"/>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qFormat/>
    <w:rsid w:val="005C0BD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qFormat/>
    <w:rsid w:val="005C0BD2"/>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qFormat/>
    <w:rsid w:val="005C0BD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qFormat/>
    <w:rsid w:val="005C0BD2"/>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qFormat/>
    <w:rsid w:val="005C0BD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qFormat/>
    <w:rsid w:val="005C0BD2"/>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qFormat/>
    <w:rsid w:val="005C0BD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qFormat/>
    <w:rsid w:val="005C0BD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qFormat/>
    <w:rsid w:val="005C0BD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qFormat/>
    <w:rsid w:val="005C0BD2"/>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qFormat/>
    <w:rsid w:val="005C0BD2"/>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qFormat/>
    <w:rsid w:val="005C0BD2"/>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qFormat/>
    <w:rsid w:val="005C0BD2"/>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qFormat/>
    <w:rsid w:val="005C0BD2"/>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qFormat/>
    <w:rsid w:val="005C0BD2"/>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qFormat/>
    <w:rsid w:val="005C0BD2"/>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qFormat/>
    <w:rsid w:val="005C0BD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qFormat/>
    <w:rsid w:val="005C0BD2"/>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qFormat/>
    <w:rsid w:val="005C0BD2"/>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qFormat/>
    <w:rsid w:val="005C0BD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qFormat/>
    <w:rsid w:val="005C0BD2"/>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qFormat/>
    <w:rsid w:val="005C0BD2"/>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qFormat/>
    <w:rsid w:val="005C0BD2"/>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qFormat/>
    <w:rsid w:val="005C0BD2"/>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qFormat/>
    <w:rsid w:val="005C0BD2"/>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qFormat/>
    <w:rsid w:val="005C0BD2"/>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qFormat/>
    <w:rsid w:val="005C0BD2"/>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qFormat/>
    <w:rsid w:val="005C0BD2"/>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qFormat/>
    <w:rsid w:val="005C0BD2"/>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qFormat/>
    <w:rsid w:val="005C0BD2"/>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qFormat/>
    <w:rsid w:val="005C0BD2"/>
    <w:pPr>
      <w:keepLines w:val="0"/>
      <w:widowControl w:val="0"/>
      <w:numPr>
        <w:numId w:val="0"/>
      </w:numPr>
      <w:tabs>
        <w:tab w:val="num" w:pos="360"/>
      </w:tabs>
      <w:spacing w:before="0" w:line="240" w:lineRule="auto"/>
      <w:ind w:left="360"/>
      <w:jc w:val="center"/>
    </w:pPr>
    <w:rPr>
      <w:rFonts w:ascii="CG Times" w:eastAsia="MS Mincho" w:hAnsi="CG Times" w:cs="CG Times"/>
      <w:caps/>
      <w:color w:val="auto"/>
      <w:sz w:val="21"/>
      <w:szCs w:val="22"/>
      <w:lang w:val="en-GB"/>
    </w:rPr>
  </w:style>
  <w:style w:type="paragraph" w:customStyle="1" w:styleId="PjesaNr">
    <w:name w:val="Pjesa_Nr"/>
    <w:next w:val="Normal"/>
    <w:uiPriority w:val="99"/>
    <w:qFormat/>
    <w:rsid w:val="005C0BD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qFormat/>
    <w:rsid w:val="005C0BD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qFormat/>
    <w:rsid w:val="005C0BD2"/>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qFormat/>
    <w:rsid w:val="005C0BD2"/>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qFormat/>
    <w:rsid w:val="005C0BD2"/>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qFormat/>
    <w:rsid w:val="005C0BD2"/>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qFormat/>
    <w:rsid w:val="005C0BD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qFormat/>
    <w:rsid w:val="005C0BD2"/>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qFormat/>
    <w:rsid w:val="005C0BD2"/>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qFormat/>
    <w:rsid w:val="005C0BD2"/>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qFormat/>
    <w:rsid w:val="005C0BD2"/>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qFormat/>
    <w:rsid w:val="005C0BD2"/>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qFormat/>
    <w:rsid w:val="005C0BD2"/>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qFormat/>
    <w:rsid w:val="005C0BD2"/>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uiPriority w:val="99"/>
    <w:qFormat/>
    <w:rsid w:val="005C0BD2"/>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uiPriority w:val="99"/>
    <w:qFormat/>
    <w:rsid w:val="005C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qFormat/>
    <w:rsid w:val="005C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qFormat/>
    <w:rsid w:val="005C0BD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qFormat/>
    <w:rsid w:val="005C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qFormat/>
    <w:rsid w:val="005C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qFormat/>
    <w:rsid w:val="005C0BD2"/>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qFormat/>
    <w:rsid w:val="005C0B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qFormat/>
    <w:rsid w:val="005C0B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qFormat/>
    <w:rsid w:val="005C0B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qFormat/>
    <w:rsid w:val="005C0BD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qFormat/>
    <w:rsid w:val="005C0BD2"/>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qFormat/>
    <w:rsid w:val="005C0BD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qFormat/>
    <w:rsid w:val="005C0BD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qFormat/>
    <w:rsid w:val="005C0BD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qFormat/>
    <w:rsid w:val="005C0BD2"/>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qFormat/>
    <w:rsid w:val="005C0BD2"/>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qFormat/>
    <w:rsid w:val="005C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qFormat/>
    <w:rsid w:val="005C0B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qFormat/>
    <w:rsid w:val="005C0B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qFormat/>
    <w:rsid w:val="005C0B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qFormat/>
    <w:rsid w:val="005C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qFormat/>
    <w:rsid w:val="005C0B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qFormat/>
    <w:rsid w:val="005C0BD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qFormat/>
    <w:rsid w:val="005C0BD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qFormat/>
    <w:rsid w:val="005C0BD2"/>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qFormat/>
    <w:rsid w:val="005C0BD2"/>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qFormat/>
    <w:rsid w:val="005C0BD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qFormat/>
    <w:rsid w:val="005C0BD2"/>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character" w:customStyle="1" w:styleId="DefaultChar">
    <w:name w:val="Default Char"/>
    <w:link w:val="Default"/>
    <w:locked/>
    <w:rsid w:val="005C0BD2"/>
    <w:rPr>
      <w:rFonts w:ascii="Times New Roman" w:eastAsia="Calibri" w:hAnsi="Times New Roman" w:cs="Times New Roman"/>
      <w:color w:val="000000"/>
      <w:sz w:val="24"/>
      <w:szCs w:val="24"/>
    </w:rPr>
  </w:style>
  <w:style w:type="paragraph" w:customStyle="1" w:styleId="Default">
    <w:name w:val="Default"/>
    <w:link w:val="DefaultChar"/>
    <w:qFormat/>
    <w:rsid w:val="005C0BD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qFormat/>
    <w:rsid w:val="005C0BD2"/>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5C0BD2"/>
    <w:rPr>
      <w:sz w:val="24"/>
      <w:lang w:val="en-GB" w:eastAsia="fr-FR"/>
    </w:rPr>
  </w:style>
  <w:style w:type="paragraph" w:customStyle="1" w:styleId="JuPara">
    <w:name w:val="Ju_Para"/>
    <w:aliases w:val="Left,First line:  0 cm,ECHR_Para,Para"/>
    <w:basedOn w:val="Normal"/>
    <w:link w:val="JuParaCar"/>
    <w:qFormat/>
    <w:rsid w:val="005C0BD2"/>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qFormat/>
    <w:rsid w:val="005C0BD2"/>
    <w:pPr>
      <w:spacing w:after="120" w:line="360" w:lineRule="auto"/>
      <w:jc w:val="both"/>
    </w:pPr>
    <w:rPr>
      <w:rFonts w:ascii="Calibri" w:eastAsia="MS Mincho" w:hAnsi="Calibri" w:cs="Times New Roman"/>
      <w:bCs/>
    </w:rPr>
  </w:style>
  <w:style w:type="paragraph" w:customStyle="1" w:styleId="ju-005fpara">
    <w:name w:val="ju-005fpara"/>
    <w:basedOn w:val="Normal"/>
    <w:uiPriority w:val="99"/>
    <w:qFormat/>
    <w:rsid w:val="005C0BD2"/>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qFormat/>
    <w:rsid w:val="005C0BD2"/>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qFormat/>
    <w:rsid w:val="005C0BD2"/>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qFormat/>
    <w:rsid w:val="005C0BD2"/>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qFormat/>
    <w:rsid w:val="005C0BD2"/>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qFormat/>
    <w:rsid w:val="005C0BD2"/>
    <w:pPr>
      <w:widowControl w:val="0"/>
    </w:pPr>
    <w:rPr>
      <w:rFonts w:ascii="Helvetica" w:eastAsia="Times New Roman" w:hAnsi="Helvetica" w:cs="Helvetica"/>
      <w:lang w:val="sq-AL"/>
    </w:rPr>
  </w:style>
  <w:style w:type="paragraph" w:customStyle="1" w:styleId="CM57">
    <w:name w:val="CM57"/>
    <w:basedOn w:val="Normal"/>
    <w:next w:val="Normal"/>
    <w:uiPriority w:val="99"/>
    <w:qFormat/>
    <w:rsid w:val="005C0BD2"/>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qFormat/>
    <w:rsid w:val="005C0BD2"/>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qFormat/>
    <w:rsid w:val="005C0BD2"/>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qFormat/>
    <w:rsid w:val="005C0BD2"/>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locked/>
    <w:rsid w:val="005C0BD2"/>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qFormat/>
    <w:rsid w:val="005C0BD2"/>
    <w:pPr>
      <w:keepNext w:val="0"/>
      <w:keepLines w:val="0"/>
      <w:numPr>
        <w:ilvl w:val="0"/>
        <w:numId w:val="0"/>
      </w:numPr>
      <w:tabs>
        <w:tab w:val="num" w:pos="2160"/>
      </w:tabs>
      <w:spacing w:before="0" w:line="268" w:lineRule="auto"/>
      <w:ind w:left="2160" w:hanging="360"/>
    </w:pPr>
    <w:rPr>
      <w:rFonts w:ascii="Cambria" w:eastAsia="MS Mincho" w:hAnsi="Cambria" w:cs="Cambria"/>
      <w:b/>
      <w:bCs/>
      <w:i/>
      <w:iCs/>
      <w:color w:val="7F7F7F"/>
      <w:sz w:val="24"/>
      <w:szCs w:val="24"/>
    </w:rPr>
  </w:style>
  <w:style w:type="paragraph" w:customStyle="1" w:styleId="tableheaders">
    <w:name w:val="table headers"/>
    <w:uiPriority w:val="99"/>
    <w:qFormat/>
    <w:rsid w:val="005C0BD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qFormat/>
    <w:rsid w:val="005C0BD2"/>
    <w:rPr>
      <w:b w:val="0"/>
    </w:rPr>
  </w:style>
  <w:style w:type="paragraph" w:customStyle="1" w:styleId="StyleStyle1Bold">
    <w:name w:val="Style Style1 + Bold"/>
    <w:basedOn w:val="Style1"/>
    <w:uiPriority w:val="99"/>
    <w:qFormat/>
    <w:rsid w:val="005C0BD2"/>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qFormat/>
    <w:rsid w:val="005C0BD2"/>
    <w:rPr>
      <w:rFonts w:ascii="EUAlbertina" w:hAnsi="EUAlbertina"/>
      <w:color w:val="auto"/>
    </w:rPr>
  </w:style>
  <w:style w:type="paragraph" w:customStyle="1" w:styleId="CM4">
    <w:name w:val="CM4"/>
    <w:basedOn w:val="Normal"/>
    <w:next w:val="Normal"/>
    <w:uiPriority w:val="99"/>
    <w:qFormat/>
    <w:rsid w:val="005C0BD2"/>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qFormat/>
    <w:rsid w:val="005C0BD2"/>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5C0BD2"/>
    <w:rPr>
      <w:rFonts w:ascii="Calibri" w:eastAsia="Times New Roman" w:hAnsi="Calibri" w:cs="Times New Roman"/>
      <w:sz w:val="24"/>
      <w:szCs w:val="24"/>
      <w:lang w:val="en-GB" w:eastAsia="en-GB"/>
    </w:rPr>
  </w:style>
  <w:style w:type="paragraph" w:customStyle="1" w:styleId="Point1">
    <w:name w:val="Point 1"/>
    <w:basedOn w:val="Normal"/>
    <w:link w:val="Point1Char"/>
    <w:qFormat/>
    <w:rsid w:val="005C0BD2"/>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5C0BD2"/>
    <w:rPr>
      <w:rFonts w:ascii="Calibri" w:eastAsia="Times New Roman" w:hAnsi="Calibri" w:cs="Times New Roman"/>
      <w:sz w:val="24"/>
      <w:szCs w:val="24"/>
      <w:lang w:val="en-GB" w:eastAsia="en-GB"/>
    </w:rPr>
  </w:style>
  <w:style w:type="paragraph" w:customStyle="1" w:styleId="Text1">
    <w:name w:val="Text 1"/>
    <w:basedOn w:val="Normal"/>
    <w:link w:val="Text1Char"/>
    <w:qFormat/>
    <w:rsid w:val="005C0BD2"/>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qFormat/>
    <w:rsid w:val="005C0BD2"/>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5C0BD2"/>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qFormat/>
    <w:rsid w:val="005C0BD2"/>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qFormat/>
    <w:rsid w:val="005C0BD2"/>
    <w:pPr>
      <w:keepNext/>
      <w:spacing w:before="360" w:after="120" w:line="240" w:lineRule="auto"/>
      <w:ind w:firstLine="0"/>
      <w:jc w:val="center"/>
    </w:pPr>
    <w:rPr>
      <w:rFonts w:ascii="Times New Roman" w:eastAsia="Times New Roman" w:hAnsi="Times New Roman"/>
      <w:i/>
      <w:iCs/>
      <w:sz w:val="24"/>
      <w:szCs w:val="24"/>
      <w:lang w:val="en-GB" w:eastAsia="en-GB"/>
    </w:rPr>
  </w:style>
  <w:style w:type="character" w:customStyle="1" w:styleId="SubsectionTitleCharCharChar">
    <w:name w:val="SubsectionTitle Char Char Char"/>
    <w:link w:val="SubsectionTitleCharChar"/>
    <w:locked/>
    <w:rsid w:val="005C0BD2"/>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qFormat/>
    <w:rsid w:val="005C0BD2"/>
  </w:style>
  <w:style w:type="paragraph" w:customStyle="1" w:styleId="Point0">
    <w:name w:val="Point 0"/>
    <w:basedOn w:val="Normal"/>
    <w:uiPriority w:val="99"/>
    <w:qFormat/>
    <w:rsid w:val="005C0BD2"/>
    <w:pPr>
      <w:spacing w:before="120" w:after="120" w:line="240" w:lineRule="auto"/>
      <w:ind w:left="850" w:hanging="850"/>
    </w:pPr>
    <w:rPr>
      <w:rFonts w:ascii="Times New Roman" w:eastAsia="Times New Roman" w:hAnsi="Times New Roman"/>
      <w:sz w:val="24"/>
      <w:szCs w:val="24"/>
      <w:lang w:val="en-GB" w:eastAsia="en-GB"/>
    </w:rPr>
  </w:style>
  <w:style w:type="character" w:customStyle="1" w:styleId="NumPar1Char">
    <w:name w:val="NumPar 1 Char"/>
    <w:basedOn w:val="DefaultParagraphFont"/>
    <w:link w:val="NumPar1"/>
    <w:uiPriority w:val="99"/>
    <w:locked/>
    <w:rsid w:val="005C0BD2"/>
    <w:rPr>
      <w:rFonts w:ascii="Times New Roman" w:eastAsia="Times New Roman" w:hAnsi="Times New Roman" w:cs="Times New Roman"/>
      <w:sz w:val="24"/>
      <w:lang w:val="en-GB" w:eastAsia="zh-CN"/>
    </w:rPr>
  </w:style>
  <w:style w:type="paragraph" w:customStyle="1" w:styleId="NumPar1">
    <w:name w:val="NumPar 1"/>
    <w:basedOn w:val="Normal"/>
    <w:next w:val="Normal"/>
    <w:link w:val="NumPar1Char"/>
    <w:uiPriority w:val="99"/>
    <w:qFormat/>
    <w:rsid w:val="005C0BD2"/>
    <w:pPr>
      <w:numPr>
        <w:numId w:val="12"/>
      </w:numPr>
      <w:spacing w:before="120" w:after="120" w:line="240" w:lineRule="auto"/>
    </w:pPr>
    <w:rPr>
      <w:rFonts w:ascii="Times New Roman" w:eastAsia="Times New Roman" w:hAnsi="Times New Roman"/>
      <w:sz w:val="24"/>
      <w:lang w:val="en-GB" w:eastAsia="zh-CN"/>
    </w:rPr>
  </w:style>
  <w:style w:type="paragraph" w:customStyle="1" w:styleId="NumPar2">
    <w:name w:val="NumPar 2"/>
    <w:basedOn w:val="Normal"/>
    <w:next w:val="Normal"/>
    <w:uiPriority w:val="99"/>
    <w:qFormat/>
    <w:rsid w:val="005C0BD2"/>
    <w:pPr>
      <w:numPr>
        <w:ilvl w:val="1"/>
        <w:numId w:val="1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qFormat/>
    <w:rsid w:val="005C0BD2"/>
    <w:pPr>
      <w:numPr>
        <w:ilvl w:val="2"/>
        <w:numId w:val="1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qFormat/>
    <w:rsid w:val="005C0BD2"/>
    <w:pPr>
      <w:numPr>
        <w:ilvl w:val="3"/>
        <w:numId w:val="1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qFormat/>
    <w:rsid w:val="005C0BD2"/>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5C0BD2"/>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qFormat/>
    <w:rsid w:val="005C0BD2"/>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qFormat/>
    <w:rsid w:val="005C0BD2"/>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qFormat/>
    <w:rsid w:val="005C0BD2"/>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qFormat/>
    <w:rsid w:val="005C0BD2"/>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qFormat/>
    <w:rsid w:val="005C0BD2"/>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qFormat/>
    <w:rsid w:val="005C0BD2"/>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qFormat/>
    <w:rsid w:val="005C0BD2"/>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5C0BD2"/>
    <w:rPr>
      <w:rFonts w:ascii="CG Times" w:eastAsia="Times New Roman" w:hAnsi="CG Times" w:cs="Times New Roman"/>
      <w:b/>
      <w:szCs w:val="24"/>
    </w:rPr>
  </w:style>
  <w:style w:type="paragraph" w:customStyle="1" w:styleId="ParagrafiCharCharChar">
    <w:name w:val="Paragrafi Char Char Char"/>
    <w:link w:val="ParagrafiCharCharCharChar"/>
    <w:qFormat/>
    <w:rsid w:val="005C0BD2"/>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qFormat/>
    <w:rsid w:val="005C0BD2"/>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5C0BD2"/>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qFormat/>
    <w:locked/>
    <w:rsid w:val="005C0BD2"/>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qFormat/>
    <w:locked/>
    <w:rsid w:val="005C0BD2"/>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qFormat/>
    <w:locked/>
    <w:rsid w:val="005C0BD2"/>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5C0BD2"/>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qFormat/>
    <w:rsid w:val="005C0BD2"/>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5C0BD2"/>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qFormat/>
    <w:rsid w:val="005C0BD2"/>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qFormat/>
    <w:rsid w:val="005C0BD2"/>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qFormat/>
    <w:rsid w:val="005C0BD2"/>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qFormat/>
    <w:rsid w:val="005C0BD2"/>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5C0BD2"/>
    <w:rPr>
      <w:rFonts w:ascii="Times New Roman" w:eastAsia="Times New Roman" w:hAnsi="Times New Roman" w:cs="Times New Roman"/>
      <w:sz w:val="24"/>
      <w:szCs w:val="20"/>
      <w:lang w:val="en-GB"/>
    </w:rPr>
  </w:style>
  <w:style w:type="paragraph" w:customStyle="1" w:styleId="Text0">
    <w:name w:val="Text"/>
    <w:basedOn w:val="Normal"/>
    <w:link w:val="TextChar"/>
    <w:uiPriority w:val="99"/>
    <w:qFormat/>
    <w:rsid w:val="005C0BD2"/>
    <w:pPr>
      <w:spacing w:after="240" w:line="240" w:lineRule="auto"/>
      <w:ind w:firstLine="0"/>
    </w:pPr>
    <w:rPr>
      <w:rFonts w:ascii="Times New Roman" w:eastAsia="Times New Roman" w:hAnsi="Times New Roman"/>
      <w:sz w:val="24"/>
      <w:szCs w:val="20"/>
      <w:lang w:val="en-GB"/>
    </w:rPr>
  </w:style>
  <w:style w:type="character" w:customStyle="1" w:styleId="ParagraphaChar">
    <w:name w:val="Paragraph (a) Char"/>
    <w:link w:val="Paragrapha"/>
    <w:locked/>
    <w:rsid w:val="005C0BD2"/>
    <w:rPr>
      <w:rFonts w:ascii="Times New Roman" w:eastAsia="Times New Roman" w:hAnsi="Times New Roman" w:cs="Times New Roman"/>
      <w:sz w:val="24"/>
      <w:szCs w:val="24"/>
      <w:lang w:val="en-GB" w:eastAsia="en-GB"/>
    </w:rPr>
  </w:style>
  <w:style w:type="paragraph" w:customStyle="1" w:styleId="Paragrapha">
    <w:name w:val="Paragraph (a)"/>
    <w:basedOn w:val="Normal"/>
    <w:link w:val="ParagraphaChar"/>
    <w:qFormat/>
    <w:rsid w:val="005C0BD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qFormat/>
    <w:rsid w:val="005C0BD2"/>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5C0BD2"/>
    <w:pPr>
      <w:tabs>
        <w:tab w:val="left" w:pos="6575"/>
      </w:tabs>
    </w:pPr>
    <w:rPr>
      <w:spacing w:val="-4"/>
    </w:rPr>
  </w:style>
  <w:style w:type="paragraph" w:customStyle="1" w:styleId="Cover1">
    <w:name w:val="Cover1"/>
    <w:basedOn w:val="Normal"/>
    <w:next w:val="Normal"/>
    <w:uiPriority w:val="99"/>
    <w:qFormat/>
    <w:rsid w:val="005C0BD2"/>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qFormat/>
    <w:rsid w:val="005C0BD2"/>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qFormat/>
    <w:rsid w:val="005C0BD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5C0BD2"/>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qFormat/>
    <w:rsid w:val="005C0BD2"/>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5C0BD2"/>
    <w:rPr>
      <w:rFonts w:ascii="Times New Roman" w:hAnsi="Times New Roman" w:cs="Times New Roman"/>
      <w:sz w:val="21"/>
      <w:szCs w:val="21"/>
      <w:shd w:val="clear" w:color="auto" w:fill="FFFFFF"/>
    </w:rPr>
  </w:style>
  <w:style w:type="paragraph" w:customStyle="1" w:styleId="BodyText1">
    <w:name w:val="Body Text1"/>
    <w:basedOn w:val="Normal"/>
    <w:link w:val="Bodytext0"/>
    <w:qFormat/>
    <w:rsid w:val="005C0BD2"/>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5C0BD2"/>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qFormat/>
    <w:rsid w:val="005C0BD2"/>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qFormat/>
    <w:rsid w:val="005C0BD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qFormat/>
    <w:rsid w:val="005C0BD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qFormat/>
    <w:rsid w:val="005C0BD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qFormat/>
    <w:rsid w:val="005C0BD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qFormat/>
    <w:rsid w:val="005C0BD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5C0BD2"/>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qFormat/>
    <w:rsid w:val="005C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qFormat/>
    <w:rsid w:val="005C0BD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5C0BD2"/>
    <w:rPr>
      <w:vertAlign w:val="superscript"/>
    </w:rPr>
  </w:style>
  <w:style w:type="paragraph" w:customStyle="1" w:styleId="Char2">
    <w:name w:val="Char2"/>
    <w:basedOn w:val="Normal"/>
    <w:link w:val="FootnoteReference"/>
    <w:uiPriority w:val="99"/>
    <w:qFormat/>
    <w:rsid w:val="005C0BD2"/>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qFormat/>
    <w:rsid w:val="005C0BD2"/>
    <w:pPr>
      <w:keepLines w:val="0"/>
      <w:numPr>
        <w:ilvl w:val="0"/>
        <w:numId w:val="0"/>
      </w:numPr>
      <w:spacing w:before="120" w:line="240" w:lineRule="auto"/>
      <w:ind w:left="810" w:hanging="360"/>
    </w:pPr>
    <w:rPr>
      <w:rFonts w:ascii="Garamond" w:eastAsia="Times New Roman" w:hAnsi="Garamond" w:cs="Times New Roman"/>
      <w:b/>
      <w:color w:val="0070C0"/>
      <w:sz w:val="48"/>
      <w:szCs w:val="48"/>
      <w:lang w:val="sv-SE"/>
    </w:rPr>
  </w:style>
  <w:style w:type="paragraph" w:customStyle="1" w:styleId="Style2">
    <w:name w:val="Style 2"/>
    <w:basedOn w:val="Normal"/>
    <w:uiPriority w:val="99"/>
    <w:qFormat/>
    <w:rsid w:val="005C0BD2"/>
    <w:pPr>
      <w:spacing w:before="120"/>
      <w:ind w:firstLine="0"/>
      <w:outlineLvl w:val="0"/>
    </w:pPr>
    <w:rPr>
      <w:rFonts w:ascii="Garamond" w:hAnsi="Garamond"/>
      <w:b/>
      <w:color w:val="0070C0"/>
      <w:sz w:val="36"/>
      <w:szCs w:val="28"/>
      <w:lang w:val="sq-AL"/>
    </w:rPr>
  </w:style>
  <w:style w:type="paragraph" w:customStyle="1" w:styleId="Style30">
    <w:name w:val="Style 3"/>
    <w:basedOn w:val="Style2"/>
    <w:uiPriority w:val="99"/>
    <w:qFormat/>
    <w:rsid w:val="005C0BD2"/>
    <w:rPr>
      <w:sz w:val="24"/>
    </w:rPr>
  </w:style>
  <w:style w:type="paragraph" w:customStyle="1" w:styleId="xl160">
    <w:name w:val="xl160"/>
    <w:basedOn w:val="Normal"/>
    <w:uiPriority w:val="99"/>
    <w:qFormat/>
    <w:rsid w:val="005C0BD2"/>
    <w:pPr>
      <w:pBdr>
        <w:left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1">
    <w:name w:val="xl161"/>
    <w:basedOn w:val="Normal"/>
    <w:uiPriority w:val="99"/>
    <w:qFormat/>
    <w:rsid w:val="005C0BD2"/>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2">
    <w:name w:val="xl162"/>
    <w:basedOn w:val="Normal"/>
    <w:uiPriority w:val="99"/>
    <w:qFormat/>
    <w:rsid w:val="005C0BD2"/>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uiPriority w:val="99"/>
    <w:qFormat/>
    <w:rsid w:val="005C0BD2"/>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4">
    <w:name w:val="xl164"/>
    <w:basedOn w:val="Normal"/>
    <w:uiPriority w:val="99"/>
    <w:qFormat/>
    <w:rsid w:val="005C0BD2"/>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uiPriority w:val="99"/>
    <w:qFormat/>
    <w:rsid w:val="005C0BD2"/>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uiPriority w:val="99"/>
    <w:qFormat/>
    <w:rsid w:val="005C0BD2"/>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7">
    <w:name w:val="xl167"/>
    <w:basedOn w:val="Normal"/>
    <w:uiPriority w:val="99"/>
    <w:qFormat/>
    <w:rsid w:val="005C0BD2"/>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uiPriority w:val="99"/>
    <w:qFormat/>
    <w:rsid w:val="005C0BD2"/>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9">
    <w:name w:val="xl169"/>
    <w:basedOn w:val="Normal"/>
    <w:uiPriority w:val="99"/>
    <w:qFormat/>
    <w:rsid w:val="005C0BD2"/>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uiPriority w:val="99"/>
    <w:qFormat/>
    <w:rsid w:val="005C0BD2"/>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1">
    <w:name w:val="xl171"/>
    <w:basedOn w:val="Normal"/>
    <w:uiPriority w:val="99"/>
    <w:qFormat/>
    <w:rsid w:val="005C0BD2"/>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2">
    <w:name w:val="xl172"/>
    <w:basedOn w:val="Normal"/>
    <w:uiPriority w:val="99"/>
    <w:qFormat/>
    <w:rsid w:val="005C0BD2"/>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uiPriority w:val="99"/>
    <w:qFormat/>
    <w:rsid w:val="005C0BD2"/>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uiPriority w:val="99"/>
    <w:qFormat/>
    <w:rsid w:val="005C0BD2"/>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5">
    <w:name w:val="xl175"/>
    <w:basedOn w:val="Normal"/>
    <w:uiPriority w:val="99"/>
    <w:qFormat/>
    <w:rsid w:val="005C0BD2"/>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6">
    <w:name w:val="xl176"/>
    <w:basedOn w:val="Normal"/>
    <w:uiPriority w:val="99"/>
    <w:qFormat/>
    <w:rsid w:val="005C0BD2"/>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7">
    <w:name w:val="xl177"/>
    <w:basedOn w:val="Normal"/>
    <w:uiPriority w:val="99"/>
    <w:qFormat/>
    <w:rsid w:val="005C0BD2"/>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8">
    <w:name w:val="xl178"/>
    <w:basedOn w:val="Normal"/>
    <w:uiPriority w:val="99"/>
    <w:qFormat/>
    <w:rsid w:val="005C0BD2"/>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uiPriority w:val="99"/>
    <w:qFormat/>
    <w:rsid w:val="005C0BD2"/>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uiPriority w:val="99"/>
    <w:qFormat/>
    <w:rsid w:val="005C0BD2"/>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1">
    <w:name w:val="xl181"/>
    <w:basedOn w:val="Normal"/>
    <w:uiPriority w:val="99"/>
    <w:qFormat/>
    <w:rsid w:val="005C0BD2"/>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2">
    <w:name w:val="xl182"/>
    <w:basedOn w:val="Normal"/>
    <w:uiPriority w:val="99"/>
    <w:qFormat/>
    <w:rsid w:val="005C0BD2"/>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3">
    <w:name w:val="xl183"/>
    <w:basedOn w:val="Normal"/>
    <w:uiPriority w:val="99"/>
    <w:qFormat/>
    <w:rsid w:val="005C0BD2"/>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uiPriority w:val="99"/>
    <w:qFormat/>
    <w:rsid w:val="005C0BD2"/>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uiPriority w:val="99"/>
    <w:qFormat/>
    <w:rsid w:val="005C0BD2"/>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6">
    <w:name w:val="xl186"/>
    <w:basedOn w:val="Normal"/>
    <w:uiPriority w:val="99"/>
    <w:qFormat/>
    <w:rsid w:val="005C0BD2"/>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uiPriority w:val="99"/>
    <w:qFormat/>
    <w:rsid w:val="005C0BD2"/>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8">
    <w:name w:val="xl188"/>
    <w:basedOn w:val="Normal"/>
    <w:uiPriority w:val="99"/>
    <w:qFormat/>
    <w:rsid w:val="005C0BD2"/>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9">
    <w:name w:val="xl189"/>
    <w:basedOn w:val="Normal"/>
    <w:uiPriority w:val="99"/>
    <w:qFormat/>
    <w:rsid w:val="005C0BD2"/>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0">
    <w:name w:val="xl190"/>
    <w:basedOn w:val="Normal"/>
    <w:uiPriority w:val="99"/>
    <w:qFormat/>
    <w:rsid w:val="005C0BD2"/>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1">
    <w:name w:val="xl191"/>
    <w:basedOn w:val="Normal"/>
    <w:uiPriority w:val="99"/>
    <w:qFormat/>
    <w:rsid w:val="005C0BD2"/>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2">
    <w:name w:val="xl192"/>
    <w:basedOn w:val="Normal"/>
    <w:uiPriority w:val="99"/>
    <w:qFormat/>
    <w:rsid w:val="005C0BD2"/>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3">
    <w:name w:val="xl193"/>
    <w:basedOn w:val="Normal"/>
    <w:uiPriority w:val="99"/>
    <w:qFormat/>
    <w:rsid w:val="005C0BD2"/>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4">
    <w:name w:val="xl194"/>
    <w:basedOn w:val="Normal"/>
    <w:uiPriority w:val="99"/>
    <w:qFormat/>
    <w:rsid w:val="005C0BD2"/>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uiPriority w:val="99"/>
    <w:qFormat/>
    <w:rsid w:val="005C0BD2"/>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uiPriority w:val="99"/>
    <w:qFormat/>
    <w:rsid w:val="005C0BD2"/>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7">
    <w:name w:val="xl197"/>
    <w:basedOn w:val="Normal"/>
    <w:uiPriority w:val="99"/>
    <w:qFormat/>
    <w:rsid w:val="005C0BD2"/>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8">
    <w:name w:val="xl198"/>
    <w:basedOn w:val="Normal"/>
    <w:uiPriority w:val="99"/>
    <w:qFormat/>
    <w:rsid w:val="005C0BD2"/>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9">
    <w:name w:val="xl199"/>
    <w:basedOn w:val="Normal"/>
    <w:uiPriority w:val="99"/>
    <w:qFormat/>
    <w:rsid w:val="005C0BD2"/>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0">
    <w:name w:val="xl200"/>
    <w:basedOn w:val="Normal"/>
    <w:uiPriority w:val="99"/>
    <w:qFormat/>
    <w:rsid w:val="005C0BD2"/>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1">
    <w:name w:val="xl201"/>
    <w:basedOn w:val="Normal"/>
    <w:uiPriority w:val="99"/>
    <w:qFormat/>
    <w:rsid w:val="005C0BD2"/>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2">
    <w:name w:val="xl202"/>
    <w:basedOn w:val="Normal"/>
    <w:uiPriority w:val="99"/>
    <w:qFormat/>
    <w:rsid w:val="005C0BD2"/>
    <w:pPr>
      <w:pBdr>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3">
    <w:name w:val="xl203"/>
    <w:basedOn w:val="Normal"/>
    <w:uiPriority w:val="99"/>
    <w:qFormat/>
    <w:rsid w:val="005C0BD2"/>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4">
    <w:name w:val="xl204"/>
    <w:basedOn w:val="Normal"/>
    <w:uiPriority w:val="99"/>
    <w:qFormat/>
    <w:rsid w:val="005C0BD2"/>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5">
    <w:name w:val="xl205"/>
    <w:basedOn w:val="Normal"/>
    <w:uiPriority w:val="99"/>
    <w:qFormat/>
    <w:rsid w:val="005C0BD2"/>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6">
    <w:name w:val="xl206"/>
    <w:basedOn w:val="Normal"/>
    <w:uiPriority w:val="99"/>
    <w:qFormat/>
    <w:rsid w:val="005C0BD2"/>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7">
    <w:name w:val="xl207"/>
    <w:basedOn w:val="Normal"/>
    <w:uiPriority w:val="99"/>
    <w:qFormat/>
    <w:rsid w:val="005C0BD2"/>
    <w:pPr>
      <w:pBdr>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uiPriority w:val="99"/>
    <w:qFormat/>
    <w:rsid w:val="005C0BD2"/>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9">
    <w:name w:val="xl209"/>
    <w:basedOn w:val="Normal"/>
    <w:uiPriority w:val="99"/>
    <w:qFormat/>
    <w:rsid w:val="005C0BD2"/>
    <w:pPr>
      <w:pBdr>
        <w:top w:val="single" w:sz="4" w:space="0" w:color="auto"/>
        <w:bottom w:val="single" w:sz="4"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0">
    <w:name w:val="xl210"/>
    <w:basedOn w:val="Normal"/>
    <w:uiPriority w:val="99"/>
    <w:qFormat/>
    <w:rsid w:val="005C0BD2"/>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1">
    <w:name w:val="xl211"/>
    <w:basedOn w:val="Normal"/>
    <w:uiPriority w:val="99"/>
    <w:qFormat/>
    <w:rsid w:val="005C0BD2"/>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uiPriority w:val="99"/>
    <w:qFormat/>
    <w:rsid w:val="005C0BD2"/>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uiPriority w:val="99"/>
    <w:qFormat/>
    <w:rsid w:val="005C0BD2"/>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uiPriority w:val="99"/>
    <w:qFormat/>
    <w:rsid w:val="005C0BD2"/>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5">
    <w:name w:val="xl215"/>
    <w:basedOn w:val="Normal"/>
    <w:uiPriority w:val="99"/>
    <w:qFormat/>
    <w:rsid w:val="005C0BD2"/>
    <w:pPr>
      <w:pBdr>
        <w:top w:val="single" w:sz="4"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6">
    <w:name w:val="xl216"/>
    <w:basedOn w:val="Normal"/>
    <w:uiPriority w:val="99"/>
    <w:qFormat/>
    <w:rsid w:val="005C0BD2"/>
    <w:pPr>
      <w:pBdr>
        <w:top w:val="single" w:sz="4" w:space="0" w:color="auto"/>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7">
    <w:name w:val="xl217"/>
    <w:basedOn w:val="Normal"/>
    <w:uiPriority w:val="99"/>
    <w:qFormat/>
    <w:rsid w:val="005C0BD2"/>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8">
    <w:name w:val="xl218"/>
    <w:basedOn w:val="Normal"/>
    <w:uiPriority w:val="99"/>
    <w:qFormat/>
    <w:rsid w:val="005C0BD2"/>
    <w:pPr>
      <w:pBdr>
        <w:top w:val="single" w:sz="4"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uiPriority w:val="99"/>
    <w:qFormat/>
    <w:rsid w:val="005C0BD2"/>
    <w:pPr>
      <w:pBdr>
        <w:top w:val="double" w:sz="6"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0">
    <w:name w:val="xl220"/>
    <w:basedOn w:val="Normal"/>
    <w:uiPriority w:val="99"/>
    <w:qFormat/>
    <w:rsid w:val="005C0BD2"/>
    <w:pPr>
      <w:pBdr>
        <w:top w:val="double" w:sz="6" w:space="0" w:color="auto"/>
        <w:lef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1">
    <w:name w:val="xl221"/>
    <w:basedOn w:val="Normal"/>
    <w:uiPriority w:val="99"/>
    <w:qFormat/>
    <w:rsid w:val="005C0BD2"/>
    <w:pPr>
      <w:pBdr>
        <w:top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2">
    <w:name w:val="xl222"/>
    <w:basedOn w:val="Normal"/>
    <w:uiPriority w:val="99"/>
    <w:qFormat/>
    <w:rsid w:val="005C0BD2"/>
    <w:pPr>
      <w:pBdr>
        <w:top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3">
    <w:name w:val="xl223"/>
    <w:basedOn w:val="Normal"/>
    <w:uiPriority w:val="99"/>
    <w:qFormat/>
    <w:rsid w:val="005C0BD2"/>
    <w:pPr>
      <w:pBdr>
        <w:top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4">
    <w:name w:val="xl224"/>
    <w:basedOn w:val="Normal"/>
    <w:uiPriority w:val="99"/>
    <w:qFormat/>
    <w:rsid w:val="005C0BD2"/>
    <w:pPr>
      <w:pBdr>
        <w:left w:val="double" w:sz="6" w:space="0" w:color="auto"/>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uiPriority w:val="99"/>
    <w:qFormat/>
    <w:rsid w:val="005C0BD2"/>
    <w:pPr>
      <w:pBdr>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uiPriority w:val="99"/>
    <w:qFormat/>
    <w:rsid w:val="005C0BD2"/>
    <w:pPr>
      <w:pBdr>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uiPriority w:val="99"/>
    <w:qFormat/>
    <w:rsid w:val="005C0BD2"/>
    <w:pPr>
      <w:pBdr>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8">
    <w:name w:val="xl228"/>
    <w:basedOn w:val="Normal"/>
    <w:uiPriority w:val="99"/>
    <w:qFormat/>
    <w:rsid w:val="005C0BD2"/>
    <w:pPr>
      <w:pBdr>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9">
    <w:name w:val="xl229"/>
    <w:basedOn w:val="Normal"/>
    <w:uiPriority w:val="99"/>
    <w:qFormat/>
    <w:rsid w:val="005C0BD2"/>
    <w:pPr>
      <w:pBdr>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uiPriority w:val="99"/>
    <w:qFormat/>
    <w:rsid w:val="005C0BD2"/>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uiPriority w:val="99"/>
    <w:qFormat/>
    <w:rsid w:val="005C0BD2"/>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2">
    <w:name w:val="xl232"/>
    <w:basedOn w:val="Normal"/>
    <w:uiPriority w:val="99"/>
    <w:qFormat/>
    <w:rsid w:val="005C0BD2"/>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uiPriority w:val="99"/>
    <w:qFormat/>
    <w:rsid w:val="005C0BD2"/>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4">
    <w:name w:val="xl234"/>
    <w:basedOn w:val="Normal"/>
    <w:uiPriority w:val="99"/>
    <w:qFormat/>
    <w:rsid w:val="005C0BD2"/>
    <w:pPr>
      <w:pBdr>
        <w:top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5">
    <w:name w:val="xl235"/>
    <w:basedOn w:val="Normal"/>
    <w:uiPriority w:val="99"/>
    <w:qFormat/>
    <w:rsid w:val="005C0BD2"/>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6">
    <w:name w:val="xl236"/>
    <w:basedOn w:val="Normal"/>
    <w:uiPriority w:val="99"/>
    <w:qFormat/>
    <w:rsid w:val="005C0BD2"/>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7">
    <w:name w:val="xl237"/>
    <w:basedOn w:val="Normal"/>
    <w:uiPriority w:val="99"/>
    <w:qFormat/>
    <w:rsid w:val="005C0BD2"/>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38">
    <w:name w:val="xl238"/>
    <w:basedOn w:val="Normal"/>
    <w:uiPriority w:val="99"/>
    <w:qFormat/>
    <w:rsid w:val="005C0BD2"/>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39">
    <w:name w:val="xl239"/>
    <w:basedOn w:val="Normal"/>
    <w:uiPriority w:val="99"/>
    <w:qFormat/>
    <w:rsid w:val="005C0BD2"/>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0">
    <w:name w:val="xl240"/>
    <w:basedOn w:val="Normal"/>
    <w:uiPriority w:val="99"/>
    <w:qFormat/>
    <w:rsid w:val="005C0BD2"/>
    <w:pPr>
      <w:pBdr>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41">
    <w:name w:val="xl241"/>
    <w:basedOn w:val="Normal"/>
    <w:uiPriority w:val="99"/>
    <w:qFormat/>
    <w:rsid w:val="005C0BD2"/>
    <w:pPr>
      <w:pBdr>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2">
    <w:name w:val="xl242"/>
    <w:basedOn w:val="Normal"/>
    <w:uiPriority w:val="99"/>
    <w:qFormat/>
    <w:rsid w:val="005C0BD2"/>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3">
    <w:name w:val="xl243"/>
    <w:basedOn w:val="Normal"/>
    <w:uiPriority w:val="99"/>
    <w:qFormat/>
    <w:rsid w:val="005C0BD2"/>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4">
    <w:name w:val="xl244"/>
    <w:basedOn w:val="Normal"/>
    <w:uiPriority w:val="99"/>
    <w:qFormat/>
    <w:rsid w:val="005C0BD2"/>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5">
    <w:name w:val="xl245"/>
    <w:basedOn w:val="Normal"/>
    <w:uiPriority w:val="99"/>
    <w:qFormat/>
    <w:rsid w:val="005C0BD2"/>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6">
    <w:name w:val="xl246"/>
    <w:basedOn w:val="Normal"/>
    <w:uiPriority w:val="99"/>
    <w:qFormat/>
    <w:rsid w:val="005C0BD2"/>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7">
    <w:name w:val="xl247"/>
    <w:basedOn w:val="Normal"/>
    <w:uiPriority w:val="99"/>
    <w:qFormat/>
    <w:rsid w:val="005C0BD2"/>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8">
    <w:name w:val="xl248"/>
    <w:basedOn w:val="Normal"/>
    <w:uiPriority w:val="99"/>
    <w:qFormat/>
    <w:rsid w:val="005C0BD2"/>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9">
    <w:name w:val="xl249"/>
    <w:basedOn w:val="Normal"/>
    <w:uiPriority w:val="99"/>
    <w:qFormat/>
    <w:rsid w:val="005C0BD2"/>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0">
    <w:name w:val="xl250"/>
    <w:basedOn w:val="Normal"/>
    <w:uiPriority w:val="99"/>
    <w:qFormat/>
    <w:rsid w:val="005C0BD2"/>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1">
    <w:name w:val="xl251"/>
    <w:basedOn w:val="Normal"/>
    <w:uiPriority w:val="99"/>
    <w:qFormat/>
    <w:rsid w:val="005C0BD2"/>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2">
    <w:name w:val="xl252"/>
    <w:basedOn w:val="Normal"/>
    <w:uiPriority w:val="99"/>
    <w:qFormat/>
    <w:rsid w:val="005C0BD2"/>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3">
    <w:name w:val="xl253"/>
    <w:basedOn w:val="Normal"/>
    <w:uiPriority w:val="99"/>
    <w:qFormat/>
    <w:rsid w:val="005C0BD2"/>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4">
    <w:name w:val="xl254"/>
    <w:basedOn w:val="Normal"/>
    <w:uiPriority w:val="99"/>
    <w:qFormat/>
    <w:rsid w:val="005C0BD2"/>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5">
    <w:name w:val="xl255"/>
    <w:basedOn w:val="Normal"/>
    <w:uiPriority w:val="99"/>
    <w:qFormat/>
    <w:rsid w:val="005C0BD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6">
    <w:name w:val="xl256"/>
    <w:basedOn w:val="Normal"/>
    <w:uiPriority w:val="99"/>
    <w:qFormat/>
    <w:rsid w:val="005C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7">
    <w:name w:val="xl257"/>
    <w:basedOn w:val="Normal"/>
    <w:uiPriority w:val="99"/>
    <w:qFormat/>
    <w:rsid w:val="005C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8">
    <w:name w:val="xl258"/>
    <w:basedOn w:val="Normal"/>
    <w:uiPriority w:val="99"/>
    <w:qFormat/>
    <w:rsid w:val="005C0BD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9">
    <w:name w:val="xl259"/>
    <w:basedOn w:val="Normal"/>
    <w:uiPriority w:val="99"/>
    <w:qFormat/>
    <w:rsid w:val="005C0BD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60">
    <w:name w:val="xl260"/>
    <w:basedOn w:val="Normal"/>
    <w:uiPriority w:val="99"/>
    <w:qFormat/>
    <w:rsid w:val="005C0BD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1">
    <w:name w:val="xl261"/>
    <w:basedOn w:val="Normal"/>
    <w:uiPriority w:val="99"/>
    <w:qFormat/>
    <w:rsid w:val="005C0BD2"/>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2">
    <w:name w:val="xl262"/>
    <w:basedOn w:val="Normal"/>
    <w:uiPriority w:val="99"/>
    <w:qFormat/>
    <w:rsid w:val="005C0BD2"/>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3">
    <w:name w:val="xl263"/>
    <w:basedOn w:val="Normal"/>
    <w:uiPriority w:val="99"/>
    <w:qFormat/>
    <w:rsid w:val="005C0BD2"/>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4">
    <w:name w:val="xl264"/>
    <w:basedOn w:val="Normal"/>
    <w:uiPriority w:val="99"/>
    <w:qFormat/>
    <w:rsid w:val="005C0BD2"/>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5">
    <w:name w:val="xl265"/>
    <w:basedOn w:val="Normal"/>
    <w:uiPriority w:val="99"/>
    <w:qFormat/>
    <w:rsid w:val="005C0BD2"/>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6">
    <w:name w:val="xl266"/>
    <w:basedOn w:val="Normal"/>
    <w:uiPriority w:val="99"/>
    <w:qFormat/>
    <w:rsid w:val="005C0BD2"/>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7">
    <w:name w:val="xl267"/>
    <w:basedOn w:val="Normal"/>
    <w:uiPriority w:val="99"/>
    <w:qFormat/>
    <w:rsid w:val="005C0BD2"/>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8">
    <w:name w:val="xl268"/>
    <w:basedOn w:val="Normal"/>
    <w:uiPriority w:val="99"/>
    <w:qFormat/>
    <w:rsid w:val="005C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9">
    <w:name w:val="xl269"/>
    <w:basedOn w:val="Normal"/>
    <w:uiPriority w:val="99"/>
    <w:qFormat/>
    <w:rsid w:val="005C0BD2"/>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0">
    <w:name w:val="xl270"/>
    <w:basedOn w:val="Normal"/>
    <w:uiPriority w:val="99"/>
    <w:qFormat/>
    <w:rsid w:val="005C0BD2"/>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1">
    <w:name w:val="xl271"/>
    <w:basedOn w:val="Normal"/>
    <w:uiPriority w:val="99"/>
    <w:qFormat/>
    <w:rsid w:val="005C0BD2"/>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2">
    <w:name w:val="xl272"/>
    <w:basedOn w:val="Normal"/>
    <w:uiPriority w:val="99"/>
    <w:qFormat/>
    <w:rsid w:val="005C0BD2"/>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3">
    <w:name w:val="xl273"/>
    <w:basedOn w:val="Normal"/>
    <w:uiPriority w:val="99"/>
    <w:qFormat/>
    <w:rsid w:val="005C0BD2"/>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4">
    <w:name w:val="xl274"/>
    <w:basedOn w:val="Normal"/>
    <w:uiPriority w:val="99"/>
    <w:qFormat/>
    <w:rsid w:val="005C0BD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5">
    <w:name w:val="xl275"/>
    <w:basedOn w:val="Normal"/>
    <w:uiPriority w:val="99"/>
    <w:qFormat/>
    <w:rsid w:val="005C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6">
    <w:name w:val="xl276"/>
    <w:basedOn w:val="Normal"/>
    <w:uiPriority w:val="99"/>
    <w:qFormat/>
    <w:rsid w:val="005C0BD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7">
    <w:name w:val="xl277"/>
    <w:basedOn w:val="Normal"/>
    <w:uiPriority w:val="99"/>
    <w:qFormat/>
    <w:rsid w:val="005C0BD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8">
    <w:name w:val="xl278"/>
    <w:basedOn w:val="Normal"/>
    <w:uiPriority w:val="99"/>
    <w:qFormat/>
    <w:rsid w:val="005C0BD2"/>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9">
    <w:name w:val="xl279"/>
    <w:basedOn w:val="Normal"/>
    <w:uiPriority w:val="99"/>
    <w:qFormat/>
    <w:rsid w:val="005C0BD2"/>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0">
    <w:name w:val="xl280"/>
    <w:basedOn w:val="Normal"/>
    <w:uiPriority w:val="99"/>
    <w:qFormat/>
    <w:rsid w:val="005C0BD2"/>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1">
    <w:name w:val="xl281"/>
    <w:basedOn w:val="Normal"/>
    <w:uiPriority w:val="99"/>
    <w:qFormat/>
    <w:rsid w:val="005C0BD2"/>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82">
    <w:name w:val="xl282"/>
    <w:basedOn w:val="Normal"/>
    <w:uiPriority w:val="99"/>
    <w:qFormat/>
    <w:rsid w:val="005C0BD2"/>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3">
    <w:name w:val="xl283"/>
    <w:basedOn w:val="Normal"/>
    <w:uiPriority w:val="99"/>
    <w:qFormat/>
    <w:rsid w:val="005C0BD2"/>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4">
    <w:name w:val="xl284"/>
    <w:basedOn w:val="Normal"/>
    <w:uiPriority w:val="99"/>
    <w:qFormat/>
    <w:rsid w:val="005C0BD2"/>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5">
    <w:name w:val="xl285"/>
    <w:basedOn w:val="Normal"/>
    <w:uiPriority w:val="99"/>
    <w:qFormat/>
    <w:rsid w:val="005C0BD2"/>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6">
    <w:name w:val="xl286"/>
    <w:basedOn w:val="Normal"/>
    <w:uiPriority w:val="99"/>
    <w:qFormat/>
    <w:rsid w:val="005C0BD2"/>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7">
    <w:name w:val="xl287"/>
    <w:basedOn w:val="Normal"/>
    <w:uiPriority w:val="99"/>
    <w:qFormat/>
    <w:rsid w:val="005C0BD2"/>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8">
    <w:name w:val="xl288"/>
    <w:basedOn w:val="Normal"/>
    <w:uiPriority w:val="99"/>
    <w:qFormat/>
    <w:rsid w:val="005C0BD2"/>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9">
    <w:name w:val="xl289"/>
    <w:basedOn w:val="Normal"/>
    <w:uiPriority w:val="99"/>
    <w:qFormat/>
    <w:rsid w:val="005C0BD2"/>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90">
    <w:name w:val="xl290"/>
    <w:basedOn w:val="Normal"/>
    <w:uiPriority w:val="99"/>
    <w:qFormat/>
    <w:rsid w:val="005C0BD2"/>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1">
    <w:name w:val="xl291"/>
    <w:basedOn w:val="Normal"/>
    <w:uiPriority w:val="99"/>
    <w:qFormat/>
    <w:rsid w:val="005C0BD2"/>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2">
    <w:name w:val="xl292"/>
    <w:basedOn w:val="Normal"/>
    <w:uiPriority w:val="99"/>
    <w:qFormat/>
    <w:rsid w:val="005C0BD2"/>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3">
    <w:name w:val="xl293"/>
    <w:basedOn w:val="Normal"/>
    <w:uiPriority w:val="99"/>
    <w:qFormat/>
    <w:rsid w:val="005C0BD2"/>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4">
    <w:name w:val="xl294"/>
    <w:basedOn w:val="Normal"/>
    <w:uiPriority w:val="99"/>
    <w:qFormat/>
    <w:rsid w:val="005C0BD2"/>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5">
    <w:name w:val="xl295"/>
    <w:basedOn w:val="Normal"/>
    <w:uiPriority w:val="99"/>
    <w:qFormat/>
    <w:rsid w:val="005C0BD2"/>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6">
    <w:name w:val="xl296"/>
    <w:basedOn w:val="Normal"/>
    <w:uiPriority w:val="99"/>
    <w:qFormat/>
    <w:rsid w:val="005C0BD2"/>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7">
    <w:name w:val="xl297"/>
    <w:basedOn w:val="Normal"/>
    <w:uiPriority w:val="99"/>
    <w:qFormat/>
    <w:rsid w:val="005C0BD2"/>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8">
    <w:name w:val="xl298"/>
    <w:basedOn w:val="Normal"/>
    <w:uiPriority w:val="99"/>
    <w:qFormat/>
    <w:rsid w:val="005C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9">
    <w:name w:val="xl299"/>
    <w:basedOn w:val="Normal"/>
    <w:uiPriority w:val="99"/>
    <w:qFormat/>
    <w:rsid w:val="005C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0">
    <w:name w:val="xl300"/>
    <w:basedOn w:val="Normal"/>
    <w:uiPriority w:val="99"/>
    <w:qFormat/>
    <w:rsid w:val="005C0BD2"/>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1">
    <w:name w:val="xl301"/>
    <w:basedOn w:val="Normal"/>
    <w:uiPriority w:val="99"/>
    <w:qFormat/>
    <w:rsid w:val="005C0BD2"/>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2">
    <w:name w:val="xl302"/>
    <w:basedOn w:val="Normal"/>
    <w:uiPriority w:val="99"/>
    <w:qFormat/>
    <w:rsid w:val="005C0BD2"/>
    <w:pPr>
      <w:pBdr>
        <w:top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3">
    <w:name w:val="xl303"/>
    <w:basedOn w:val="Normal"/>
    <w:uiPriority w:val="99"/>
    <w:qFormat/>
    <w:rsid w:val="005C0BD2"/>
    <w:pPr>
      <w:pBdr>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4">
    <w:name w:val="xl304"/>
    <w:basedOn w:val="Normal"/>
    <w:uiPriority w:val="99"/>
    <w:qFormat/>
    <w:rsid w:val="005C0BD2"/>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5">
    <w:name w:val="xl305"/>
    <w:basedOn w:val="Normal"/>
    <w:uiPriority w:val="99"/>
    <w:qFormat/>
    <w:rsid w:val="005C0BD2"/>
    <w:pPr>
      <w:pBdr>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6">
    <w:name w:val="xl306"/>
    <w:basedOn w:val="Normal"/>
    <w:uiPriority w:val="99"/>
    <w:qFormat/>
    <w:rsid w:val="005C0BD2"/>
    <w:pPr>
      <w:pBdr>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7">
    <w:name w:val="xl307"/>
    <w:basedOn w:val="Normal"/>
    <w:uiPriority w:val="99"/>
    <w:qFormat/>
    <w:rsid w:val="005C0BD2"/>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8">
    <w:name w:val="xl308"/>
    <w:basedOn w:val="Normal"/>
    <w:uiPriority w:val="99"/>
    <w:qFormat/>
    <w:rsid w:val="005C0BD2"/>
    <w:pPr>
      <w:pBdr>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9">
    <w:name w:val="xl309"/>
    <w:basedOn w:val="Normal"/>
    <w:uiPriority w:val="99"/>
    <w:qFormat/>
    <w:rsid w:val="005C0BD2"/>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0">
    <w:name w:val="xl310"/>
    <w:basedOn w:val="Normal"/>
    <w:uiPriority w:val="99"/>
    <w:qFormat/>
    <w:rsid w:val="005C0BD2"/>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1">
    <w:name w:val="xl311"/>
    <w:basedOn w:val="Normal"/>
    <w:uiPriority w:val="99"/>
    <w:qFormat/>
    <w:rsid w:val="005C0BD2"/>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2">
    <w:name w:val="xl312"/>
    <w:basedOn w:val="Normal"/>
    <w:uiPriority w:val="99"/>
    <w:qFormat/>
    <w:rsid w:val="005C0BD2"/>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3">
    <w:name w:val="xl313"/>
    <w:basedOn w:val="Normal"/>
    <w:uiPriority w:val="99"/>
    <w:qFormat/>
    <w:rsid w:val="005C0BD2"/>
    <w:pPr>
      <w:pBdr>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4">
    <w:name w:val="xl314"/>
    <w:basedOn w:val="Normal"/>
    <w:uiPriority w:val="99"/>
    <w:qFormat/>
    <w:rsid w:val="005C0BD2"/>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5">
    <w:name w:val="xl315"/>
    <w:basedOn w:val="Normal"/>
    <w:uiPriority w:val="99"/>
    <w:qFormat/>
    <w:rsid w:val="005C0BD2"/>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6">
    <w:name w:val="xl316"/>
    <w:basedOn w:val="Normal"/>
    <w:uiPriority w:val="99"/>
    <w:qFormat/>
    <w:rsid w:val="005C0BD2"/>
    <w:pPr>
      <w:pBdr>
        <w:top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7">
    <w:name w:val="xl317"/>
    <w:basedOn w:val="Normal"/>
    <w:uiPriority w:val="99"/>
    <w:qFormat/>
    <w:rsid w:val="005C0BD2"/>
    <w:pPr>
      <w:pBdr>
        <w:top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8">
    <w:name w:val="xl318"/>
    <w:basedOn w:val="Normal"/>
    <w:uiPriority w:val="99"/>
    <w:qFormat/>
    <w:rsid w:val="005C0BD2"/>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19">
    <w:name w:val="xl319"/>
    <w:basedOn w:val="Normal"/>
    <w:uiPriority w:val="99"/>
    <w:qFormat/>
    <w:rsid w:val="005C0BD2"/>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0">
    <w:name w:val="xl320"/>
    <w:basedOn w:val="Normal"/>
    <w:uiPriority w:val="99"/>
    <w:qFormat/>
    <w:rsid w:val="005C0BD2"/>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1">
    <w:name w:val="xl321"/>
    <w:basedOn w:val="Normal"/>
    <w:uiPriority w:val="99"/>
    <w:qFormat/>
    <w:rsid w:val="005C0BD2"/>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22">
    <w:name w:val="xl322"/>
    <w:basedOn w:val="Normal"/>
    <w:uiPriority w:val="99"/>
    <w:qFormat/>
    <w:rsid w:val="005C0BD2"/>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3">
    <w:name w:val="xl323"/>
    <w:basedOn w:val="Normal"/>
    <w:uiPriority w:val="99"/>
    <w:qFormat/>
    <w:rsid w:val="005C0BD2"/>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4">
    <w:name w:val="xl324"/>
    <w:basedOn w:val="Normal"/>
    <w:uiPriority w:val="99"/>
    <w:qFormat/>
    <w:rsid w:val="005C0BD2"/>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5">
    <w:name w:val="xl325"/>
    <w:basedOn w:val="Normal"/>
    <w:uiPriority w:val="99"/>
    <w:qFormat/>
    <w:rsid w:val="005C0BD2"/>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26">
    <w:name w:val="xl326"/>
    <w:basedOn w:val="Normal"/>
    <w:uiPriority w:val="99"/>
    <w:qFormat/>
    <w:rsid w:val="005C0BD2"/>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7">
    <w:name w:val="xl327"/>
    <w:basedOn w:val="Normal"/>
    <w:uiPriority w:val="99"/>
    <w:qFormat/>
    <w:rsid w:val="005C0BD2"/>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8">
    <w:name w:val="xl328"/>
    <w:basedOn w:val="Normal"/>
    <w:uiPriority w:val="99"/>
    <w:qFormat/>
    <w:rsid w:val="005C0BD2"/>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9">
    <w:name w:val="xl329"/>
    <w:basedOn w:val="Normal"/>
    <w:uiPriority w:val="99"/>
    <w:qFormat/>
    <w:rsid w:val="005C0BD2"/>
    <w:pPr>
      <w:pBdr>
        <w:top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0">
    <w:name w:val="xl330"/>
    <w:basedOn w:val="Normal"/>
    <w:uiPriority w:val="99"/>
    <w:qFormat/>
    <w:rsid w:val="005C0BD2"/>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1">
    <w:name w:val="xl331"/>
    <w:basedOn w:val="Normal"/>
    <w:uiPriority w:val="99"/>
    <w:qFormat/>
    <w:rsid w:val="005C0BD2"/>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2">
    <w:name w:val="xl332"/>
    <w:basedOn w:val="Normal"/>
    <w:uiPriority w:val="99"/>
    <w:qFormat/>
    <w:rsid w:val="005C0BD2"/>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3">
    <w:name w:val="xl333"/>
    <w:basedOn w:val="Normal"/>
    <w:uiPriority w:val="99"/>
    <w:qFormat/>
    <w:rsid w:val="005C0BD2"/>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4">
    <w:name w:val="xl334"/>
    <w:basedOn w:val="Normal"/>
    <w:uiPriority w:val="99"/>
    <w:qFormat/>
    <w:rsid w:val="005C0BD2"/>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5">
    <w:name w:val="xl335"/>
    <w:basedOn w:val="Normal"/>
    <w:uiPriority w:val="99"/>
    <w:qFormat/>
    <w:rsid w:val="005C0BD2"/>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6">
    <w:name w:val="xl336"/>
    <w:basedOn w:val="Normal"/>
    <w:uiPriority w:val="99"/>
    <w:qFormat/>
    <w:rsid w:val="005C0BD2"/>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7">
    <w:name w:val="xl337"/>
    <w:basedOn w:val="Normal"/>
    <w:uiPriority w:val="99"/>
    <w:qFormat/>
    <w:rsid w:val="005C0BD2"/>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b/>
      <w:bCs/>
      <w:sz w:val="18"/>
      <w:szCs w:val="18"/>
    </w:rPr>
  </w:style>
  <w:style w:type="paragraph" w:customStyle="1" w:styleId="xl338">
    <w:name w:val="xl338"/>
    <w:basedOn w:val="Normal"/>
    <w:uiPriority w:val="99"/>
    <w:qFormat/>
    <w:rsid w:val="005C0BD2"/>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39">
    <w:name w:val="xl339"/>
    <w:basedOn w:val="Normal"/>
    <w:uiPriority w:val="99"/>
    <w:qFormat/>
    <w:rsid w:val="005C0BD2"/>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0">
    <w:name w:val="xl340"/>
    <w:basedOn w:val="Normal"/>
    <w:uiPriority w:val="99"/>
    <w:qFormat/>
    <w:rsid w:val="005C0BD2"/>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1">
    <w:name w:val="xl341"/>
    <w:basedOn w:val="Normal"/>
    <w:uiPriority w:val="99"/>
    <w:qFormat/>
    <w:rsid w:val="005C0BD2"/>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2">
    <w:name w:val="xl342"/>
    <w:basedOn w:val="Normal"/>
    <w:uiPriority w:val="99"/>
    <w:qFormat/>
    <w:rsid w:val="005C0BD2"/>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3">
    <w:name w:val="xl343"/>
    <w:basedOn w:val="Normal"/>
    <w:uiPriority w:val="99"/>
    <w:qFormat/>
    <w:rsid w:val="005C0BD2"/>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4">
    <w:name w:val="xl344"/>
    <w:basedOn w:val="Normal"/>
    <w:uiPriority w:val="99"/>
    <w:qFormat/>
    <w:rsid w:val="005C0BD2"/>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5">
    <w:name w:val="xl345"/>
    <w:basedOn w:val="Normal"/>
    <w:uiPriority w:val="99"/>
    <w:qFormat/>
    <w:rsid w:val="005C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6">
    <w:name w:val="xl346"/>
    <w:basedOn w:val="Normal"/>
    <w:uiPriority w:val="99"/>
    <w:qFormat/>
    <w:rsid w:val="005C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7">
    <w:name w:val="xl347"/>
    <w:basedOn w:val="Normal"/>
    <w:uiPriority w:val="99"/>
    <w:qFormat/>
    <w:rsid w:val="005C0BD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8">
    <w:name w:val="xl348"/>
    <w:basedOn w:val="Normal"/>
    <w:uiPriority w:val="99"/>
    <w:qFormat/>
    <w:rsid w:val="005C0BD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9">
    <w:name w:val="xl349"/>
    <w:basedOn w:val="Normal"/>
    <w:uiPriority w:val="99"/>
    <w:qFormat/>
    <w:rsid w:val="005C0BD2"/>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0">
    <w:name w:val="xl350"/>
    <w:basedOn w:val="Normal"/>
    <w:uiPriority w:val="99"/>
    <w:qFormat/>
    <w:rsid w:val="005C0BD2"/>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1">
    <w:name w:val="xl351"/>
    <w:basedOn w:val="Normal"/>
    <w:uiPriority w:val="99"/>
    <w:qFormat/>
    <w:rsid w:val="005C0BD2"/>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2">
    <w:name w:val="xl352"/>
    <w:basedOn w:val="Normal"/>
    <w:uiPriority w:val="99"/>
    <w:qFormat/>
    <w:rsid w:val="005C0BD2"/>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3">
    <w:name w:val="xl353"/>
    <w:basedOn w:val="Normal"/>
    <w:uiPriority w:val="99"/>
    <w:qFormat/>
    <w:rsid w:val="005C0BD2"/>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54">
    <w:name w:val="xl354"/>
    <w:basedOn w:val="Normal"/>
    <w:uiPriority w:val="99"/>
    <w:qFormat/>
    <w:rsid w:val="005C0BD2"/>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5">
    <w:name w:val="xl355"/>
    <w:basedOn w:val="Normal"/>
    <w:uiPriority w:val="99"/>
    <w:qFormat/>
    <w:rsid w:val="005C0BD2"/>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6">
    <w:name w:val="xl356"/>
    <w:basedOn w:val="Normal"/>
    <w:uiPriority w:val="99"/>
    <w:qFormat/>
    <w:rsid w:val="005C0BD2"/>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7">
    <w:name w:val="xl357"/>
    <w:basedOn w:val="Normal"/>
    <w:uiPriority w:val="99"/>
    <w:qFormat/>
    <w:rsid w:val="005C0BD2"/>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8">
    <w:name w:val="xl358"/>
    <w:basedOn w:val="Normal"/>
    <w:uiPriority w:val="99"/>
    <w:qFormat/>
    <w:rsid w:val="005C0BD2"/>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9">
    <w:name w:val="xl359"/>
    <w:basedOn w:val="Normal"/>
    <w:uiPriority w:val="99"/>
    <w:qFormat/>
    <w:rsid w:val="005C0BD2"/>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0">
    <w:name w:val="xl360"/>
    <w:basedOn w:val="Normal"/>
    <w:uiPriority w:val="99"/>
    <w:qFormat/>
    <w:rsid w:val="005C0BD2"/>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1">
    <w:name w:val="xl361"/>
    <w:basedOn w:val="Normal"/>
    <w:uiPriority w:val="99"/>
    <w:qFormat/>
    <w:rsid w:val="005C0BD2"/>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2">
    <w:name w:val="xl362"/>
    <w:basedOn w:val="Normal"/>
    <w:uiPriority w:val="99"/>
    <w:qFormat/>
    <w:rsid w:val="005C0BD2"/>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63">
    <w:name w:val="xl363"/>
    <w:basedOn w:val="Normal"/>
    <w:uiPriority w:val="99"/>
    <w:qFormat/>
    <w:rsid w:val="005C0BD2"/>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4">
    <w:name w:val="xl364"/>
    <w:basedOn w:val="Normal"/>
    <w:uiPriority w:val="99"/>
    <w:qFormat/>
    <w:rsid w:val="005C0BD2"/>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5">
    <w:name w:val="xl365"/>
    <w:basedOn w:val="Normal"/>
    <w:uiPriority w:val="99"/>
    <w:qFormat/>
    <w:rsid w:val="005C0BD2"/>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66">
    <w:name w:val="xl366"/>
    <w:basedOn w:val="Normal"/>
    <w:uiPriority w:val="99"/>
    <w:qFormat/>
    <w:rsid w:val="005C0BD2"/>
    <w:pPr>
      <w:pBdr>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7">
    <w:name w:val="xl367"/>
    <w:basedOn w:val="Normal"/>
    <w:uiPriority w:val="99"/>
    <w:qFormat/>
    <w:rsid w:val="005C0BD2"/>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8">
    <w:name w:val="xl368"/>
    <w:basedOn w:val="Normal"/>
    <w:uiPriority w:val="99"/>
    <w:qFormat/>
    <w:rsid w:val="005C0BD2"/>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9">
    <w:name w:val="xl369"/>
    <w:basedOn w:val="Normal"/>
    <w:uiPriority w:val="99"/>
    <w:qFormat/>
    <w:rsid w:val="005C0BD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uiPriority w:val="99"/>
    <w:qFormat/>
    <w:rsid w:val="005C0BD2"/>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1">
    <w:name w:val="xl371"/>
    <w:basedOn w:val="Normal"/>
    <w:uiPriority w:val="99"/>
    <w:qFormat/>
    <w:rsid w:val="005C0BD2"/>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2">
    <w:name w:val="xl372"/>
    <w:basedOn w:val="Normal"/>
    <w:uiPriority w:val="99"/>
    <w:qFormat/>
    <w:rsid w:val="005C0BD2"/>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73">
    <w:name w:val="xl373"/>
    <w:basedOn w:val="Normal"/>
    <w:uiPriority w:val="99"/>
    <w:qFormat/>
    <w:rsid w:val="005C0BD2"/>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4">
    <w:name w:val="xl374"/>
    <w:basedOn w:val="Normal"/>
    <w:uiPriority w:val="99"/>
    <w:qFormat/>
    <w:rsid w:val="005C0BD2"/>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5">
    <w:name w:val="xl375"/>
    <w:basedOn w:val="Normal"/>
    <w:uiPriority w:val="99"/>
    <w:qFormat/>
    <w:rsid w:val="005C0BD2"/>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6">
    <w:name w:val="xl376"/>
    <w:basedOn w:val="Normal"/>
    <w:uiPriority w:val="99"/>
    <w:qFormat/>
    <w:rsid w:val="005C0BD2"/>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77">
    <w:name w:val="xl377"/>
    <w:basedOn w:val="Normal"/>
    <w:uiPriority w:val="99"/>
    <w:qFormat/>
    <w:rsid w:val="005C0BD2"/>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8">
    <w:name w:val="xl378"/>
    <w:basedOn w:val="Normal"/>
    <w:uiPriority w:val="99"/>
    <w:qFormat/>
    <w:rsid w:val="005C0BD2"/>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9">
    <w:name w:val="xl379"/>
    <w:basedOn w:val="Normal"/>
    <w:uiPriority w:val="99"/>
    <w:qFormat/>
    <w:rsid w:val="005C0BD2"/>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0">
    <w:name w:val="xl380"/>
    <w:basedOn w:val="Normal"/>
    <w:uiPriority w:val="99"/>
    <w:qFormat/>
    <w:rsid w:val="005C0BD2"/>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1">
    <w:name w:val="xl381"/>
    <w:basedOn w:val="Normal"/>
    <w:uiPriority w:val="99"/>
    <w:qFormat/>
    <w:rsid w:val="005C0BD2"/>
    <w:pPr>
      <w:pBdr>
        <w:top w:val="single" w:sz="4" w:space="0" w:color="auto"/>
        <w:bottom w:val="single" w:sz="4" w:space="0" w:color="auto"/>
      </w:pBd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2">
    <w:name w:val="xl382"/>
    <w:basedOn w:val="Normal"/>
    <w:uiPriority w:val="99"/>
    <w:qFormat/>
    <w:rsid w:val="005C0BD2"/>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3">
    <w:name w:val="xl383"/>
    <w:basedOn w:val="Normal"/>
    <w:uiPriority w:val="99"/>
    <w:qFormat/>
    <w:rsid w:val="005C0BD2"/>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4">
    <w:name w:val="xl384"/>
    <w:basedOn w:val="Normal"/>
    <w:uiPriority w:val="99"/>
    <w:qFormat/>
    <w:rsid w:val="005C0BD2"/>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5">
    <w:name w:val="xl385"/>
    <w:basedOn w:val="Normal"/>
    <w:uiPriority w:val="99"/>
    <w:qFormat/>
    <w:rsid w:val="005C0BD2"/>
    <w:pPr>
      <w:pBdr>
        <w:top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6">
    <w:name w:val="xl386"/>
    <w:basedOn w:val="Normal"/>
    <w:uiPriority w:val="99"/>
    <w:qFormat/>
    <w:rsid w:val="005C0BD2"/>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7">
    <w:name w:val="xl387"/>
    <w:basedOn w:val="Normal"/>
    <w:uiPriority w:val="99"/>
    <w:qFormat/>
    <w:rsid w:val="005C0BD2"/>
    <w:pP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8">
    <w:name w:val="xl388"/>
    <w:basedOn w:val="Normal"/>
    <w:uiPriority w:val="99"/>
    <w:qFormat/>
    <w:rsid w:val="005C0BD2"/>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9">
    <w:name w:val="xl389"/>
    <w:basedOn w:val="Normal"/>
    <w:uiPriority w:val="99"/>
    <w:qFormat/>
    <w:rsid w:val="005C0BD2"/>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0">
    <w:name w:val="xl390"/>
    <w:basedOn w:val="Normal"/>
    <w:uiPriority w:val="99"/>
    <w:qFormat/>
    <w:rsid w:val="005C0BD2"/>
    <w:pPr>
      <w:pBdr>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1">
    <w:name w:val="xl391"/>
    <w:basedOn w:val="Normal"/>
    <w:uiPriority w:val="99"/>
    <w:qFormat/>
    <w:rsid w:val="005C0BD2"/>
    <w:pPr>
      <w:pBdr>
        <w:top w:val="single" w:sz="4" w:space="0" w:color="auto"/>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2">
    <w:name w:val="xl392"/>
    <w:basedOn w:val="Normal"/>
    <w:uiPriority w:val="99"/>
    <w:qFormat/>
    <w:rsid w:val="005C0BD2"/>
    <w:pPr>
      <w:pBdr>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3">
    <w:name w:val="xl393"/>
    <w:basedOn w:val="Normal"/>
    <w:uiPriority w:val="99"/>
    <w:qFormat/>
    <w:rsid w:val="005C0BD2"/>
    <w:pPr>
      <w:pBdr>
        <w:left w:val="single" w:sz="4" w:space="0"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font7">
    <w:name w:val="font7"/>
    <w:basedOn w:val="Normal"/>
    <w:uiPriority w:val="99"/>
    <w:qFormat/>
    <w:rsid w:val="005C0BD2"/>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uiPriority w:val="99"/>
    <w:qFormat/>
    <w:rsid w:val="005C0BD2"/>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qFormat/>
    <w:rsid w:val="005C0BD2"/>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5C0BD2"/>
    <w:rPr>
      <w:rFonts w:ascii="Times New Roman" w:hAnsi="Times New Roman" w:cs="Times New Roman"/>
      <w:sz w:val="19"/>
      <w:szCs w:val="19"/>
      <w:shd w:val="clear" w:color="auto" w:fill="FFFFFF"/>
    </w:rPr>
  </w:style>
  <w:style w:type="paragraph" w:customStyle="1" w:styleId="Notedebasdepage0">
    <w:name w:val="Note de bas de page"/>
    <w:basedOn w:val="Normal"/>
    <w:link w:val="Notedebasdepage"/>
    <w:uiPriority w:val="99"/>
    <w:qFormat/>
    <w:rsid w:val="005C0BD2"/>
    <w:pPr>
      <w:shd w:val="clear" w:color="auto" w:fill="FFFFFF"/>
      <w:spacing w:after="0" w:line="182" w:lineRule="exact"/>
      <w:ind w:left="562" w:right="40" w:hanging="539"/>
    </w:pPr>
    <w:rPr>
      <w:rFonts w:ascii="Times New Roman" w:eastAsiaTheme="minorHAnsi" w:hAnsi="Times New Roman"/>
      <w:sz w:val="19"/>
      <w:szCs w:val="19"/>
    </w:rPr>
  </w:style>
  <w:style w:type="character" w:customStyle="1" w:styleId="En-tte1">
    <w:name w:val="En-tête #1_"/>
    <w:basedOn w:val="DefaultParagraphFont"/>
    <w:link w:val="En-tte10"/>
    <w:uiPriority w:val="99"/>
    <w:locked/>
    <w:rsid w:val="005C0BD2"/>
    <w:rPr>
      <w:rFonts w:ascii="Times New Roman" w:hAnsi="Times New Roman" w:cs="Times New Roman"/>
      <w:b/>
      <w:bCs/>
      <w:sz w:val="30"/>
      <w:szCs w:val="30"/>
      <w:shd w:val="clear" w:color="auto" w:fill="FFFFFF"/>
    </w:rPr>
  </w:style>
  <w:style w:type="paragraph" w:customStyle="1" w:styleId="En-tte10">
    <w:name w:val="En-tête #1"/>
    <w:basedOn w:val="Normal"/>
    <w:link w:val="En-tte1"/>
    <w:uiPriority w:val="99"/>
    <w:qFormat/>
    <w:rsid w:val="005C0BD2"/>
    <w:pPr>
      <w:shd w:val="clear" w:color="auto" w:fill="FFFFFF"/>
      <w:spacing w:after="240" w:line="240" w:lineRule="atLeast"/>
      <w:ind w:left="562" w:right="40" w:hanging="539"/>
      <w:outlineLvl w:val="0"/>
    </w:pPr>
    <w:rPr>
      <w:rFonts w:ascii="Times New Roman" w:eastAsiaTheme="minorHAnsi" w:hAnsi="Times New Roman"/>
      <w:b/>
      <w:bCs/>
      <w:sz w:val="30"/>
      <w:szCs w:val="30"/>
    </w:rPr>
  </w:style>
  <w:style w:type="character" w:customStyle="1" w:styleId="En-tteoupieddepage">
    <w:name w:val="En-tête ou pied de page_"/>
    <w:basedOn w:val="DefaultParagraphFont"/>
    <w:link w:val="En-tteoupieddepage1"/>
    <w:uiPriority w:val="99"/>
    <w:locked/>
    <w:rsid w:val="005C0BD2"/>
    <w:rPr>
      <w:rFonts w:ascii="Times New Roman" w:hAnsi="Times New Roman" w:cs="Times New Roman"/>
      <w:sz w:val="20"/>
      <w:szCs w:val="20"/>
      <w:shd w:val="clear" w:color="auto" w:fill="FFFFFF"/>
    </w:rPr>
  </w:style>
  <w:style w:type="paragraph" w:customStyle="1" w:styleId="En-tteoupieddepage1">
    <w:name w:val="En-tête ou pied de page1"/>
    <w:basedOn w:val="Normal"/>
    <w:link w:val="En-tteoupieddepage"/>
    <w:uiPriority w:val="99"/>
    <w:qFormat/>
    <w:rsid w:val="005C0BD2"/>
    <w:pPr>
      <w:shd w:val="clear" w:color="auto" w:fill="FFFFFF"/>
      <w:spacing w:after="0" w:line="274" w:lineRule="exact"/>
      <w:ind w:left="562" w:right="40" w:hanging="539"/>
    </w:pPr>
    <w:rPr>
      <w:rFonts w:ascii="Times New Roman" w:eastAsiaTheme="minorHAnsi" w:hAnsi="Times New Roman"/>
      <w:sz w:val="20"/>
      <w:szCs w:val="20"/>
    </w:rPr>
  </w:style>
  <w:style w:type="character" w:customStyle="1" w:styleId="Corpsdutexte2">
    <w:name w:val="Corps du texte (2)_"/>
    <w:basedOn w:val="DefaultParagraphFont"/>
    <w:link w:val="Corpsdutexte20"/>
    <w:uiPriority w:val="99"/>
    <w:locked/>
    <w:rsid w:val="005C0BD2"/>
    <w:rPr>
      <w:rFonts w:ascii="Times New Roman" w:hAnsi="Times New Roman" w:cs="Times New Roman"/>
      <w:sz w:val="31"/>
      <w:szCs w:val="31"/>
      <w:shd w:val="clear" w:color="auto" w:fill="FFFFFF"/>
    </w:rPr>
  </w:style>
  <w:style w:type="paragraph" w:customStyle="1" w:styleId="Corpsdutexte20">
    <w:name w:val="Corps du texte (2)"/>
    <w:basedOn w:val="Normal"/>
    <w:link w:val="Corpsdutexte2"/>
    <w:uiPriority w:val="99"/>
    <w:qFormat/>
    <w:rsid w:val="005C0BD2"/>
    <w:pPr>
      <w:shd w:val="clear" w:color="auto" w:fill="FFFFFF"/>
      <w:spacing w:before="240" w:after="480" w:line="240" w:lineRule="atLeast"/>
      <w:ind w:left="562" w:right="40" w:hanging="539"/>
    </w:pPr>
    <w:rPr>
      <w:rFonts w:ascii="Times New Roman" w:eastAsiaTheme="minorHAnsi" w:hAnsi="Times New Roman"/>
      <w:sz w:val="31"/>
      <w:szCs w:val="31"/>
    </w:rPr>
  </w:style>
  <w:style w:type="character" w:customStyle="1" w:styleId="Corpsdutexte3">
    <w:name w:val="Corps du texte (3)_"/>
    <w:basedOn w:val="DefaultParagraphFont"/>
    <w:link w:val="Corpsdutexte30"/>
    <w:uiPriority w:val="99"/>
    <w:locked/>
    <w:rsid w:val="005C0BD2"/>
    <w:rPr>
      <w:rFonts w:ascii="Times New Roman" w:hAnsi="Times New Roman" w:cs="Times New Roman"/>
      <w:b/>
      <w:bCs/>
      <w:sz w:val="30"/>
      <w:szCs w:val="30"/>
      <w:shd w:val="clear" w:color="auto" w:fill="FFFFFF"/>
    </w:rPr>
  </w:style>
  <w:style w:type="paragraph" w:customStyle="1" w:styleId="Corpsdutexte30">
    <w:name w:val="Corps du texte (3)"/>
    <w:basedOn w:val="Normal"/>
    <w:link w:val="Corpsdutexte3"/>
    <w:uiPriority w:val="99"/>
    <w:qFormat/>
    <w:rsid w:val="005C0BD2"/>
    <w:pPr>
      <w:shd w:val="clear" w:color="auto" w:fill="FFFFFF"/>
      <w:spacing w:after="0" w:line="475" w:lineRule="exact"/>
      <w:ind w:left="562" w:right="40" w:hanging="539"/>
      <w:jc w:val="center"/>
    </w:pPr>
    <w:rPr>
      <w:rFonts w:ascii="Times New Roman" w:eastAsiaTheme="minorHAnsi" w:hAnsi="Times New Roman"/>
      <w:b/>
      <w:bCs/>
      <w:sz w:val="30"/>
      <w:szCs w:val="30"/>
    </w:rPr>
  </w:style>
  <w:style w:type="character" w:customStyle="1" w:styleId="En-tte3">
    <w:name w:val="En-tête #3_"/>
    <w:basedOn w:val="DefaultParagraphFont"/>
    <w:link w:val="En-tte30"/>
    <w:uiPriority w:val="99"/>
    <w:locked/>
    <w:rsid w:val="005C0BD2"/>
    <w:rPr>
      <w:rFonts w:ascii="Times New Roman" w:hAnsi="Times New Roman" w:cs="Times New Roman"/>
      <w:b/>
      <w:bCs/>
      <w:sz w:val="20"/>
      <w:szCs w:val="20"/>
      <w:shd w:val="clear" w:color="auto" w:fill="FFFFFF"/>
    </w:rPr>
  </w:style>
  <w:style w:type="paragraph" w:customStyle="1" w:styleId="En-tte30">
    <w:name w:val="En-tête #3"/>
    <w:basedOn w:val="Normal"/>
    <w:link w:val="En-tte3"/>
    <w:uiPriority w:val="99"/>
    <w:qFormat/>
    <w:rsid w:val="005C0BD2"/>
    <w:pPr>
      <w:shd w:val="clear" w:color="auto" w:fill="FFFFFF"/>
      <w:spacing w:after="180" w:line="240" w:lineRule="atLeast"/>
      <w:ind w:left="562" w:right="40" w:hanging="720"/>
      <w:outlineLvl w:val="2"/>
    </w:pPr>
    <w:rPr>
      <w:rFonts w:ascii="Times New Roman" w:eastAsiaTheme="minorHAnsi" w:hAnsi="Times New Roman"/>
      <w:b/>
      <w:bCs/>
      <w:sz w:val="20"/>
      <w:szCs w:val="20"/>
    </w:rPr>
  </w:style>
  <w:style w:type="character" w:customStyle="1" w:styleId="Corpsdutexte">
    <w:name w:val="Corps du texte_"/>
    <w:basedOn w:val="DefaultParagraphFont"/>
    <w:link w:val="Corpsdutexte1"/>
    <w:uiPriority w:val="99"/>
    <w:locked/>
    <w:rsid w:val="005C0BD2"/>
    <w:rPr>
      <w:rFonts w:ascii="Times New Roman" w:hAnsi="Times New Roman" w:cs="Times New Roman"/>
      <w:shd w:val="clear" w:color="auto" w:fill="FFFFFF"/>
    </w:rPr>
  </w:style>
  <w:style w:type="paragraph" w:customStyle="1" w:styleId="Corpsdutexte1">
    <w:name w:val="Corps du texte1"/>
    <w:basedOn w:val="Normal"/>
    <w:link w:val="Corpsdutexte"/>
    <w:uiPriority w:val="99"/>
    <w:qFormat/>
    <w:rsid w:val="005C0BD2"/>
    <w:pPr>
      <w:shd w:val="clear" w:color="auto" w:fill="FFFFFF"/>
      <w:spacing w:before="180" w:after="60" w:line="274" w:lineRule="exact"/>
      <w:ind w:left="562" w:right="40" w:hanging="840"/>
    </w:pPr>
    <w:rPr>
      <w:rFonts w:ascii="Times New Roman" w:eastAsiaTheme="minorHAnsi" w:hAnsi="Times New Roman"/>
    </w:rPr>
  </w:style>
  <w:style w:type="paragraph" w:customStyle="1" w:styleId="Text3">
    <w:name w:val="Text 3"/>
    <w:basedOn w:val="Normal"/>
    <w:uiPriority w:val="99"/>
    <w:qFormat/>
    <w:rsid w:val="005C0BD2"/>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paragraph" w:customStyle="1" w:styleId="ListNumberLevel2">
    <w:name w:val="List Number (Level 2)"/>
    <w:basedOn w:val="Normal"/>
    <w:uiPriority w:val="99"/>
    <w:qFormat/>
    <w:rsid w:val="005C0BD2"/>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paragraph" w:customStyle="1" w:styleId="ListNumberLevel3">
    <w:name w:val="List Number (Level 3)"/>
    <w:basedOn w:val="Normal"/>
    <w:uiPriority w:val="99"/>
    <w:qFormat/>
    <w:rsid w:val="005C0BD2"/>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uiPriority w:val="99"/>
    <w:qFormat/>
    <w:rsid w:val="005C0BD2"/>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paragraph" w:customStyle="1" w:styleId="Normal2">
    <w:name w:val="Normal2"/>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en-tte300">
    <w:name w:val="en-tte30"/>
    <w:basedOn w:val="Normal"/>
    <w:uiPriority w:val="99"/>
    <w:qFormat/>
    <w:rsid w:val="005C0BD2"/>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uiPriority w:val="99"/>
    <w:qFormat/>
    <w:rsid w:val="005C0BD2"/>
    <w:pPr>
      <w:numPr>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uiPriority w:val="99"/>
    <w:qFormat/>
    <w:rsid w:val="005C0BD2"/>
    <w:pPr>
      <w:numPr>
        <w:ilvl w:val="2"/>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uiPriority w:val="99"/>
    <w:qFormat/>
    <w:rsid w:val="005C0BD2"/>
    <w:pPr>
      <w:numPr>
        <w:ilvl w:val="4"/>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uiPriority w:val="99"/>
    <w:qFormat/>
    <w:rsid w:val="005C0BD2"/>
    <w:pPr>
      <w:numPr>
        <w:ilvl w:val="6"/>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uiPriority w:val="99"/>
    <w:qFormat/>
    <w:rsid w:val="005C0BD2"/>
    <w:pPr>
      <w:numPr>
        <w:ilvl w:val="1"/>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uiPriority w:val="99"/>
    <w:qFormat/>
    <w:rsid w:val="005C0BD2"/>
    <w:pPr>
      <w:numPr>
        <w:ilvl w:val="3"/>
        <w:numId w:val="13"/>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uiPriority w:val="99"/>
    <w:qFormat/>
    <w:rsid w:val="005C0BD2"/>
    <w:pPr>
      <w:numPr>
        <w:ilvl w:val="5"/>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uiPriority w:val="99"/>
    <w:qFormat/>
    <w:rsid w:val="005C0BD2"/>
    <w:pPr>
      <w:numPr>
        <w:ilvl w:val="7"/>
        <w:numId w:val="13"/>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uiPriority w:val="99"/>
    <w:qFormat/>
    <w:rsid w:val="005C0BD2"/>
    <w:pPr>
      <w:numPr>
        <w:ilvl w:val="8"/>
        <w:numId w:val="13"/>
      </w:numPr>
      <w:spacing w:before="120" w:after="120" w:line="240" w:lineRule="auto"/>
    </w:pPr>
    <w:rPr>
      <w:rFonts w:ascii="Times New Roman" w:eastAsia="Times New Roman" w:hAnsi="Times New Roman"/>
      <w:sz w:val="24"/>
      <w:szCs w:val="24"/>
      <w:lang w:val="sq-AL" w:eastAsia="sq-AL" w:bidi="sq-AL"/>
    </w:rPr>
  </w:style>
  <w:style w:type="character" w:customStyle="1" w:styleId="Bodytext20">
    <w:name w:val="Body text (2)_"/>
    <w:link w:val="Bodytext24"/>
    <w:locked/>
    <w:rsid w:val="005C0BD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qFormat/>
    <w:rsid w:val="005C0BD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locked/>
    <w:rsid w:val="005C0BD2"/>
    <w:rPr>
      <w:rFonts w:ascii="Book Antiqua" w:eastAsia="Book Antiqua" w:hAnsi="Book Antiqua" w:cs="Book Antiqua"/>
      <w:b/>
      <w:bCs/>
      <w:sz w:val="17"/>
      <w:szCs w:val="17"/>
      <w:shd w:val="clear" w:color="auto" w:fill="FFFFFF"/>
    </w:rPr>
  </w:style>
  <w:style w:type="paragraph" w:customStyle="1" w:styleId="Heading21">
    <w:name w:val="Heading #2"/>
    <w:basedOn w:val="Normal"/>
    <w:link w:val="Heading20"/>
    <w:qFormat/>
    <w:rsid w:val="005C0BD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character" w:customStyle="1" w:styleId="Bodytext5">
    <w:name w:val="Body text (5)_"/>
    <w:basedOn w:val="DefaultParagraphFont"/>
    <w:link w:val="Bodytext50"/>
    <w:locked/>
    <w:rsid w:val="005C0BD2"/>
    <w:rPr>
      <w:rFonts w:ascii="Book Antiqua" w:eastAsia="Book Antiqua" w:hAnsi="Book Antiqua" w:cs="Book Antiqua"/>
      <w:i/>
      <w:iCs/>
      <w:sz w:val="16"/>
      <w:szCs w:val="16"/>
      <w:shd w:val="clear" w:color="auto" w:fill="FFFFFF"/>
    </w:rPr>
  </w:style>
  <w:style w:type="paragraph" w:customStyle="1" w:styleId="Bodytext50">
    <w:name w:val="Body text (5)"/>
    <w:basedOn w:val="Normal"/>
    <w:link w:val="Bodytext5"/>
    <w:qFormat/>
    <w:rsid w:val="005C0BD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uiPriority w:val="99"/>
    <w:qFormat/>
    <w:rsid w:val="005C0BD2"/>
    <w:pPr>
      <w:spacing w:before="100" w:beforeAutospacing="1" w:after="100" w:afterAutospacing="1" w:line="240" w:lineRule="auto"/>
      <w:ind w:firstLine="0"/>
      <w:jc w:val="left"/>
    </w:pPr>
    <w:rPr>
      <w:rFonts w:ascii="Times New Roman" w:hAnsi="Times New Roman"/>
      <w:sz w:val="24"/>
      <w:szCs w:val="24"/>
    </w:rPr>
  </w:style>
  <w:style w:type="character" w:customStyle="1" w:styleId="DefinitionChar">
    <w:name w:val="Definition Char"/>
    <w:link w:val="Definition"/>
    <w:locked/>
    <w:rsid w:val="005C0BD2"/>
    <w:rPr>
      <w:rFonts w:ascii="Times New Roman" w:eastAsia="Times New Roman" w:hAnsi="Times New Roman" w:cs="Times New Roman"/>
      <w:sz w:val="24"/>
      <w:szCs w:val="20"/>
    </w:rPr>
  </w:style>
  <w:style w:type="paragraph" w:customStyle="1" w:styleId="Definition">
    <w:name w:val="Definition"/>
    <w:basedOn w:val="Normal"/>
    <w:link w:val="DefinitionChar"/>
    <w:qFormat/>
    <w:rsid w:val="005C0BD2"/>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uiPriority w:val="99"/>
    <w:qFormat/>
    <w:rsid w:val="005C0BD2"/>
    <w:pPr>
      <w:spacing w:before="0"/>
    </w:pPr>
  </w:style>
  <w:style w:type="paragraph" w:customStyle="1" w:styleId="Definition1a">
    <w:name w:val="Definition 1a"/>
    <w:basedOn w:val="Definition"/>
    <w:next w:val="Definition1b"/>
    <w:uiPriority w:val="99"/>
    <w:qFormat/>
    <w:rsid w:val="005C0BD2"/>
    <w:pPr>
      <w:keepNext/>
    </w:pPr>
  </w:style>
  <w:style w:type="character" w:customStyle="1" w:styleId="Paragraph1Char">
    <w:name w:val="Paragraph (1) Char"/>
    <w:link w:val="Paragraph1"/>
    <w:locked/>
    <w:rsid w:val="005C0BD2"/>
    <w:rPr>
      <w:rFonts w:ascii="Times New Roman" w:eastAsia="Times New Roman" w:hAnsi="Times New Roman" w:cs="Times New Roman"/>
      <w:sz w:val="24"/>
      <w:szCs w:val="20"/>
      <w:lang w:val="en-GB" w:eastAsia="en-GB"/>
    </w:rPr>
  </w:style>
  <w:style w:type="paragraph" w:customStyle="1" w:styleId="Paragraph1">
    <w:name w:val="Paragraph (1)"/>
    <w:basedOn w:val="Normal"/>
    <w:link w:val="Paragraph1Char"/>
    <w:qFormat/>
    <w:rsid w:val="005C0BD2"/>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uiPriority w:val="99"/>
    <w:qFormat/>
    <w:rsid w:val="005C0BD2"/>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uiPriority w:val="99"/>
    <w:qFormat/>
    <w:rsid w:val="005C0BD2"/>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uiPriority w:val="99"/>
    <w:qFormat/>
    <w:rsid w:val="005C0BD2"/>
    <w:pPr>
      <w:tabs>
        <w:tab w:val="clear" w:pos="2835"/>
      </w:tabs>
      <w:ind w:firstLine="0"/>
    </w:pPr>
  </w:style>
  <w:style w:type="paragraph" w:customStyle="1" w:styleId="Definition3">
    <w:name w:val="Definition 3"/>
    <w:basedOn w:val="Definition2"/>
    <w:uiPriority w:val="99"/>
    <w:qFormat/>
    <w:rsid w:val="005C0BD2"/>
    <w:pPr>
      <w:tabs>
        <w:tab w:val="clear" w:pos="3402"/>
      </w:tabs>
      <w:ind w:left="3402"/>
    </w:pPr>
  </w:style>
  <w:style w:type="paragraph" w:customStyle="1" w:styleId="Definition4">
    <w:name w:val="Definition 4"/>
    <w:basedOn w:val="Definition3"/>
    <w:uiPriority w:val="99"/>
    <w:qFormat/>
    <w:rsid w:val="005C0BD2"/>
    <w:pPr>
      <w:tabs>
        <w:tab w:val="clear" w:pos="3969"/>
      </w:tabs>
      <w:ind w:left="3969"/>
    </w:pPr>
  </w:style>
  <w:style w:type="paragraph" w:customStyle="1" w:styleId="Paragraphi">
    <w:name w:val="Paragraph (i)"/>
    <w:basedOn w:val="Normal"/>
    <w:uiPriority w:val="99"/>
    <w:qFormat/>
    <w:rsid w:val="005C0BD2"/>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styleId="Title">
    <w:name w:val="Title"/>
    <w:basedOn w:val="Normal"/>
    <w:next w:val="Normal"/>
    <w:link w:val="TitleChar"/>
    <w:uiPriority w:val="10"/>
    <w:qFormat/>
    <w:rsid w:val="005C0BD2"/>
    <w:pPr>
      <w:spacing w:after="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uiPriority w:val="10"/>
    <w:rsid w:val="005C0BD2"/>
    <w:rPr>
      <w:rFonts w:asciiTheme="majorHAnsi" w:eastAsiaTheme="majorEastAsia" w:hAnsiTheme="majorHAnsi" w:cstheme="majorBidi"/>
      <w:spacing w:val="-10"/>
      <w:kern w:val="28"/>
      <w:sz w:val="56"/>
      <w:szCs w:val="56"/>
    </w:rPr>
  </w:style>
  <w:style w:type="paragraph" w:customStyle="1" w:styleId="ScheduleHeading">
    <w:name w:val="Schedule Heading"/>
    <w:basedOn w:val="Title"/>
    <w:next w:val="Normal"/>
    <w:uiPriority w:val="99"/>
    <w:qFormat/>
    <w:rsid w:val="005C0BD2"/>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ExhibitHeading">
    <w:name w:val="Exhibit Heading"/>
    <w:basedOn w:val="Title"/>
    <w:next w:val="Normal"/>
    <w:uiPriority w:val="99"/>
    <w:qFormat/>
    <w:rsid w:val="005C0BD2"/>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after="480"/>
      <w:ind w:firstLine="0"/>
      <w:contextualSpacing w:val="0"/>
      <w:jc w:val="center"/>
    </w:pPr>
    <w:rPr>
      <w:rFonts w:ascii="Times New Roman" w:hAnsi="Times New Roman" w:cs="Times New Roman"/>
      <w:b w:val="0"/>
      <w:caps w:val="0"/>
      <w:spacing w:val="0"/>
      <w:sz w:val="24"/>
      <w:szCs w:val="20"/>
      <w:lang w:val="en-GB" w:eastAsia="en-GB"/>
    </w:rPr>
  </w:style>
  <w:style w:type="paragraph" w:customStyle="1" w:styleId="CharCharCharCharChar1Char">
    <w:name w:val="Char Char Char Char Char1 Char"/>
    <w:basedOn w:val="Normal"/>
    <w:uiPriority w:val="99"/>
    <w:qFormat/>
    <w:rsid w:val="005C0BD2"/>
    <w:pPr>
      <w:spacing w:after="160" w:line="240" w:lineRule="exact"/>
      <w:ind w:firstLine="0"/>
      <w:jc w:val="left"/>
    </w:pPr>
    <w:rPr>
      <w:rFonts w:ascii="Tahoma" w:eastAsia="Times New Roman" w:hAnsi="Tahoma"/>
      <w:sz w:val="20"/>
      <w:szCs w:val="20"/>
    </w:rPr>
  </w:style>
  <w:style w:type="character" w:customStyle="1" w:styleId="Bodytext4">
    <w:name w:val="Body text (4)_"/>
    <w:link w:val="Bodytext40"/>
    <w:locked/>
    <w:rsid w:val="005C0BD2"/>
    <w:rPr>
      <w:rFonts w:ascii="Arial" w:eastAsia="Calibri" w:hAnsi="Arial" w:cs="Times New Roman"/>
      <w:b/>
      <w:bCs/>
      <w:i/>
      <w:iCs/>
      <w:sz w:val="19"/>
      <w:szCs w:val="19"/>
      <w:shd w:val="clear" w:color="auto" w:fill="FFFFFF"/>
    </w:rPr>
  </w:style>
  <w:style w:type="paragraph" w:customStyle="1" w:styleId="Bodytext40">
    <w:name w:val="Body text (4)"/>
    <w:basedOn w:val="Normal"/>
    <w:link w:val="Bodytext4"/>
    <w:qFormat/>
    <w:rsid w:val="005C0BD2"/>
    <w:pPr>
      <w:widowControl w:val="0"/>
      <w:shd w:val="clear" w:color="auto" w:fill="FFFFFF"/>
      <w:spacing w:after="180" w:line="230" w:lineRule="exact"/>
      <w:ind w:firstLine="0"/>
    </w:pPr>
    <w:rPr>
      <w:rFonts w:ascii="Arial" w:hAnsi="Arial"/>
      <w:b/>
      <w:bCs/>
      <w:i/>
      <w:iCs/>
      <w:sz w:val="19"/>
      <w:szCs w:val="19"/>
    </w:rPr>
  </w:style>
  <w:style w:type="paragraph" w:customStyle="1" w:styleId="wfxFaxNum">
    <w:name w:val="&quot;wfxFaxNum&quot;"/>
    <w:uiPriority w:val="99"/>
    <w:qFormat/>
    <w:rsid w:val="005C0BD2"/>
    <w:pPr>
      <w:overflowPunct w:val="0"/>
      <w:autoSpaceDE w:val="0"/>
      <w:autoSpaceDN w:val="0"/>
      <w:adjustRightInd w:val="0"/>
      <w:spacing w:after="0" w:line="240" w:lineRule="auto"/>
    </w:pPr>
    <w:rPr>
      <w:rFonts w:ascii="Times New Roman" w:eastAsia="Times New Roman" w:hAnsi="Times New Roman" w:cs="Times New Roman"/>
      <w:color w:val="000000"/>
      <w:sz w:val="21"/>
      <w:szCs w:val="20"/>
      <w:lang w:val="en-GB"/>
    </w:rPr>
  </w:style>
  <w:style w:type="paragraph" w:customStyle="1" w:styleId="Default0">
    <w:name w:val="&quot;Default&quot;"/>
    <w:uiPriority w:val="99"/>
    <w:qFormat/>
    <w:rsid w:val="005C0BD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Paragraph0">
    <w:name w:val="&quot;List Paragraph&quot;"/>
    <w:uiPriority w:val="99"/>
    <w:qFormat/>
    <w:rsid w:val="005C0BD2"/>
    <w:pPr>
      <w:spacing w:after="200" w:line="276" w:lineRule="auto"/>
      <w:ind w:left="720"/>
    </w:pPr>
    <w:rPr>
      <w:rFonts w:ascii="Calibri" w:eastAsia="Times New Roman" w:hAnsi="Calibri" w:cs="Times New Roman"/>
      <w:lang w:val="sq-AL"/>
    </w:rPr>
  </w:style>
  <w:style w:type="paragraph" w:customStyle="1" w:styleId="NoSpacing0">
    <w:name w:val="&quot;No Spacing&quot;"/>
    <w:uiPriority w:val="99"/>
    <w:qFormat/>
    <w:rsid w:val="005C0BD2"/>
    <w:pPr>
      <w:spacing w:after="0" w:line="240" w:lineRule="auto"/>
    </w:pPr>
    <w:rPr>
      <w:rFonts w:ascii="Calibri" w:eastAsia="Times New Roman" w:hAnsi="Calibri" w:cs="Times New Roman"/>
      <w:lang w:val="sq-AL"/>
    </w:rPr>
  </w:style>
  <w:style w:type="paragraph" w:customStyle="1" w:styleId="BodyText30">
    <w:name w:val="&quot;Body Text 3&quot;"/>
    <w:uiPriority w:val="99"/>
    <w:qFormat/>
    <w:rsid w:val="005C0BD2"/>
    <w:pPr>
      <w:spacing w:after="120" w:line="240" w:lineRule="auto"/>
    </w:pPr>
    <w:rPr>
      <w:rFonts w:ascii="Times New Roman" w:eastAsia="Times New Roman" w:hAnsi="Times New Roman" w:cs="Times New Roman"/>
      <w:sz w:val="16"/>
      <w:szCs w:val="16"/>
      <w:lang w:val="sq-AL"/>
    </w:rPr>
  </w:style>
  <w:style w:type="paragraph" w:customStyle="1" w:styleId="tableoffigures">
    <w:name w:val="&quot;table of figures&quot;"/>
    <w:uiPriority w:val="99"/>
    <w:qFormat/>
    <w:rsid w:val="005C0BD2"/>
    <w:pPr>
      <w:spacing w:after="120" w:line="240" w:lineRule="auto"/>
    </w:pPr>
    <w:rPr>
      <w:rFonts w:ascii="Calibri" w:eastAsia="Calibri" w:hAnsi="Calibri" w:cs="Times New Roman"/>
      <w:sz w:val="21"/>
      <w:szCs w:val="20"/>
    </w:rPr>
  </w:style>
  <w:style w:type="paragraph" w:customStyle="1" w:styleId="Normal10">
    <w:name w:val="&quot;Normal1&quot;"/>
    <w:uiPriority w:val="99"/>
    <w:qFormat/>
    <w:rsid w:val="005C0BD2"/>
    <w:pPr>
      <w:spacing w:after="120" w:line="240" w:lineRule="auto"/>
      <w:jc w:val="both"/>
    </w:pPr>
    <w:rPr>
      <w:rFonts w:ascii="Arial" w:eastAsia="Calibri" w:hAnsi="Arial" w:cs="Arial"/>
      <w:color w:val="000000"/>
      <w:sz w:val="21"/>
      <w:szCs w:val="20"/>
    </w:rPr>
  </w:style>
  <w:style w:type="paragraph" w:customStyle="1" w:styleId="Default1">
    <w:name w:val="&quot;&quot;Default&quot;&quot;"/>
    <w:uiPriority w:val="99"/>
    <w:qFormat/>
    <w:rsid w:val="005C0BD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
    <w:name w:val="&quot;index 7&quot;"/>
    <w:uiPriority w:val="99"/>
    <w:qFormat/>
    <w:rsid w:val="005C0BD2"/>
    <w:pPr>
      <w:spacing w:after="0" w:line="240" w:lineRule="auto"/>
    </w:pPr>
    <w:rPr>
      <w:rFonts w:ascii="Calibri" w:eastAsia="Calibri" w:hAnsi="Calibri" w:cs="Times New Roman"/>
      <w:sz w:val="21"/>
      <w:szCs w:val="20"/>
    </w:rPr>
  </w:style>
  <w:style w:type="paragraph" w:customStyle="1" w:styleId="Statuti">
    <w:name w:val="Statuti"/>
    <w:basedOn w:val="Normal"/>
    <w:uiPriority w:val="99"/>
    <w:qFormat/>
    <w:rsid w:val="005C0BD2"/>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annex-1">
    <w:name w:val="title-annex-1"/>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modref">
    <w:name w:val="modref"/>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1">
    <w:name w:val="title-gr-seq-level-1"/>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00">
    <w:name w:val="xl100"/>
    <w:basedOn w:val="Normal"/>
    <w:uiPriority w:val="99"/>
    <w:qFormat/>
    <w:rsid w:val="005C0BD2"/>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qFormat/>
    <w:rsid w:val="005C0BD2"/>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qFormat/>
    <w:rsid w:val="005C0BD2"/>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qFormat/>
    <w:rsid w:val="005C0BD2"/>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uiPriority w:val="99"/>
    <w:qFormat/>
    <w:rsid w:val="005C0BD2"/>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qFormat/>
    <w:rsid w:val="005C0BD2"/>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qFormat/>
    <w:rsid w:val="005C0B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qFormat/>
    <w:rsid w:val="005C0B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qFormat/>
    <w:rsid w:val="005C0B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qFormat/>
    <w:rsid w:val="005C0BD2"/>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qFormat/>
    <w:rsid w:val="005C0BD2"/>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qFormat/>
    <w:rsid w:val="005C0BD2"/>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qFormat/>
    <w:rsid w:val="005C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qFormat/>
    <w:rsid w:val="005C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uiPriority w:val="99"/>
    <w:qFormat/>
    <w:rsid w:val="005C0BD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qFormat/>
    <w:rsid w:val="005C0BD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qFormat/>
    <w:rsid w:val="005C0BD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qFormat/>
    <w:rsid w:val="005C0BD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qFormat/>
    <w:rsid w:val="005C0BD2"/>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qFormat/>
    <w:rsid w:val="005C0BD2"/>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qFormat/>
    <w:rsid w:val="005C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qFormat/>
    <w:rsid w:val="005C0BD2"/>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qFormat/>
    <w:rsid w:val="005C0BD2"/>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qFormat/>
    <w:rsid w:val="005C0BD2"/>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qFormat/>
    <w:rsid w:val="005C0BD2"/>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qFormat/>
    <w:rsid w:val="005C0B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qFormat/>
    <w:rsid w:val="005C0B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qFormat/>
    <w:rsid w:val="005C0B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qFormat/>
    <w:rsid w:val="005C0B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qFormat/>
    <w:rsid w:val="005C0B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qFormat/>
    <w:rsid w:val="005C0BD2"/>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qFormat/>
    <w:rsid w:val="005C0BD2"/>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qFormat/>
    <w:rsid w:val="005C0BD2"/>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uiPriority w:val="99"/>
    <w:qFormat/>
    <w:rsid w:val="005C0BD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evel1">
    <w:name w:val="_Level 1"/>
    <w:basedOn w:val="Normal"/>
    <w:uiPriority w:val="99"/>
    <w:qFormat/>
    <w:rsid w:val="005C0BD2"/>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uiPriority w:val="99"/>
    <w:qFormat/>
    <w:rsid w:val="005C0BD2"/>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ListParagraph1">
    <w:name w:val="List Paragraph1"/>
    <w:basedOn w:val="Normal"/>
    <w:uiPriority w:val="34"/>
    <w:qFormat/>
    <w:rsid w:val="005C0BD2"/>
    <w:pPr>
      <w:ind w:left="720" w:firstLine="0"/>
      <w:contextualSpacing/>
    </w:pPr>
  </w:style>
  <w:style w:type="paragraph" w:customStyle="1" w:styleId="ReturnAddress">
    <w:name w:val="Return Address"/>
    <w:basedOn w:val="Normal"/>
    <w:uiPriority w:val="99"/>
    <w:qFormat/>
    <w:rsid w:val="005C0BD2"/>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uiPriority w:val="99"/>
    <w:qFormat/>
    <w:rsid w:val="005C0BD2"/>
    <w:pPr>
      <w:spacing w:before="240" w:after="0" w:line="240" w:lineRule="auto"/>
      <w:ind w:firstLine="0"/>
      <w:jc w:val="left"/>
    </w:pPr>
    <w:rPr>
      <w:rFonts w:ascii="Tahoma" w:hAnsi="Tahoma"/>
      <w:b/>
      <w:color w:val="808080"/>
      <w:spacing w:val="-5"/>
      <w:lang w:val="el-GR"/>
    </w:rPr>
  </w:style>
  <w:style w:type="paragraph" w:customStyle="1" w:styleId="CharCharCharCharCharCharCharCharCharCharChar">
    <w:name w:val="Char Char Char Char Char Char Char Char Char Char Char"/>
    <w:basedOn w:val="Normal"/>
    <w:uiPriority w:val="99"/>
    <w:qFormat/>
    <w:rsid w:val="005C0BD2"/>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uiPriority w:val="99"/>
    <w:qFormat/>
    <w:rsid w:val="005C0BD2"/>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5C0BD2"/>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qFormat/>
    <w:rsid w:val="005C0BD2"/>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uiPriority w:val="99"/>
    <w:qFormat/>
    <w:rsid w:val="005C0BD2"/>
  </w:style>
  <w:style w:type="paragraph" w:customStyle="1" w:styleId="CharCharCharCharCharCharCharCharCharCharChar1">
    <w:name w:val="Char Char Char Char Char Char Char Char Char Char Char1"/>
    <w:basedOn w:val="Normal"/>
    <w:uiPriority w:val="99"/>
    <w:qFormat/>
    <w:rsid w:val="005C0BD2"/>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qFormat/>
    <w:rsid w:val="005C0BD2"/>
    <w:pPr>
      <w:spacing w:after="160" w:line="240" w:lineRule="exact"/>
      <w:ind w:firstLine="0"/>
      <w:jc w:val="left"/>
    </w:pPr>
    <w:rPr>
      <w:rFonts w:asciiTheme="minorHAnsi" w:eastAsiaTheme="minorHAnsi" w:hAnsiTheme="minorHAnsi" w:cstheme="minorBidi"/>
      <w:vertAlign w:val="superscript"/>
    </w:rPr>
  </w:style>
  <w:style w:type="paragraph" w:customStyle="1" w:styleId="CharCharCharCharCharCharCharCharCharCharCharCharCharCharCharChar">
    <w:name w:val="Char Char Char Char Char Char Char Char Char Char Char Char Char Char Char Char"/>
    <w:basedOn w:val="Normal"/>
    <w:uiPriority w:val="99"/>
    <w:qFormat/>
    <w:rsid w:val="005C0BD2"/>
    <w:pPr>
      <w:spacing w:after="160" w:line="240" w:lineRule="exact"/>
      <w:ind w:firstLine="0"/>
      <w:jc w:val="left"/>
    </w:pPr>
    <w:rPr>
      <w:rFonts w:ascii="Tahoma" w:eastAsia="MS Mincho" w:hAnsi="Tahoma"/>
      <w:sz w:val="20"/>
      <w:szCs w:val="20"/>
    </w:rPr>
  </w:style>
  <w:style w:type="paragraph" w:customStyle="1" w:styleId="Style5">
    <w:name w:val="Style5"/>
    <w:basedOn w:val="Normal"/>
    <w:uiPriority w:val="99"/>
    <w:qFormat/>
    <w:rsid w:val="005C0BD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uiPriority w:val="99"/>
    <w:qFormat/>
    <w:rsid w:val="005C0BD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styleId="MessageHeader">
    <w:name w:val="Message Header"/>
    <w:basedOn w:val="Normal"/>
    <w:link w:val="MessageHeaderChar"/>
    <w:semiHidden/>
    <w:unhideWhenUsed/>
    <w:rsid w:val="005C0BD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5C0BD2"/>
    <w:rPr>
      <w:rFonts w:asciiTheme="majorHAnsi" w:eastAsiaTheme="majorEastAsia" w:hAnsiTheme="majorHAnsi" w:cstheme="majorBidi"/>
      <w:sz w:val="24"/>
      <w:szCs w:val="24"/>
      <w:shd w:val="pct20" w:color="auto" w:fill="auto"/>
    </w:rPr>
  </w:style>
  <w:style w:type="paragraph" w:customStyle="1" w:styleId="MessageHeaderFirst">
    <w:name w:val="Message Header First"/>
    <w:basedOn w:val="MessageHeader"/>
    <w:next w:val="MessageHeader"/>
    <w:uiPriority w:val="99"/>
    <w:qFormat/>
    <w:rsid w:val="005C0BD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jc w:val="left"/>
    </w:pPr>
    <w:rPr>
      <w:rFonts w:ascii="Arial" w:eastAsia="MS Mincho" w:hAnsi="Arial"/>
      <w:spacing w:val="-5"/>
      <w:sz w:val="20"/>
      <w:szCs w:val="20"/>
      <w:lang w:val="sq-AL"/>
    </w:rPr>
  </w:style>
  <w:style w:type="paragraph" w:customStyle="1" w:styleId="MessageHeaderLast">
    <w:name w:val="Message Header Last"/>
    <w:basedOn w:val="MessageHeader"/>
    <w:next w:val="BodyText"/>
    <w:uiPriority w:val="99"/>
    <w:qFormat/>
    <w:rsid w:val="005C0BD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jc w:val="left"/>
    </w:pPr>
    <w:rPr>
      <w:rFonts w:ascii="Arial" w:eastAsia="MS Mincho" w:hAnsi="Arial"/>
      <w:spacing w:val="-5"/>
      <w:sz w:val="20"/>
      <w:szCs w:val="20"/>
      <w:lang w:val="sq-AL"/>
    </w:rPr>
  </w:style>
  <w:style w:type="paragraph" w:customStyle="1" w:styleId="ColorfulList-Accent11">
    <w:name w:val="Colorful List - Accent 11"/>
    <w:basedOn w:val="Normal"/>
    <w:uiPriority w:val="99"/>
    <w:qFormat/>
    <w:rsid w:val="005C0BD2"/>
    <w:pPr>
      <w:ind w:left="720" w:firstLine="0"/>
      <w:contextualSpacing/>
      <w:jc w:val="left"/>
    </w:pPr>
    <w:rPr>
      <w:rFonts w:eastAsia="MS Mincho"/>
    </w:rPr>
  </w:style>
  <w:style w:type="paragraph" w:customStyle="1" w:styleId="Style54">
    <w:name w:val="Style54"/>
    <w:basedOn w:val="Normal"/>
    <w:uiPriority w:val="99"/>
    <w:qFormat/>
    <w:rsid w:val="005C0BD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qFormat/>
    <w:rsid w:val="005C0BD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paragraph" w:customStyle="1" w:styleId="ModelNrmlDouble">
    <w:name w:val="ModelNrmlDouble"/>
    <w:basedOn w:val="Normal"/>
    <w:uiPriority w:val="99"/>
    <w:qFormat/>
    <w:rsid w:val="005C0BD2"/>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uiPriority w:val="99"/>
    <w:qFormat/>
    <w:rsid w:val="005C0BD2"/>
    <w:pPr>
      <w:ind w:firstLine="0"/>
    </w:pPr>
    <w:rPr>
      <w:u w:val="single"/>
    </w:rPr>
  </w:style>
  <w:style w:type="paragraph" w:customStyle="1" w:styleId="Indenta">
    <w:name w:val="Indent (a)"/>
    <w:basedOn w:val="Normal"/>
    <w:uiPriority w:val="99"/>
    <w:qFormat/>
    <w:rsid w:val="005C0BD2"/>
    <w:pPr>
      <w:spacing w:before="240" w:after="0" w:line="240" w:lineRule="auto"/>
      <w:ind w:left="3969" w:hanging="567"/>
    </w:pPr>
    <w:rPr>
      <w:rFonts w:ascii="Times New Roman" w:hAnsi="Times New Roman"/>
      <w:sz w:val="24"/>
      <w:szCs w:val="24"/>
      <w:lang w:val="en-GB" w:eastAsia="en-GB"/>
    </w:rPr>
  </w:style>
  <w:style w:type="paragraph" w:customStyle="1" w:styleId="CharCharChar1">
    <w:name w:val="Char Char Char1"/>
    <w:basedOn w:val="Normal"/>
    <w:uiPriority w:val="99"/>
    <w:qFormat/>
    <w:rsid w:val="005C0BD2"/>
    <w:pPr>
      <w:spacing w:after="160" w:line="240" w:lineRule="exact"/>
      <w:ind w:firstLine="0"/>
      <w:jc w:val="left"/>
    </w:pPr>
    <w:rPr>
      <w:rFonts w:ascii="Tahoma" w:eastAsia="Times New Roman" w:hAnsi="Tahoma"/>
      <w:sz w:val="20"/>
      <w:szCs w:val="20"/>
      <w:lang w:val="sq-AL"/>
    </w:rPr>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qFormat/>
    <w:rsid w:val="005C0BD2"/>
    <w:pPr>
      <w:spacing w:after="160" w:line="240" w:lineRule="exact"/>
      <w:ind w:firstLine="0"/>
      <w:jc w:val="left"/>
    </w:pPr>
    <w:rPr>
      <w:sz w:val="20"/>
      <w:szCs w:val="20"/>
      <w:vertAlign w:val="superscript"/>
      <w:lang w:val="x-none" w:eastAsia="x-none"/>
    </w:rPr>
  </w:style>
  <w:style w:type="paragraph" w:customStyle="1" w:styleId="default2">
    <w:name w:val="default"/>
    <w:basedOn w:val="Normal"/>
    <w:uiPriority w:val="99"/>
    <w:qFormat/>
    <w:rsid w:val="005C0BD2"/>
    <w:pPr>
      <w:spacing w:before="100" w:beforeAutospacing="1" w:after="100" w:afterAutospacing="1" w:line="240" w:lineRule="auto"/>
      <w:ind w:firstLine="0"/>
      <w:jc w:val="left"/>
    </w:pPr>
    <w:rPr>
      <w:rFonts w:ascii="Times New Roman" w:hAnsi="Times New Roman"/>
      <w:sz w:val="24"/>
      <w:szCs w:val="24"/>
    </w:rPr>
  </w:style>
  <w:style w:type="paragraph" w:customStyle="1" w:styleId="TableHeading">
    <w:name w:val="Table Heading"/>
    <w:basedOn w:val="Normal"/>
    <w:uiPriority w:val="99"/>
    <w:qFormat/>
    <w:rsid w:val="005C0BD2"/>
    <w:pPr>
      <w:keepLines/>
      <w:overflowPunct w:val="0"/>
      <w:autoSpaceDE w:val="0"/>
      <w:autoSpaceDN w:val="0"/>
      <w:adjustRightInd w:val="0"/>
      <w:spacing w:before="120" w:after="120" w:line="240" w:lineRule="auto"/>
      <w:ind w:firstLine="0"/>
      <w:jc w:val="left"/>
    </w:pPr>
    <w:rPr>
      <w:rFonts w:ascii="Book Antiqua" w:eastAsia="Times New Roman" w:hAnsi="Book Antiqua"/>
      <w:b/>
      <w:sz w:val="16"/>
      <w:szCs w:val="20"/>
    </w:rPr>
  </w:style>
  <w:style w:type="paragraph" w:customStyle="1" w:styleId="Numberedparagraph">
    <w:name w:val="Numbered paragraph"/>
    <w:basedOn w:val="Normal"/>
    <w:uiPriority w:val="99"/>
    <w:qFormat/>
    <w:rsid w:val="005C0BD2"/>
    <w:pPr>
      <w:tabs>
        <w:tab w:val="right" w:pos="360"/>
        <w:tab w:val="left" w:pos="720"/>
      </w:tabs>
      <w:spacing w:before="120" w:after="0" w:line="240" w:lineRule="exact"/>
      <w:ind w:left="720" w:hanging="720"/>
    </w:pPr>
    <w:rPr>
      <w:rFonts w:ascii="Times New Roman" w:eastAsia="Times New Roman" w:hAnsi="Times New Roman"/>
      <w:sz w:val="20"/>
      <w:szCs w:val="20"/>
    </w:rPr>
  </w:style>
  <w:style w:type="character" w:styleId="CommentReference">
    <w:name w:val="annotation reference"/>
    <w:semiHidden/>
    <w:unhideWhenUsed/>
    <w:rsid w:val="005C0BD2"/>
    <w:rPr>
      <w:sz w:val="16"/>
      <w:szCs w:val="16"/>
    </w:rPr>
  </w:style>
  <w:style w:type="character" w:styleId="LineNumber">
    <w:name w:val="line number"/>
    <w:semiHidden/>
    <w:unhideWhenUsed/>
    <w:rsid w:val="005C0BD2"/>
    <w:rPr>
      <w:rFonts w:ascii="Tahoma" w:hAnsi="Tahoma" w:cs="Tahoma" w:hint="default"/>
      <w:sz w:val="22"/>
    </w:rPr>
  </w:style>
  <w:style w:type="character" w:styleId="EndnoteReference">
    <w:name w:val="endnote reference"/>
    <w:semiHidden/>
    <w:unhideWhenUsed/>
    <w:rsid w:val="005C0BD2"/>
    <w:rPr>
      <w:vertAlign w:val="superscript"/>
    </w:rPr>
  </w:style>
  <w:style w:type="character" w:styleId="PlaceholderText">
    <w:name w:val="Placeholder Text"/>
    <w:uiPriority w:val="99"/>
    <w:semiHidden/>
    <w:rsid w:val="005C0BD2"/>
    <w:rPr>
      <w:rFonts w:ascii="Times New Roman" w:hAnsi="Times New Roman" w:cs="Times New Roman" w:hint="default"/>
      <w:color w:val="808080"/>
    </w:rPr>
  </w:style>
  <w:style w:type="character" w:styleId="SubtleEmphasis">
    <w:name w:val="Subtle Emphasis"/>
    <w:uiPriority w:val="19"/>
    <w:qFormat/>
    <w:rsid w:val="005C0BD2"/>
    <w:rPr>
      <w:i/>
      <w:iCs/>
      <w:color w:val="404040"/>
    </w:rPr>
  </w:style>
  <w:style w:type="character" w:styleId="IntenseEmphasis">
    <w:name w:val="Intense Emphasis"/>
    <w:uiPriority w:val="21"/>
    <w:qFormat/>
    <w:rsid w:val="005C0BD2"/>
    <w:rPr>
      <w:b/>
      <w:bCs/>
      <w:i/>
      <w:iCs/>
      <w:color w:val="4F81BD"/>
      <w:sz w:val="24"/>
    </w:rPr>
  </w:style>
  <w:style w:type="character" w:styleId="IntenseReference">
    <w:name w:val="Intense Reference"/>
    <w:basedOn w:val="DefaultParagraphFont"/>
    <w:uiPriority w:val="32"/>
    <w:qFormat/>
    <w:rsid w:val="005C0BD2"/>
    <w:rPr>
      <w:b/>
      <w:bCs/>
      <w:smallCaps/>
      <w:color w:val="5B9BD5" w:themeColor="accent1"/>
      <w:spacing w:val="5"/>
    </w:rPr>
  </w:style>
  <w:style w:type="character" w:styleId="BookTitle">
    <w:name w:val="Book Title"/>
    <w:uiPriority w:val="33"/>
    <w:qFormat/>
    <w:rsid w:val="005C0BD2"/>
    <w:rPr>
      <w:b/>
      <w:bCs/>
      <w:smallCaps/>
      <w:spacing w:val="5"/>
    </w:rPr>
  </w:style>
  <w:style w:type="character" w:customStyle="1" w:styleId="Heading9Char1">
    <w:name w:val="Heading 9 Char1"/>
    <w:basedOn w:val="DefaultParagraphFont"/>
    <w:semiHidden/>
    <w:rsid w:val="005C0BD2"/>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5C0BD2"/>
    <w:pPr>
      <w:spacing w:after="0" w:line="240" w:lineRule="auto"/>
      <w:ind w:firstLine="284"/>
      <w:jc w:val="both"/>
    </w:pPr>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semiHidden/>
    <w:unhideWhenUsed/>
    <w:rsid w:val="005C0BD2"/>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5C0BD2"/>
    <w:rPr>
      <w:rFonts w:ascii="Segoe UI" w:eastAsia="Calibri" w:hAnsi="Segoe UI" w:cs="Segoe UI"/>
      <w:sz w:val="18"/>
      <w:szCs w:val="18"/>
    </w:rPr>
  </w:style>
  <w:style w:type="paragraph" w:styleId="Header">
    <w:name w:val="header"/>
    <w:basedOn w:val="Normal"/>
    <w:link w:val="HeaderChar"/>
    <w:uiPriority w:val="99"/>
    <w:semiHidden/>
    <w:unhideWhenUsed/>
    <w:rsid w:val="005C0BD2"/>
    <w:pPr>
      <w:tabs>
        <w:tab w:val="center" w:pos="4680"/>
        <w:tab w:val="right" w:pos="9360"/>
      </w:tabs>
      <w:spacing w:after="0" w:line="240" w:lineRule="auto"/>
    </w:pPr>
  </w:style>
  <w:style w:type="character" w:customStyle="1" w:styleId="HeaderChar1">
    <w:name w:val="Header Char1"/>
    <w:basedOn w:val="DefaultParagraphFont"/>
    <w:uiPriority w:val="99"/>
    <w:semiHidden/>
    <w:rsid w:val="005C0BD2"/>
    <w:rPr>
      <w:rFonts w:ascii="Calibri" w:eastAsia="Calibri" w:hAnsi="Calibri" w:cs="Times New Roman"/>
    </w:rPr>
  </w:style>
  <w:style w:type="paragraph" w:styleId="Footer">
    <w:name w:val="footer"/>
    <w:basedOn w:val="Normal"/>
    <w:link w:val="FooterChar"/>
    <w:uiPriority w:val="99"/>
    <w:semiHidden/>
    <w:unhideWhenUsed/>
    <w:rsid w:val="005C0BD2"/>
    <w:pPr>
      <w:tabs>
        <w:tab w:val="center" w:pos="4680"/>
        <w:tab w:val="right" w:pos="9360"/>
      </w:tabs>
      <w:spacing w:after="0" w:line="240" w:lineRule="auto"/>
    </w:pPr>
  </w:style>
  <w:style w:type="character" w:customStyle="1" w:styleId="FooterChar1">
    <w:name w:val="Footer Char1"/>
    <w:basedOn w:val="DefaultParagraphFont"/>
    <w:uiPriority w:val="99"/>
    <w:semiHidden/>
    <w:rsid w:val="005C0BD2"/>
    <w:rPr>
      <w:rFonts w:ascii="Calibri" w:eastAsia="Calibri" w:hAnsi="Calibri" w:cs="Times New Roman"/>
    </w:rPr>
  </w:style>
  <w:style w:type="paragraph" w:styleId="Subtitle">
    <w:name w:val="Subtitle"/>
    <w:basedOn w:val="Normal"/>
    <w:next w:val="Normal"/>
    <w:link w:val="SubtitleChar"/>
    <w:uiPriority w:val="11"/>
    <w:qFormat/>
    <w:rsid w:val="005C0BD2"/>
    <w:pPr>
      <w:numPr>
        <w:ilvl w:val="1"/>
      </w:numPr>
      <w:spacing w:after="160"/>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uiPriority w:val="11"/>
    <w:rsid w:val="005C0BD2"/>
    <w:rPr>
      <w:rFonts w:eastAsiaTheme="minorEastAsia"/>
      <w:color w:val="5A5A5A" w:themeColor="text1" w:themeTint="A5"/>
      <w:spacing w:val="15"/>
    </w:rPr>
  </w:style>
  <w:style w:type="character" w:customStyle="1" w:styleId="apple-converted-space">
    <w:name w:val="apple-converted-space"/>
    <w:rsid w:val="005C0BD2"/>
  </w:style>
  <w:style w:type="paragraph" w:styleId="BodyText3">
    <w:name w:val="Body Text 3"/>
    <w:basedOn w:val="Normal"/>
    <w:link w:val="BodyText3Char"/>
    <w:uiPriority w:val="99"/>
    <w:semiHidden/>
    <w:unhideWhenUsed/>
    <w:rsid w:val="005C0BD2"/>
    <w:pPr>
      <w:spacing w:after="120"/>
    </w:pPr>
    <w:rPr>
      <w:rFonts w:ascii="Times New Roman" w:eastAsia="Times New Roman" w:hAnsi="Times New Roman"/>
      <w:sz w:val="16"/>
      <w:szCs w:val="16"/>
    </w:rPr>
  </w:style>
  <w:style w:type="character" w:customStyle="1" w:styleId="BodyText3Char1">
    <w:name w:val="Body Text 3 Char1"/>
    <w:basedOn w:val="DefaultParagraphFont"/>
    <w:uiPriority w:val="99"/>
    <w:semiHidden/>
    <w:rsid w:val="005C0BD2"/>
    <w:rPr>
      <w:rFonts w:ascii="Calibri" w:eastAsia="Calibri" w:hAnsi="Calibri" w:cs="Times New Roman"/>
      <w:sz w:val="16"/>
      <w:szCs w:val="16"/>
    </w:rPr>
  </w:style>
  <w:style w:type="character" w:customStyle="1" w:styleId="sb8d990e2">
    <w:name w:val="sb8d990e2"/>
    <w:basedOn w:val="DefaultParagraphFont"/>
    <w:rsid w:val="005C0BD2"/>
  </w:style>
  <w:style w:type="character" w:customStyle="1" w:styleId="normal--char">
    <w:name w:val="normal--char"/>
    <w:basedOn w:val="DefaultParagraphFont"/>
    <w:rsid w:val="005C0BD2"/>
  </w:style>
  <w:style w:type="character" w:customStyle="1" w:styleId="s7d2086b4">
    <w:name w:val="s7d2086b4"/>
    <w:basedOn w:val="DefaultParagraphFont"/>
    <w:uiPriority w:val="99"/>
    <w:rsid w:val="005C0BD2"/>
  </w:style>
  <w:style w:type="character" w:customStyle="1" w:styleId="hps">
    <w:name w:val="hps"/>
    <w:basedOn w:val="DefaultParagraphFont"/>
    <w:rsid w:val="005C0BD2"/>
  </w:style>
  <w:style w:type="character" w:customStyle="1" w:styleId="grame">
    <w:name w:val="grame"/>
    <w:rsid w:val="005C0BD2"/>
    <w:rPr>
      <w:rFonts w:ascii="Times New Roman" w:hAnsi="Times New Roman" w:cs="Times New Roman" w:hint="default"/>
    </w:rPr>
  </w:style>
  <w:style w:type="character" w:customStyle="1" w:styleId="atn">
    <w:name w:val="atn"/>
    <w:basedOn w:val="DefaultParagraphFont"/>
    <w:rsid w:val="005C0BD2"/>
  </w:style>
  <w:style w:type="paragraph" w:styleId="PlainText">
    <w:name w:val="Plain Text"/>
    <w:basedOn w:val="Normal"/>
    <w:link w:val="PlainTextChar"/>
    <w:uiPriority w:val="99"/>
    <w:semiHidden/>
    <w:unhideWhenUsed/>
    <w:rsid w:val="005C0BD2"/>
    <w:pPr>
      <w:spacing w:after="0" w:line="240" w:lineRule="auto"/>
    </w:pPr>
    <w:rPr>
      <w:rFonts w:ascii="Consolas" w:hAnsi="Consolas"/>
      <w:sz w:val="21"/>
      <w:szCs w:val="21"/>
      <w:lang w:val="sq-AL"/>
    </w:rPr>
  </w:style>
  <w:style w:type="character" w:customStyle="1" w:styleId="PlainTextChar1">
    <w:name w:val="Plain Text Char1"/>
    <w:basedOn w:val="DefaultParagraphFont"/>
    <w:uiPriority w:val="99"/>
    <w:semiHidden/>
    <w:rsid w:val="005C0BD2"/>
    <w:rPr>
      <w:rFonts w:ascii="Consolas" w:eastAsia="Calibri" w:hAnsi="Consolas" w:cs="Times New Roman"/>
      <w:sz w:val="21"/>
      <w:szCs w:val="21"/>
    </w:rPr>
  </w:style>
  <w:style w:type="paragraph" w:styleId="DocumentMap">
    <w:name w:val="Document Map"/>
    <w:basedOn w:val="Normal"/>
    <w:link w:val="DocumentMapChar"/>
    <w:uiPriority w:val="99"/>
    <w:semiHidden/>
    <w:unhideWhenUsed/>
    <w:rsid w:val="005C0BD2"/>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uiPriority w:val="99"/>
    <w:semiHidden/>
    <w:rsid w:val="005C0BD2"/>
    <w:rPr>
      <w:rFonts w:ascii="Segoe UI" w:eastAsia="Calibri" w:hAnsi="Segoe UI" w:cs="Segoe UI"/>
      <w:sz w:val="16"/>
      <w:szCs w:val="16"/>
    </w:rPr>
  </w:style>
  <w:style w:type="character" w:customStyle="1" w:styleId="longtext">
    <w:name w:val="long_text"/>
    <w:rsid w:val="005C0BD2"/>
    <w:rPr>
      <w:rFonts w:ascii="Comic Sans MS" w:hAnsi="Comic Sans MS" w:hint="default"/>
      <w:b/>
      <w:bCs w:val="0"/>
      <w:sz w:val="96"/>
      <w:szCs w:val="24"/>
      <w:lang w:val="pl-PL" w:eastAsia="pl-PL" w:bidi="ar-SA"/>
    </w:rPr>
  </w:style>
  <w:style w:type="character" w:customStyle="1" w:styleId="Point1CharChar">
    <w:name w:val="Point 1 Char Char"/>
    <w:rsid w:val="005C0BD2"/>
    <w:rPr>
      <w:sz w:val="24"/>
      <w:szCs w:val="24"/>
      <w:lang w:val="en-GB" w:eastAsia="en-GB" w:bidi="ar-SA"/>
    </w:rPr>
  </w:style>
  <w:style w:type="character" w:customStyle="1" w:styleId="apple-style-span">
    <w:name w:val="apple-style-span"/>
    <w:rsid w:val="005C0BD2"/>
  </w:style>
  <w:style w:type="character" w:customStyle="1" w:styleId="CommentTextChar">
    <w:name w:val="Comment Text Char"/>
    <w:basedOn w:val="DefaultParagraphFont"/>
    <w:semiHidden/>
    <w:rsid w:val="005C0BD2"/>
    <w:rPr>
      <w:rFonts w:ascii="Calibri" w:eastAsia="Calibri" w:hAnsi="Calibri" w:cs="Times New Roman"/>
    </w:rPr>
  </w:style>
  <w:style w:type="character" w:customStyle="1" w:styleId="CommentTextChar1">
    <w:name w:val="Comment Text Char1"/>
    <w:basedOn w:val="DefaultParagraphFont"/>
    <w:rsid w:val="005C0BD2"/>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5C0BD2"/>
    <w:pPr>
      <w:spacing w:line="240" w:lineRule="auto"/>
    </w:pPr>
    <w:rPr>
      <w:sz w:val="20"/>
      <w:szCs w:val="20"/>
    </w:rPr>
  </w:style>
  <w:style w:type="character" w:customStyle="1" w:styleId="CommentTextChar2">
    <w:name w:val="Comment Text Char2"/>
    <w:basedOn w:val="DefaultParagraphFont"/>
    <w:link w:val="CommentText"/>
    <w:uiPriority w:val="99"/>
    <w:semiHidden/>
    <w:rsid w:val="005C0BD2"/>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5C0BD2"/>
    <w:rPr>
      <w:b/>
      <w:bCs/>
    </w:rPr>
  </w:style>
  <w:style w:type="character" w:customStyle="1" w:styleId="CommentSubjectChar">
    <w:name w:val="Comment Subject Char"/>
    <w:basedOn w:val="CommentTextChar2"/>
    <w:link w:val="CommentSubject"/>
    <w:semiHidden/>
    <w:rsid w:val="005C0BD2"/>
    <w:rPr>
      <w:rFonts w:ascii="Calibri" w:eastAsia="Calibri" w:hAnsi="Calibri" w:cs="Times New Roman"/>
      <w:b/>
      <w:bCs/>
      <w:sz w:val="20"/>
      <w:szCs w:val="20"/>
    </w:rPr>
  </w:style>
  <w:style w:type="paragraph" w:styleId="MacroText">
    <w:name w:val="macro"/>
    <w:link w:val="MacroTextChar"/>
    <w:semiHidden/>
    <w:unhideWhenUsed/>
    <w:rsid w:val="005C0BD2"/>
    <w:pPr>
      <w:tabs>
        <w:tab w:val="left" w:pos="480"/>
        <w:tab w:val="left" w:pos="960"/>
        <w:tab w:val="left" w:pos="1440"/>
        <w:tab w:val="left" w:pos="1920"/>
        <w:tab w:val="left" w:pos="2400"/>
        <w:tab w:val="left" w:pos="2880"/>
        <w:tab w:val="left" w:pos="3360"/>
        <w:tab w:val="left" w:pos="3840"/>
        <w:tab w:val="left" w:pos="4320"/>
      </w:tabs>
      <w:spacing w:after="0" w:line="276" w:lineRule="auto"/>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5C0BD2"/>
    <w:rPr>
      <w:rFonts w:ascii="Consolas" w:eastAsia="Calibri" w:hAnsi="Consolas" w:cs="Times New Roman"/>
      <w:sz w:val="20"/>
      <w:szCs w:val="20"/>
    </w:rPr>
  </w:style>
  <w:style w:type="paragraph" w:styleId="Date">
    <w:name w:val="Date"/>
    <w:basedOn w:val="Normal"/>
    <w:next w:val="Normal"/>
    <w:link w:val="DateChar"/>
    <w:semiHidden/>
    <w:unhideWhenUsed/>
    <w:rsid w:val="005C0BD2"/>
    <w:rPr>
      <w:rFonts w:ascii="Tahoma" w:eastAsia="Times New Roman" w:hAnsi="Tahoma"/>
      <w:lang w:val="de-AT" w:eastAsia="de-DE"/>
    </w:rPr>
  </w:style>
  <w:style w:type="character" w:customStyle="1" w:styleId="DateChar1">
    <w:name w:val="Date Char1"/>
    <w:basedOn w:val="DefaultParagraphFont"/>
    <w:semiHidden/>
    <w:rsid w:val="005C0BD2"/>
    <w:rPr>
      <w:rFonts w:ascii="Calibri" w:eastAsia="Calibri" w:hAnsi="Calibri" w:cs="Times New Roman"/>
    </w:rPr>
  </w:style>
  <w:style w:type="character" w:customStyle="1" w:styleId="Emphasis1">
    <w:name w:val="Emphasis1"/>
    <w:semiHidden/>
    <w:rsid w:val="005C0BD2"/>
  </w:style>
  <w:style w:type="paragraph" w:styleId="NoteHeading">
    <w:name w:val="Note Heading"/>
    <w:basedOn w:val="Normal"/>
    <w:next w:val="Normal"/>
    <w:link w:val="NoteHeadingChar"/>
    <w:semiHidden/>
    <w:unhideWhenUsed/>
    <w:rsid w:val="005C0BD2"/>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5C0BD2"/>
    <w:rPr>
      <w:rFonts w:ascii="Calibri" w:eastAsia="Calibri" w:hAnsi="Calibri" w:cs="Times New Roman"/>
    </w:rPr>
  </w:style>
  <w:style w:type="paragraph" w:styleId="BodyTextFirstIndent2">
    <w:name w:val="Body Text First Indent 2"/>
    <w:basedOn w:val="BodyTextIndent"/>
    <w:link w:val="BodyTextFirstIndent2Char"/>
    <w:semiHidden/>
    <w:unhideWhenUsed/>
    <w:rsid w:val="005C0BD2"/>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5C0BD2"/>
    <w:rPr>
      <w:rFonts w:ascii="Calibri" w:eastAsia="Calibri" w:hAnsi="Calibri" w:cs="Times New Roman"/>
    </w:rPr>
  </w:style>
  <w:style w:type="paragraph" w:styleId="Salutation">
    <w:name w:val="Salutation"/>
    <w:basedOn w:val="Normal"/>
    <w:next w:val="Normal"/>
    <w:link w:val="SalutationChar"/>
    <w:semiHidden/>
    <w:unhideWhenUsed/>
    <w:rsid w:val="005C0BD2"/>
    <w:rPr>
      <w:rFonts w:ascii="Tahoma" w:eastAsia="Times New Roman" w:hAnsi="Tahoma"/>
      <w:lang w:val="de-AT" w:eastAsia="de-DE"/>
    </w:rPr>
  </w:style>
  <w:style w:type="character" w:customStyle="1" w:styleId="SalutationChar1">
    <w:name w:val="Salutation Char1"/>
    <w:basedOn w:val="DefaultParagraphFont"/>
    <w:semiHidden/>
    <w:rsid w:val="005C0BD2"/>
    <w:rPr>
      <w:rFonts w:ascii="Calibri" w:eastAsia="Calibri" w:hAnsi="Calibri" w:cs="Times New Roman"/>
    </w:rPr>
  </w:style>
  <w:style w:type="paragraph" w:styleId="Closing">
    <w:name w:val="Closing"/>
    <w:basedOn w:val="Normal"/>
    <w:link w:val="ClosingChar"/>
    <w:semiHidden/>
    <w:unhideWhenUsed/>
    <w:rsid w:val="005C0BD2"/>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5C0BD2"/>
    <w:rPr>
      <w:rFonts w:ascii="Calibri" w:eastAsia="Calibri" w:hAnsi="Calibri" w:cs="Times New Roman"/>
    </w:rPr>
  </w:style>
  <w:style w:type="paragraph" w:styleId="Signature">
    <w:name w:val="Signature"/>
    <w:basedOn w:val="Normal"/>
    <w:link w:val="SignatureChar"/>
    <w:semiHidden/>
    <w:unhideWhenUsed/>
    <w:rsid w:val="005C0BD2"/>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5C0BD2"/>
    <w:rPr>
      <w:rFonts w:ascii="Calibri" w:eastAsia="Calibri" w:hAnsi="Calibri" w:cs="Times New Roman"/>
    </w:rPr>
  </w:style>
  <w:style w:type="paragraph" w:styleId="E-mailSignature">
    <w:name w:val="E-mail Signature"/>
    <w:basedOn w:val="Normal"/>
    <w:link w:val="E-mailSignatureChar"/>
    <w:semiHidden/>
    <w:unhideWhenUsed/>
    <w:rsid w:val="005C0BD2"/>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5C0BD2"/>
    <w:rPr>
      <w:rFonts w:ascii="Calibri" w:eastAsia="Calibri" w:hAnsi="Calibri" w:cs="Times New Roman"/>
    </w:rPr>
  </w:style>
  <w:style w:type="paragraph" w:styleId="BodyText2">
    <w:name w:val="Body Text 2"/>
    <w:basedOn w:val="Normal"/>
    <w:link w:val="BodyText2Char"/>
    <w:uiPriority w:val="99"/>
    <w:semiHidden/>
    <w:unhideWhenUsed/>
    <w:rsid w:val="005C0BD2"/>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uiPriority w:val="99"/>
    <w:semiHidden/>
    <w:rsid w:val="005C0BD2"/>
    <w:rPr>
      <w:rFonts w:ascii="Calibri" w:eastAsia="Calibri" w:hAnsi="Calibri" w:cs="Times New Roman"/>
    </w:rPr>
  </w:style>
  <w:style w:type="paragraph" w:styleId="BodyTextIndent2">
    <w:name w:val="Body Text Indent 2"/>
    <w:basedOn w:val="Normal"/>
    <w:link w:val="BodyTextIndent2Char"/>
    <w:uiPriority w:val="99"/>
    <w:semiHidden/>
    <w:unhideWhenUsed/>
    <w:rsid w:val="005C0BD2"/>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uiPriority w:val="99"/>
    <w:semiHidden/>
    <w:rsid w:val="005C0BD2"/>
    <w:rPr>
      <w:rFonts w:ascii="Calibri" w:eastAsia="Calibri" w:hAnsi="Calibri" w:cs="Times New Roman"/>
    </w:rPr>
  </w:style>
  <w:style w:type="paragraph" w:styleId="BodyTextIndent3">
    <w:name w:val="Body Text Indent 3"/>
    <w:basedOn w:val="Normal"/>
    <w:link w:val="BodyTextIndent3Char"/>
    <w:uiPriority w:val="99"/>
    <w:semiHidden/>
    <w:unhideWhenUsed/>
    <w:rsid w:val="005C0BD2"/>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uiPriority w:val="99"/>
    <w:semiHidden/>
    <w:rsid w:val="005C0BD2"/>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5C0BD2"/>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5C0BD2"/>
    <w:rPr>
      <w:rFonts w:ascii="Calibri" w:eastAsia="Calibri" w:hAnsi="Calibri" w:cs="Times New Roman"/>
    </w:rPr>
  </w:style>
  <w:style w:type="character" w:customStyle="1" w:styleId="CharChar11">
    <w:name w:val="Char Char11"/>
    <w:semiHidden/>
    <w:locked/>
    <w:rsid w:val="005C0BD2"/>
    <w:rPr>
      <w:rFonts w:ascii="Tahoma" w:hAnsi="Tahoma" w:cs="Tahoma" w:hint="default"/>
      <w:i/>
      <w:iCs/>
      <w:sz w:val="22"/>
      <w:szCs w:val="22"/>
      <w:lang w:val="de-AT" w:eastAsia="de-DE" w:bidi="ar-SA"/>
    </w:rPr>
  </w:style>
  <w:style w:type="character" w:customStyle="1" w:styleId="CharChar36">
    <w:name w:val="Char Char36"/>
    <w:locked/>
    <w:rsid w:val="005C0BD2"/>
    <w:rPr>
      <w:rFonts w:ascii="Arial" w:hAnsi="Arial" w:cs="Arial" w:hint="default"/>
      <w:b/>
      <w:bCs/>
      <w:kern w:val="32"/>
      <w:sz w:val="32"/>
      <w:szCs w:val="32"/>
      <w:lang w:val="sq-AL" w:eastAsia="en-US" w:bidi="ar-SA"/>
    </w:rPr>
  </w:style>
  <w:style w:type="character" w:customStyle="1" w:styleId="CharChar35">
    <w:name w:val="Char Char35"/>
    <w:locked/>
    <w:rsid w:val="005C0BD2"/>
    <w:rPr>
      <w:rFonts w:ascii="Arial" w:hAnsi="Arial" w:cs="Arial" w:hint="default"/>
      <w:b/>
      <w:bCs/>
      <w:i/>
      <w:iCs/>
      <w:sz w:val="28"/>
      <w:szCs w:val="28"/>
      <w:lang w:val="sq-AL" w:eastAsia="en-US" w:bidi="ar-SA"/>
    </w:rPr>
  </w:style>
  <w:style w:type="character" w:customStyle="1" w:styleId="CharChar34">
    <w:name w:val="Char Char34"/>
    <w:locked/>
    <w:rsid w:val="005C0BD2"/>
    <w:rPr>
      <w:rFonts w:ascii="Tahoma" w:hAnsi="Tahoma" w:cs="Tahoma" w:hint="default"/>
      <w:b/>
      <w:bCs w:val="0"/>
      <w:kern w:val="28"/>
      <w:sz w:val="24"/>
      <w:szCs w:val="28"/>
      <w:lang w:val="de-AT" w:eastAsia="de-DE" w:bidi="ar-SA"/>
    </w:rPr>
  </w:style>
  <w:style w:type="character" w:customStyle="1" w:styleId="CharChar33">
    <w:name w:val="Char Char33"/>
    <w:locked/>
    <w:rsid w:val="005C0BD2"/>
    <w:rPr>
      <w:rFonts w:ascii="Tahoma" w:hAnsi="Tahoma" w:cs="Tahoma" w:hint="default"/>
      <w:b/>
      <w:bCs w:val="0"/>
      <w:i/>
      <w:iCs w:val="0"/>
      <w:kern w:val="28"/>
      <w:sz w:val="22"/>
      <w:szCs w:val="22"/>
      <w:lang w:val="de-AT" w:eastAsia="de-DE" w:bidi="ar-SA"/>
    </w:rPr>
  </w:style>
  <w:style w:type="character" w:customStyle="1" w:styleId="CharChar32">
    <w:name w:val="Char Char32"/>
    <w:locked/>
    <w:rsid w:val="005C0BD2"/>
    <w:rPr>
      <w:rFonts w:ascii="Tahoma" w:hAnsi="Tahoma" w:cs="Tahoma" w:hint="default"/>
      <w:b/>
      <w:bCs w:val="0"/>
      <w:i/>
      <w:iCs w:val="0"/>
      <w:kern w:val="28"/>
      <w:sz w:val="22"/>
      <w:szCs w:val="22"/>
      <w:lang w:val="de-AT" w:eastAsia="de-DE" w:bidi="ar-SA"/>
    </w:rPr>
  </w:style>
  <w:style w:type="character" w:customStyle="1" w:styleId="CharChar31">
    <w:name w:val="Char Char31"/>
    <w:locked/>
    <w:rsid w:val="005C0BD2"/>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5C0BD2"/>
    <w:rPr>
      <w:rFonts w:ascii="Courier New" w:hAnsi="Courier New" w:cs="Courier New" w:hint="default"/>
      <w:szCs w:val="22"/>
      <w:lang w:val="de-AT" w:eastAsia="de-DE" w:bidi="ar-SA"/>
    </w:rPr>
  </w:style>
  <w:style w:type="character" w:customStyle="1" w:styleId="CharChar30">
    <w:name w:val="Char Char30"/>
    <w:locked/>
    <w:rsid w:val="005C0BD2"/>
    <w:rPr>
      <w:rFonts w:ascii="Tahoma" w:hAnsi="Tahoma" w:cs="Tahoma" w:hint="default"/>
      <w:b/>
      <w:bCs w:val="0"/>
      <w:i/>
      <w:iCs w:val="0"/>
      <w:kern w:val="28"/>
      <w:sz w:val="22"/>
      <w:szCs w:val="22"/>
      <w:lang w:val="de-AT" w:eastAsia="de-DE" w:bidi="ar-SA"/>
    </w:rPr>
  </w:style>
  <w:style w:type="character" w:customStyle="1" w:styleId="CharChar29">
    <w:name w:val="Char Char29"/>
    <w:locked/>
    <w:rsid w:val="005C0BD2"/>
    <w:rPr>
      <w:rFonts w:ascii="Tahoma" w:hAnsi="Tahoma" w:cs="Tahoma" w:hint="default"/>
      <w:b/>
      <w:bCs w:val="0"/>
      <w:i/>
      <w:iCs w:val="0"/>
      <w:kern w:val="28"/>
      <w:sz w:val="22"/>
      <w:szCs w:val="22"/>
      <w:lang w:val="de-AT" w:eastAsia="de-DE" w:bidi="ar-SA"/>
    </w:rPr>
  </w:style>
  <w:style w:type="character" w:customStyle="1" w:styleId="CharChar28">
    <w:name w:val="Char Char28"/>
    <w:locked/>
    <w:rsid w:val="005C0BD2"/>
    <w:rPr>
      <w:rFonts w:ascii="Tahoma" w:hAnsi="Tahoma" w:cs="Tahoma" w:hint="default"/>
      <w:b/>
      <w:bCs w:val="0"/>
      <w:i/>
      <w:iCs w:val="0"/>
      <w:kern w:val="28"/>
      <w:sz w:val="22"/>
      <w:szCs w:val="22"/>
      <w:lang w:val="de-AT" w:eastAsia="de-DE" w:bidi="ar-SA"/>
    </w:rPr>
  </w:style>
  <w:style w:type="character" w:customStyle="1" w:styleId="CharChar27">
    <w:name w:val="Char Char27"/>
    <w:locked/>
    <w:rsid w:val="005C0BD2"/>
    <w:rPr>
      <w:rFonts w:ascii="Calibri" w:eastAsia="Calibri" w:hAnsi="Calibri" w:hint="default"/>
      <w:lang w:val="sq-AL" w:eastAsia="en-US" w:bidi="ar-SA"/>
    </w:rPr>
  </w:style>
  <w:style w:type="character" w:customStyle="1" w:styleId="CharChar24">
    <w:name w:val="Char Char24"/>
    <w:locked/>
    <w:rsid w:val="005C0BD2"/>
    <w:rPr>
      <w:rFonts w:ascii="Tahoma" w:hAnsi="Tahoma" w:cs="Tahoma" w:hint="default"/>
      <w:sz w:val="22"/>
      <w:szCs w:val="22"/>
      <w:lang w:val="de-AT" w:eastAsia="de-DE" w:bidi="ar-SA"/>
    </w:rPr>
  </w:style>
  <w:style w:type="character" w:customStyle="1" w:styleId="CharChar23">
    <w:name w:val="Char Char23"/>
    <w:locked/>
    <w:rsid w:val="005C0BD2"/>
    <w:rPr>
      <w:rFonts w:ascii="Tahoma" w:hAnsi="Tahoma" w:cs="Tahoma" w:hint="default"/>
      <w:sz w:val="22"/>
      <w:szCs w:val="22"/>
      <w:lang w:val="de-AT" w:eastAsia="de-DE" w:bidi="ar-SA"/>
    </w:rPr>
  </w:style>
  <w:style w:type="character" w:customStyle="1" w:styleId="CharChar22">
    <w:name w:val="Char Char22"/>
    <w:semiHidden/>
    <w:locked/>
    <w:rsid w:val="005C0BD2"/>
    <w:rPr>
      <w:rFonts w:ascii="Courier New" w:hAnsi="Courier New" w:cs="Courier New" w:hint="default"/>
      <w:sz w:val="22"/>
      <w:szCs w:val="22"/>
      <w:lang w:val="de-DE" w:eastAsia="de-DE" w:bidi="ar-SA"/>
    </w:rPr>
  </w:style>
  <w:style w:type="character" w:customStyle="1" w:styleId="CharChar21">
    <w:name w:val="Char Char21"/>
    <w:locked/>
    <w:rsid w:val="005C0BD2"/>
    <w:rPr>
      <w:rFonts w:ascii="Tahoma" w:hAnsi="Tahoma" w:cs="Tahoma" w:hint="default"/>
      <w:b/>
      <w:bCs w:val="0"/>
      <w:kern w:val="28"/>
      <w:sz w:val="36"/>
      <w:szCs w:val="36"/>
      <w:lang w:val="de-AT" w:eastAsia="de-DE" w:bidi="ar-SA"/>
    </w:rPr>
  </w:style>
  <w:style w:type="character" w:customStyle="1" w:styleId="CharChar12">
    <w:name w:val="Char Char12"/>
    <w:semiHidden/>
    <w:locked/>
    <w:rsid w:val="005C0BD2"/>
    <w:rPr>
      <w:rFonts w:ascii="Tahoma" w:hAnsi="Tahoma" w:cs="Tahoma" w:hint="default"/>
      <w:sz w:val="22"/>
      <w:szCs w:val="22"/>
      <w:lang w:val="de-AT" w:eastAsia="de-DE" w:bidi="ar-SA"/>
    </w:rPr>
  </w:style>
  <w:style w:type="character" w:customStyle="1" w:styleId="CharChar9">
    <w:name w:val="Char Char9"/>
    <w:semiHidden/>
    <w:locked/>
    <w:rsid w:val="005C0BD2"/>
    <w:rPr>
      <w:rFonts w:ascii="Tahoma" w:hAnsi="Tahoma" w:cs="Tahoma" w:hint="default"/>
      <w:sz w:val="22"/>
      <w:szCs w:val="22"/>
      <w:lang w:val="de-AT" w:eastAsia="de-DE" w:bidi="ar-SA"/>
    </w:rPr>
  </w:style>
  <w:style w:type="character" w:customStyle="1" w:styleId="CharChar25">
    <w:name w:val="Char Char25"/>
    <w:semiHidden/>
    <w:locked/>
    <w:rsid w:val="005C0BD2"/>
    <w:rPr>
      <w:rFonts w:ascii="Tahoma" w:hAnsi="Tahoma" w:cs="Tahoma" w:hint="default"/>
      <w:sz w:val="22"/>
      <w:szCs w:val="22"/>
      <w:lang w:val="de-AT" w:eastAsia="de-DE" w:bidi="ar-SA"/>
    </w:rPr>
  </w:style>
  <w:style w:type="character" w:customStyle="1" w:styleId="CharChar15">
    <w:name w:val="Char Char15"/>
    <w:semiHidden/>
    <w:locked/>
    <w:rsid w:val="005C0BD2"/>
    <w:rPr>
      <w:rFonts w:ascii="Tahoma" w:hAnsi="Tahoma" w:cs="Tahoma" w:hint="default"/>
      <w:sz w:val="22"/>
      <w:szCs w:val="22"/>
      <w:lang w:val="de-AT" w:eastAsia="de-DE" w:bidi="ar-SA"/>
    </w:rPr>
  </w:style>
  <w:style w:type="character" w:customStyle="1" w:styleId="CharChar16">
    <w:name w:val="Char Char16"/>
    <w:semiHidden/>
    <w:locked/>
    <w:rsid w:val="005C0BD2"/>
    <w:rPr>
      <w:rFonts w:ascii="Tahoma" w:hAnsi="Tahoma" w:cs="Arial" w:hint="default"/>
      <w:sz w:val="24"/>
      <w:szCs w:val="24"/>
      <w:lang w:val="de-AT" w:eastAsia="de-DE" w:bidi="ar-SA"/>
    </w:rPr>
  </w:style>
  <w:style w:type="character" w:customStyle="1" w:styleId="CharChar20">
    <w:name w:val="Char Char20"/>
    <w:locked/>
    <w:rsid w:val="005C0BD2"/>
    <w:rPr>
      <w:rFonts w:ascii="Tahoma" w:hAnsi="Tahoma" w:cs="Tahoma" w:hint="default"/>
      <w:b/>
      <w:bCs w:val="0"/>
      <w:kern w:val="28"/>
      <w:sz w:val="32"/>
      <w:szCs w:val="36"/>
      <w:lang w:val="de-AT" w:eastAsia="de-DE" w:bidi="ar-SA"/>
    </w:rPr>
  </w:style>
  <w:style w:type="character" w:customStyle="1" w:styleId="CharChar13">
    <w:name w:val="Char Char13"/>
    <w:semiHidden/>
    <w:locked/>
    <w:rsid w:val="005C0BD2"/>
    <w:rPr>
      <w:rFonts w:ascii="Tahoma" w:hAnsi="Tahoma" w:cs="Tahoma" w:hint="default"/>
      <w:sz w:val="22"/>
      <w:szCs w:val="22"/>
      <w:lang w:val="de-AT" w:eastAsia="de-DE" w:bidi="ar-SA"/>
    </w:rPr>
  </w:style>
  <w:style w:type="character" w:customStyle="1" w:styleId="CharChar19">
    <w:name w:val="Char Char19"/>
    <w:semiHidden/>
    <w:locked/>
    <w:rsid w:val="005C0BD2"/>
    <w:rPr>
      <w:rFonts w:ascii="Tahoma" w:hAnsi="Tahoma" w:cs="Tahoma" w:hint="default"/>
      <w:sz w:val="22"/>
      <w:szCs w:val="22"/>
      <w:lang w:val="de-AT" w:eastAsia="de-DE" w:bidi="ar-SA"/>
    </w:rPr>
  </w:style>
  <w:style w:type="character" w:customStyle="1" w:styleId="CharChar3">
    <w:name w:val="Char Char3"/>
    <w:semiHidden/>
    <w:locked/>
    <w:rsid w:val="005C0BD2"/>
  </w:style>
  <w:style w:type="character" w:customStyle="1" w:styleId="CharChar14">
    <w:name w:val="Char Char14"/>
    <w:semiHidden/>
    <w:locked/>
    <w:rsid w:val="005C0BD2"/>
  </w:style>
  <w:style w:type="character" w:customStyle="1" w:styleId="CharChar17">
    <w:name w:val="Char Char17"/>
    <w:locked/>
    <w:rsid w:val="005C0BD2"/>
    <w:rPr>
      <w:rFonts w:ascii="Tahoma" w:hAnsi="Tahoma" w:cs="Tahoma" w:hint="default"/>
      <w:sz w:val="22"/>
      <w:szCs w:val="22"/>
      <w:lang w:val="de-AT" w:eastAsia="de-DE" w:bidi="ar-SA"/>
    </w:rPr>
  </w:style>
  <w:style w:type="character" w:customStyle="1" w:styleId="CharChar7">
    <w:name w:val="Char Char7"/>
    <w:semiHidden/>
    <w:locked/>
    <w:rsid w:val="005C0BD2"/>
    <w:rPr>
      <w:rFonts w:ascii="Tahoma" w:hAnsi="Tahoma" w:cs="Tahoma" w:hint="default"/>
      <w:sz w:val="22"/>
      <w:szCs w:val="22"/>
      <w:lang w:val="de-AT" w:eastAsia="de-DE" w:bidi="ar-SA"/>
    </w:rPr>
  </w:style>
  <w:style w:type="character" w:customStyle="1" w:styleId="CharChar6">
    <w:name w:val="Char Char6"/>
    <w:semiHidden/>
    <w:locked/>
    <w:rsid w:val="005C0BD2"/>
    <w:rPr>
      <w:rFonts w:ascii="Tahoma" w:hAnsi="Tahoma" w:cs="Tahoma" w:hint="default"/>
      <w:sz w:val="16"/>
      <w:szCs w:val="16"/>
      <w:lang w:val="de-AT" w:eastAsia="de-DE" w:bidi="ar-SA"/>
    </w:rPr>
  </w:style>
  <w:style w:type="character" w:customStyle="1" w:styleId="CharChar5">
    <w:name w:val="Char Char5"/>
    <w:semiHidden/>
    <w:locked/>
    <w:rsid w:val="005C0BD2"/>
    <w:rPr>
      <w:rFonts w:ascii="Tahoma" w:hAnsi="Tahoma" w:cs="Tahoma" w:hint="default"/>
      <w:sz w:val="22"/>
      <w:szCs w:val="22"/>
      <w:lang w:val="de-AT" w:eastAsia="de-DE" w:bidi="ar-SA"/>
    </w:rPr>
  </w:style>
  <w:style w:type="character" w:customStyle="1" w:styleId="CharChar4">
    <w:name w:val="Char Char4"/>
    <w:semiHidden/>
    <w:locked/>
    <w:rsid w:val="005C0BD2"/>
    <w:rPr>
      <w:rFonts w:ascii="Tahoma" w:hAnsi="Tahoma" w:cs="Tahoma" w:hint="default"/>
      <w:sz w:val="16"/>
      <w:szCs w:val="16"/>
      <w:lang w:val="de-AT" w:eastAsia="de-DE" w:bidi="ar-SA"/>
    </w:rPr>
  </w:style>
  <w:style w:type="character" w:customStyle="1" w:styleId="CharChar18">
    <w:name w:val="Char Char18"/>
    <w:semiHidden/>
    <w:locked/>
    <w:rsid w:val="005C0BD2"/>
    <w:rPr>
      <w:rFonts w:ascii="Tahoma" w:hAnsi="Tahoma" w:cs="Tahoma" w:hint="default"/>
      <w:sz w:val="22"/>
      <w:szCs w:val="22"/>
      <w:lang w:val="de-AT" w:eastAsia="de-DE" w:bidi="ar-SA"/>
    </w:rPr>
  </w:style>
  <w:style w:type="character" w:customStyle="1" w:styleId="CharChar8">
    <w:name w:val="Char Char8"/>
    <w:locked/>
    <w:rsid w:val="005C0BD2"/>
    <w:rPr>
      <w:rFonts w:ascii="Tahoma" w:hAnsi="Tahoma" w:cs="Tahoma" w:hint="default"/>
      <w:sz w:val="22"/>
      <w:szCs w:val="22"/>
      <w:lang w:val="de-AT" w:eastAsia="de-DE" w:bidi="ar-SA"/>
    </w:rPr>
  </w:style>
  <w:style w:type="character" w:customStyle="1" w:styleId="CharChar2">
    <w:name w:val="Char Char2"/>
    <w:locked/>
    <w:rsid w:val="005C0BD2"/>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5C0BD2"/>
    <w:rPr>
      <w:rFonts w:ascii="Tahoma" w:hAnsi="Tahoma" w:cs="Tahoma" w:hint="default"/>
      <w:sz w:val="16"/>
      <w:szCs w:val="16"/>
      <w:lang w:val="sq-AL" w:eastAsia="en-US" w:bidi="ar-SA"/>
    </w:rPr>
  </w:style>
  <w:style w:type="character" w:customStyle="1" w:styleId="CommentTextChar11">
    <w:name w:val="Comment Text Char11"/>
    <w:aliases w:val="Char Char37"/>
    <w:semiHidden/>
    <w:rsid w:val="005C0BD2"/>
    <w:rPr>
      <w:rFonts w:ascii="Calibri" w:hAnsi="Calibri" w:hint="default"/>
      <w:lang w:val="sq-AL"/>
    </w:rPr>
  </w:style>
  <w:style w:type="paragraph" w:styleId="NormalIndent">
    <w:name w:val="Normal Indent"/>
    <w:basedOn w:val="Normal"/>
    <w:link w:val="NormalIndentChar"/>
    <w:semiHidden/>
    <w:unhideWhenUsed/>
    <w:rsid w:val="005C0BD2"/>
    <w:pPr>
      <w:ind w:left="720"/>
    </w:pPr>
    <w:rPr>
      <w:rFonts w:ascii="Tahoma" w:eastAsia="Times New Roman" w:hAnsi="Tahoma"/>
      <w:lang w:val="de-AT" w:eastAsia="de-DE"/>
    </w:rPr>
  </w:style>
  <w:style w:type="character" w:customStyle="1" w:styleId="DeltaViewInsertion">
    <w:name w:val="DeltaView Insertion"/>
    <w:uiPriority w:val="99"/>
    <w:rsid w:val="005C0BD2"/>
    <w:rPr>
      <w:color w:val="0000FF"/>
      <w:spacing w:val="0"/>
      <w:u w:val="double"/>
    </w:rPr>
  </w:style>
  <w:style w:type="character" w:customStyle="1" w:styleId="az12">
    <w:name w:val="az12"/>
    <w:uiPriority w:val="99"/>
    <w:rsid w:val="005C0BD2"/>
    <w:rPr>
      <w:rFonts w:ascii="Times New Roman" w:hAnsi="Times New Roman" w:cs="Times New Roman" w:hint="default"/>
      <w:sz w:val="24"/>
    </w:rPr>
  </w:style>
  <w:style w:type="character" w:customStyle="1" w:styleId="Style20">
    <w:name w:val="Style2"/>
    <w:basedOn w:val="Point1Char"/>
    <w:uiPriority w:val="1"/>
    <w:qFormat/>
    <w:rsid w:val="005C0BD2"/>
    <w:rPr>
      <w:rFonts w:ascii="Calibri" w:eastAsia="Times New Roman" w:hAnsi="Calibri" w:cs="Times New Roman"/>
      <w:sz w:val="24"/>
      <w:szCs w:val="24"/>
      <w:lang w:val="en-GB" w:eastAsia="en-GB"/>
    </w:rPr>
  </w:style>
  <w:style w:type="character" w:customStyle="1" w:styleId="Style2Char">
    <w:name w:val="Style2 Char"/>
    <w:locked/>
    <w:rsid w:val="005C0BD2"/>
    <w:rPr>
      <w:rFonts w:ascii="Times New Roman" w:eastAsia="Times New Roman" w:hAnsi="Times New Roman" w:cs="Times New Roman" w:hint="default"/>
      <w:color w:val="0070C0"/>
      <w:sz w:val="28"/>
      <w:szCs w:val="24"/>
      <w:lang w:val="sq-AL"/>
    </w:rPr>
  </w:style>
  <w:style w:type="character" w:customStyle="1" w:styleId="longtext1">
    <w:name w:val="long_text1"/>
    <w:rsid w:val="005C0BD2"/>
    <w:rPr>
      <w:sz w:val="20"/>
      <w:szCs w:val="20"/>
    </w:rPr>
  </w:style>
  <w:style w:type="character" w:customStyle="1" w:styleId="En-tteoupieddepage0">
    <w:name w:val="En-tête ou pied de page"/>
    <w:basedOn w:val="En-tteoupieddepage"/>
    <w:uiPriority w:val="99"/>
    <w:rsid w:val="005C0BD2"/>
    <w:rPr>
      <w:rFonts w:ascii="Times New Roman" w:hAnsi="Times New Roman" w:cs="Times New Roman"/>
      <w:sz w:val="20"/>
      <w:szCs w:val="20"/>
      <w:shd w:val="clear" w:color="auto" w:fill="FFFFFF"/>
    </w:rPr>
  </w:style>
  <w:style w:type="character" w:customStyle="1" w:styleId="Tabledesmatires2">
    <w:name w:val="Table des matières (2)"/>
    <w:basedOn w:val="DefaultParagraphFont"/>
    <w:uiPriority w:val="99"/>
    <w:rsid w:val="005C0BD2"/>
    <w:rPr>
      <w:rFonts w:ascii="Times New Roman" w:eastAsia="Times New Roman" w:hAnsi="Times New Roman" w:cs="Times New Roman" w:hint="default"/>
      <w:sz w:val="24"/>
      <w:szCs w:val="24"/>
      <w:lang w:val="sq-AL"/>
    </w:rPr>
  </w:style>
  <w:style w:type="character" w:customStyle="1" w:styleId="Tabledesmatires2NonGras">
    <w:name w:val="Table des matières (2) + Non Gras"/>
    <w:basedOn w:val="DefaultParagraphFont"/>
    <w:uiPriority w:val="99"/>
    <w:rsid w:val="005C0BD2"/>
    <w:rPr>
      <w:rFonts w:ascii="Times New Roman" w:eastAsia="Times New Roman" w:hAnsi="Times New Roman" w:cs="Times New Roman" w:hint="default"/>
      <w:b w:val="0"/>
      <w:bCs w:val="0"/>
      <w:sz w:val="24"/>
      <w:szCs w:val="24"/>
      <w:lang w:val="sq-AL" w:eastAsia="sq-AL"/>
    </w:rPr>
  </w:style>
  <w:style w:type="character" w:customStyle="1" w:styleId="Corpsdutexte0">
    <w:name w:val="Corps du texte"/>
    <w:basedOn w:val="Corpsdutexte"/>
    <w:uiPriority w:val="99"/>
    <w:rsid w:val="005C0BD2"/>
    <w:rPr>
      <w:rFonts w:ascii="Times New Roman" w:hAnsi="Times New Roman" w:cs="Times New Roman"/>
      <w:u w:val="single"/>
      <w:shd w:val="clear" w:color="auto" w:fill="FFFFFF"/>
    </w:rPr>
  </w:style>
  <w:style w:type="character" w:customStyle="1" w:styleId="super">
    <w:name w:val="super"/>
    <w:basedOn w:val="DefaultParagraphFont"/>
    <w:rsid w:val="005C0BD2"/>
  </w:style>
  <w:style w:type="character" w:customStyle="1" w:styleId="italic">
    <w:name w:val="italic"/>
    <w:basedOn w:val="DefaultParagraphFont"/>
    <w:rsid w:val="005C0BD2"/>
  </w:style>
  <w:style w:type="character" w:customStyle="1" w:styleId="shorttext">
    <w:name w:val="short_text"/>
    <w:basedOn w:val="DefaultParagraphFont"/>
    <w:rsid w:val="005C0BD2"/>
  </w:style>
  <w:style w:type="character" w:customStyle="1" w:styleId="boldface">
    <w:name w:val="boldface"/>
    <w:basedOn w:val="DefaultParagraphFont"/>
    <w:rsid w:val="005C0BD2"/>
  </w:style>
  <w:style w:type="character" w:customStyle="1" w:styleId="italics">
    <w:name w:val="italics"/>
    <w:basedOn w:val="DefaultParagraphFont"/>
    <w:rsid w:val="005C0BD2"/>
  </w:style>
  <w:style w:type="character" w:customStyle="1" w:styleId="superscript">
    <w:name w:val="superscript"/>
    <w:basedOn w:val="DefaultParagraphFont"/>
    <w:rsid w:val="005C0BD2"/>
  </w:style>
  <w:style w:type="character" w:customStyle="1" w:styleId="ParagrafiCharChar">
    <w:name w:val="Paragrafi Char Char"/>
    <w:rsid w:val="005C0BD2"/>
    <w:rPr>
      <w:rFonts w:ascii="CG Times" w:hAnsi="CG Times" w:hint="default"/>
      <w:sz w:val="22"/>
      <w:lang w:val="en-US" w:eastAsia="en-US" w:bidi="ar-SA"/>
    </w:rPr>
  </w:style>
  <w:style w:type="character" w:customStyle="1" w:styleId="st">
    <w:name w:val="st"/>
    <w:basedOn w:val="DefaultParagraphFont"/>
    <w:rsid w:val="005C0BD2"/>
  </w:style>
  <w:style w:type="character" w:customStyle="1" w:styleId="TitleChar2">
    <w:name w:val="Title Char2"/>
    <w:uiPriority w:val="99"/>
    <w:locked/>
    <w:rsid w:val="005C0BD2"/>
    <w:rPr>
      <w:rFonts w:ascii="Arrus BT" w:eastAsia="MS Mincho" w:hAnsi="Arrus BT" w:cs="Arrus BT" w:hint="default"/>
      <w:b/>
      <w:bCs/>
      <w:sz w:val="32"/>
      <w:szCs w:val="32"/>
      <w:lang w:val="en-US" w:eastAsia="en-US"/>
    </w:rPr>
  </w:style>
  <w:style w:type="character" w:customStyle="1" w:styleId="MessageHeaderLabel">
    <w:name w:val="Message Header Label"/>
    <w:rsid w:val="005C0BD2"/>
    <w:rPr>
      <w:rFonts w:ascii="Arial Black" w:hAnsi="Arial Black" w:hint="default"/>
      <w:spacing w:val="-10"/>
      <w:sz w:val="18"/>
    </w:rPr>
  </w:style>
  <w:style w:type="character" w:customStyle="1" w:styleId="FontStyle85">
    <w:name w:val="Font Style85"/>
    <w:basedOn w:val="DefaultParagraphFont"/>
    <w:uiPriority w:val="99"/>
    <w:rsid w:val="005C0BD2"/>
    <w:rPr>
      <w:rFonts w:ascii="Garamond" w:hAnsi="Garamond" w:cs="Garamond" w:hint="default"/>
      <w:sz w:val="22"/>
      <w:szCs w:val="22"/>
    </w:rPr>
  </w:style>
  <w:style w:type="character" w:customStyle="1" w:styleId="arial14">
    <w:name w:val="arial14"/>
    <w:rsid w:val="005C0BD2"/>
  </w:style>
  <w:style w:type="character" w:customStyle="1" w:styleId="ju-005fpara--char">
    <w:name w:val="ju-005fpara--char"/>
    <w:basedOn w:val="DefaultParagraphFont"/>
    <w:rsid w:val="005C0BD2"/>
  </w:style>
  <w:style w:type="character" w:customStyle="1" w:styleId="eheadnotes">
    <w:name w:val="eheadnotes"/>
    <w:rsid w:val="005C0BD2"/>
    <w:rPr>
      <w:rFonts w:ascii="Times New Roman" w:hAnsi="Times New Roman" w:cs="Times New Roman" w:hint="default"/>
    </w:rPr>
  </w:style>
  <w:style w:type="character" w:customStyle="1" w:styleId="edate">
    <w:name w:val="edate"/>
    <w:rsid w:val="005C0BD2"/>
    <w:rPr>
      <w:rFonts w:ascii="Times New Roman" w:hAnsi="Times New Roman" w:cs="Times New Roman" w:hint="default"/>
    </w:rPr>
  </w:style>
  <w:style w:type="character" w:customStyle="1" w:styleId="enumber">
    <w:name w:val="enumber"/>
    <w:rsid w:val="005C0BD2"/>
    <w:rPr>
      <w:rFonts w:ascii="Times New Roman" w:hAnsi="Times New Roman" w:cs="Times New Roman" w:hint="default"/>
    </w:rPr>
  </w:style>
  <w:style w:type="table" w:styleId="ColorfulList-Accent1">
    <w:name w:val="Colorful List Accent 1"/>
    <w:basedOn w:val="TableNormal"/>
    <w:link w:val="ColorfulList-Accent1Char"/>
    <w:uiPriority w:val="1"/>
    <w:semiHidden/>
    <w:unhideWhenUsed/>
    <w:rsid w:val="005C0BD2"/>
    <w:pPr>
      <w:spacing w:after="0" w:line="240" w:lineRule="auto"/>
    </w:pPr>
    <w:rPr>
      <w:rFonts w:ascii="Times New Roman" w:eastAsia="MS Mincho" w:hAnsi="Times New Roman" w:cs="Times New Roman"/>
      <w:sz w:val="24"/>
      <w:szCs w:val="24"/>
      <w:lang w:val="sq-AL"/>
    </w:rPr>
    <w:tblPr>
      <w:tblStyleRowBandSize w:val="1"/>
      <w:tblStyleColBandSize w:val="1"/>
      <w:tblInd w:w="0" w:type="nil"/>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ColorfulList-Accent1Char">
    <w:name w:val="Colorful List - Accent 1 Char"/>
    <w:link w:val="ColorfulList-Accent1"/>
    <w:uiPriority w:val="1"/>
    <w:semiHidden/>
    <w:locked/>
    <w:rsid w:val="005C0BD2"/>
    <w:rPr>
      <w:rFonts w:ascii="Times New Roman" w:eastAsia="MS Mincho" w:hAnsi="Times New Roman" w:cs="Times New Roman" w:hint="default"/>
      <w:sz w:val="24"/>
      <w:szCs w:val="24"/>
      <w:lang w:val="sq-AL"/>
    </w:rPr>
  </w:style>
  <w:style w:type="table" w:styleId="TableSimple1">
    <w:name w:val="Table Simple 1"/>
    <w:basedOn w:val="TableNormal"/>
    <w:semiHidden/>
    <w:unhideWhenUsed/>
    <w:rsid w:val="005C0BD2"/>
    <w:pPr>
      <w:spacing w:after="0" w:line="360" w:lineRule="auto"/>
    </w:pPr>
    <w:rPr>
      <w:rFonts w:ascii="Times New Roman" w:eastAsia="Times New Roman" w:hAnsi="Times New Roman"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5C0BD2"/>
    <w:pPr>
      <w:spacing w:after="0" w:line="360" w:lineRule="auto"/>
    </w:pPr>
    <w:rPr>
      <w:rFonts w:ascii="Times New Roman" w:eastAsia="Times New Roman" w:hAnsi="Times New Roman"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5C0BD2"/>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5C0BD2"/>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5C0BD2"/>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5C0BD2"/>
    <w:pPr>
      <w:spacing w:after="0" w:line="360" w:lineRule="auto"/>
    </w:pPr>
    <w:rPr>
      <w:rFonts w:ascii="Times New Roman" w:eastAsia="Times New Roman" w:hAnsi="Times New Roman"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5C0BD2"/>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5C0BD2"/>
    <w:pPr>
      <w:spacing w:after="0" w:line="360" w:lineRule="auto"/>
    </w:pPr>
    <w:rPr>
      <w:rFonts w:ascii="Times New Roman" w:eastAsia="Times New Roman" w:hAnsi="Times New Roman"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5C0BD2"/>
    <w:pPr>
      <w:spacing w:after="0" w:line="360" w:lineRule="auto"/>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5C0BD2"/>
    <w:pPr>
      <w:spacing w:after="0" w:line="360" w:lineRule="auto"/>
    </w:pPr>
    <w:rPr>
      <w:rFonts w:ascii="Times New Roman" w:eastAsia="Times New Roman" w:hAnsi="Times New Roman"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5C0BD2"/>
    <w:pPr>
      <w:spacing w:after="0" w:line="360" w:lineRule="auto"/>
    </w:pPr>
    <w:rPr>
      <w:rFonts w:ascii="Times New Roman" w:eastAsia="Times New Roman" w:hAnsi="Times New Roman"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5C0BD2"/>
    <w:pPr>
      <w:spacing w:after="0" w:line="360" w:lineRule="auto"/>
    </w:pPr>
    <w:rPr>
      <w:rFonts w:ascii="Times New Roman" w:eastAsia="Times New Roman" w:hAnsi="Times New Roman"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5C0BD2"/>
    <w:pPr>
      <w:spacing w:after="0" w:line="360" w:lineRule="auto"/>
    </w:pPr>
    <w:rPr>
      <w:rFonts w:ascii="Times New Roman" w:eastAsia="Times New Roman" w:hAnsi="Times New Roman"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5C0BD2"/>
    <w:pPr>
      <w:spacing w:after="0" w:line="360" w:lineRule="auto"/>
    </w:pPr>
    <w:rPr>
      <w:rFonts w:ascii="Times New Roman" w:eastAsia="Times New Roman" w:hAnsi="Times New Roman"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5C0BD2"/>
    <w:pPr>
      <w:spacing w:after="0" w:line="360" w:lineRule="auto"/>
    </w:pPr>
    <w:rPr>
      <w:rFonts w:ascii="Times New Roman" w:eastAsia="Times New Roman" w:hAnsi="Times New Roman"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5C0BD2"/>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5C0BD2"/>
    <w:pPr>
      <w:spacing w:after="0" w:line="360" w:lineRule="auto"/>
    </w:pPr>
    <w:rPr>
      <w:rFonts w:ascii="Times New Roman" w:eastAsia="Times New Roman" w:hAnsi="Times New Roman"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5C0BD2"/>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5C0BD2"/>
    <w:pPr>
      <w:spacing w:after="0" w:line="360" w:lineRule="auto"/>
    </w:pPr>
    <w:rPr>
      <w:rFonts w:ascii="Times New Roman" w:eastAsia="Times New Roman" w:hAnsi="Times New Roman"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5C0BD2"/>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5C0BD2"/>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5C0BD2"/>
    <w:pPr>
      <w:spacing w:after="0" w:line="360" w:lineRule="auto"/>
    </w:pPr>
    <w:rPr>
      <w:rFonts w:ascii="Times New Roman" w:eastAsia="Times New Roman" w:hAnsi="Times New Roman"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5C0BD2"/>
    <w:pPr>
      <w:spacing w:after="0" w:line="360" w:lineRule="auto"/>
    </w:pPr>
    <w:rPr>
      <w:rFonts w:ascii="Times New Roman" w:eastAsia="Times New Roman" w:hAnsi="Times New Roman"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5C0BD2"/>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5C0BD2"/>
    <w:pPr>
      <w:spacing w:after="0" w:line="360" w:lineRule="auto"/>
    </w:pPr>
    <w:rPr>
      <w:rFonts w:ascii="Times New Roman" w:eastAsia="Times New Roman" w:hAnsi="Times New Roman"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5C0BD2"/>
    <w:pPr>
      <w:spacing w:after="0" w:line="360" w:lineRule="auto"/>
    </w:pPr>
    <w:rPr>
      <w:rFonts w:ascii="Times New Roman" w:eastAsia="Times New Roman" w:hAnsi="Times New Roman"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5C0BD2"/>
    <w:pPr>
      <w:spacing w:after="0" w:line="360" w:lineRule="auto"/>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5C0BD2"/>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5C0BD2"/>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5C0BD2"/>
    <w:pPr>
      <w:spacing w:after="0" w:line="360" w:lineRule="auto"/>
    </w:pPr>
    <w:rPr>
      <w:rFonts w:ascii="Times New Roman" w:eastAsia="Times New Roman" w:hAnsi="Times New Roman"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5C0BD2"/>
    <w:pPr>
      <w:spacing w:after="0" w:line="360" w:lineRule="auto"/>
    </w:pPr>
    <w:rPr>
      <w:rFonts w:ascii="Times New Roman" w:eastAsia="Times New Roman" w:hAnsi="Times New Roman"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5C0BD2"/>
    <w:pPr>
      <w:spacing w:after="0" w:line="360" w:lineRule="auto"/>
    </w:pPr>
    <w:rPr>
      <w:rFonts w:ascii="Tahoma" w:eastAsia="Times New Roman" w:hAnsi="Tahoma"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5C0BD2"/>
    <w:pPr>
      <w:spacing w:after="0" w:line="360" w:lineRule="auto"/>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5C0BD2"/>
    <w:pPr>
      <w:spacing w:after="0" w:line="36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5C0BD2"/>
    <w:pPr>
      <w:spacing w:after="0" w:line="360" w:lineRule="auto"/>
    </w:pPr>
    <w:rPr>
      <w:rFonts w:ascii="Times New Roman" w:eastAsia="Times New Roman" w:hAnsi="Times New Roman"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5C0BD2"/>
    <w:pPr>
      <w:spacing w:after="0" w:line="360" w:lineRule="auto"/>
    </w:pPr>
    <w:rPr>
      <w:rFonts w:ascii="Times New Roman" w:eastAsia="Times New Roman" w:hAnsi="Times New Roman"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5C0BD2"/>
    <w:pPr>
      <w:spacing w:after="0" w:line="36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5C0BD2"/>
    <w:pPr>
      <w:spacing w:after="0" w:line="360" w:lineRule="auto"/>
    </w:pPr>
    <w:rPr>
      <w:rFonts w:ascii="Times New Roman" w:eastAsia="Times New Roman" w:hAnsi="Times New Roman"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5C0BD2"/>
    <w:pPr>
      <w:spacing w:after="0" w:line="360" w:lineRule="auto"/>
    </w:pPr>
    <w:rPr>
      <w:rFonts w:ascii="Times New Roman" w:eastAsia="Times New Roman" w:hAnsi="Times New Roman"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5C0BD2"/>
    <w:pPr>
      <w:spacing w:after="0" w:line="360" w:lineRule="auto"/>
    </w:pPr>
    <w:rPr>
      <w:rFonts w:ascii="Times New Roman" w:eastAsia="Times New Roman" w:hAnsi="Times New Roman"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5C0BD2"/>
    <w:pPr>
      <w:spacing w:after="0" w:line="360" w:lineRule="auto"/>
    </w:pPr>
    <w:rPr>
      <w:rFonts w:ascii="Times New Roman" w:eastAsia="Times New Roman" w:hAnsi="Times New Roman"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5C0BD2"/>
    <w:pPr>
      <w:spacing w:after="0" w:line="360" w:lineRule="auto"/>
    </w:pPr>
    <w:rPr>
      <w:rFonts w:ascii="Times New Roman" w:eastAsia="Times New Roman" w:hAnsi="Times New Roman"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59"/>
    <w:rsid w:val="005C0BD2"/>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unhideWhenUsed/>
    <w:rsid w:val="005C0BD2"/>
    <w:pPr>
      <w:spacing w:after="0" w:line="36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semiHidden/>
    <w:unhideWhenUsed/>
    <w:rsid w:val="005C0BD2"/>
    <w:pPr>
      <w:spacing w:after="0" w:line="240" w:lineRule="auto"/>
    </w:pPr>
    <w:rPr>
      <w:rFonts w:eastAsia="Batang"/>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2">
    <w:name w:val="Light Grid Accent 2"/>
    <w:basedOn w:val="TableNormal"/>
    <w:uiPriority w:val="62"/>
    <w:semiHidden/>
    <w:unhideWhenUsed/>
    <w:rsid w:val="005C0BD2"/>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0">
    <w:name w:val="Table Grid1"/>
    <w:basedOn w:val="TableNormal"/>
    <w:rsid w:val="005C0BD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rsid w:val="005C0BD2"/>
    <w:pPr>
      <w:spacing w:after="0" w:line="360" w:lineRule="auto"/>
    </w:pPr>
    <w:rPr>
      <w:rFonts w:ascii="Tahoma" w:eastAsia="Times New Roman" w:hAnsi="Tahoma"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uiPriority w:val="59"/>
    <w:rsid w:val="005C0B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C0BD2"/>
    <w:pPr>
      <w:spacing w:after="0" w:line="240" w:lineRule="auto"/>
    </w:pPr>
    <w:rPr>
      <w:rFonts w:eastAsia="Batang"/>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5">
    <w:name w:val="List Number 5"/>
    <w:basedOn w:val="Normal"/>
    <w:semiHidden/>
    <w:unhideWhenUsed/>
    <w:rsid w:val="005C0BD2"/>
    <w:pPr>
      <w:numPr>
        <w:numId w:val="1"/>
      </w:numPr>
      <w:contextualSpacing/>
    </w:pPr>
  </w:style>
  <w:style w:type="paragraph" w:styleId="ListBullet">
    <w:name w:val="List Bullet"/>
    <w:basedOn w:val="Normal"/>
    <w:semiHidden/>
    <w:unhideWhenUsed/>
    <w:rsid w:val="005C0BD2"/>
    <w:pPr>
      <w:numPr>
        <w:numId w:val="3"/>
      </w:numPr>
      <w:contextualSpacing/>
    </w:pPr>
  </w:style>
  <w:style w:type="paragraph" w:styleId="ListBullet2">
    <w:name w:val="List Bullet 2"/>
    <w:basedOn w:val="Normal"/>
    <w:semiHidden/>
    <w:unhideWhenUsed/>
    <w:rsid w:val="005C0BD2"/>
    <w:pPr>
      <w:numPr>
        <w:numId w:val="5"/>
      </w:numPr>
      <w:contextualSpacing/>
    </w:pPr>
  </w:style>
  <w:style w:type="paragraph" w:styleId="ListBullet3">
    <w:name w:val="List Bullet 3"/>
    <w:basedOn w:val="Normal"/>
    <w:semiHidden/>
    <w:unhideWhenUsed/>
    <w:rsid w:val="005C0BD2"/>
    <w:pPr>
      <w:numPr>
        <w:numId w:val="6"/>
      </w:numPr>
      <w:contextualSpacing/>
    </w:pPr>
  </w:style>
  <w:style w:type="paragraph" w:styleId="ListBullet4">
    <w:name w:val="List Bullet 4"/>
    <w:basedOn w:val="Normal"/>
    <w:semiHidden/>
    <w:unhideWhenUsed/>
    <w:rsid w:val="005C0BD2"/>
    <w:pPr>
      <w:numPr>
        <w:numId w:val="7"/>
      </w:numPr>
      <w:contextualSpacing/>
    </w:pPr>
  </w:style>
  <w:style w:type="paragraph" w:styleId="ListBullet5">
    <w:name w:val="List Bullet 5"/>
    <w:basedOn w:val="Normal"/>
    <w:semiHidden/>
    <w:unhideWhenUsed/>
    <w:rsid w:val="005C0BD2"/>
    <w:pPr>
      <w:numPr>
        <w:numId w:val="8"/>
      </w:numPr>
      <w:contextualSpacing/>
    </w:pPr>
  </w:style>
  <w:style w:type="paragraph" w:styleId="ListNumber2">
    <w:name w:val="List Number 2"/>
    <w:basedOn w:val="Normal"/>
    <w:semiHidden/>
    <w:unhideWhenUsed/>
    <w:rsid w:val="005C0BD2"/>
    <w:pPr>
      <w:numPr>
        <w:numId w:val="9"/>
      </w:numPr>
      <w:contextualSpacing/>
    </w:pPr>
  </w:style>
  <w:style w:type="paragraph" w:styleId="ListNumber3">
    <w:name w:val="List Number 3"/>
    <w:basedOn w:val="Normal"/>
    <w:semiHidden/>
    <w:unhideWhenUsed/>
    <w:rsid w:val="005C0BD2"/>
    <w:pPr>
      <w:numPr>
        <w:numId w:val="10"/>
      </w:numPr>
      <w:contextualSpacing/>
    </w:pPr>
  </w:style>
  <w:style w:type="paragraph" w:styleId="ListNumber4">
    <w:name w:val="List Number 4"/>
    <w:basedOn w:val="Normal"/>
    <w:semiHidden/>
    <w:unhideWhenUsed/>
    <w:rsid w:val="005C0BD2"/>
    <w:pPr>
      <w:numPr>
        <w:numId w:val="11"/>
      </w:numPr>
      <w:contextualSpacing/>
    </w:pPr>
  </w:style>
  <w:style w:type="numbering" w:styleId="111111">
    <w:name w:val="Outline List 2"/>
    <w:basedOn w:val="NoList"/>
    <w:semiHidden/>
    <w:unhideWhenUsed/>
    <w:rsid w:val="005C0BD2"/>
    <w:pPr>
      <w:numPr>
        <w:numId w:val="14"/>
      </w:numPr>
    </w:pPr>
  </w:style>
  <w:style w:type="numbering" w:customStyle="1" w:styleId="aAhs">
    <w:name w:val="aAhs"/>
    <w:uiPriority w:val="99"/>
    <w:rsid w:val="005C0BD2"/>
    <w:pPr>
      <w:numPr>
        <w:numId w:val="15"/>
      </w:numPr>
    </w:pPr>
  </w:style>
  <w:style w:type="numbering" w:customStyle="1" w:styleId="Style3">
    <w:name w:val="Style3"/>
    <w:rsid w:val="005C0BD2"/>
    <w:pPr>
      <w:numPr>
        <w:numId w:val="16"/>
      </w:numPr>
    </w:pPr>
  </w:style>
  <w:style w:type="numbering" w:styleId="ArticleSection">
    <w:name w:val="Outline List 3"/>
    <w:basedOn w:val="NoList"/>
    <w:semiHidden/>
    <w:unhideWhenUsed/>
    <w:rsid w:val="005C0BD2"/>
    <w:pPr>
      <w:numPr>
        <w:numId w:val="17"/>
      </w:numPr>
    </w:pPr>
  </w:style>
  <w:style w:type="numbering" w:styleId="1ai">
    <w:name w:val="Outline List 1"/>
    <w:basedOn w:val="NoList"/>
    <w:semiHidden/>
    <w:unhideWhenUsed/>
    <w:rsid w:val="005C0BD2"/>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322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172.30.96.156\P&#235;rfundimtare\Fletore%202019\24-2019\24-2019.docx" TargetMode="External"/><Relationship Id="rId13" Type="http://schemas.openxmlformats.org/officeDocument/2006/relationships/hyperlink" Target="http://www.fidic.org/" TargetMode="External"/><Relationship Id="rId18" Type="http://schemas.openxmlformats.org/officeDocument/2006/relationships/hyperlink" Target="https://www.kfw-entwicklungsbank.de/International-financing/KfW-Development-Bank/Publications-Videos/Publication-serie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fw-entwicklungsbank.de/International-financing/KfW-Development-Bank/Publications-Videos/Publication-series/" TargetMode="External"/><Relationship Id="rId7" Type="http://schemas.openxmlformats.org/officeDocument/2006/relationships/hyperlink" Target="http://transparenz.kfw-entwicklungsbank.de/" TargetMode="External"/><Relationship Id="rId12" Type="http://schemas.openxmlformats.org/officeDocument/2006/relationships/hyperlink" Target="http://www.dgmarket.com/" TargetMode="External"/><Relationship Id="rId17" Type="http://schemas.openxmlformats.org/officeDocument/2006/relationships/hyperlink" Target="https://www.kfw-entwicklungsbank.de/International-financing/KfW-Development-Bank/Publications-Videos/Publication-serie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fw-entwicklungsbank.de/International-financing/KfW-Development-Bank/Publications-Videos/Publication-series/" TargetMode="External"/><Relationship Id="rId20" Type="http://schemas.openxmlformats.org/officeDocument/2006/relationships/hyperlink" Target="https://www.kfw-entwicklungsbank.de/International-financing/KfW-Development-Bank/Publications-Videos/Publication-seri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lo.org/global/lang--en/index.htm" TargetMode="External"/><Relationship Id="rId24" Type="http://schemas.openxmlformats.org/officeDocument/2006/relationships/hyperlink" Target="http://www.adb.org/" TargetMode="External"/><Relationship Id="rId5" Type="http://schemas.openxmlformats.org/officeDocument/2006/relationships/footnotes" Target="footnotes.xml"/><Relationship Id="rId15" Type="http://schemas.openxmlformats.org/officeDocument/2006/relationships/hyperlink" Target="http://www.gtai.de/" TargetMode="External"/><Relationship Id="rId23" Type="http://schemas.openxmlformats.org/officeDocument/2006/relationships/hyperlink" Target="http://www.worldbank.org/" TargetMode="External"/><Relationship Id="rId10" Type="http://schemas.openxmlformats.org/officeDocument/2006/relationships/image" Target="media/image1.emf"/><Relationship Id="rId19" Type="http://schemas.openxmlformats.org/officeDocument/2006/relationships/hyperlink" Target="http://www.icc-deutschland.de/" TargetMode="External"/><Relationship Id="rId4" Type="http://schemas.openxmlformats.org/officeDocument/2006/relationships/webSettings" Target="webSettings.xml"/><Relationship Id="rId9" Type="http://schemas.openxmlformats.org/officeDocument/2006/relationships/hyperlink" Target="file:///\\172.30.96.156\P&#235;rfundimtare\Fletore%202019\24-2019\24-2019.docx" TargetMode="External"/><Relationship Id="rId14" Type="http://schemas.openxmlformats.org/officeDocument/2006/relationships/hyperlink" Target="mailto:kfw-tender@gtai.de" TargetMode="External"/><Relationship Id="rId22" Type="http://schemas.openxmlformats.org/officeDocument/2006/relationships/hyperlink" Target="https://www.kfw-entwicklungsbank.de/International-financing/KfW-Development-Bank/Publications-Videos/Publication-se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36</Pages>
  <Words>21159</Words>
  <Characters>120607</Characters>
  <Application>Microsoft Office Word</Application>
  <DocSecurity>0</DocSecurity>
  <Lines>1005</Lines>
  <Paragraphs>282</Paragraphs>
  <ScaleCrop>false</ScaleCrop>
  <Company/>
  <LinksUpToDate>false</LinksUpToDate>
  <CharactersWithSpaces>141484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2019-02-28T08:06:00Z</dcterms:created>
  <dcterms:modified xsi:type="dcterms:W3CDTF">2019-02-28T08:12:00Z</dcterms:modified>
</cp:coreProperties>
</file>