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CF2EE" w14:textId="77777777" w:rsidR="00AB2B06" w:rsidRPr="007114AF" w:rsidRDefault="00AB2B06" w:rsidP="00AB2B06">
      <w:pPr>
        <w:spacing w:after="0" w:line="240" w:lineRule="auto"/>
        <w:jc w:val="center"/>
        <w:rPr>
          <w:rFonts w:ascii="Garamond" w:hAnsi="Garamond"/>
          <w:b/>
          <w:sz w:val="24"/>
          <w:szCs w:val="24"/>
        </w:rPr>
      </w:pPr>
      <w:r w:rsidRPr="007114AF">
        <w:rPr>
          <w:rFonts w:ascii="Garamond" w:hAnsi="Garamond"/>
          <w:b/>
          <w:sz w:val="24"/>
          <w:szCs w:val="24"/>
        </w:rPr>
        <w:t>VENDIM</w:t>
      </w:r>
    </w:p>
    <w:p w14:paraId="6EDCF2EF" w14:textId="596453F0" w:rsidR="00AB2B06" w:rsidRPr="007114AF" w:rsidRDefault="008D30FC" w:rsidP="00AB2B06">
      <w:pPr>
        <w:spacing w:after="0" w:line="240" w:lineRule="auto"/>
        <w:jc w:val="center"/>
        <w:rPr>
          <w:rFonts w:ascii="Garamond" w:hAnsi="Garamond"/>
          <w:b/>
          <w:sz w:val="24"/>
          <w:szCs w:val="24"/>
        </w:rPr>
      </w:pPr>
      <w:r w:rsidRPr="007114AF">
        <w:rPr>
          <w:rFonts w:ascii="Garamond" w:hAnsi="Garamond"/>
          <w:b/>
          <w:sz w:val="24"/>
          <w:szCs w:val="24"/>
        </w:rPr>
        <w:t xml:space="preserve">Nr. </w:t>
      </w:r>
      <w:r w:rsidR="00AB2B06" w:rsidRPr="007114AF">
        <w:rPr>
          <w:rFonts w:ascii="Garamond" w:hAnsi="Garamond"/>
          <w:b/>
          <w:sz w:val="24"/>
          <w:szCs w:val="24"/>
        </w:rPr>
        <w:t>466, datë 3.7.2019</w:t>
      </w:r>
    </w:p>
    <w:p w14:paraId="6EDCF2F0" w14:textId="77777777" w:rsidR="00AB2B06" w:rsidRPr="007114AF" w:rsidRDefault="00AB2B06" w:rsidP="00AB2B06">
      <w:pPr>
        <w:spacing w:after="0" w:line="240" w:lineRule="auto"/>
        <w:jc w:val="center"/>
        <w:rPr>
          <w:rFonts w:ascii="Garamond" w:hAnsi="Garamond"/>
          <w:b/>
          <w:sz w:val="24"/>
          <w:szCs w:val="24"/>
        </w:rPr>
      </w:pPr>
    </w:p>
    <w:p w14:paraId="6EDCF2F1" w14:textId="77777777" w:rsidR="00AB2B06" w:rsidRPr="007114AF" w:rsidRDefault="00AB2B06" w:rsidP="00AB2B06">
      <w:pPr>
        <w:spacing w:after="0" w:line="240" w:lineRule="auto"/>
        <w:jc w:val="center"/>
        <w:rPr>
          <w:rFonts w:ascii="Garamond" w:hAnsi="Garamond"/>
          <w:b/>
          <w:sz w:val="24"/>
          <w:szCs w:val="24"/>
        </w:rPr>
      </w:pPr>
      <w:r w:rsidRPr="007114AF">
        <w:rPr>
          <w:rFonts w:ascii="Garamond" w:hAnsi="Garamond"/>
          <w:b/>
          <w:sz w:val="24"/>
          <w:szCs w:val="24"/>
        </w:rPr>
        <w:t>PËR MIRATIMIN E DOKUMENTIT STRATEGJIK DHE TË PLANEVE KOMBËTARE PËR ZBUTJEN E GAZEVE ME EFEKT SERRË DHE PËR PËRSHTATJEN NDAJ NDRYSHIMEVE KLIMATIKE</w:t>
      </w:r>
    </w:p>
    <w:p w14:paraId="6EDCF2F2" w14:textId="77777777" w:rsidR="00AB2B06" w:rsidRPr="007114AF" w:rsidRDefault="00AB2B06" w:rsidP="00AB2B06">
      <w:pPr>
        <w:spacing w:after="0" w:line="240" w:lineRule="auto"/>
        <w:ind w:firstLine="284"/>
        <w:rPr>
          <w:rFonts w:ascii="Garamond" w:hAnsi="Garamond"/>
          <w:sz w:val="24"/>
          <w:szCs w:val="24"/>
        </w:rPr>
      </w:pPr>
    </w:p>
    <w:p w14:paraId="6EDCF2F3" w14:textId="387F6A74" w:rsidR="00AB2B06" w:rsidRPr="007114AF" w:rsidRDefault="00AB2B06" w:rsidP="00AB2B06">
      <w:pPr>
        <w:spacing w:after="0" w:line="240" w:lineRule="auto"/>
        <w:ind w:firstLine="284"/>
        <w:rPr>
          <w:rFonts w:ascii="Garamond" w:hAnsi="Garamond"/>
          <w:sz w:val="24"/>
          <w:szCs w:val="24"/>
        </w:rPr>
      </w:pPr>
      <w:r w:rsidRPr="007114AF">
        <w:rPr>
          <w:rFonts w:ascii="Garamond" w:hAnsi="Garamond"/>
          <w:sz w:val="24"/>
          <w:szCs w:val="24"/>
        </w:rPr>
        <w:t>Në mbështetje të nenit 100 të Kushtetutës dhe të pikës 4, të nenit 21, të ligjit</w:t>
      </w:r>
      <w:r w:rsidR="00242009" w:rsidRPr="007114AF">
        <w:rPr>
          <w:rFonts w:ascii="Garamond" w:hAnsi="Garamond"/>
          <w:sz w:val="24"/>
          <w:szCs w:val="24"/>
        </w:rPr>
        <w:t xml:space="preserve"> nr. </w:t>
      </w:r>
      <w:r w:rsidRPr="007114AF">
        <w:rPr>
          <w:rFonts w:ascii="Garamond" w:hAnsi="Garamond"/>
          <w:sz w:val="24"/>
          <w:szCs w:val="24"/>
        </w:rPr>
        <w:t xml:space="preserve">10431, datë 9.6.2011, </w:t>
      </w:r>
      <w:r w:rsidR="000A2A01" w:rsidRPr="007114AF">
        <w:rPr>
          <w:rFonts w:ascii="Garamond" w:hAnsi="Garamond"/>
          <w:sz w:val="24"/>
          <w:szCs w:val="24"/>
        </w:rPr>
        <w:t>“</w:t>
      </w:r>
      <w:r w:rsidRPr="007114AF">
        <w:rPr>
          <w:rFonts w:ascii="Garamond" w:hAnsi="Garamond"/>
          <w:sz w:val="24"/>
          <w:szCs w:val="24"/>
        </w:rPr>
        <w:t>Për mbrojtjen e mjedisit</w:t>
      </w:r>
      <w:r w:rsidR="000A2A01" w:rsidRPr="007114AF">
        <w:rPr>
          <w:rFonts w:ascii="Garamond" w:hAnsi="Garamond"/>
          <w:sz w:val="24"/>
          <w:szCs w:val="24"/>
        </w:rPr>
        <w:t>”</w:t>
      </w:r>
      <w:r w:rsidRPr="007114AF">
        <w:rPr>
          <w:rFonts w:ascii="Garamond" w:hAnsi="Garamond"/>
          <w:sz w:val="24"/>
          <w:szCs w:val="24"/>
        </w:rPr>
        <w:t xml:space="preserve">, të ndryshuar, me propozimin e ministrit të Turizmit dhe Mjedisit, Këshilli i Ministrave </w:t>
      </w:r>
    </w:p>
    <w:p w14:paraId="6EDCF2F4" w14:textId="77777777" w:rsidR="00AB2B06" w:rsidRPr="007114AF" w:rsidRDefault="00AB2B06" w:rsidP="00AB2B06">
      <w:pPr>
        <w:spacing w:after="0" w:line="240" w:lineRule="auto"/>
        <w:ind w:firstLine="284"/>
        <w:rPr>
          <w:rFonts w:ascii="Garamond" w:hAnsi="Garamond"/>
          <w:sz w:val="24"/>
          <w:szCs w:val="24"/>
        </w:rPr>
      </w:pPr>
    </w:p>
    <w:p w14:paraId="6EDCF2F5" w14:textId="77777777" w:rsidR="00AB2B06" w:rsidRPr="007114AF" w:rsidRDefault="00AB2B06" w:rsidP="00AB2B06">
      <w:pPr>
        <w:spacing w:after="0" w:line="240" w:lineRule="auto"/>
        <w:jc w:val="center"/>
        <w:rPr>
          <w:rFonts w:ascii="Garamond" w:hAnsi="Garamond"/>
          <w:sz w:val="24"/>
          <w:szCs w:val="24"/>
        </w:rPr>
      </w:pPr>
      <w:r w:rsidRPr="007114AF">
        <w:rPr>
          <w:rFonts w:ascii="Garamond" w:hAnsi="Garamond"/>
          <w:sz w:val="24"/>
          <w:szCs w:val="24"/>
        </w:rPr>
        <w:t>VENDOSI:</w:t>
      </w:r>
    </w:p>
    <w:p w14:paraId="6EDCF2F6" w14:textId="77777777" w:rsidR="00AB2B06" w:rsidRPr="007114AF" w:rsidRDefault="00AB2B06" w:rsidP="00AB2B06">
      <w:pPr>
        <w:spacing w:after="0" w:line="240" w:lineRule="auto"/>
        <w:ind w:firstLine="284"/>
        <w:rPr>
          <w:rFonts w:ascii="Garamond" w:hAnsi="Garamond"/>
          <w:sz w:val="24"/>
          <w:szCs w:val="24"/>
        </w:rPr>
      </w:pPr>
    </w:p>
    <w:p w14:paraId="6EDCF2F7" w14:textId="77777777" w:rsidR="00AB2B06" w:rsidRPr="007114AF" w:rsidRDefault="00AB2B06" w:rsidP="00AB2B06">
      <w:pPr>
        <w:spacing w:after="0" w:line="240" w:lineRule="auto"/>
        <w:ind w:firstLine="284"/>
        <w:rPr>
          <w:rFonts w:ascii="Garamond" w:hAnsi="Garamond"/>
          <w:sz w:val="24"/>
          <w:szCs w:val="24"/>
        </w:rPr>
      </w:pPr>
      <w:r w:rsidRPr="007114AF">
        <w:rPr>
          <w:rFonts w:ascii="Garamond" w:hAnsi="Garamond"/>
          <w:sz w:val="24"/>
          <w:szCs w:val="24"/>
        </w:rPr>
        <w:t>1. Miratimin e dokumentit strategjik dhe të planeve kombëtare për zbutjen e gazeve me efekt serrë (NPM) dhe për përshtatjen ndaj ndryshimeve klimatike (NAP), sipas tekstit që i bashkëlidhet këtij vendimi dhe është pjesë përbërëse e tij.</w:t>
      </w:r>
    </w:p>
    <w:p w14:paraId="6EDCF2F8" w14:textId="77777777" w:rsidR="00AB2B06" w:rsidRPr="007114AF" w:rsidRDefault="00AB2B06" w:rsidP="00AB2B06">
      <w:pPr>
        <w:spacing w:after="0" w:line="240" w:lineRule="auto"/>
        <w:ind w:firstLine="284"/>
        <w:rPr>
          <w:rFonts w:ascii="Garamond" w:hAnsi="Garamond"/>
          <w:sz w:val="24"/>
          <w:szCs w:val="24"/>
        </w:rPr>
      </w:pPr>
      <w:r w:rsidRPr="007114AF">
        <w:rPr>
          <w:rFonts w:ascii="Garamond" w:hAnsi="Garamond"/>
          <w:sz w:val="24"/>
          <w:szCs w:val="24"/>
        </w:rPr>
        <w:t>2. Dokumenti strategjik dhe planet kombëtare për zbutjen e gazeve me efekt serrë (NPM) dhe për përshtatjen ndaj ndryshimeve klimatike (NAP) rishikohen çdo 4 vjet.</w:t>
      </w:r>
    </w:p>
    <w:p w14:paraId="6EDCF2F9" w14:textId="77777777" w:rsidR="00AB2B06" w:rsidRPr="007114AF" w:rsidRDefault="00AB2B06" w:rsidP="00AB2B06">
      <w:pPr>
        <w:spacing w:after="0" w:line="240" w:lineRule="auto"/>
        <w:ind w:firstLine="284"/>
        <w:rPr>
          <w:rFonts w:ascii="Garamond" w:hAnsi="Garamond"/>
          <w:sz w:val="24"/>
          <w:szCs w:val="24"/>
        </w:rPr>
      </w:pPr>
      <w:r w:rsidRPr="007114AF">
        <w:rPr>
          <w:rFonts w:ascii="Garamond" w:hAnsi="Garamond"/>
          <w:sz w:val="24"/>
          <w:szCs w:val="24"/>
        </w:rPr>
        <w:t>3. Ngarkohen Ministria e Turizmit dhe Mjedisit, Ministria e Infrastrukturës dhe Energjisë, Ministria e Bujqësisë dhe Zhvillimit Rural, Ministria e Shëndetësisë dhe Mbrojtjes Sociale, Ministria e Brendshme, Ministria e Arsimit, Sportit dhe Rinisë, Ministria e Financave dhe Ekonomisë dhe njësitë e vetëqeverisjes vendore për zbatimin e këtij vendimi.</w:t>
      </w:r>
    </w:p>
    <w:p w14:paraId="6EDCF2FA" w14:textId="77777777" w:rsidR="00AB2B06" w:rsidRPr="007114AF" w:rsidRDefault="00AB2B06" w:rsidP="00AB2B06">
      <w:pPr>
        <w:spacing w:after="0" w:line="240" w:lineRule="auto"/>
        <w:ind w:firstLine="284"/>
        <w:rPr>
          <w:rFonts w:ascii="Garamond" w:hAnsi="Garamond"/>
          <w:sz w:val="24"/>
          <w:szCs w:val="24"/>
        </w:rPr>
      </w:pPr>
      <w:r w:rsidRPr="007114AF">
        <w:rPr>
          <w:rFonts w:ascii="Garamond" w:hAnsi="Garamond"/>
          <w:sz w:val="24"/>
          <w:szCs w:val="24"/>
        </w:rPr>
        <w:t>Ky vendim hyn në fuqi pas botimit në Fletoren Zyrtare.</w:t>
      </w:r>
    </w:p>
    <w:p w14:paraId="6EDCF2FB" w14:textId="77777777" w:rsidR="00AB2B06" w:rsidRPr="007114AF" w:rsidRDefault="00AB2B06" w:rsidP="00AB2B06">
      <w:pPr>
        <w:spacing w:after="0" w:line="240" w:lineRule="auto"/>
        <w:ind w:firstLine="284"/>
        <w:rPr>
          <w:rFonts w:ascii="Garamond" w:hAnsi="Garamond"/>
          <w:sz w:val="24"/>
          <w:szCs w:val="24"/>
        </w:rPr>
      </w:pPr>
    </w:p>
    <w:p w14:paraId="6EDCF2FC" w14:textId="5C93E6F5" w:rsidR="00AB2B06" w:rsidRPr="007114AF" w:rsidRDefault="00AB2B06" w:rsidP="00AB2B06">
      <w:pPr>
        <w:spacing w:after="0" w:line="240" w:lineRule="auto"/>
        <w:ind w:firstLine="284"/>
        <w:jc w:val="right"/>
        <w:rPr>
          <w:rFonts w:ascii="Garamond" w:hAnsi="Garamond"/>
          <w:sz w:val="24"/>
          <w:szCs w:val="24"/>
        </w:rPr>
      </w:pPr>
      <w:r w:rsidRPr="007114AF">
        <w:rPr>
          <w:rFonts w:ascii="Garamond" w:hAnsi="Garamond"/>
          <w:sz w:val="24"/>
          <w:szCs w:val="24"/>
        </w:rPr>
        <w:t>KRYEMINIST</w:t>
      </w:r>
      <w:r w:rsidR="003305AE" w:rsidRPr="007114AF">
        <w:rPr>
          <w:rFonts w:ascii="Garamond" w:hAnsi="Garamond"/>
          <w:sz w:val="24"/>
          <w:szCs w:val="24"/>
        </w:rPr>
        <w:t>Ë</w:t>
      </w:r>
      <w:r w:rsidRPr="007114AF">
        <w:rPr>
          <w:rFonts w:ascii="Garamond" w:hAnsi="Garamond"/>
          <w:sz w:val="24"/>
          <w:szCs w:val="24"/>
        </w:rPr>
        <w:t>R</w:t>
      </w:r>
    </w:p>
    <w:p w14:paraId="6EDCF2FD" w14:textId="77777777" w:rsidR="00AB2B06" w:rsidRPr="007114AF" w:rsidRDefault="00AB2B06" w:rsidP="00AB2B06">
      <w:pPr>
        <w:spacing w:after="0" w:line="240" w:lineRule="auto"/>
        <w:ind w:firstLine="284"/>
        <w:jc w:val="right"/>
        <w:rPr>
          <w:rFonts w:ascii="Garamond" w:hAnsi="Garamond"/>
          <w:b/>
          <w:sz w:val="24"/>
          <w:szCs w:val="24"/>
        </w:rPr>
      </w:pPr>
      <w:r w:rsidRPr="007114AF">
        <w:rPr>
          <w:rFonts w:ascii="Garamond" w:hAnsi="Garamond"/>
          <w:b/>
          <w:sz w:val="24"/>
          <w:szCs w:val="24"/>
        </w:rPr>
        <w:t>Edi Rama</w:t>
      </w:r>
    </w:p>
    <w:p w14:paraId="6EDCF2FE" w14:textId="77777777" w:rsidR="00AB2B06" w:rsidRPr="007114AF" w:rsidRDefault="00AB2B06" w:rsidP="00744280">
      <w:pPr>
        <w:pStyle w:val="TEKSTI"/>
        <w:jc w:val="center"/>
        <w:rPr>
          <w:b/>
        </w:rPr>
      </w:pPr>
    </w:p>
    <w:p w14:paraId="6EDCF2FF" w14:textId="77777777" w:rsidR="00B86BA1" w:rsidRPr="007114AF" w:rsidRDefault="00B86BA1" w:rsidP="00744280">
      <w:pPr>
        <w:pStyle w:val="TEKSTI"/>
        <w:jc w:val="center"/>
        <w:rPr>
          <w:b/>
        </w:rPr>
      </w:pPr>
      <w:r w:rsidRPr="007114AF">
        <w:rPr>
          <w:b/>
        </w:rPr>
        <w:t>STRATEGJIA E NDRYSHIMEVE KLIMATIKE DHE PLANEVE TË VEPRIMIT</w:t>
      </w:r>
    </w:p>
    <w:p w14:paraId="6EDCF300" w14:textId="37C438F4" w:rsidR="00B86BA1" w:rsidRPr="00941E9F" w:rsidRDefault="003305AE" w:rsidP="00744280">
      <w:pPr>
        <w:pStyle w:val="TEKSTI"/>
        <w:jc w:val="center"/>
        <w:rPr>
          <w:b/>
        </w:rPr>
      </w:pPr>
      <w:r w:rsidRPr="00941E9F">
        <w:rPr>
          <w:b/>
        </w:rPr>
        <w:t>Tiranë 2019</w:t>
      </w:r>
    </w:p>
    <w:p w14:paraId="6EDCF301" w14:textId="77777777" w:rsidR="003F6198" w:rsidRPr="007114AF" w:rsidRDefault="003F6198" w:rsidP="00744280">
      <w:pPr>
        <w:pStyle w:val="TOCHeading"/>
        <w:spacing w:before="0"/>
        <w:rPr>
          <w:rFonts w:ascii="Garamond" w:hAnsi="Garamond" w:cs="Calibri"/>
          <w:color w:val="000000" w:themeColor="text1"/>
          <w:sz w:val="24"/>
          <w:szCs w:val="24"/>
        </w:rPr>
      </w:pPr>
    </w:p>
    <w:p w14:paraId="6EDCF302" w14:textId="77777777" w:rsidR="00744280" w:rsidRPr="007114AF" w:rsidRDefault="00744280" w:rsidP="00744280">
      <w:pPr>
        <w:pStyle w:val="TOCHeading"/>
        <w:spacing w:before="0"/>
        <w:rPr>
          <w:rFonts w:ascii="Garamond" w:hAnsi="Garamond" w:cs="Calibri"/>
          <w:color w:val="000000" w:themeColor="text1"/>
          <w:sz w:val="24"/>
          <w:szCs w:val="24"/>
        </w:rPr>
      </w:pPr>
      <w:r w:rsidRPr="007114AF">
        <w:rPr>
          <w:rFonts w:ascii="Garamond" w:hAnsi="Garamond" w:cs="Calibri"/>
          <w:color w:val="000000" w:themeColor="text1"/>
          <w:sz w:val="24"/>
          <w:szCs w:val="24"/>
        </w:rPr>
        <w:t>Tabela e përmbajtjes</w:t>
      </w:r>
    </w:p>
    <w:p w14:paraId="6EDCF303"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PËRMBLEDHJE</w:t>
      </w:r>
    </w:p>
    <w:p w14:paraId="6EDCF304" w14:textId="5B9FBA19" w:rsidR="00744280" w:rsidRPr="007114AF" w:rsidRDefault="00744280" w:rsidP="00744280">
      <w:pPr>
        <w:spacing w:after="0"/>
        <w:rPr>
          <w:rFonts w:ascii="Garamond" w:hAnsi="Garamond"/>
          <w:sz w:val="24"/>
          <w:szCs w:val="24"/>
        </w:rPr>
      </w:pPr>
      <w:r w:rsidRPr="007114AF">
        <w:rPr>
          <w:rFonts w:ascii="Garamond" w:hAnsi="Garamond"/>
          <w:sz w:val="24"/>
          <w:szCs w:val="24"/>
        </w:rPr>
        <w:t>1.</w:t>
      </w:r>
      <w:r w:rsidR="003305AE" w:rsidRPr="007114AF">
        <w:rPr>
          <w:rFonts w:ascii="Garamond" w:hAnsi="Garamond"/>
          <w:sz w:val="24"/>
          <w:szCs w:val="24"/>
        </w:rPr>
        <w:t xml:space="preserve"> </w:t>
      </w:r>
      <w:r w:rsidRPr="007114AF">
        <w:rPr>
          <w:rFonts w:ascii="Garamond" w:hAnsi="Garamond"/>
          <w:sz w:val="24"/>
          <w:szCs w:val="24"/>
        </w:rPr>
        <w:t>HYRJE</w:t>
      </w:r>
    </w:p>
    <w:p w14:paraId="6EDCF305"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1.1 Aspektet e zbutjes</w:t>
      </w:r>
    </w:p>
    <w:p w14:paraId="6EDCF306"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1.2 Aspektet e përshtatjes</w:t>
      </w:r>
    </w:p>
    <w:p w14:paraId="6EDCF307"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 ANALIZË E SITUATËS AKTUALE</w:t>
      </w:r>
    </w:p>
    <w:p w14:paraId="6EDCF308"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2.1 Shkenca e ndryshimeve klimatike</w:t>
      </w:r>
    </w:p>
    <w:p w14:paraId="6EDCF309"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2.2 Konteksti ndërkombëtar i politikës së ndryshimeve klimatike</w:t>
      </w:r>
    </w:p>
    <w:p w14:paraId="6EDCF30A"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2.3 Politika e BE-së për ndryshimet klimatike</w:t>
      </w:r>
    </w:p>
    <w:p w14:paraId="6EDCF30B"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2.3.1 Sektori i tokës</w:t>
      </w:r>
    </w:p>
    <w:p w14:paraId="6EDCF30C"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2.3.2 Sektori i energjisë</w:t>
      </w:r>
    </w:p>
    <w:p w14:paraId="6EDCF30D"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2.3.3 Sektori i transportit</w:t>
      </w:r>
    </w:p>
    <w:p w14:paraId="6EDCF30E"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2.4 Monitorimi dhe raportimi i detyrimeve në kuadrin e UNFCCC-së dhe BE-së</w:t>
      </w:r>
    </w:p>
    <w:p w14:paraId="6EDCF30F"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2.5 Politika shqiptare për ndryshimet klimatike</w:t>
      </w:r>
    </w:p>
    <w:p w14:paraId="6EDCF310"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2.6 Gjendja e ekonomisë shqiptare</w:t>
      </w:r>
    </w:p>
    <w:p w14:paraId="6EDCF311"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2.6.1 Sektori i energjisë</w:t>
      </w:r>
    </w:p>
    <w:p w14:paraId="6EDCF312"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2.6.2 Sektori i transportit</w:t>
      </w:r>
    </w:p>
    <w:p w14:paraId="6EDCF313"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2.6.3 Sektori bujqësor</w:t>
      </w:r>
    </w:p>
    <w:p w14:paraId="6EDCF314"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2.6.4 Sektori pyjor</w:t>
      </w:r>
    </w:p>
    <w:p w14:paraId="6EDCF315"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lastRenderedPageBreak/>
        <w:t>2.7 Përmbledhje e bilancit historik dhe të ardhshëm të GES-it</w:t>
      </w:r>
    </w:p>
    <w:p w14:paraId="6EDCF316"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2.7.1 Analiza e prirjeve historike të shkarkimeve GES</w:t>
      </w:r>
    </w:p>
    <w:p w14:paraId="6EDCF317"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2.7.2 Parashikimi i prirjeve të shkarkimeve GES</w:t>
      </w:r>
    </w:p>
    <w:p w14:paraId="6EDCF318"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2.8 Situata aktuale e Shqipërisë në procesin e përshtatjes</w:t>
      </w:r>
    </w:p>
    <w:p w14:paraId="6EDCF319"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2.8.1 Analizë e situatës ekzistuese</w:t>
      </w:r>
    </w:p>
    <w:p w14:paraId="6EDCF31A" w14:textId="7DC9C074" w:rsidR="00744280" w:rsidRPr="007114AF" w:rsidRDefault="00744280" w:rsidP="00744280">
      <w:pPr>
        <w:spacing w:after="0"/>
        <w:rPr>
          <w:rFonts w:ascii="Garamond" w:hAnsi="Garamond"/>
          <w:sz w:val="24"/>
          <w:szCs w:val="24"/>
        </w:rPr>
      </w:pPr>
      <w:r w:rsidRPr="007114AF">
        <w:rPr>
          <w:rFonts w:ascii="Garamond" w:hAnsi="Garamond"/>
          <w:sz w:val="24"/>
          <w:szCs w:val="24"/>
        </w:rPr>
        <w:t>2.8.2 Rezultatet e studimeve të mëparshme, vlerësimet e vulnerabilitetit dhe zhvillimet e koncepteve për përshtatjen</w:t>
      </w:r>
    </w:p>
    <w:p w14:paraId="6EDCF31B"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2.9 Parimet e NAP-it</w:t>
      </w:r>
    </w:p>
    <w:p w14:paraId="6EDCF31C"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2.9.1 Mesazhet kryesore</w:t>
      </w:r>
    </w:p>
    <w:p w14:paraId="6EDCF31D"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2.9.2 Funksionet dhe parimet e përgjithshme</w:t>
      </w:r>
    </w:p>
    <w:p w14:paraId="6EDCF31E"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2.9.3 Lidhja me procesin e paraaderimit në BE</w:t>
      </w:r>
    </w:p>
    <w:p w14:paraId="6EDCF31F" w14:textId="6BC96EEF" w:rsidR="00744280" w:rsidRPr="007114AF" w:rsidRDefault="00744280" w:rsidP="00744280">
      <w:pPr>
        <w:spacing w:after="0"/>
        <w:rPr>
          <w:rFonts w:ascii="Garamond" w:hAnsi="Garamond"/>
          <w:sz w:val="24"/>
          <w:szCs w:val="24"/>
        </w:rPr>
      </w:pPr>
      <w:r w:rsidRPr="007114AF">
        <w:rPr>
          <w:rFonts w:ascii="Garamond" w:hAnsi="Garamond"/>
          <w:sz w:val="24"/>
          <w:szCs w:val="24"/>
        </w:rPr>
        <w:t>3</w:t>
      </w:r>
      <w:r w:rsidR="00AA35E8">
        <w:rPr>
          <w:rFonts w:ascii="Garamond" w:hAnsi="Garamond"/>
          <w:sz w:val="24"/>
          <w:szCs w:val="24"/>
        </w:rPr>
        <w:t>.</w:t>
      </w:r>
      <w:r w:rsidRPr="007114AF">
        <w:rPr>
          <w:rFonts w:ascii="Garamond" w:hAnsi="Garamond"/>
          <w:sz w:val="24"/>
          <w:szCs w:val="24"/>
        </w:rPr>
        <w:t xml:space="preserve"> VIZIONI DHE</w:t>
      </w:r>
      <w:r w:rsidR="000A2A01" w:rsidRPr="007114AF">
        <w:rPr>
          <w:rFonts w:ascii="Garamond" w:hAnsi="Garamond"/>
          <w:sz w:val="24"/>
          <w:szCs w:val="24"/>
        </w:rPr>
        <w:t xml:space="preserve"> </w:t>
      </w:r>
      <w:r w:rsidRPr="007114AF">
        <w:rPr>
          <w:rFonts w:ascii="Garamond" w:hAnsi="Garamond"/>
          <w:sz w:val="24"/>
          <w:szCs w:val="24"/>
        </w:rPr>
        <w:t>PRIORITETET E STRATEGJISË</w:t>
      </w:r>
    </w:p>
    <w:p w14:paraId="6EDCF320"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3.1 Prioritetet e strategjisë</w:t>
      </w:r>
    </w:p>
    <w:p w14:paraId="6EDCF321" w14:textId="65A0FAFB" w:rsidR="00744280" w:rsidRPr="007114AF" w:rsidRDefault="00744280" w:rsidP="00744280">
      <w:pPr>
        <w:spacing w:after="0"/>
        <w:rPr>
          <w:rFonts w:ascii="Garamond" w:hAnsi="Garamond"/>
          <w:sz w:val="24"/>
          <w:szCs w:val="24"/>
        </w:rPr>
      </w:pPr>
      <w:r w:rsidRPr="007114AF">
        <w:rPr>
          <w:rFonts w:ascii="Garamond" w:hAnsi="Garamond"/>
          <w:sz w:val="24"/>
          <w:szCs w:val="24"/>
        </w:rPr>
        <w:t>4</w:t>
      </w:r>
      <w:r w:rsidR="00AA35E8">
        <w:rPr>
          <w:rFonts w:ascii="Garamond" w:hAnsi="Garamond"/>
          <w:sz w:val="24"/>
          <w:szCs w:val="24"/>
        </w:rPr>
        <w:t>.</w:t>
      </w:r>
      <w:r w:rsidRPr="007114AF">
        <w:rPr>
          <w:rFonts w:ascii="Garamond" w:hAnsi="Garamond"/>
          <w:sz w:val="24"/>
          <w:szCs w:val="24"/>
        </w:rPr>
        <w:t xml:space="preserve"> POLITIKAT KRYESORE QË PREKIN NDRYSHIMIN E KLIMËS</w:t>
      </w:r>
    </w:p>
    <w:p w14:paraId="6EDCF322"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4.1 Qasjet specifike të sektorit përmes zbutjes</w:t>
      </w:r>
    </w:p>
    <w:p w14:paraId="6EDCF323"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4.1.1 Strategji dhe plane ndërsektoriale</w:t>
      </w:r>
    </w:p>
    <w:p w14:paraId="6EDCF324"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4.1.2 Energjia</w:t>
      </w:r>
    </w:p>
    <w:p w14:paraId="6EDCF325"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4.1.3 Transporti</w:t>
      </w:r>
    </w:p>
    <w:p w14:paraId="6EDCF326"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4.1.4 Bujqësia dhe LUCF-ja</w:t>
      </w:r>
    </w:p>
    <w:p w14:paraId="6EDCF327"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4.1.5 Sinergjitë ndërsektoriale dhe boshllëqet/mungesat</w:t>
      </w:r>
    </w:p>
    <w:p w14:paraId="6EDCF328" w14:textId="4CE25BCF" w:rsidR="00744280" w:rsidRPr="007114AF" w:rsidRDefault="00744280" w:rsidP="00744280">
      <w:pPr>
        <w:spacing w:after="0"/>
        <w:rPr>
          <w:rFonts w:ascii="Garamond" w:hAnsi="Garamond"/>
          <w:sz w:val="24"/>
          <w:szCs w:val="24"/>
        </w:rPr>
      </w:pPr>
      <w:r w:rsidRPr="007114AF">
        <w:rPr>
          <w:rFonts w:ascii="Garamond" w:hAnsi="Garamond"/>
          <w:sz w:val="24"/>
          <w:szCs w:val="24"/>
        </w:rPr>
        <w:t>4.2 Objektivat kryesor</w:t>
      </w:r>
      <w:r w:rsidR="00A67A6F">
        <w:rPr>
          <w:rFonts w:ascii="Garamond" w:hAnsi="Garamond"/>
          <w:sz w:val="24"/>
          <w:szCs w:val="24"/>
        </w:rPr>
        <w:t>ë</w:t>
      </w:r>
      <w:r w:rsidRPr="007114AF">
        <w:rPr>
          <w:rFonts w:ascii="Garamond" w:hAnsi="Garamond"/>
          <w:sz w:val="24"/>
          <w:szCs w:val="24"/>
        </w:rPr>
        <w:t xml:space="preserve"> për trajtimin e zbutjes së efekteve prej ndryshimeve klimatike</w:t>
      </w:r>
    </w:p>
    <w:p w14:paraId="6EDCF329"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4.3 Integrimi i përshtatjes në qasjet sektoriale</w:t>
      </w:r>
    </w:p>
    <w:p w14:paraId="6EDCF32A"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4.3.1 Qasja për integrim</w:t>
      </w:r>
    </w:p>
    <w:p w14:paraId="6EDCF32B" w14:textId="3FE91DD9" w:rsidR="00744280" w:rsidRPr="007114AF" w:rsidRDefault="00744280" w:rsidP="00744280">
      <w:pPr>
        <w:spacing w:after="0"/>
        <w:rPr>
          <w:rFonts w:ascii="Garamond" w:hAnsi="Garamond"/>
          <w:sz w:val="24"/>
          <w:szCs w:val="24"/>
        </w:rPr>
      </w:pPr>
      <w:r w:rsidRPr="007114AF">
        <w:rPr>
          <w:rFonts w:ascii="Garamond" w:hAnsi="Garamond"/>
          <w:sz w:val="24"/>
          <w:szCs w:val="24"/>
        </w:rPr>
        <w:t>4.3.2 Integrimi për SKZHI 2014–2020</w:t>
      </w:r>
    </w:p>
    <w:p w14:paraId="6EDCF32C"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4.3.3 Integrimi në politikat sektoriale</w:t>
      </w:r>
    </w:p>
    <w:p w14:paraId="6EDCF32D"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4.3.4 Proceset e integrimit në të ardhmen</w:t>
      </w:r>
    </w:p>
    <w:p w14:paraId="6EDCF32E"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4.3.5 Projektet pilot, konkrete për integrimin</w:t>
      </w:r>
    </w:p>
    <w:p w14:paraId="6EDCF32F" w14:textId="4352336B" w:rsidR="00744280" w:rsidRPr="007114AF" w:rsidRDefault="00744280" w:rsidP="00744280">
      <w:pPr>
        <w:spacing w:after="0"/>
        <w:rPr>
          <w:rFonts w:ascii="Garamond" w:hAnsi="Garamond"/>
          <w:sz w:val="24"/>
          <w:szCs w:val="24"/>
        </w:rPr>
      </w:pPr>
      <w:r w:rsidRPr="007114AF">
        <w:rPr>
          <w:rFonts w:ascii="Garamond" w:hAnsi="Garamond"/>
          <w:sz w:val="24"/>
          <w:szCs w:val="24"/>
        </w:rPr>
        <w:t>4.4 Objektivat kryesor</w:t>
      </w:r>
      <w:r w:rsidR="00A67A6F">
        <w:rPr>
          <w:rFonts w:ascii="Garamond" w:hAnsi="Garamond"/>
          <w:sz w:val="24"/>
          <w:szCs w:val="24"/>
        </w:rPr>
        <w:t>ë</w:t>
      </w:r>
      <w:r w:rsidRPr="007114AF">
        <w:rPr>
          <w:rFonts w:ascii="Garamond" w:hAnsi="Garamond"/>
          <w:sz w:val="24"/>
          <w:szCs w:val="24"/>
        </w:rPr>
        <w:t xml:space="preserve"> të politikave për adresimin e përshtatjes ndaj ndryshimeve klimatike</w:t>
      </w:r>
    </w:p>
    <w:p w14:paraId="6EDCF330" w14:textId="06C59991" w:rsidR="00744280" w:rsidRPr="007114AF" w:rsidRDefault="00744280" w:rsidP="00744280">
      <w:pPr>
        <w:spacing w:after="0"/>
        <w:rPr>
          <w:rFonts w:ascii="Garamond" w:hAnsi="Garamond"/>
          <w:sz w:val="24"/>
          <w:szCs w:val="24"/>
        </w:rPr>
      </w:pPr>
      <w:r w:rsidRPr="007114AF">
        <w:rPr>
          <w:rFonts w:ascii="Garamond" w:hAnsi="Garamond"/>
          <w:sz w:val="24"/>
          <w:szCs w:val="24"/>
        </w:rPr>
        <w:t>5</w:t>
      </w:r>
      <w:r w:rsidR="00AA35E8">
        <w:rPr>
          <w:rFonts w:ascii="Garamond" w:hAnsi="Garamond"/>
          <w:sz w:val="24"/>
          <w:szCs w:val="24"/>
        </w:rPr>
        <w:t>.</w:t>
      </w:r>
      <w:r w:rsidRPr="007114AF">
        <w:rPr>
          <w:rFonts w:ascii="Garamond" w:hAnsi="Garamond"/>
          <w:sz w:val="24"/>
          <w:szCs w:val="24"/>
        </w:rPr>
        <w:t xml:space="preserve"> PLANI KOMBËTAR</w:t>
      </w:r>
      <w:r w:rsidR="000A2A01" w:rsidRPr="007114AF">
        <w:rPr>
          <w:rFonts w:ascii="Garamond" w:hAnsi="Garamond"/>
          <w:sz w:val="24"/>
          <w:szCs w:val="24"/>
        </w:rPr>
        <w:t xml:space="preserve"> </w:t>
      </w:r>
      <w:r w:rsidRPr="007114AF">
        <w:rPr>
          <w:rFonts w:ascii="Garamond" w:hAnsi="Garamond"/>
          <w:sz w:val="24"/>
          <w:szCs w:val="24"/>
        </w:rPr>
        <w:t>PËR ZBUTJEN E NDRYSHIMEVE KLIMATIKE</w:t>
      </w:r>
    </w:p>
    <w:p w14:paraId="6EDCF331"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5.1 Energjia</w:t>
      </w:r>
    </w:p>
    <w:p w14:paraId="6EDCF332"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5.2 Transporti</w:t>
      </w:r>
    </w:p>
    <w:p w14:paraId="6EDCF333"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5.3 Bujqësia</w:t>
      </w:r>
    </w:p>
    <w:p w14:paraId="6EDCF334"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5.4 Ndryshimi i Përdorimit të Tokës dhe Pyjeve</w:t>
      </w:r>
    </w:p>
    <w:p w14:paraId="6EDCF335"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5.5 Sistemi kombëtar për matjen/monitorimin dhe raportimin</w:t>
      </w:r>
    </w:p>
    <w:p w14:paraId="6EDCF336"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5.7 Burimet Financiare për Planin e Zbutjes</w:t>
      </w:r>
    </w:p>
    <w:p w14:paraId="6EDCF337"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5.8 Kosto e masave</w:t>
      </w:r>
    </w:p>
    <w:p w14:paraId="6EDCF338"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5.8.1 Energjia</w:t>
      </w:r>
    </w:p>
    <w:p w14:paraId="6EDCF339"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5.8.2 Transporti</w:t>
      </w:r>
    </w:p>
    <w:p w14:paraId="6EDCF33A"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5.8.3 Bujqësi</w:t>
      </w:r>
    </w:p>
    <w:p w14:paraId="6EDCF33B"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5.8.4 Ndryshimi i Përdorimit të Tokës dhe Pyjeve</w:t>
      </w:r>
    </w:p>
    <w:p w14:paraId="6EDCF33C"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5.8.5 Pikëtakimet Ndërsektoriale</w:t>
      </w:r>
    </w:p>
    <w:p w14:paraId="6EDCF33D"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6. PLANI KOMBËTAR I PËRSHTATJES NDAJ NDRYSHIMEVE KLIMATIKE</w:t>
      </w:r>
    </w:p>
    <w:p w14:paraId="6EDCF33E"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6.1 Lista e masave të përcaktuara si Veprime Prioritare</w:t>
      </w:r>
    </w:p>
    <w:p w14:paraId="6EDCF33F" w14:textId="6D2AE379" w:rsidR="00744280" w:rsidRPr="007114AF" w:rsidRDefault="00744280" w:rsidP="00744280">
      <w:pPr>
        <w:spacing w:after="0"/>
        <w:rPr>
          <w:rFonts w:ascii="Garamond" w:hAnsi="Garamond"/>
          <w:sz w:val="24"/>
          <w:szCs w:val="24"/>
        </w:rPr>
      </w:pPr>
      <w:r w:rsidRPr="007114AF">
        <w:rPr>
          <w:rFonts w:ascii="Garamond" w:hAnsi="Garamond"/>
          <w:sz w:val="24"/>
          <w:szCs w:val="24"/>
        </w:rPr>
        <w:t xml:space="preserve">6.2 Përshkrim </w:t>
      </w:r>
      <w:r w:rsidR="003305AE" w:rsidRPr="007114AF">
        <w:rPr>
          <w:rFonts w:ascii="Garamond" w:hAnsi="Garamond"/>
          <w:sz w:val="24"/>
          <w:szCs w:val="24"/>
        </w:rPr>
        <w:t>i</w:t>
      </w:r>
      <w:r w:rsidRPr="007114AF">
        <w:rPr>
          <w:rFonts w:ascii="Garamond" w:hAnsi="Garamond"/>
          <w:sz w:val="24"/>
          <w:szCs w:val="24"/>
        </w:rPr>
        <w:t xml:space="preserve"> detajuar i Veprimeve Prioritare</w:t>
      </w:r>
    </w:p>
    <w:p w14:paraId="6EDCF340" w14:textId="74C91D07" w:rsidR="00744280" w:rsidRPr="007114AF" w:rsidRDefault="00744280" w:rsidP="00744280">
      <w:pPr>
        <w:spacing w:after="0"/>
        <w:rPr>
          <w:rFonts w:ascii="Garamond" w:hAnsi="Garamond"/>
          <w:sz w:val="24"/>
          <w:szCs w:val="24"/>
        </w:rPr>
      </w:pPr>
      <w:r w:rsidRPr="007114AF">
        <w:rPr>
          <w:rFonts w:ascii="Garamond" w:hAnsi="Garamond"/>
          <w:sz w:val="24"/>
          <w:szCs w:val="24"/>
        </w:rPr>
        <w:t>6.2.1 Veprimi Prioritar</w:t>
      </w:r>
      <w:r w:rsidR="00242009" w:rsidRPr="007114AF">
        <w:rPr>
          <w:rFonts w:ascii="Garamond" w:hAnsi="Garamond"/>
          <w:sz w:val="24"/>
          <w:szCs w:val="24"/>
        </w:rPr>
        <w:t xml:space="preserve"> nr. </w:t>
      </w:r>
      <w:r w:rsidRPr="007114AF">
        <w:rPr>
          <w:rFonts w:ascii="Garamond" w:hAnsi="Garamond"/>
          <w:sz w:val="24"/>
          <w:szCs w:val="24"/>
        </w:rPr>
        <w:t>1</w:t>
      </w:r>
    </w:p>
    <w:p w14:paraId="6EDCF341" w14:textId="50408177" w:rsidR="00744280" w:rsidRPr="007114AF" w:rsidRDefault="00744280" w:rsidP="00744280">
      <w:pPr>
        <w:spacing w:after="0"/>
        <w:rPr>
          <w:rFonts w:ascii="Garamond" w:hAnsi="Garamond"/>
          <w:sz w:val="24"/>
          <w:szCs w:val="24"/>
        </w:rPr>
      </w:pPr>
      <w:r w:rsidRPr="007114AF">
        <w:rPr>
          <w:rFonts w:ascii="Garamond" w:hAnsi="Garamond"/>
          <w:sz w:val="24"/>
          <w:szCs w:val="24"/>
        </w:rPr>
        <w:lastRenderedPageBreak/>
        <w:t>6.2.2 Veprimi Prioritar</w:t>
      </w:r>
      <w:r w:rsidR="00242009" w:rsidRPr="007114AF">
        <w:rPr>
          <w:rFonts w:ascii="Garamond" w:hAnsi="Garamond"/>
          <w:sz w:val="24"/>
          <w:szCs w:val="24"/>
        </w:rPr>
        <w:t xml:space="preserve"> nr. </w:t>
      </w:r>
      <w:r w:rsidRPr="007114AF">
        <w:rPr>
          <w:rFonts w:ascii="Garamond" w:hAnsi="Garamond"/>
          <w:sz w:val="24"/>
          <w:szCs w:val="24"/>
        </w:rPr>
        <w:t>2</w:t>
      </w:r>
    </w:p>
    <w:p w14:paraId="6EDCF342" w14:textId="66DD2002" w:rsidR="00744280" w:rsidRPr="007114AF" w:rsidRDefault="00744280" w:rsidP="00744280">
      <w:pPr>
        <w:spacing w:after="0"/>
        <w:rPr>
          <w:rFonts w:ascii="Garamond" w:hAnsi="Garamond"/>
          <w:sz w:val="24"/>
          <w:szCs w:val="24"/>
        </w:rPr>
      </w:pPr>
      <w:r w:rsidRPr="007114AF">
        <w:rPr>
          <w:rFonts w:ascii="Garamond" w:hAnsi="Garamond"/>
          <w:sz w:val="24"/>
          <w:szCs w:val="24"/>
        </w:rPr>
        <w:t>6.2.3 Veprimi Prioritar</w:t>
      </w:r>
      <w:r w:rsidR="00242009" w:rsidRPr="007114AF">
        <w:rPr>
          <w:rFonts w:ascii="Garamond" w:hAnsi="Garamond"/>
          <w:sz w:val="24"/>
          <w:szCs w:val="24"/>
        </w:rPr>
        <w:t xml:space="preserve"> nr. </w:t>
      </w:r>
      <w:r w:rsidRPr="007114AF">
        <w:rPr>
          <w:rFonts w:ascii="Garamond" w:hAnsi="Garamond"/>
          <w:sz w:val="24"/>
          <w:szCs w:val="24"/>
        </w:rPr>
        <w:t>3</w:t>
      </w:r>
    </w:p>
    <w:p w14:paraId="6EDCF343" w14:textId="482D0A71" w:rsidR="00744280" w:rsidRPr="007114AF" w:rsidRDefault="00744280" w:rsidP="00744280">
      <w:pPr>
        <w:spacing w:after="0"/>
        <w:rPr>
          <w:rFonts w:ascii="Garamond" w:hAnsi="Garamond"/>
          <w:sz w:val="24"/>
          <w:szCs w:val="24"/>
        </w:rPr>
      </w:pPr>
      <w:r w:rsidRPr="007114AF">
        <w:rPr>
          <w:rFonts w:ascii="Garamond" w:hAnsi="Garamond"/>
          <w:sz w:val="24"/>
          <w:szCs w:val="24"/>
        </w:rPr>
        <w:t>6.2.4 Veprimi prioritar</w:t>
      </w:r>
      <w:r w:rsidR="00242009" w:rsidRPr="007114AF">
        <w:rPr>
          <w:rFonts w:ascii="Garamond" w:hAnsi="Garamond"/>
          <w:sz w:val="24"/>
          <w:szCs w:val="24"/>
        </w:rPr>
        <w:t xml:space="preserve"> nr. </w:t>
      </w:r>
      <w:r w:rsidRPr="007114AF">
        <w:rPr>
          <w:rFonts w:ascii="Garamond" w:hAnsi="Garamond"/>
          <w:sz w:val="24"/>
          <w:szCs w:val="24"/>
        </w:rPr>
        <w:t>4</w:t>
      </w:r>
    </w:p>
    <w:p w14:paraId="6EDCF344" w14:textId="4124ED5F" w:rsidR="00744280" w:rsidRPr="007114AF" w:rsidRDefault="00744280" w:rsidP="00744280">
      <w:pPr>
        <w:spacing w:after="0"/>
        <w:rPr>
          <w:rFonts w:ascii="Garamond" w:hAnsi="Garamond"/>
          <w:sz w:val="24"/>
          <w:szCs w:val="24"/>
        </w:rPr>
      </w:pPr>
      <w:r w:rsidRPr="007114AF">
        <w:rPr>
          <w:rFonts w:ascii="Garamond" w:hAnsi="Garamond"/>
          <w:sz w:val="24"/>
          <w:szCs w:val="24"/>
        </w:rPr>
        <w:t>6.2.5 Veprimi Prioritar</w:t>
      </w:r>
      <w:r w:rsidR="00242009" w:rsidRPr="007114AF">
        <w:rPr>
          <w:rFonts w:ascii="Garamond" w:hAnsi="Garamond"/>
          <w:sz w:val="24"/>
          <w:szCs w:val="24"/>
        </w:rPr>
        <w:t xml:space="preserve"> nr. </w:t>
      </w:r>
      <w:r w:rsidRPr="007114AF">
        <w:rPr>
          <w:rFonts w:ascii="Garamond" w:hAnsi="Garamond"/>
          <w:sz w:val="24"/>
          <w:szCs w:val="24"/>
        </w:rPr>
        <w:t>5</w:t>
      </w:r>
    </w:p>
    <w:p w14:paraId="6EDCF345" w14:textId="372381BD" w:rsidR="00744280" w:rsidRPr="007114AF" w:rsidRDefault="00744280" w:rsidP="00744280">
      <w:pPr>
        <w:spacing w:after="0"/>
        <w:rPr>
          <w:rFonts w:ascii="Garamond" w:hAnsi="Garamond"/>
          <w:sz w:val="24"/>
          <w:szCs w:val="24"/>
        </w:rPr>
      </w:pPr>
      <w:r w:rsidRPr="007114AF">
        <w:rPr>
          <w:rFonts w:ascii="Garamond" w:hAnsi="Garamond"/>
          <w:sz w:val="24"/>
          <w:szCs w:val="24"/>
        </w:rPr>
        <w:t>6.2.6 Veprimi Prioritar</w:t>
      </w:r>
      <w:r w:rsidR="00242009" w:rsidRPr="007114AF">
        <w:rPr>
          <w:rFonts w:ascii="Garamond" w:hAnsi="Garamond"/>
          <w:sz w:val="24"/>
          <w:szCs w:val="24"/>
        </w:rPr>
        <w:t xml:space="preserve"> nr. </w:t>
      </w:r>
      <w:r w:rsidRPr="007114AF">
        <w:rPr>
          <w:rFonts w:ascii="Garamond" w:hAnsi="Garamond"/>
          <w:sz w:val="24"/>
          <w:szCs w:val="24"/>
        </w:rPr>
        <w:t>6</w:t>
      </w:r>
    </w:p>
    <w:p w14:paraId="6EDCF346" w14:textId="55754846" w:rsidR="00744280" w:rsidRPr="007114AF" w:rsidRDefault="00744280" w:rsidP="00744280">
      <w:pPr>
        <w:spacing w:after="0"/>
        <w:rPr>
          <w:rFonts w:ascii="Garamond" w:hAnsi="Garamond"/>
          <w:sz w:val="24"/>
          <w:szCs w:val="24"/>
        </w:rPr>
      </w:pPr>
      <w:r w:rsidRPr="007114AF">
        <w:rPr>
          <w:rFonts w:ascii="Garamond" w:hAnsi="Garamond"/>
          <w:sz w:val="24"/>
          <w:szCs w:val="24"/>
        </w:rPr>
        <w:t>6.2.7 Veprimi Prioritar</w:t>
      </w:r>
      <w:r w:rsidR="00242009" w:rsidRPr="007114AF">
        <w:rPr>
          <w:rFonts w:ascii="Garamond" w:hAnsi="Garamond"/>
          <w:sz w:val="24"/>
          <w:szCs w:val="24"/>
        </w:rPr>
        <w:t xml:space="preserve"> nr. </w:t>
      </w:r>
      <w:r w:rsidRPr="007114AF">
        <w:rPr>
          <w:rFonts w:ascii="Garamond" w:hAnsi="Garamond"/>
          <w:sz w:val="24"/>
          <w:szCs w:val="24"/>
        </w:rPr>
        <w:t>7</w:t>
      </w:r>
    </w:p>
    <w:p w14:paraId="6EDCF347" w14:textId="53FAE63C" w:rsidR="00744280" w:rsidRPr="007114AF" w:rsidRDefault="00744280" w:rsidP="00744280">
      <w:pPr>
        <w:spacing w:after="0"/>
        <w:rPr>
          <w:rFonts w:ascii="Garamond" w:hAnsi="Garamond"/>
          <w:sz w:val="24"/>
          <w:szCs w:val="24"/>
        </w:rPr>
      </w:pPr>
      <w:r w:rsidRPr="007114AF">
        <w:rPr>
          <w:rFonts w:ascii="Garamond" w:hAnsi="Garamond"/>
          <w:sz w:val="24"/>
          <w:szCs w:val="24"/>
        </w:rPr>
        <w:t>6.2.8 Veprimi Prioritar</w:t>
      </w:r>
      <w:r w:rsidR="00242009" w:rsidRPr="007114AF">
        <w:rPr>
          <w:rFonts w:ascii="Garamond" w:hAnsi="Garamond"/>
          <w:sz w:val="24"/>
          <w:szCs w:val="24"/>
        </w:rPr>
        <w:t xml:space="preserve"> nr. </w:t>
      </w:r>
      <w:r w:rsidRPr="007114AF">
        <w:rPr>
          <w:rFonts w:ascii="Garamond" w:hAnsi="Garamond"/>
          <w:sz w:val="24"/>
          <w:szCs w:val="24"/>
        </w:rPr>
        <w:t>8</w:t>
      </w:r>
    </w:p>
    <w:p w14:paraId="6EDCF348" w14:textId="74D97ABF" w:rsidR="00744280" w:rsidRPr="007114AF" w:rsidRDefault="00744280" w:rsidP="00744280">
      <w:pPr>
        <w:spacing w:after="0"/>
        <w:rPr>
          <w:rFonts w:ascii="Garamond" w:hAnsi="Garamond"/>
          <w:sz w:val="24"/>
          <w:szCs w:val="24"/>
        </w:rPr>
      </w:pPr>
      <w:r w:rsidRPr="007114AF">
        <w:rPr>
          <w:rFonts w:ascii="Garamond" w:hAnsi="Garamond"/>
          <w:sz w:val="24"/>
          <w:szCs w:val="24"/>
        </w:rPr>
        <w:t>6.2.9 Veprimi Prioritar</w:t>
      </w:r>
      <w:r w:rsidR="00242009" w:rsidRPr="007114AF">
        <w:rPr>
          <w:rFonts w:ascii="Garamond" w:hAnsi="Garamond"/>
          <w:sz w:val="24"/>
          <w:szCs w:val="24"/>
        </w:rPr>
        <w:t xml:space="preserve"> nr. </w:t>
      </w:r>
      <w:r w:rsidRPr="007114AF">
        <w:rPr>
          <w:rFonts w:ascii="Garamond" w:hAnsi="Garamond"/>
          <w:sz w:val="24"/>
          <w:szCs w:val="24"/>
        </w:rPr>
        <w:t>9</w:t>
      </w:r>
    </w:p>
    <w:p w14:paraId="6EDCF349" w14:textId="7AC03ED3" w:rsidR="00744280" w:rsidRPr="007114AF" w:rsidRDefault="00744280" w:rsidP="00744280">
      <w:pPr>
        <w:spacing w:after="0"/>
        <w:rPr>
          <w:rFonts w:ascii="Garamond" w:hAnsi="Garamond"/>
          <w:sz w:val="24"/>
          <w:szCs w:val="24"/>
        </w:rPr>
      </w:pPr>
      <w:r w:rsidRPr="007114AF">
        <w:rPr>
          <w:rFonts w:ascii="Garamond" w:hAnsi="Garamond"/>
          <w:sz w:val="24"/>
          <w:szCs w:val="24"/>
        </w:rPr>
        <w:t>6.2.10 Veprimi Prioritar</w:t>
      </w:r>
      <w:r w:rsidR="00242009" w:rsidRPr="007114AF">
        <w:rPr>
          <w:rFonts w:ascii="Garamond" w:hAnsi="Garamond"/>
          <w:sz w:val="24"/>
          <w:szCs w:val="24"/>
        </w:rPr>
        <w:t xml:space="preserve"> nr. </w:t>
      </w:r>
      <w:r w:rsidRPr="007114AF">
        <w:rPr>
          <w:rFonts w:ascii="Garamond" w:hAnsi="Garamond"/>
          <w:sz w:val="24"/>
          <w:szCs w:val="24"/>
        </w:rPr>
        <w:t>10</w:t>
      </w:r>
    </w:p>
    <w:p w14:paraId="6EDCF34A" w14:textId="27D336A9" w:rsidR="00744280" w:rsidRPr="007114AF" w:rsidRDefault="00744280" w:rsidP="00744280">
      <w:pPr>
        <w:spacing w:after="0"/>
        <w:rPr>
          <w:rFonts w:ascii="Garamond" w:hAnsi="Garamond"/>
          <w:sz w:val="24"/>
          <w:szCs w:val="24"/>
        </w:rPr>
      </w:pPr>
      <w:r w:rsidRPr="007114AF">
        <w:rPr>
          <w:rFonts w:ascii="Garamond" w:hAnsi="Garamond"/>
          <w:sz w:val="24"/>
          <w:szCs w:val="24"/>
        </w:rPr>
        <w:t>6.2.11 Veprimi Prioritar</w:t>
      </w:r>
      <w:r w:rsidR="00242009" w:rsidRPr="007114AF">
        <w:rPr>
          <w:rFonts w:ascii="Garamond" w:hAnsi="Garamond"/>
          <w:sz w:val="24"/>
          <w:szCs w:val="24"/>
        </w:rPr>
        <w:t xml:space="preserve"> nr. </w:t>
      </w:r>
      <w:r w:rsidRPr="007114AF">
        <w:rPr>
          <w:rFonts w:ascii="Garamond" w:hAnsi="Garamond"/>
          <w:sz w:val="24"/>
          <w:szCs w:val="24"/>
        </w:rPr>
        <w:t>11</w:t>
      </w:r>
    </w:p>
    <w:p w14:paraId="6EDCF34B" w14:textId="1B1CEA9C" w:rsidR="00744280" w:rsidRPr="007114AF" w:rsidRDefault="00744280" w:rsidP="00744280">
      <w:pPr>
        <w:spacing w:after="0"/>
        <w:rPr>
          <w:rFonts w:ascii="Garamond" w:hAnsi="Garamond"/>
          <w:sz w:val="24"/>
          <w:szCs w:val="24"/>
        </w:rPr>
      </w:pPr>
      <w:r w:rsidRPr="007114AF">
        <w:rPr>
          <w:rFonts w:ascii="Garamond" w:hAnsi="Garamond"/>
          <w:sz w:val="24"/>
          <w:szCs w:val="24"/>
        </w:rPr>
        <w:t>6.2.12 Veprimi Prioritar</w:t>
      </w:r>
      <w:r w:rsidR="00242009" w:rsidRPr="007114AF">
        <w:rPr>
          <w:rFonts w:ascii="Garamond" w:hAnsi="Garamond"/>
          <w:sz w:val="24"/>
          <w:szCs w:val="24"/>
        </w:rPr>
        <w:t xml:space="preserve"> nr. </w:t>
      </w:r>
      <w:r w:rsidRPr="007114AF">
        <w:rPr>
          <w:rFonts w:ascii="Garamond" w:hAnsi="Garamond"/>
          <w:sz w:val="24"/>
          <w:szCs w:val="24"/>
        </w:rPr>
        <w:t>12</w:t>
      </w:r>
    </w:p>
    <w:p w14:paraId="6EDCF34C" w14:textId="0A45455C" w:rsidR="00744280" w:rsidRPr="007114AF" w:rsidRDefault="00744280" w:rsidP="00744280">
      <w:pPr>
        <w:spacing w:after="0"/>
        <w:rPr>
          <w:rFonts w:ascii="Garamond" w:hAnsi="Garamond"/>
          <w:sz w:val="24"/>
          <w:szCs w:val="24"/>
        </w:rPr>
      </w:pPr>
      <w:r w:rsidRPr="007114AF">
        <w:rPr>
          <w:rFonts w:ascii="Garamond" w:hAnsi="Garamond"/>
          <w:sz w:val="24"/>
          <w:szCs w:val="24"/>
        </w:rPr>
        <w:t>6.2.13 Veprimi Prioritar</w:t>
      </w:r>
      <w:r w:rsidR="00242009" w:rsidRPr="007114AF">
        <w:rPr>
          <w:rFonts w:ascii="Garamond" w:hAnsi="Garamond"/>
          <w:sz w:val="24"/>
          <w:szCs w:val="24"/>
        </w:rPr>
        <w:t xml:space="preserve"> nr. </w:t>
      </w:r>
      <w:r w:rsidRPr="007114AF">
        <w:rPr>
          <w:rFonts w:ascii="Garamond" w:hAnsi="Garamond"/>
          <w:sz w:val="24"/>
          <w:szCs w:val="24"/>
        </w:rPr>
        <w:t>13</w:t>
      </w:r>
    </w:p>
    <w:p w14:paraId="6EDCF34D" w14:textId="12C0F443" w:rsidR="00744280" w:rsidRPr="007114AF" w:rsidRDefault="00744280" w:rsidP="00744280">
      <w:pPr>
        <w:spacing w:after="0"/>
        <w:rPr>
          <w:rFonts w:ascii="Garamond" w:hAnsi="Garamond"/>
          <w:sz w:val="24"/>
          <w:szCs w:val="24"/>
        </w:rPr>
      </w:pPr>
      <w:r w:rsidRPr="007114AF">
        <w:rPr>
          <w:rFonts w:ascii="Garamond" w:hAnsi="Garamond"/>
          <w:sz w:val="24"/>
          <w:szCs w:val="24"/>
        </w:rPr>
        <w:t>6.2.14 Veprimi Prioritar</w:t>
      </w:r>
      <w:r w:rsidR="00242009" w:rsidRPr="007114AF">
        <w:rPr>
          <w:rFonts w:ascii="Garamond" w:hAnsi="Garamond"/>
          <w:sz w:val="24"/>
          <w:szCs w:val="24"/>
        </w:rPr>
        <w:t xml:space="preserve"> nr. </w:t>
      </w:r>
      <w:r w:rsidRPr="007114AF">
        <w:rPr>
          <w:rFonts w:ascii="Garamond" w:hAnsi="Garamond"/>
          <w:sz w:val="24"/>
          <w:szCs w:val="24"/>
        </w:rPr>
        <w:t>14</w:t>
      </w:r>
    </w:p>
    <w:p w14:paraId="6EDCF34E" w14:textId="0E5986FF" w:rsidR="00744280" w:rsidRPr="007114AF" w:rsidRDefault="00744280" w:rsidP="00744280">
      <w:pPr>
        <w:spacing w:after="0"/>
        <w:rPr>
          <w:rFonts w:ascii="Garamond" w:hAnsi="Garamond"/>
          <w:sz w:val="24"/>
          <w:szCs w:val="24"/>
        </w:rPr>
      </w:pPr>
      <w:r w:rsidRPr="007114AF">
        <w:rPr>
          <w:rFonts w:ascii="Garamond" w:hAnsi="Garamond"/>
          <w:sz w:val="24"/>
          <w:szCs w:val="24"/>
        </w:rPr>
        <w:t>6.2.15 Veprimi Prioritar</w:t>
      </w:r>
      <w:r w:rsidR="00242009" w:rsidRPr="007114AF">
        <w:rPr>
          <w:rFonts w:ascii="Garamond" w:hAnsi="Garamond"/>
          <w:sz w:val="24"/>
          <w:szCs w:val="24"/>
        </w:rPr>
        <w:t xml:space="preserve"> nr. </w:t>
      </w:r>
      <w:r w:rsidRPr="007114AF">
        <w:rPr>
          <w:rFonts w:ascii="Garamond" w:hAnsi="Garamond"/>
          <w:sz w:val="24"/>
          <w:szCs w:val="24"/>
        </w:rPr>
        <w:t>15</w:t>
      </w:r>
    </w:p>
    <w:p w14:paraId="6EDCF34F"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6.3 Burimet financiare për planin e përshtatjes</w:t>
      </w:r>
    </w:p>
    <w:p w14:paraId="6EDCF350" w14:textId="1EEED90B" w:rsidR="00744280" w:rsidRPr="007114AF" w:rsidRDefault="00744280" w:rsidP="00744280">
      <w:pPr>
        <w:spacing w:after="0"/>
        <w:rPr>
          <w:rFonts w:ascii="Garamond" w:hAnsi="Garamond"/>
          <w:sz w:val="24"/>
          <w:szCs w:val="24"/>
        </w:rPr>
      </w:pPr>
      <w:r w:rsidRPr="007114AF">
        <w:rPr>
          <w:rFonts w:ascii="Garamond" w:hAnsi="Garamond"/>
          <w:sz w:val="24"/>
          <w:szCs w:val="24"/>
        </w:rPr>
        <w:t xml:space="preserve">6.4 Zhvillimi </w:t>
      </w:r>
      <w:r w:rsidR="003305AE" w:rsidRPr="007114AF">
        <w:rPr>
          <w:rFonts w:ascii="Garamond" w:hAnsi="Garamond"/>
          <w:sz w:val="24"/>
          <w:szCs w:val="24"/>
        </w:rPr>
        <w:t>i</w:t>
      </w:r>
      <w:r w:rsidRPr="007114AF">
        <w:rPr>
          <w:rFonts w:ascii="Garamond" w:hAnsi="Garamond"/>
          <w:sz w:val="24"/>
          <w:szCs w:val="24"/>
        </w:rPr>
        <w:t xml:space="preserve"> kapaciteteve, informimi dhe përfshirja</w:t>
      </w:r>
    </w:p>
    <w:p w14:paraId="6EDCF351"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RAPORTIMI DHE MONITORIMI</w:t>
      </w:r>
    </w:p>
    <w:p w14:paraId="6EDCF352" w14:textId="4C09330B" w:rsidR="00744280" w:rsidRPr="007114AF" w:rsidRDefault="00744280" w:rsidP="00744280">
      <w:pPr>
        <w:spacing w:after="0"/>
        <w:rPr>
          <w:rFonts w:ascii="Garamond" w:hAnsi="Garamond"/>
          <w:sz w:val="24"/>
          <w:szCs w:val="24"/>
        </w:rPr>
      </w:pPr>
      <w:r w:rsidRPr="007114AF">
        <w:rPr>
          <w:rFonts w:ascii="Garamond" w:hAnsi="Garamond"/>
          <w:sz w:val="24"/>
          <w:szCs w:val="24"/>
        </w:rPr>
        <w:t xml:space="preserve">Aneksi 1 – Lista e plotë e dokumenteve të analizuara për Planin e Zbutjes së </w:t>
      </w:r>
      <w:r w:rsidR="003305AE" w:rsidRPr="007114AF">
        <w:rPr>
          <w:rFonts w:ascii="Garamond" w:hAnsi="Garamond"/>
          <w:sz w:val="24"/>
          <w:szCs w:val="24"/>
        </w:rPr>
        <w:t>Ndryshimeve</w:t>
      </w:r>
      <w:r w:rsidRPr="007114AF">
        <w:rPr>
          <w:rFonts w:ascii="Garamond" w:hAnsi="Garamond"/>
          <w:sz w:val="24"/>
          <w:szCs w:val="24"/>
        </w:rPr>
        <w:t xml:space="preserve"> Klimatike</w:t>
      </w:r>
    </w:p>
    <w:p w14:paraId="6EDCF353"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Aneksi 2 – Lista e legjislacionit të BE-së për masat zbutëse për GES-in</w:t>
      </w:r>
    </w:p>
    <w:p w14:paraId="6EDCF354" w14:textId="77777777" w:rsidR="00744280" w:rsidRPr="007114AF" w:rsidRDefault="00744280" w:rsidP="00744280">
      <w:pPr>
        <w:spacing w:after="0"/>
        <w:rPr>
          <w:rFonts w:ascii="Garamond" w:hAnsi="Garamond"/>
          <w:sz w:val="24"/>
          <w:szCs w:val="24"/>
        </w:rPr>
      </w:pPr>
      <w:r w:rsidRPr="007114AF">
        <w:rPr>
          <w:rFonts w:ascii="Garamond" w:hAnsi="Garamond"/>
          <w:sz w:val="24"/>
          <w:szCs w:val="24"/>
        </w:rPr>
        <w:t>Aneksi 3 – Dokumenti i financimit të NAP-it</w:t>
      </w:r>
    </w:p>
    <w:p w14:paraId="6EDCF355" w14:textId="17F801BE" w:rsidR="00744280" w:rsidRPr="007114AF" w:rsidRDefault="00744280" w:rsidP="00744280">
      <w:pPr>
        <w:spacing w:after="0"/>
        <w:rPr>
          <w:rFonts w:ascii="Garamond" w:hAnsi="Garamond"/>
          <w:sz w:val="24"/>
          <w:szCs w:val="24"/>
        </w:rPr>
      </w:pPr>
      <w:r w:rsidRPr="007114AF">
        <w:rPr>
          <w:rFonts w:ascii="Garamond" w:hAnsi="Garamond"/>
          <w:sz w:val="24"/>
          <w:szCs w:val="24"/>
        </w:rPr>
        <w:t>Figura 1 Procesi i programimit të shpenzimeve vjetore në një Institucion të Qeverisë Q</w:t>
      </w:r>
      <w:r w:rsidR="003305AE" w:rsidRPr="007114AF">
        <w:rPr>
          <w:rFonts w:ascii="Garamond" w:hAnsi="Garamond"/>
          <w:sz w:val="24"/>
          <w:szCs w:val="24"/>
        </w:rPr>
        <w:t>e</w:t>
      </w:r>
      <w:r w:rsidRPr="007114AF">
        <w:rPr>
          <w:rFonts w:ascii="Garamond" w:hAnsi="Garamond"/>
          <w:sz w:val="24"/>
          <w:szCs w:val="24"/>
        </w:rPr>
        <w:t>ndrore</w:t>
      </w:r>
    </w:p>
    <w:p w14:paraId="6EDCF356" w14:textId="77777777" w:rsidR="00744280" w:rsidRPr="007114AF" w:rsidRDefault="00744280" w:rsidP="00744280">
      <w:pPr>
        <w:pStyle w:val="TEKSTI"/>
        <w:ind w:firstLine="0"/>
        <w:jc w:val="left"/>
      </w:pPr>
      <w:r w:rsidRPr="007114AF">
        <w:t>Aneksi 4 Lista e autorëve dhe bashkëpunëtorëve</w:t>
      </w:r>
    </w:p>
    <w:p w14:paraId="6EDCF357" w14:textId="77777777" w:rsidR="00395EA8" w:rsidRPr="007114AF" w:rsidRDefault="00395EA8" w:rsidP="00B86BA1">
      <w:pPr>
        <w:spacing w:after="0" w:line="240" w:lineRule="auto"/>
        <w:jc w:val="center"/>
        <w:rPr>
          <w:rFonts w:ascii="Garamond" w:hAnsi="Garamond"/>
          <w:sz w:val="24"/>
          <w:szCs w:val="24"/>
        </w:rPr>
      </w:pPr>
    </w:p>
    <w:p w14:paraId="6EDCF358" w14:textId="77777777" w:rsidR="00E24568" w:rsidRPr="007114AF" w:rsidRDefault="00E24568" w:rsidP="00FF37A6">
      <w:pPr>
        <w:pStyle w:val="NoSpacing"/>
        <w:rPr>
          <w:rFonts w:ascii="Garamond" w:hAnsi="Garamond"/>
          <w:b/>
          <w:lang w:val="sq-AL"/>
        </w:rPr>
      </w:pPr>
      <w:r w:rsidRPr="007114AF">
        <w:rPr>
          <w:rFonts w:ascii="Garamond" w:hAnsi="Garamond"/>
          <w:b/>
          <w:lang w:val="sq-AL"/>
        </w:rPr>
        <w:t>AKRONIME</w:t>
      </w:r>
    </w:p>
    <w:p w14:paraId="6EDCF359" w14:textId="20679A36" w:rsidR="00E24568" w:rsidRPr="007114AF" w:rsidRDefault="00E24568" w:rsidP="00FF37A6">
      <w:pPr>
        <w:pStyle w:val="NoSpacing"/>
        <w:rPr>
          <w:rFonts w:ascii="Garamond" w:hAnsi="Garamond"/>
          <w:lang w:val="sq-AL"/>
        </w:rPr>
      </w:pPr>
      <w:r w:rsidRPr="007114AF">
        <w:rPr>
          <w:rFonts w:ascii="Garamond" w:hAnsi="Garamond"/>
          <w:lang w:val="sq-AL"/>
        </w:rPr>
        <w:t xml:space="preserve">ADP </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Grupi i Punës Ad Hoc për Platformën Durban</w:t>
      </w:r>
      <w:r w:rsidR="003305AE" w:rsidRPr="007114AF">
        <w:rPr>
          <w:rFonts w:ascii="Garamond" w:hAnsi="Garamond"/>
          <w:lang w:val="sq-AL"/>
        </w:rPr>
        <w:t xml:space="preserve"> </w:t>
      </w:r>
      <w:r w:rsidRPr="007114AF">
        <w:rPr>
          <w:rFonts w:ascii="Garamond" w:hAnsi="Garamond"/>
          <w:lang w:val="sq-AL"/>
        </w:rPr>
        <w:t>për Veprim të Shtuar</w:t>
      </w:r>
    </w:p>
    <w:p w14:paraId="6EDCF35A" w14:textId="77777777" w:rsidR="00E24568" w:rsidRPr="007114AF" w:rsidRDefault="00E24568" w:rsidP="00FF37A6">
      <w:pPr>
        <w:pStyle w:val="NoSpacing"/>
        <w:rPr>
          <w:rFonts w:ascii="Garamond" w:hAnsi="Garamond"/>
          <w:lang w:val="sq-AL"/>
        </w:rPr>
      </w:pPr>
      <w:r w:rsidRPr="007114AF">
        <w:rPr>
          <w:rFonts w:ascii="Garamond" w:hAnsi="Garamond"/>
          <w:lang w:val="sq-AL"/>
        </w:rPr>
        <w:t>FP</w:t>
      </w:r>
      <w:r w:rsidRPr="007114AF">
        <w:rPr>
          <w:rFonts w:ascii="Garamond" w:hAnsi="Garamond"/>
          <w:lang w:val="sq-AL"/>
        </w:rPr>
        <w:tab/>
      </w:r>
      <w:r w:rsidRPr="007114AF">
        <w:rPr>
          <w:rFonts w:ascii="Garamond" w:hAnsi="Garamond"/>
          <w:lang w:val="sq-AL"/>
        </w:rPr>
        <w:tab/>
        <w:t xml:space="preserve">Fond i përshtatjes </w:t>
      </w:r>
    </w:p>
    <w:p w14:paraId="6EDCF35B" w14:textId="77777777" w:rsidR="00E24568" w:rsidRPr="007114AF" w:rsidRDefault="00E24568" w:rsidP="00FF37A6">
      <w:pPr>
        <w:pStyle w:val="NoSpacing"/>
        <w:rPr>
          <w:rFonts w:ascii="Garamond" w:hAnsi="Garamond"/>
          <w:lang w:val="sq-AL"/>
        </w:rPr>
      </w:pPr>
      <w:r w:rsidRPr="007114AF">
        <w:rPr>
          <w:rFonts w:ascii="Garamond" w:hAnsi="Garamond"/>
          <w:lang w:val="sq-AL"/>
        </w:rPr>
        <w:t xml:space="preserve">AKBN </w:t>
      </w:r>
      <w:r w:rsidRPr="007114AF">
        <w:rPr>
          <w:rFonts w:ascii="Garamond" w:hAnsi="Garamond"/>
          <w:lang w:val="sq-AL"/>
        </w:rPr>
        <w:tab/>
        <w:t xml:space="preserve">Agjencia Kombëtare e Burimeve Natyrore </w:t>
      </w:r>
    </w:p>
    <w:p w14:paraId="6EDCF35C" w14:textId="77777777" w:rsidR="00E24568" w:rsidRPr="007114AF" w:rsidRDefault="00E24568" w:rsidP="00FF37A6">
      <w:pPr>
        <w:pStyle w:val="NoSpacing"/>
        <w:rPr>
          <w:rFonts w:ascii="Garamond" w:hAnsi="Garamond"/>
          <w:lang w:val="sq-AL"/>
        </w:rPr>
      </w:pPr>
      <w:r w:rsidRPr="007114AF">
        <w:rPr>
          <w:rFonts w:ascii="Garamond" w:hAnsi="Garamond"/>
          <w:lang w:val="sq-AL"/>
        </w:rPr>
        <w:t>RV</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Raport Vlerësimi</w:t>
      </w:r>
    </w:p>
    <w:p w14:paraId="6EDCF35D" w14:textId="77777777" w:rsidR="00E24568" w:rsidRPr="007114AF" w:rsidRDefault="00E24568" w:rsidP="00FF37A6">
      <w:pPr>
        <w:pStyle w:val="NoSpacing"/>
        <w:rPr>
          <w:rFonts w:ascii="Garamond" w:hAnsi="Garamond"/>
          <w:lang w:val="sq-AL"/>
        </w:rPr>
      </w:pPr>
      <w:r w:rsidRPr="007114AF">
        <w:rPr>
          <w:rFonts w:ascii="Garamond" w:hAnsi="Garamond"/>
          <w:lang w:val="sq-AL"/>
        </w:rPr>
        <w:t>MBE</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 xml:space="preserve">Mjet me Bateri Elektrike </w:t>
      </w:r>
    </w:p>
    <w:p w14:paraId="6EDCF35E" w14:textId="4ED281A9" w:rsidR="00E24568" w:rsidRPr="007114AF" w:rsidRDefault="00E24568" w:rsidP="00FF37A6">
      <w:pPr>
        <w:pStyle w:val="NoSpacing"/>
        <w:rPr>
          <w:rFonts w:ascii="Garamond" w:hAnsi="Garamond"/>
          <w:lang w:val="sq-AL"/>
        </w:rPr>
      </w:pPr>
      <w:r w:rsidRPr="007114AF">
        <w:rPr>
          <w:rFonts w:ascii="Garamond" w:hAnsi="Garamond"/>
          <w:lang w:val="sq-AL"/>
        </w:rPr>
        <w:t>PBB</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 xml:space="preserve">Politika e Përbashkët Bujqësore </w:t>
      </w:r>
    </w:p>
    <w:p w14:paraId="6EDCF35F" w14:textId="58F08952" w:rsidR="00E24568" w:rsidRPr="007114AF" w:rsidRDefault="003305AE" w:rsidP="00B74FC4">
      <w:pPr>
        <w:pStyle w:val="NoSpacing"/>
        <w:tabs>
          <w:tab w:val="left" w:pos="113"/>
          <w:tab w:val="left" w:pos="284"/>
          <w:tab w:val="left" w:pos="1695"/>
        </w:tabs>
        <w:rPr>
          <w:rFonts w:ascii="Garamond" w:hAnsi="Garamond"/>
          <w:lang w:val="sq-AL"/>
        </w:rPr>
      </w:pPr>
      <w:r w:rsidRPr="007114AF">
        <w:rPr>
          <w:rFonts w:ascii="Garamond" w:hAnsi="Garamond"/>
          <w:lang w:val="sq-AL"/>
        </w:rPr>
        <w:t>NK</w:t>
      </w:r>
      <w:r w:rsidRPr="007114AF">
        <w:rPr>
          <w:rFonts w:ascii="Garamond" w:hAnsi="Garamond"/>
          <w:lang w:val="sq-AL"/>
        </w:rPr>
        <w:tab/>
      </w:r>
      <w:r w:rsidR="00E24568" w:rsidRPr="007114AF">
        <w:rPr>
          <w:rFonts w:ascii="Garamond" w:hAnsi="Garamond"/>
          <w:lang w:val="sq-AL"/>
        </w:rPr>
        <w:t>Ndryshimet klimatike</w:t>
      </w:r>
    </w:p>
    <w:p w14:paraId="6EDCF360" w14:textId="77777777" w:rsidR="00E24568" w:rsidRPr="007114AF" w:rsidRDefault="00E24568" w:rsidP="00B74FC4">
      <w:pPr>
        <w:pStyle w:val="NoSpacing"/>
        <w:tabs>
          <w:tab w:val="left" w:pos="113"/>
          <w:tab w:val="left" w:pos="284"/>
          <w:tab w:val="left" w:pos="1695"/>
        </w:tabs>
        <w:rPr>
          <w:rFonts w:ascii="Garamond" w:hAnsi="Garamond"/>
          <w:lang w:val="sq-AL"/>
        </w:rPr>
      </w:pPr>
      <w:r w:rsidRPr="007114AF">
        <w:rPr>
          <w:rFonts w:ascii="Garamond" w:hAnsi="Garamond"/>
          <w:lang w:val="sq-AL"/>
        </w:rPr>
        <w:t>PNK</w:t>
      </w:r>
      <w:r w:rsidRPr="007114AF">
        <w:rPr>
          <w:rFonts w:ascii="Garamond" w:hAnsi="Garamond"/>
          <w:lang w:val="sq-AL"/>
        </w:rPr>
        <w:tab/>
        <w:t xml:space="preserve">Përshtatja ndaj ndryshimeve klimatike </w:t>
      </w:r>
    </w:p>
    <w:p w14:paraId="6EDCF361" w14:textId="4193C855" w:rsidR="00E24568" w:rsidRPr="007114AF" w:rsidRDefault="00E24568" w:rsidP="00B74FC4">
      <w:pPr>
        <w:pStyle w:val="NoSpacing"/>
        <w:tabs>
          <w:tab w:val="left" w:pos="113"/>
          <w:tab w:val="left" w:pos="284"/>
          <w:tab w:val="left" w:pos="1695"/>
        </w:tabs>
        <w:rPr>
          <w:rFonts w:ascii="Garamond" w:hAnsi="Garamond"/>
          <w:lang w:val="sq-AL"/>
        </w:rPr>
      </w:pPr>
      <w:r w:rsidRPr="007114AF">
        <w:rPr>
          <w:rFonts w:ascii="Garamond" w:hAnsi="Garamond"/>
          <w:lang w:val="sq-AL"/>
        </w:rPr>
        <w:t>PMRNK</w:t>
      </w:r>
      <w:r w:rsidRPr="007114AF">
        <w:rPr>
          <w:rFonts w:ascii="Garamond" w:hAnsi="Garamond"/>
          <w:lang w:val="sq-AL"/>
        </w:rPr>
        <w:tab/>
        <w:t xml:space="preserve">Procesi </w:t>
      </w:r>
      <w:r w:rsidR="003305AE" w:rsidRPr="007114AF">
        <w:rPr>
          <w:rFonts w:ascii="Garamond" w:hAnsi="Garamond"/>
          <w:lang w:val="sq-AL"/>
        </w:rPr>
        <w:t>i</w:t>
      </w:r>
      <w:r w:rsidRPr="007114AF">
        <w:rPr>
          <w:rFonts w:ascii="Garamond" w:hAnsi="Garamond"/>
          <w:lang w:val="sq-AL"/>
        </w:rPr>
        <w:t xml:space="preserve"> Menaxhimit të Rrezikut ndaj Ndryshimeve Klimatike </w:t>
      </w:r>
    </w:p>
    <w:p w14:paraId="6EDCF362" w14:textId="77777777" w:rsidR="00E24568" w:rsidRPr="007114AF" w:rsidRDefault="00E24568" w:rsidP="00B74FC4">
      <w:pPr>
        <w:pStyle w:val="NoSpacing"/>
        <w:tabs>
          <w:tab w:val="left" w:pos="113"/>
          <w:tab w:val="left" w:pos="284"/>
          <w:tab w:val="left" w:pos="1695"/>
        </w:tabs>
        <w:rPr>
          <w:rFonts w:ascii="Garamond" w:hAnsi="Garamond"/>
          <w:lang w:val="sq-AL"/>
        </w:rPr>
      </w:pPr>
      <w:r w:rsidRPr="007114AF">
        <w:rPr>
          <w:rFonts w:ascii="Garamond" w:hAnsi="Garamond"/>
          <w:lang w:val="sq-AL"/>
        </w:rPr>
        <w:t>DNK</w:t>
      </w:r>
      <w:r w:rsidRPr="007114AF">
        <w:rPr>
          <w:rFonts w:ascii="Garamond" w:hAnsi="Garamond"/>
          <w:lang w:val="sq-AL"/>
        </w:rPr>
        <w:tab/>
        <w:t xml:space="preserve">Departamenti e ndryshimeve klimatike dhe ajrit </w:t>
      </w:r>
    </w:p>
    <w:p w14:paraId="6EDCF363" w14:textId="77777777" w:rsidR="00E24568" w:rsidRPr="007114AF" w:rsidRDefault="00E24568" w:rsidP="00FF37A6">
      <w:pPr>
        <w:pStyle w:val="NoSpacing"/>
        <w:rPr>
          <w:rFonts w:ascii="Garamond" w:hAnsi="Garamond"/>
          <w:lang w:val="sq-AL"/>
        </w:rPr>
      </w:pPr>
      <w:r w:rsidRPr="007114AF">
        <w:rPr>
          <w:rFonts w:ascii="Garamond" w:hAnsi="Garamond"/>
          <w:lang w:val="sq-AL"/>
        </w:rPr>
        <w:t>NKE</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Nxehtësi e Kombinuar dhe Energji</w:t>
      </w:r>
    </w:p>
    <w:p w14:paraId="6EDCF364" w14:textId="77777777" w:rsidR="00E24568" w:rsidRPr="007114AF" w:rsidRDefault="00E24568" w:rsidP="00FF37A6">
      <w:pPr>
        <w:pStyle w:val="NoSpacing"/>
        <w:rPr>
          <w:rFonts w:ascii="Garamond" w:hAnsi="Garamond"/>
          <w:lang w:val="sq-AL"/>
        </w:rPr>
      </w:pPr>
      <w:r w:rsidRPr="007114AF">
        <w:rPr>
          <w:rFonts w:ascii="Garamond" w:hAnsi="Garamond"/>
          <w:lang w:val="sq-AL"/>
        </w:rPr>
        <w:t>KM</w:t>
      </w:r>
      <w:r w:rsidRPr="007114AF">
        <w:rPr>
          <w:rFonts w:ascii="Garamond" w:hAnsi="Garamond"/>
          <w:lang w:val="sq-AL"/>
        </w:rPr>
        <w:tab/>
      </w:r>
      <w:r w:rsidRPr="007114AF">
        <w:rPr>
          <w:rFonts w:ascii="Garamond" w:hAnsi="Garamond"/>
          <w:lang w:val="sq-AL"/>
        </w:rPr>
        <w:tab/>
        <w:t xml:space="preserve">Këshilli i Ministrave </w:t>
      </w:r>
    </w:p>
    <w:p w14:paraId="6EDCF365" w14:textId="77777777" w:rsidR="00E24568" w:rsidRPr="007114AF" w:rsidRDefault="00E24568" w:rsidP="00FF37A6">
      <w:pPr>
        <w:pStyle w:val="NoSpacing"/>
        <w:rPr>
          <w:rFonts w:ascii="Garamond" w:hAnsi="Garamond"/>
          <w:lang w:val="sq-AL"/>
        </w:rPr>
      </w:pPr>
      <w:r w:rsidRPr="007114AF">
        <w:rPr>
          <w:rFonts w:ascii="Garamond" w:hAnsi="Garamond"/>
          <w:lang w:val="sq-AL"/>
        </w:rPr>
        <w:t>KeP</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Konferenca e Palëve</w:t>
      </w:r>
    </w:p>
    <w:p w14:paraId="6EDCF366" w14:textId="77777777" w:rsidR="00E24568" w:rsidRPr="007114AF" w:rsidRDefault="00E24568" w:rsidP="00FF37A6">
      <w:pPr>
        <w:pStyle w:val="NoSpacing"/>
        <w:rPr>
          <w:rFonts w:ascii="Garamond" w:hAnsi="Garamond"/>
          <w:lang w:val="sq-AL"/>
        </w:rPr>
      </w:pPr>
      <w:r w:rsidRPr="007114AF">
        <w:rPr>
          <w:rFonts w:ascii="Garamond" w:hAnsi="Garamond"/>
          <w:lang w:val="sq-AL"/>
        </w:rPr>
        <w:t>CPEC</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Eficienca e Energjisë në Ndërtesa në Palët Kontraktuese të Komunitetit të Energjisë</w:t>
      </w:r>
    </w:p>
    <w:p w14:paraId="6EDCF367" w14:textId="77777777" w:rsidR="00E24568" w:rsidRPr="007114AF" w:rsidRDefault="00E24568" w:rsidP="00FF37A6">
      <w:pPr>
        <w:pStyle w:val="NoSpacing"/>
        <w:rPr>
          <w:rFonts w:ascii="Garamond" w:hAnsi="Garamond"/>
          <w:lang w:val="sq-AL"/>
        </w:rPr>
      </w:pPr>
      <w:r w:rsidRPr="007114AF">
        <w:rPr>
          <w:rFonts w:ascii="Garamond" w:hAnsi="Garamond"/>
          <w:lang w:val="sq-AL"/>
        </w:rPr>
        <w:t>DZHM</w:t>
      </w:r>
      <w:r w:rsidRPr="007114AF">
        <w:rPr>
          <w:rFonts w:ascii="Garamond" w:hAnsi="Garamond"/>
          <w:lang w:val="sq-AL"/>
        </w:rPr>
        <w:tab/>
        <w:t>Departamenti për Zhvillim dhe Mirëqeverisje</w:t>
      </w:r>
    </w:p>
    <w:p w14:paraId="6EDCF368" w14:textId="77777777" w:rsidR="00E24568" w:rsidRPr="007114AF" w:rsidRDefault="00E24568" w:rsidP="00FF37A6">
      <w:pPr>
        <w:pStyle w:val="NoSpacing"/>
        <w:rPr>
          <w:rFonts w:ascii="Garamond" w:hAnsi="Garamond"/>
          <w:lang w:val="sq-AL"/>
        </w:rPr>
      </w:pPr>
      <w:r w:rsidRPr="007114AF">
        <w:rPr>
          <w:rFonts w:ascii="Garamond" w:hAnsi="Garamond"/>
          <w:lang w:val="sq-AL"/>
        </w:rPr>
        <w:t>DPSMB</w:t>
      </w:r>
      <w:r w:rsidR="00FF37A6" w:rsidRPr="007114AF">
        <w:rPr>
          <w:rFonts w:ascii="Garamond" w:hAnsi="Garamond"/>
          <w:b/>
          <w:i/>
          <w:lang w:val="sq-AL"/>
        </w:rPr>
        <w:tab/>
      </w:r>
      <w:r w:rsidRPr="007114AF">
        <w:rPr>
          <w:rFonts w:ascii="Garamond" w:hAnsi="Garamond"/>
          <w:lang w:val="sq-AL"/>
        </w:rPr>
        <w:t xml:space="preserve">Dokumenti i Politikave Strategjike Për Mbrojtjen e Biodiversitetit </w:t>
      </w:r>
    </w:p>
    <w:p w14:paraId="6EDCF369" w14:textId="77777777" w:rsidR="00E24568" w:rsidRPr="007114AF" w:rsidRDefault="00E24568" w:rsidP="00FF37A6">
      <w:pPr>
        <w:pStyle w:val="NoSpacing"/>
        <w:rPr>
          <w:rFonts w:ascii="Garamond" w:hAnsi="Garamond"/>
          <w:lang w:val="sq-AL"/>
        </w:rPr>
      </w:pPr>
      <w:r w:rsidRPr="007114AF">
        <w:rPr>
          <w:rFonts w:ascii="Garamond" w:hAnsi="Garamond"/>
          <w:lang w:val="sq-AL"/>
        </w:rPr>
        <w:t>BERZH</w:t>
      </w:r>
      <w:r w:rsidRPr="007114AF">
        <w:rPr>
          <w:rFonts w:ascii="Garamond" w:hAnsi="Garamond"/>
          <w:lang w:val="sq-AL"/>
        </w:rPr>
        <w:tab/>
        <w:t>Banka Evropiane për Rindërtim dhe Zhvillim </w:t>
      </w:r>
      <w:r w:rsidRPr="007114AF">
        <w:rPr>
          <w:rFonts w:ascii="Garamond" w:hAnsi="Garamond"/>
          <w:lang w:val="sq-AL"/>
        </w:rPr>
        <w:tab/>
      </w:r>
    </w:p>
    <w:p w14:paraId="6EDCF36A" w14:textId="77777777" w:rsidR="00E24568" w:rsidRPr="007114AF" w:rsidRDefault="00E24568" w:rsidP="00FF37A6">
      <w:pPr>
        <w:pStyle w:val="NoSpacing"/>
        <w:rPr>
          <w:rFonts w:ascii="Garamond" w:hAnsi="Garamond"/>
          <w:lang w:val="sq-AL"/>
        </w:rPr>
      </w:pPr>
      <w:r w:rsidRPr="007114AF">
        <w:rPr>
          <w:rFonts w:ascii="Garamond" w:hAnsi="Garamond"/>
          <w:lang w:val="sq-AL"/>
        </w:rPr>
        <w:t>SMNS</w:t>
      </w:r>
      <w:r w:rsidRPr="007114AF">
        <w:rPr>
          <w:rFonts w:ascii="Garamond" w:hAnsi="Garamond"/>
          <w:lang w:val="sq-AL"/>
        </w:rPr>
        <w:tab/>
      </w:r>
      <w:r w:rsidRPr="007114AF">
        <w:rPr>
          <w:rFonts w:ascii="Garamond" w:hAnsi="Garamond"/>
          <w:lang w:val="sq-AL"/>
        </w:rPr>
        <w:tab/>
        <w:t>Strategjia Mjedisore Ndërsektoriale</w:t>
      </w:r>
    </w:p>
    <w:p w14:paraId="6EDCF36B" w14:textId="77777777" w:rsidR="00E24568" w:rsidRPr="007114AF" w:rsidRDefault="00E24568" w:rsidP="00FF37A6">
      <w:pPr>
        <w:pStyle w:val="NoSpacing"/>
        <w:rPr>
          <w:rFonts w:ascii="Garamond" w:hAnsi="Garamond"/>
          <w:lang w:val="sq-AL"/>
        </w:rPr>
      </w:pPr>
      <w:r w:rsidRPr="007114AF">
        <w:rPr>
          <w:rFonts w:ascii="Garamond" w:hAnsi="Garamond"/>
          <w:lang w:val="sq-AL"/>
        </w:rPr>
        <w:t>ECRAN</w:t>
      </w:r>
      <w:r w:rsidRPr="007114AF">
        <w:rPr>
          <w:rFonts w:ascii="Garamond" w:hAnsi="Garamond"/>
          <w:lang w:val="sq-AL"/>
        </w:rPr>
        <w:tab/>
        <w:t xml:space="preserve">Rrjeti Rajonal i anëtarësimit për klimën dhe mjedisin </w:t>
      </w:r>
    </w:p>
    <w:p w14:paraId="6EDCF36C" w14:textId="77777777" w:rsidR="00E24568" w:rsidRPr="007114AF" w:rsidRDefault="00E24568" w:rsidP="00FF37A6">
      <w:pPr>
        <w:pStyle w:val="NoSpacing"/>
        <w:rPr>
          <w:rFonts w:ascii="Garamond" w:hAnsi="Garamond"/>
          <w:lang w:val="sq-AL"/>
        </w:rPr>
      </w:pPr>
      <w:r w:rsidRPr="007114AF">
        <w:rPr>
          <w:rFonts w:ascii="Garamond" w:hAnsi="Garamond"/>
          <w:lang w:val="sq-AL"/>
        </w:rPr>
        <w:t xml:space="preserve">EE </w:t>
      </w:r>
      <w:r w:rsidRPr="007114AF">
        <w:rPr>
          <w:rFonts w:ascii="Garamond" w:hAnsi="Garamond"/>
          <w:lang w:val="sq-AL"/>
        </w:rPr>
        <w:tab/>
      </w:r>
      <w:r w:rsidRPr="007114AF">
        <w:rPr>
          <w:rFonts w:ascii="Garamond" w:hAnsi="Garamond"/>
          <w:lang w:val="sq-AL"/>
        </w:rPr>
        <w:tab/>
        <w:t>Eficienca e Energjisë</w:t>
      </w:r>
    </w:p>
    <w:p w14:paraId="6EDCF36D" w14:textId="77777777" w:rsidR="00E24568" w:rsidRPr="007114AF" w:rsidRDefault="00E24568" w:rsidP="00FF37A6">
      <w:pPr>
        <w:pStyle w:val="NoSpacing"/>
        <w:rPr>
          <w:rFonts w:ascii="Garamond" w:hAnsi="Garamond"/>
          <w:lang w:val="sq-AL"/>
        </w:rPr>
      </w:pPr>
      <w:r w:rsidRPr="007114AF">
        <w:rPr>
          <w:rFonts w:ascii="Garamond" w:hAnsi="Garamond"/>
          <w:lang w:val="sq-AL"/>
        </w:rPr>
        <w:t>DEE</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Direktiva për Eficiencën e Energjisë</w:t>
      </w:r>
    </w:p>
    <w:p w14:paraId="6EDCF36E" w14:textId="77777777" w:rsidR="00E24568" w:rsidRPr="007114AF" w:rsidRDefault="00E24568" w:rsidP="00FF37A6">
      <w:pPr>
        <w:pStyle w:val="NoSpacing"/>
        <w:rPr>
          <w:rFonts w:ascii="Garamond" w:hAnsi="Garamond"/>
          <w:lang w:val="sq-AL"/>
        </w:rPr>
      </w:pPr>
      <w:r w:rsidRPr="007114AF">
        <w:rPr>
          <w:rFonts w:ascii="Garamond" w:hAnsi="Garamond"/>
          <w:lang w:val="sq-AL"/>
        </w:rPr>
        <w:t>PEE</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Përmirësimi i Eficiencës së Energjisë</w:t>
      </w:r>
    </w:p>
    <w:p w14:paraId="6EDCF36F" w14:textId="77777777" w:rsidR="00E24568" w:rsidRPr="007114AF" w:rsidRDefault="00E24568" w:rsidP="00FF37A6">
      <w:pPr>
        <w:pStyle w:val="NoSpacing"/>
        <w:rPr>
          <w:rFonts w:ascii="Garamond" w:hAnsi="Garamond"/>
          <w:lang w:val="sq-AL"/>
        </w:rPr>
      </w:pPr>
      <w:r w:rsidRPr="007114AF">
        <w:rPr>
          <w:rFonts w:ascii="Garamond" w:hAnsi="Garamond"/>
          <w:lang w:val="sq-AL"/>
        </w:rPr>
        <w:lastRenderedPageBreak/>
        <w:t>EFTA</w:t>
      </w:r>
      <w:r w:rsidRPr="007114AF">
        <w:rPr>
          <w:rFonts w:ascii="Garamond" w:hAnsi="Garamond"/>
          <w:lang w:val="sq-AL"/>
        </w:rPr>
        <w:tab/>
      </w:r>
      <w:r w:rsidRPr="007114AF">
        <w:rPr>
          <w:rFonts w:ascii="Garamond" w:hAnsi="Garamond"/>
          <w:lang w:val="sq-AL"/>
        </w:rPr>
        <w:tab/>
        <w:t>Shoqata Evropiane e Tregtisë së Lirë</w:t>
      </w:r>
    </w:p>
    <w:p w14:paraId="6EDCF370" w14:textId="77777777" w:rsidR="00E24568" w:rsidRPr="007114AF" w:rsidRDefault="00E24568" w:rsidP="00FF37A6">
      <w:pPr>
        <w:pStyle w:val="NoSpacing"/>
        <w:rPr>
          <w:rFonts w:ascii="Garamond" w:hAnsi="Garamond"/>
          <w:lang w:val="sq-AL"/>
        </w:rPr>
      </w:pPr>
      <w:r w:rsidRPr="007114AF">
        <w:rPr>
          <w:rFonts w:ascii="Garamond" w:hAnsi="Garamond"/>
          <w:lang w:val="sq-AL"/>
        </w:rPr>
        <w:t>PEN</w:t>
      </w:r>
      <w:r w:rsidRPr="007114AF">
        <w:rPr>
          <w:rFonts w:ascii="Garamond" w:hAnsi="Garamond"/>
          <w:lang w:val="sq-AL"/>
        </w:rPr>
        <w:tab/>
      </w:r>
      <w:r w:rsidRPr="007114AF">
        <w:rPr>
          <w:rFonts w:ascii="Garamond" w:hAnsi="Garamond"/>
          <w:lang w:val="sq-AL"/>
        </w:rPr>
        <w:tab/>
        <w:t>Performanca e Energjisë në Ndërtesa</w:t>
      </w:r>
    </w:p>
    <w:p w14:paraId="6EDCF371" w14:textId="5D793FFE" w:rsidR="00E24568" w:rsidRPr="007114AF" w:rsidRDefault="00E24568" w:rsidP="00FF37A6">
      <w:pPr>
        <w:pStyle w:val="NoSpacing"/>
        <w:rPr>
          <w:rFonts w:ascii="Garamond" w:hAnsi="Garamond"/>
          <w:lang w:val="sq-AL"/>
        </w:rPr>
      </w:pPr>
      <w:r w:rsidRPr="007114AF">
        <w:rPr>
          <w:rFonts w:ascii="Garamond" w:hAnsi="Garamond"/>
          <w:lang w:val="sq-AL"/>
        </w:rPr>
        <w:t>CPE</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Certifikatat e</w:t>
      </w:r>
      <w:r w:rsidR="003305AE" w:rsidRPr="007114AF">
        <w:rPr>
          <w:rFonts w:ascii="Garamond" w:hAnsi="Garamond"/>
          <w:lang w:val="sq-AL"/>
        </w:rPr>
        <w:t xml:space="preserve"> </w:t>
      </w:r>
      <w:r w:rsidRPr="007114AF">
        <w:rPr>
          <w:rFonts w:ascii="Garamond" w:hAnsi="Garamond"/>
          <w:lang w:val="sq-AL"/>
        </w:rPr>
        <w:t>Performancës së Energjisë</w:t>
      </w:r>
    </w:p>
    <w:p w14:paraId="6EDCF372" w14:textId="77777777" w:rsidR="00E24568" w:rsidRPr="007114AF" w:rsidRDefault="00E24568" w:rsidP="00FF37A6">
      <w:pPr>
        <w:pStyle w:val="NoSpacing"/>
        <w:rPr>
          <w:rFonts w:ascii="Garamond" w:hAnsi="Garamond"/>
          <w:lang w:val="sq-AL"/>
        </w:rPr>
      </w:pPr>
      <w:r w:rsidRPr="007114AF">
        <w:rPr>
          <w:rFonts w:ascii="Garamond" w:hAnsi="Garamond"/>
          <w:lang w:val="sq-AL"/>
        </w:rPr>
        <w:t>ERE</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Enti Rregullator i Energjisë Elektrike</w:t>
      </w:r>
    </w:p>
    <w:p w14:paraId="6EDCF373" w14:textId="77777777" w:rsidR="00E24568" w:rsidRPr="007114AF" w:rsidRDefault="00E24568" w:rsidP="00FF37A6">
      <w:pPr>
        <w:pStyle w:val="NoSpacing"/>
        <w:rPr>
          <w:rFonts w:ascii="Garamond" w:hAnsi="Garamond"/>
          <w:lang w:val="sq-AL"/>
        </w:rPr>
      </w:pPr>
      <w:r w:rsidRPr="007114AF">
        <w:rPr>
          <w:rFonts w:ascii="Garamond" w:hAnsi="Garamond"/>
          <w:lang w:val="sq-AL"/>
        </w:rPr>
        <w:t>VPB</w:t>
      </w:r>
      <w:r w:rsidRPr="007114AF">
        <w:rPr>
          <w:rFonts w:ascii="Garamond" w:hAnsi="Garamond"/>
          <w:lang w:val="sq-AL"/>
        </w:rPr>
        <w:tab/>
      </w:r>
      <w:r w:rsidRPr="007114AF">
        <w:rPr>
          <w:rFonts w:ascii="Garamond" w:hAnsi="Garamond"/>
          <w:lang w:val="sq-AL"/>
        </w:rPr>
        <w:tab/>
        <w:t xml:space="preserve">Vendimi për Përpjekje të Përbashkëta </w:t>
      </w:r>
    </w:p>
    <w:p w14:paraId="6EDCF374" w14:textId="77777777" w:rsidR="00E24568" w:rsidRPr="007114AF" w:rsidRDefault="00E24568" w:rsidP="00FF37A6">
      <w:pPr>
        <w:pStyle w:val="NoSpacing"/>
        <w:rPr>
          <w:rFonts w:ascii="Garamond" w:hAnsi="Garamond"/>
          <w:lang w:val="sq-AL"/>
        </w:rPr>
      </w:pPr>
      <w:r w:rsidRPr="007114AF">
        <w:rPr>
          <w:rFonts w:ascii="Garamond" w:hAnsi="Garamond"/>
          <w:lang w:val="sq-AL"/>
        </w:rPr>
        <w:t>STSh</w:t>
      </w:r>
      <w:r w:rsidRPr="007114AF">
        <w:rPr>
          <w:rFonts w:ascii="Garamond" w:hAnsi="Garamond"/>
          <w:lang w:val="sq-AL"/>
        </w:rPr>
        <w:tab/>
      </w:r>
      <w:r w:rsidRPr="007114AF">
        <w:rPr>
          <w:rFonts w:ascii="Garamond" w:hAnsi="Garamond"/>
          <w:lang w:val="sq-AL"/>
        </w:rPr>
        <w:tab/>
        <w:t xml:space="preserve">Skema për Tregtinë e Shkarkimeve </w:t>
      </w:r>
    </w:p>
    <w:p w14:paraId="6EDCF375" w14:textId="77777777" w:rsidR="00E24568" w:rsidRPr="007114AF" w:rsidRDefault="00E24568" w:rsidP="00FF37A6">
      <w:pPr>
        <w:pStyle w:val="NoSpacing"/>
        <w:rPr>
          <w:rFonts w:ascii="Garamond" w:hAnsi="Garamond"/>
          <w:lang w:val="sq-AL"/>
        </w:rPr>
      </w:pPr>
      <w:r w:rsidRPr="007114AF">
        <w:rPr>
          <w:rFonts w:ascii="Garamond" w:hAnsi="Garamond"/>
          <w:lang w:val="sq-AL"/>
        </w:rPr>
        <w:t>BE</w:t>
      </w:r>
      <w:r w:rsidRPr="007114AF">
        <w:rPr>
          <w:rFonts w:ascii="Garamond" w:hAnsi="Garamond"/>
          <w:lang w:val="sq-AL"/>
        </w:rPr>
        <w:tab/>
      </w:r>
      <w:r w:rsidRPr="007114AF">
        <w:rPr>
          <w:rFonts w:ascii="Garamond" w:hAnsi="Garamond"/>
          <w:lang w:val="sq-AL"/>
        </w:rPr>
        <w:tab/>
        <w:t>Bashkimi Evropian</w:t>
      </w:r>
    </w:p>
    <w:p w14:paraId="6EDCF376" w14:textId="77777777" w:rsidR="00E24568" w:rsidRPr="007114AF" w:rsidRDefault="00E24568" w:rsidP="00FF37A6">
      <w:pPr>
        <w:pStyle w:val="NoSpacing"/>
        <w:rPr>
          <w:rFonts w:ascii="Garamond" w:hAnsi="Garamond"/>
          <w:lang w:val="sq-AL"/>
        </w:rPr>
      </w:pPr>
      <w:r w:rsidRPr="007114AF">
        <w:rPr>
          <w:rFonts w:ascii="Garamond" w:hAnsi="Garamond"/>
          <w:lang w:val="sq-AL"/>
        </w:rPr>
        <w:t>EUSAIR</w:t>
      </w:r>
      <w:r w:rsidRPr="007114AF">
        <w:rPr>
          <w:rFonts w:ascii="Garamond" w:hAnsi="Garamond"/>
          <w:lang w:val="sq-AL"/>
        </w:rPr>
        <w:tab/>
        <w:t xml:space="preserve">Strategjia Evropiane për rajonin e e bregdetit Adriatik dhe Jonian </w:t>
      </w:r>
    </w:p>
    <w:p w14:paraId="6EDCF377" w14:textId="77777777" w:rsidR="00E24568" w:rsidRPr="007114AF" w:rsidRDefault="00E24568" w:rsidP="00FF37A6">
      <w:pPr>
        <w:pStyle w:val="NoSpacing"/>
        <w:rPr>
          <w:rFonts w:ascii="Garamond" w:hAnsi="Garamond"/>
          <w:lang w:val="sq-AL"/>
        </w:rPr>
      </w:pPr>
      <w:r w:rsidRPr="007114AF">
        <w:rPr>
          <w:rFonts w:ascii="Garamond" w:hAnsi="Garamond"/>
          <w:lang w:val="sq-AL"/>
        </w:rPr>
        <w:t>KPK</w:t>
      </w:r>
      <w:r w:rsidRPr="007114AF">
        <w:rPr>
          <w:rFonts w:ascii="Garamond" w:hAnsi="Garamond"/>
          <w:lang w:val="sq-AL"/>
        </w:rPr>
        <w:tab/>
      </w:r>
      <w:r w:rsidRPr="007114AF">
        <w:rPr>
          <w:rFonts w:ascii="Garamond" w:hAnsi="Garamond"/>
          <w:lang w:val="sq-AL"/>
        </w:rPr>
        <w:tab/>
        <w:t xml:space="preserve">Komunikimi i Parë Kombëtar </w:t>
      </w:r>
    </w:p>
    <w:p w14:paraId="6EDCF378" w14:textId="77777777" w:rsidR="00E24568" w:rsidRPr="007114AF" w:rsidRDefault="00E24568" w:rsidP="00FF37A6">
      <w:pPr>
        <w:pStyle w:val="NoSpacing"/>
        <w:rPr>
          <w:rFonts w:ascii="Garamond" w:hAnsi="Garamond"/>
          <w:lang w:val="sq-AL"/>
        </w:rPr>
      </w:pPr>
      <w:r w:rsidRPr="007114AF">
        <w:rPr>
          <w:rFonts w:ascii="Garamond" w:hAnsi="Garamond"/>
          <w:lang w:val="sq-AL"/>
        </w:rPr>
        <w:t>DCLD</w:t>
      </w:r>
      <w:r w:rsidRPr="007114AF">
        <w:rPr>
          <w:rFonts w:ascii="Garamond" w:hAnsi="Garamond"/>
          <w:lang w:val="sq-AL"/>
        </w:rPr>
        <w:tab/>
      </w:r>
      <w:r w:rsidRPr="007114AF">
        <w:rPr>
          <w:rFonts w:ascii="Garamond" w:hAnsi="Garamond"/>
          <w:lang w:val="sq-AL"/>
        </w:rPr>
        <w:tab/>
        <w:t>Direktiva për Cilësinë e Lëndës Djegëse</w:t>
      </w:r>
    </w:p>
    <w:p w14:paraId="6EDCF379" w14:textId="77777777" w:rsidR="00E24568" w:rsidRPr="007114AF" w:rsidRDefault="00E24568" w:rsidP="00FF37A6">
      <w:pPr>
        <w:pStyle w:val="NoSpacing"/>
        <w:rPr>
          <w:rFonts w:ascii="Garamond" w:hAnsi="Garamond"/>
          <w:lang w:val="sq-AL"/>
        </w:rPr>
      </w:pPr>
      <w:r w:rsidRPr="007114AF">
        <w:rPr>
          <w:rFonts w:ascii="Garamond" w:hAnsi="Garamond"/>
          <w:lang w:val="sq-AL"/>
        </w:rPr>
        <w:t>GCF</w:t>
      </w:r>
      <w:r w:rsidRPr="007114AF">
        <w:rPr>
          <w:rFonts w:ascii="Garamond" w:hAnsi="Garamond"/>
          <w:lang w:val="sq-AL"/>
        </w:rPr>
        <w:tab/>
      </w:r>
      <w:r w:rsidRPr="007114AF">
        <w:rPr>
          <w:rFonts w:ascii="Garamond" w:hAnsi="Garamond"/>
          <w:lang w:val="sq-AL"/>
        </w:rPr>
        <w:tab/>
        <w:t>Fondi i Gjelbër për Klimën</w:t>
      </w:r>
    </w:p>
    <w:p w14:paraId="6EDCF37A" w14:textId="77777777" w:rsidR="00E24568" w:rsidRPr="007114AF" w:rsidRDefault="00E24568" w:rsidP="00FF37A6">
      <w:pPr>
        <w:pStyle w:val="NoSpacing"/>
        <w:rPr>
          <w:rFonts w:ascii="Garamond" w:hAnsi="Garamond"/>
          <w:lang w:val="sq-AL"/>
        </w:rPr>
      </w:pPr>
      <w:r w:rsidRPr="007114AF">
        <w:rPr>
          <w:rFonts w:ascii="Garamond" w:hAnsi="Garamond"/>
          <w:lang w:val="sq-AL"/>
        </w:rPr>
        <w:t xml:space="preserve">GDP </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Prodhimi i Brendshëm Bruto</w:t>
      </w:r>
    </w:p>
    <w:p w14:paraId="6EDCF37B" w14:textId="77777777" w:rsidR="00E24568" w:rsidRPr="007114AF" w:rsidRDefault="00E24568" w:rsidP="00FF37A6">
      <w:pPr>
        <w:pStyle w:val="NoSpacing"/>
        <w:rPr>
          <w:rFonts w:ascii="Garamond" w:hAnsi="Garamond"/>
          <w:lang w:val="sq-AL"/>
        </w:rPr>
      </w:pPr>
      <w:r w:rsidRPr="007114AF">
        <w:rPr>
          <w:rFonts w:ascii="Garamond" w:hAnsi="Garamond"/>
          <w:lang w:val="sq-AL"/>
        </w:rPr>
        <w:t>GES</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Gazet me Efekte Serrë</w:t>
      </w:r>
    </w:p>
    <w:p w14:paraId="6EDCF37C" w14:textId="77777777" w:rsidR="00E24568" w:rsidRPr="007114AF" w:rsidRDefault="00E24568" w:rsidP="00FF37A6">
      <w:pPr>
        <w:pStyle w:val="NoSpacing"/>
        <w:rPr>
          <w:rFonts w:ascii="Garamond" w:hAnsi="Garamond"/>
          <w:lang w:val="sq-AL"/>
        </w:rPr>
      </w:pPr>
      <w:r w:rsidRPr="007114AF">
        <w:rPr>
          <w:rFonts w:ascii="Garamond" w:hAnsi="Garamond"/>
          <w:lang w:val="sq-AL"/>
        </w:rPr>
        <w:t>GIZ</w:t>
      </w:r>
      <w:r w:rsidRPr="007114AF">
        <w:rPr>
          <w:rFonts w:ascii="Garamond" w:hAnsi="Garamond"/>
          <w:lang w:val="sq-AL"/>
        </w:rPr>
        <w:tab/>
      </w:r>
      <w:r w:rsidRPr="007114AF">
        <w:rPr>
          <w:rFonts w:ascii="Garamond" w:hAnsi="Garamond"/>
          <w:lang w:val="sq-AL"/>
        </w:rPr>
        <w:tab/>
        <w:t>Deutsche Gesellschaft für Internationale Zusammenarbeit</w:t>
      </w:r>
    </w:p>
    <w:p w14:paraId="6EDCF37D" w14:textId="77777777" w:rsidR="00E24568" w:rsidRPr="007114AF" w:rsidRDefault="00E24568" w:rsidP="00FF37A6">
      <w:pPr>
        <w:pStyle w:val="NoSpacing"/>
        <w:rPr>
          <w:rFonts w:ascii="Garamond" w:hAnsi="Garamond"/>
          <w:lang w:val="sq-AL"/>
        </w:rPr>
      </w:pPr>
      <w:r w:rsidRPr="007114AF">
        <w:rPr>
          <w:rFonts w:ascii="Garamond" w:hAnsi="Garamond"/>
          <w:lang w:val="sq-AL"/>
        </w:rPr>
        <w:t>PPK</w:t>
      </w:r>
      <w:r w:rsidRPr="007114AF">
        <w:rPr>
          <w:rFonts w:ascii="Garamond" w:hAnsi="Garamond"/>
          <w:lang w:val="sq-AL"/>
        </w:rPr>
        <w:tab/>
      </w:r>
      <w:r w:rsidRPr="007114AF">
        <w:rPr>
          <w:rFonts w:ascii="Garamond" w:hAnsi="Garamond"/>
          <w:lang w:val="sq-AL"/>
        </w:rPr>
        <w:tab/>
        <w:t>Plani i Përgjithshëm Kombëtar</w:t>
      </w:r>
    </w:p>
    <w:p w14:paraId="6EDCF37E" w14:textId="77777777" w:rsidR="00E24568" w:rsidRPr="007114AF" w:rsidRDefault="00E24568" w:rsidP="00FF37A6">
      <w:pPr>
        <w:pStyle w:val="NoSpacing"/>
        <w:rPr>
          <w:rFonts w:ascii="Garamond" w:hAnsi="Garamond"/>
          <w:lang w:val="sq-AL"/>
        </w:rPr>
      </w:pPr>
      <w:r w:rsidRPr="007114AF">
        <w:rPr>
          <w:rFonts w:ascii="Garamond" w:hAnsi="Garamond"/>
          <w:lang w:val="sq-AL"/>
        </w:rPr>
        <w:t>QSH</w:t>
      </w:r>
      <w:r w:rsidRPr="007114AF">
        <w:rPr>
          <w:rFonts w:ascii="Garamond" w:hAnsi="Garamond"/>
          <w:lang w:val="sq-AL"/>
        </w:rPr>
        <w:tab/>
      </w:r>
      <w:r w:rsidRPr="007114AF">
        <w:rPr>
          <w:rFonts w:ascii="Garamond" w:hAnsi="Garamond"/>
          <w:lang w:val="sq-AL"/>
        </w:rPr>
        <w:tab/>
        <w:t xml:space="preserve">Qeveria e Shqipërisë </w:t>
      </w:r>
    </w:p>
    <w:p w14:paraId="6EDCF37F" w14:textId="0F98C852" w:rsidR="00E24568" w:rsidRPr="007114AF" w:rsidRDefault="00E24568" w:rsidP="00FF37A6">
      <w:pPr>
        <w:pStyle w:val="NoSpacing"/>
        <w:rPr>
          <w:rFonts w:ascii="Garamond" w:hAnsi="Garamond"/>
          <w:lang w:val="sq-AL"/>
        </w:rPr>
      </w:pPr>
      <w:r w:rsidRPr="007114AF">
        <w:rPr>
          <w:rFonts w:ascii="Garamond" w:hAnsi="Garamond"/>
          <w:lang w:val="sq-AL"/>
        </w:rPr>
        <w:t>RREH</w:t>
      </w:r>
      <w:r w:rsidRPr="007114AF">
        <w:rPr>
          <w:rFonts w:ascii="Garamond" w:hAnsi="Garamond"/>
          <w:lang w:val="sq-AL"/>
        </w:rPr>
        <w:tab/>
      </w:r>
      <w:r w:rsidRPr="007114AF">
        <w:rPr>
          <w:rFonts w:ascii="Garamond" w:hAnsi="Garamond"/>
          <w:lang w:val="sq-AL"/>
        </w:rPr>
        <w:tab/>
        <w:t>Mjeti</w:t>
      </w:r>
      <w:r w:rsidR="003305AE" w:rsidRPr="007114AF">
        <w:rPr>
          <w:rFonts w:ascii="Garamond" w:hAnsi="Garamond"/>
          <w:lang w:val="sq-AL"/>
        </w:rPr>
        <w:t xml:space="preserve"> </w:t>
      </w:r>
      <w:r w:rsidRPr="007114AF">
        <w:rPr>
          <w:rFonts w:ascii="Garamond" w:hAnsi="Garamond"/>
          <w:lang w:val="sq-AL"/>
        </w:rPr>
        <w:t xml:space="preserve">Elektrik Hibrid </w:t>
      </w:r>
    </w:p>
    <w:p w14:paraId="6EDCF380" w14:textId="77777777" w:rsidR="00E24568" w:rsidRPr="007114AF" w:rsidRDefault="00E24568" w:rsidP="00FF37A6">
      <w:pPr>
        <w:pStyle w:val="NoSpacing"/>
        <w:rPr>
          <w:rFonts w:ascii="Garamond" w:hAnsi="Garamond"/>
          <w:lang w:val="sq-AL"/>
        </w:rPr>
      </w:pPr>
      <w:r w:rsidRPr="007114AF">
        <w:rPr>
          <w:rFonts w:ascii="Garamond" w:hAnsi="Garamond"/>
          <w:lang w:val="sq-AL"/>
        </w:rPr>
        <w:t xml:space="preserve">IEA </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Agjencia Ndërkombëtare e Energjisë</w:t>
      </w:r>
    </w:p>
    <w:p w14:paraId="6EDCF381" w14:textId="77777777" w:rsidR="00E24568" w:rsidRPr="007114AF" w:rsidRDefault="00E24568" w:rsidP="00FF37A6">
      <w:pPr>
        <w:pStyle w:val="NoSpacing"/>
        <w:rPr>
          <w:rFonts w:ascii="Garamond" w:hAnsi="Garamond"/>
          <w:lang w:val="sq-AL"/>
        </w:rPr>
      </w:pPr>
      <w:r w:rsidRPr="007114AF">
        <w:rPr>
          <w:rFonts w:ascii="Garamond" w:hAnsi="Garamond"/>
          <w:lang w:val="sq-AL"/>
        </w:rPr>
        <w:t>IMO</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Organizata Ndërkombëtare Detare</w:t>
      </w:r>
    </w:p>
    <w:p w14:paraId="6EDCF382" w14:textId="77777777" w:rsidR="00E24568" w:rsidRPr="007114AF" w:rsidRDefault="00E24568" w:rsidP="00FF37A6">
      <w:pPr>
        <w:pStyle w:val="NoSpacing"/>
        <w:rPr>
          <w:rFonts w:ascii="Garamond" w:hAnsi="Garamond"/>
          <w:lang w:val="sq-AL"/>
        </w:rPr>
      </w:pPr>
      <w:r w:rsidRPr="007114AF">
        <w:rPr>
          <w:rFonts w:ascii="Garamond" w:hAnsi="Garamond"/>
          <w:lang w:val="sq-AL"/>
        </w:rPr>
        <w:t>IWG</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Grupi Ndërministror i Punës (për Ndryshimet Klimatike)</w:t>
      </w:r>
    </w:p>
    <w:p w14:paraId="6EDCF383" w14:textId="77777777" w:rsidR="00E24568" w:rsidRPr="007114AF" w:rsidRDefault="00E24568" w:rsidP="00FF37A6">
      <w:pPr>
        <w:pStyle w:val="NoSpacing"/>
        <w:rPr>
          <w:rFonts w:ascii="Garamond" w:hAnsi="Garamond"/>
          <w:lang w:val="sq-AL"/>
        </w:rPr>
      </w:pPr>
      <w:r w:rsidRPr="007114AF">
        <w:rPr>
          <w:rFonts w:ascii="Garamond" w:hAnsi="Garamond"/>
          <w:lang w:val="sq-AL"/>
        </w:rPr>
        <w:t>INDC</w:t>
      </w:r>
      <w:r w:rsidRPr="007114AF">
        <w:rPr>
          <w:rFonts w:ascii="Garamond" w:hAnsi="Garamond"/>
          <w:lang w:val="sq-AL"/>
        </w:rPr>
        <w:tab/>
      </w:r>
      <w:r w:rsidR="00FF37A6" w:rsidRPr="007114AF">
        <w:rPr>
          <w:rFonts w:ascii="Garamond" w:hAnsi="Garamond"/>
          <w:lang w:val="sq-AL"/>
        </w:rPr>
        <w:tab/>
      </w:r>
      <w:r w:rsidRPr="007114AF">
        <w:rPr>
          <w:rFonts w:ascii="Garamond" w:hAnsi="Garamond"/>
          <w:lang w:val="sq-AL"/>
        </w:rPr>
        <w:t>Kontributi i Kombëtar i Pikësynuar</w:t>
      </w:r>
    </w:p>
    <w:p w14:paraId="6EDCF384" w14:textId="77777777" w:rsidR="00E24568" w:rsidRPr="007114AF" w:rsidRDefault="00E24568" w:rsidP="00FF37A6">
      <w:pPr>
        <w:pStyle w:val="NoSpacing"/>
        <w:rPr>
          <w:rFonts w:ascii="Garamond" w:hAnsi="Garamond"/>
          <w:lang w:val="sq-AL"/>
        </w:rPr>
      </w:pPr>
      <w:r w:rsidRPr="007114AF">
        <w:rPr>
          <w:rFonts w:ascii="Garamond" w:hAnsi="Garamond"/>
          <w:lang w:val="sq-AL"/>
        </w:rPr>
        <w:t>INSTAT</w:t>
      </w:r>
      <w:r w:rsidRPr="007114AF">
        <w:rPr>
          <w:rFonts w:ascii="Garamond" w:hAnsi="Garamond"/>
          <w:lang w:val="sq-AL"/>
        </w:rPr>
        <w:tab/>
        <w:t>Instituti Shqiptar i Statistikave</w:t>
      </w:r>
    </w:p>
    <w:p w14:paraId="6EDCF385" w14:textId="052C48DD" w:rsidR="00E24568" w:rsidRPr="007114AF" w:rsidRDefault="00E24568" w:rsidP="00FF37A6">
      <w:pPr>
        <w:pStyle w:val="NoSpacing"/>
        <w:rPr>
          <w:rFonts w:ascii="Garamond" w:hAnsi="Garamond"/>
          <w:lang w:val="sq-AL"/>
        </w:rPr>
      </w:pPr>
      <w:r w:rsidRPr="007114AF">
        <w:rPr>
          <w:rFonts w:ascii="Garamond" w:hAnsi="Garamond"/>
          <w:lang w:val="sq-AL"/>
        </w:rPr>
        <w:t xml:space="preserve">IPA </w:t>
      </w:r>
      <w:r w:rsidRPr="007114AF">
        <w:rPr>
          <w:rFonts w:ascii="Garamond" w:hAnsi="Garamond"/>
          <w:lang w:val="sq-AL"/>
        </w:rPr>
        <w:tab/>
      </w:r>
      <w:r w:rsidRPr="007114AF">
        <w:rPr>
          <w:rFonts w:ascii="Garamond" w:hAnsi="Garamond"/>
          <w:lang w:val="sq-AL"/>
        </w:rPr>
        <w:tab/>
        <w:t xml:space="preserve">Instrumenti për </w:t>
      </w:r>
      <w:r w:rsidR="008F0E2C" w:rsidRPr="007114AF">
        <w:rPr>
          <w:rFonts w:ascii="Garamond" w:hAnsi="Garamond"/>
          <w:lang w:val="sq-AL"/>
        </w:rPr>
        <w:t>Asistencën Paraanëtarësim</w:t>
      </w:r>
      <w:r w:rsidRPr="007114AF">
        <w:rPr>
          <w:rFonts w:ascii="Garamond" w:hAnsi="Garamond"/>
          <w:lang w:val="sq-AL"/>
        </w:rPr>
        <w:t xml:space="preserve"> </w:t>
      </w:r>
    </w:p>
    <w:p w14:paraId="6EDCF386" w14:textId="3F41FD46" w:rsidR="00E24568" w:rsidRPr="007114AF" w:rsidRDefault="00E24568" w:rsidP="00FF37A6">
      <w:pPr>
        <w:pStyle w:val="NoSpacing"/>
        <w:rPr>
          <w:rFonts w:ascii="Garamond" w:hAnsi="Garamond"/>
          <w:lang w:val="sq-AL"/>
        </w:rPr>
      </w:pPr>
      <w:r w:rsidRPr="007114AF">
        <w:rPr>
          <w:rFonts w:ascii="Garamond" w:hAnsi="Garamond"/>
          <w:lang w:val="sq-AL"/>
        </w:rPr>
        <w:t xml:space="preserve">IPARD </w:t>
      </w:r>
      <w:r w:rsidRPr="007114AF">
        <w:rPr>
          <w:rFonts w:ascii="Garamond" w:hAnsi="Garamond"/>
          <w:lang w:val="sq-AL"/>
        </w:rPr>
        <w:tab/>
        <w:t>Programi i Zhvillimit Rural 2014</w:t>
      </w:r>
      <w:r w:rsidR="00046AD6" w:rsidRPr="007114AF">
        <w:rPr>
          <w:rFonts w:ascii="Garamond" w:hAnsi="Garamond"/>
          <w:lang w:val="sq-AL"/>
        </w:rPr>
        <w:t>–</w:t>
      </w:r>
      <w:r w:rsidRPr="007114AF">
        <w:rPr>
          <w:rFonts w:ascii="Garamond" w:hAnsi="Garamond"/>
          <w:lang w:val="sq-AL"/>
        </w:rPr>
        <w:t xml:space="preserve">2020 në kuadrin e Instrumentit për </w:t>
      </w:r>
      <w:r w:rsidR="008F0E2C" w:rsidRPr="007114AF">
        <w:rPr>
          <w:rFonts w:ascii="Garamond" w:hAnsi="Garamond"/>
          <w:lang w:val="sq-AL"/>
        </w:rPr>
        <w:t>Asistencë Paraanëtarësim</w:t>
      </w:r>
      <w:r w:rsidRPr="007114AF">
        <w:rPr>
          <w:rFonts w:ascii="Garamond" w:hAnsi="Garamond"/>
          <w:lang w:val="sq-AL"/>
        </w:rPr>
        <w:t xml:space="preserve">it </w:t>
      </w:r>
    </w:p>
    <w:p w14:paraId="6EDCF387" w14:textId="77777777" w:rsidR="00E24568" w:rsidRPr="007114AF" w:rsidRDefault="00E24568" w:rsidP="00FF37A6">
      <w:pPr>
        <w:pStyle w:val="NoSpacing"/>
        <w:rPr>
          <w:rFonts w:ascii="Garamond" w:hAnsi="Garamond"/>
          <w:lang w:val="sq-AL"/>
        </w:rPr>
      </w:pPr>
      <w:r w:rsidRPr="007114AF">
        <w:rPr>
          <w:rFonts w:ascii="Garamond" w:hAnsi="Garamond"/>
          <w:lang w:val="sq-AL"/>
        </w:rPr>
        <w:t>IPCC</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Panel Ndërkombëtar për Ndryshimet Klimatike</w:t>
      </w:r>
    </w:p>
    <w:p w14:paraId="6EDCF388" w14:textId="77777777" w:rsidR="00E24568" w:rsidRPr="007114AF" w:rsidRDefault="00E24568" w:rsidP="00FF37A6">
      <w:pPr>
        <w:pStyle w:val="NoSpacing"/>
        <w:rPr>
          <w:rFonts w:ascii="Garamond" w:hAnsi="Garamond"/>
          <w:lang w:val="sq-AL"/>
        </w:rPr>
      </w:pPr>
      <w:r w:rsidRPr="007114AF">
        <w:rPr>
          <w:rFonts w:ascii="Garamond" w:hAnsi="Garamond"/>
          <w:lang w:val="sq-AL"/>
        </w:rPr>
        <w:t>IPMG</w:t>
      </w:r>
      <w:r w:rsidRPr="007114AF">
        <w:rPr>
          <w:rFonts w:ascii="Garamond" w:hAnsi="Garamond"/>
          <w:lang w:val="sq-AL"/>
        </w:rPr>
        <w:tab/>
      </w:r>
      <w:r w:rsidRPr="007114AF">
        <w:rPr>
          <w:rFonts w:ascii="Garamond" w:hAnsi="Garamond"/>
          <w:lang w:val="sq-AL"/>
        </w:rPr>
        <w:tab/>
        <w:t xml:space="preserve">Grupet e menaxhimit të integruara të politikave </w:t>
      </w:r>
    </w:p>
    <w:p w14:paraId="6EDCF389" w14:textId="77777777" w:rsidR="00E24568" w:rsidRPr="007114AF" w:rsidRDefault="00E24568" w:rsidP="00FF37A6">
      <w:pPr>
        <w:pStyle w:val="NoSpacing"/>
        <w:rPr>
          <w:rFonts w:ascii="Garamond" w:hAnsi="Garamond"/>
          <w:lang w:val="sq-AL"/>
        </w:rPr>
      </w:pPr>
      <w:r w:rsidRPr="007114AF">
        <w:rPr>
          <w:rFonts w:ascii="Garamond" w:hAnsi="Garamond"/>
          <w:lang w:val="sq-AL"/>
        </w:rPr>
        <w:t>IPS</w:t>
      </w:r>
      <w:r w:rsidRPr="007114AF">
        <w:rPr>
          <w:rFonts w:ascii="Garamond" w:hAnsi="Garamond"/>
          <w:lang w:val="sq-AL"/>
        </w:rPr>
        <w:tab/>
      </w:r>
      <w:r w:rsidRPr="007114AF">
        <w:rPr>
          <w:rFonts w:ascii="Garamond" w:hAnsi="Garamond"/>
          <w:lang w:val="sq-AL"/>
        </w:rPr>
        <w:tab/>
        <w:t xml:space="preserve">Sistemi i Integruar i Planifikimit </w:t>
      </w:r>
    </w:p>
    <w:p w14:paraId="6EDCF38A" w14:textId="77777777" w:rsidR="00E24568" w:rsidRPr="007114AF" w:rsidRDefault="00E24568" w:rsidP="00FF37A6">
      <w:pPr>
        <w:pStyle w:val="NoSpacing"/>
        <w:rPr>
          <w:rFonts w:ascii="Garamond" w:hAnsi="Garamond"/>
          <w:lang w:val="sq-AL"/>
        </w:rPr>
      </w:pPr>
      <w:r w:rsidRPr="007114AF">
        <w:rPr>
          <w:rFonts w:ascii="Garamond" w:hAnsi="Garamond"/>
          <w:lang w:val="sq-AL"/>
        </w:rPr>
        <w:t>SNBZHR</w:t>
      </w:r>
      <w:r w:rsidRPr="007114AF">
        <w:rPr>
          <w:rFonts w:ascii="Garamond" w:hAnsi="Garamond"/>
          <w:lang w:val="sq-AL"/>
        </w:rPr>
        <w:tab/>
        <w:t xml:space="preserve">Strategjia Ndërsektoriale për Bujqësinë dhe Zhvillimin Rural </w:t>
      </w:r>
    </w:p>
    <w:p w14:paraId="6EDCF38B" w14:textId="77777777" w:rsidR="00E24568" w:rsidRPr="007114AF" w:rsidRDefault="00E24568" w:rsidP="00FF37A6">
      <w:pPr>
        <w:pStyle w:val="NoSpacing"/>
        <w:rPr>
          <w:rFonts w:ascii="Garamond" w:hAnsi="Garamond"/>
          <w:lang w:val="sq-AL"/>
        </w:rPr>
      </w:pPr>
      <w:r w:rsidRPr="007114AF">
        <w:rPr>
          <w:rFonts w:ascii="Garamond" w:hAnsi="Garamond"/>
          <w:lang w:val="sq-AL"/>
        </w:rPr>
        <w:t>IUCN</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Bashkimi Ndërkombëtar për Konservimin e Natyrës</w:t>
      </w:r>
    </w:p>
    <w:p w14:paraId="6EDCF38C" w14:textId="77777777" w:rsidR="00E24568" w:rsidRPr="007114AF" w:rsidRDefault="00E24568" w:rsidP="00FF37A6">
      <w:pPr>
        <w:pStyle w:val="NoSpacing"/>
        <w:rPr>
          <w:rFonts w:ascii="Garamond" w:hAnsi="Garamond"/>
          <w:lang w:val="sq-AL"/>
        </w:rPr>
      </w:pPr>
      <w:r w:rsidRPr="007114AF">
        <w:rPr>
          <w:rFonts w:ascii="Garamond" w:hAnsi="Garamond"/>
          <w:lang w:val="sq-AL"/>
        </w:rPr>
        <w:t xml:space="preserve">KP </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Protokolli i Kiotos</w:t>
      </w:r>
    </w:p>
    <w:p w14:paraId="6EDCF38D" w14:textId="5C9D6D7F" w:rsidR="00E24568" w:rsidRPr="007114AF" w:rsidRDefault="00E24568" w:rsidP="00FF37A6">
      <w:pPr>
        <w:pStyle w:val="NoSpacing"/>
        <w:rPr>
          <w:rFonts w:ascii="Garamond" w:hAnsi="Garamond"/>
          <w:lang w:val="sq-AL"/>
        </w:rPr>
      </w:pPr>
      <w:r w:rsidRPr="007114AF">
        <w:rPr>
          <w:rFonts w:ascii="Garamond" w:hAnsi="Garamond"/>
          <w:lang w:val="sq-AL"/>
        </w:rPr>
        <w:t>NjQV</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Njësitë e Vet</w:t>
      </w:r>
      <w:r w:rsidR="00046AD6" w:rsidRPr="007114AF">
        <w:rPr>
          <w:rFonts w:ascii="Garamond" w:hAnsi="Garamond"/>
          <w:lang w:val="sq-AL"/>
        </w:rPr>
        <w:t>ë</w:t>
      </w:r>
      <w:r w:rsidRPr="007114AF">
        <w:rPr>
          <w:rFonts w:ascii="Garamond" w:hAnsi="Garamond"/>
          <w:lang w:val="sq-AL"/>
        </w:rPr>
        <w:t>qeverisjes Vendore</w:t>
      </w:r>
    </w:p>
    <w:p w14:paraId="6EDCF38E" w14:textId="77777777" w:rsidR="00E24568" w:rsidRPr="007114AF" w:rsidRDefault="00E24568" w:rsidP="00FF37A6">
      <w:pPr>
        <w:pStyle w:val="NoSpacing"/>
        <w:rPr>
          <w:rFonts w:ascii="Garamond" w:hAnsi="Garamond"/>
          <w:lang w:val="sq-AL"/>
        </w:rPr>
      </w:pPr>
      <w:r w:rsidRPr="007114AF">
        <w:rPr>
          <w:rFonts w:ascii="Garamond" w:hAnsi="Garamond"/>
          <w:lang w:val="sq-AL"/>
        </w:rPr>
        <w:t>GNL</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Gaz Nafte i Lëngshëm</w:t>
      </w:r>
    </w:p>
    <w:p w14:paraId="6EDCF38F" w14:textId="77777777" w:rsidR="00E24568" w:rsidRPr="007114AF" w:rsidRDefault="00E24568" w:rsidP="00FF37A6">
      <w:pPr>
        <w:pStyle w:val="NoSpacing"/>
        <w:rPr>
          <w:rFonts w:ascii="Garamond" w:hAnsi="Garamond"/>
          <w:lang w:val="sq-AL"/>
        </w:rPr>
      </w:pPr>
      <w:r w:rsidRPr="007114AF">
        <w:rPr>
          <w:rFonts w:ascii="Garamond" w:hAnsi="Garamond"/>
          <w:lang w:val="sq-AL"/>
        </w:rPr>
        <w:t>LUCF</w:t>
      </w:r>
      <w:r w:rsidRPr="007114AF">
        <w:rPr>
          <w:rFonts w:ascii="Garamond" w:hAnsi="Garamond"/>
          <w:lang w:val="sq-AL"/>
        </w:rPr>
        <w:tab/>
      </w:r>
      <w:r w:rsidRPr="007114AF">
        <w:rPr>
          <w:rFonts w:ascii="Garamond" w:hAnsi="Garamond"/>
          <w:lang w:val="sq-AL"/>
        </w:rPr>
        <w:tab/>
        <w:t>Ndryshimi në Përdorimin e Tokës dhe Pylltaria</w:t>
      </w:r>
    </w:p>
    <w:p w14:paraId="6EDCF390" w14:textId="77777777" w:rsidR="00E24568" w:rsidRPr="007114AF" w:rsidRDefault="00E24568" w:rsidP="00FF37A6">
      <w:pPr>
        <w:pStyle w:val="NoSpacing"/>
        <w:rPr>
          <w:rFonts w:ascii="Garamond" w:hAnsi="Garamond"/>
          <w:lang w:val="sq-AL"/>
        </w:rPr>
      </w:pPr>
      <w:r w:rsidRPr="007114AF">
        <w:rPr>
          <w:rFonts w:ascii="Garamond" w:hAnsi="Garamond"/>
          <w:lang w:val="sq-AL"/>
        </w:rPr>
        <w:t>LULUCF</w:t>
      </w:r>
      <w:r w:rsidRPr="007114AF">
        <w:rPr>
          <w:rFonts w:ascii="Garamond" w:hAnsi="Garamond"/>
          <w:lang w:val="sq-AL"/>
        </w:rPr>
        <w:tab/>
      </w:r>
      <w:r w:rsidRPr="007114AF">
        <w:rPr>
          <w:rFonts w:ascii="Garamond" w:hAnsi="Garamond"/>
          <w:lang w:val="sq-AL"/>
        </w:rPr>
        <w:tab/>
        <w:t xml:space="preserve">Përdorimi i Tokës, Ndryshimi i Përdorimit të Tokës dhe Pylltaria </w:t>
      </w:r>
    </w:p>
    <w:p w14:paraId="6EDCF391" w14:textId="77777777" w:rsidR="00E24568" w:rsidRPr="007114AF" w:rsidRDefault="00E24568" w:rsidP="00FF37A6">
      <w:pPr>
        <w:pStyle w:val="NoSpacing"/>
        <w:rPr>
          <w:rFonts w:ascii="Garamond" w:hAnsi="Garamond"/>
          <w:lang w:val="sq-AL"/>
        </w:rPr>
      </w:pPr>
      <w:r w:rsidRPr="007114AF">
        <w:rPr>
          <w:rFonts w:ascii="Garamond" w:hAnsi="Garamond"/>
          <w:lang w:val="sq-AL"/>
        </w:rPr>
        <w:t>MACC</w:t>
      </w:r>
      <w:r w:rsidRPr="007114AF">
        <w:rPr>
          <w:rFonts w:ascii="Garamond" w:hAnsi="Garamond"/>
          <w:lang w:val="sq-AL"/>
        </w:rPr>
        <w:tab/>
      </w:r>
      <w:r w:rsidRPr="007114AF">
        <w:rPr>
          <w:rFonts w:ascii="Garamond" w:hAnsi="Garamond"/>
          <w:lang w:val="sq-AL"/>
        </w:rPr>
        <w:tab/>
        <w:t>Kurba Margjinale e Uljes së Kostos</w:t>
      </w:r>
    </w:p>
    <w:p w14:paraId="6EDCF392" w14:textId="77777777" w:rsidR="00E24568" w:rsidRPr="007114AF" w:rsidRDefault="00E24568" w:rsidP="00FF37A6">
      <w:pPr>
        <w:pStyle w:val="NoSpacing"/>
        <w:rPr>
          <w:rFonts w:ascii="Garamond" w:hAnsi="Garamond"/>
          <w:lang w:val="sq-AL"/>
        </w:rPr>
      </w:pPr>
      <w:r w:rsidRPr="007114AF">
        <w:rPr>
          <w:rFonts w:ascii="Garamond" w:hAnsi="Garamond"/>
          <w:lang w:val="sq-AL"/>
        </w:rPr>
        <w:t>MBZHR</w:t>
      </w:r>
      <w:r w:rsidRPr="007114AF">
        <w:rPr>
          <w:rFonts w:ascii="Garamond" w:hAnsi="Garamond"/>
          <w:lang w:val="sq-AL"/>
        </w:rPr>
        <w:tab/>
        <w:t>Ministria e Bujqësisë, Zhvillimit Rural</w:t>
      </w:r>
    </w:p>
    <w:p w14:paraId="6EDCF393" w14:textId="77777777" w:rsidR="00E24568" w:rsidRPr="007114AF" w:rsidRDefault="00E24568" w:rsidP="00FF37A6">
      <w:pPr>
        <w:pStyle w:val="NoSpacing"/>
        <w:rPr>
          <w:rFonts w:ascii="Garamond" w:hAnsi="Garamond"/>
          <w:lang w:val="sq-AL"/>
        </w:rPr>
      </w:pPr>
      <w:r w:rsidRPr="007114AF">
        <w:rPr>
          <w:rFonts w:ascii="Garamond" w:hAnsi="Garamond"/>
          <w:lang w:val="sq-AL"/>
        </w:rPr>
        <w:t>MIE</w:t>
      </w:r>
      <w:r w:rsidRPr="007114AF">
        <w:rPr>
          <w:rFonts w:ascii="Garamond" w:hAnsi="Garamond"/>
          <w:lang w:val="sq-AL"/>
        </w:rPr>
        <w:tab/>
      </w:r>
      <w:r w:rsidRPr="007114AF">
        <w:rPr>
          <w:rFonts w:ascii="Garamond" w:hAnsi="Garamond"/>
          <w:lang w:val="sq-AL"/>
        </w:rPr>
        <w:tab/>
        <w:t>Ministria e Infrastrukturës dhe Energjisë</w:t>
      </w:r>
    </w:p>
    <w:p w14:paraId="6EDCF394" w14:textId="77777777" w:rsidR="00E24568" w:rsidRPr="007114AF" w:rsidRDefault="00E24568" w:rsidP="00FF37A6">
      <w:pPr>
        <w:pStyle w:val="NoSpacing"/>
        <w:rPr>
          <w:rFonts w:ascii="Garamond" w:hAnsi="Garamond"/>
          <w:lang w:val="sq-AL"/>
        </w:rPr>
      </w:pPr>
      <w:r w:rsidRPr="007114AF">
        <w:rPr>
          <w:rFonts w:ascii="Garamond" w:hAnsi="Garamond"/>
          <w:lang w:val="sq-AL"/>
        </w:rPr>
        <w:t>MTM</w:t>
      </w:r>
      <w:r w:rsidRPr="007114AF">
        <w:rPr>
          <w:rFonts w:ascii="Garamond" w:hAnsi="Garamond"/>
          <w:lang w:val="sq-AL"/>
        </w:rPr>
        <w:tab/>
      </w:r>
      <w:r w:rsidRPr="007114AF">
        <w:rPr>
          <w:rFonts w:ascii="Garamond" w:hAnsi="Garamond"/>
          <w:lang w:val="sq-AL"/>
        </w:rPr>
        <w:tab/>
        <w:t xml:space="preserve">Ministria e Turizmit dhe Mjedisit </w:t>
      </w:r>
    </w:p>
    <w:p w14:paraId="6EDCF395" w14:textId="77777777" w:rsidR="00E24568" w:rsidRPr="007114AF" w:rsidRDefault="00E24568" w:rsidP="00FF37A6">
      <w:pPr>
        <w:pStyle w:val="NoSpacing"/>
        <w:rPr>
          <w:rFonts w:ascii="Garamond" w:hAnsi="Garamond"/>
          <w:lang w:val="sq-AL"/>
        </w:rPr>
      </w:pPr>
      <w:r w:rsidRPr="007114AF">
        <w:rPr>
          <w:rFonts w:ascii="Garamond" w:hAnsi="Garamond"/>
          <w:lang w:val="sq-AL"/>
        </w:rPr>
        <w:t>MFE</w:t>
      </w:r>
      <w:r w:rsidRPr="007114AF">
        <w:rPr>
          <w:rFonts w:ascii="Garamond" w:hAnsi="Garamond"/>
          <w:lang w:val="sq-AL"/>
        </w:rPr>
        <w:tab/>
      </w:r>
      <w:r w:rsidRPr="007114AF">
        <w:rPr>
          <w:rFonts w:ascii="Garamond" w:hAnsi="Garamond"/>
          <w:lang w:val="sq-AL"/>
        </w:rPr>
        <w:tab/>
        <w:t>Ministria e Financave dhe Ekonomisë</w:t>
      </w:r>
    </w:p>
    <w:p w14:paraId="6EDCF396" w14:textId="77777777" w:rsidR="00E24568" w:rsidRPr="007114AF" w:rsidRDefault="00E24568" w:rsidP="00FF37A6">
      <w:pPr>
        <w:pStyle w:val="NoSpacing"/>
        <w:rPr>
          <w:rFonts w:ascii="Garamond" w:hAnsi="Garamond"/>
          <w:lang w:val="sq-AL"/>
        </w:rPr>
      </w:pPr>
      <w:r w:rsidRPr="007114AF">
        <w:rPr>
          <w:rFonts w:ascii="Garamond" w:hAnsi="Garamond"/>
          <w:lang w:val="sq-AL"/>
        </w:rPr>
        <w:t>MRV</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Monitorimi Raportimi Verifikimi</w:t>
      </w:r>
    </w:p>
    <w:p w14:paraId="6EDCF397" w14:textId="77777777" w:rsidR="00E24568" w:rsidRPr="007114AF" w:rsidRDefault="00E24568" w:rsidP="00FF37A6">
      <w:pPr>
        <w:pStyle w:val="NoSpacing"/>
        <w:rPr>
          <w:rFonts w:ascii="Garamond" w:hAnsi="Garamond"/>
          <w:lang w:val="sq-AL"/>
        </w:rPr>
      </w:pPr>
      <w:r w:rsidRPr="007114AF">
        <w:rPr>
          <w:rFonts w:ascii="Garamond" w:hAnsi="Garamond"/>
          <w:lang w:val="sq-AL"/>
        </w:rPr>
        <w:t>PBA</w:t>
      </w:r>
      <w:r w:rsidRPr="007114AF">
        <w:rPr>
          <w:rFonts w:ascii="Garamond" w:hAnsi="Garamond"/>
          <w:lang w:val="sq-AL"/>
        </w:rPr>
        <w:tab/>
      </w:r>
      <w:r w:rsidRPr="007114AF">
        <w:rPr>
          <w:rFonts w:ascii="Garamond" w:hAnsi="Garamond"/>
          <w:lang w:val="sq-AL"/>
        </w:rPr>
        <w:tab/>
        <w:t xml:space="preserve">Programi Afatmesëm Buxhetor </w:t>
      </w:r>
    </w:p>
    <w:p w14:paraId="6EDCF398" w14:textId="77777777" w:rsidR="00E24568" w:rsidRPr="007114AF" w:rsidRDefault="00E24568" w:rsidP="00FF37A6">
      <w:pPr>
        <w:pStyle w:val="NoSpacing"/>
        <w:rPr>
          <w:rFonts w:ascii="Garamond" w:hAnsi="Garamond"/>
          <w:lang w:val="sq-AL"/>
        </w:rPr>
      </w:pPr>
      <w:r w:rsidRPr="007114AF">
        <w:rPr>
          <w:rFonts w:ascii="Garamond" w:hAnsi="Garamond"/>
          <w:lang w:val="sq-AL"/>
        </w:rPr>
        <w:t xml:space="preserve">MTI </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Ministria e Transportit dhe Infrastrukturës</w:t>
      </w:r>
    </w:p>
    <w:p w14:paraId="6EDCF399" w14:textId="12E63272" w:rsidR="00E24568" w:rsidRPr="007114AF" w:rsidRDefault="00E24568" w:rsidP="00FF37A6">
      <w:pPr>
        <w:pStyle w:val="NoSpacing"/>
        <w:rPr>
          <w:rFonts w:ascii="Garamond" w:hAnsi="Garamond"/>
          <w:lang w:val="sq-AL"/>
        </w:rPr>
      </w:pPr>
      <w:r w:rsidRPr="007114AF">
        <w:rPr>
          <w:rFonts w:ascii="Garamond" w:hAnsi="Garamond"/>
          <w:lang w:val="sq-AL"/>
        </w:rPr>
        <w:t>MZHU</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Ministria e Zhvillimit</w:t>
      </w:r>
      <w:r w:rsidR="000A2A01" w:rsidRPr="007114AF">
        <w:rPr>
          <w:rFonts w:ascii="Garamond" w:hAnsi="Garamond"/>
          <w:lang w:val="sq-AL"/>
        </w:rPr>
        <w:t xml:space="preserve"> </w:t>
      </w:r>
      <w:r w:rsidRPr="007114AF">
        <w:rPr>
          <w:rFonts w:ascii="Garamond" w:hAnsi="Garamond"/>
          <w:lang w:val="sq-AL"/>
        </w:rPr>
        <w:t xml:space="preserve">Urban </w:t>
      </w:r>
    </w:p>
    <w:p w14:paraId="6EDCF39A" w14:textId="77777777" w:rsidR="00E24568" w:rsidRPr="007114AF" w:rsidRDefault="00E24568" w:rsidP="00FF37A6">
      <w:pPr>
        <w:pStyle w:val="NoSpacing"/>
        <w:rPr>
          <w:rFonts w:ascii="Garamond" w:hAnsi="Garamond"/>
          <w:lang w:val="sq-AL"/>
        </w:rPr>
      </w:pPr>
      <w:r w:rsidRPr="007114AF">
        <w:rPr>
          <w:rFonts w:ascii="Garamond" w:hAnsi="Garamond"/>
          <w:lang w:val="sq-AL"/>
        </w:rPr>
        <w:t>NAMA</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Masa Zbutëse të Përshtatshme për Vendin</w:t>
      </w:r>
    </w:p>
    <w:p w14:paraId="6EDCF39B" w14:textId="77777777" w:rsidR="00E24568" w:rsidRPr="007114AF" w:rsidRDefault="00E24568" w:rsidP="00FF37A6">
      <w:pPr>
        <w:pStyle w:val="NoSpacing"/>
        <w:rPr>
          <w:rFonts w:ascii="Garamond" w:hAnsi="Garamond"/>
          <w:lang w:val="sq-AL"/>
        </w:rPr>
      </w:pPr>
      <w:r w:rsidRPr="007114AF">
        <w:rPr>
          <w:rFonts w:ascii="Garamond" w:hAnsi="Garamond"/>
          <w:lang w:val="sq-AL"/>
        </w:rPr>
        <w:t>AKPT</w:t>
      </w:r>
      <w:r w:rsidRPr="007114AF">
        <w:rPr>
          <w:rFonts w:ascii="Garamond" w:hAnsi="Garamond"/>
          <w:lang w:val="sq-AL"/>
        </w:rPr>
        <w:tab/>
      </w:r>
      <w:r w:rsidR="00B74FC4" w:rsidRPr="007114AF">
        <w:rPr>
          <w:rFonts w:ascii="Garamond" w:hAnsi="Garamond"/>
          <w:lang w:val="sq-AL"/>
        </w:rPr>
        <w:tab/>
      </w:r>
      <w:r w:rsidRPr="007114AF">
        <w:rPr>
          <w:rFonts w:ascii="Garamond" w:hAnsi="Garamond"/>
          <w:shd w:val="clear" w:color="auto" w:fill="FFFFFF"/>
          <w:lang w:val="sq-AL"/>
        </w:rPr>
        <w:t xml:space="preserve">Agjencia Kombëtare për Planifikimin e Territorit </w:t>
      </w:r>
    </w:p>
    <w:p w14:paraId="6EDCF39C" w14:textId="77777777" w:rsidR="00E24568" w:rsidRPr="007114AF" w:rsidRDefault="00E24568" w:rsidP="00FF37A6">
      <w:pPr>
        <w:pStyle w:val="NoSpacing"/>
        <w:rPr>
          <w:rFonts w:ascii="Garamond" w:hAnsi="Garamond"/>
          <w:lang w:val="sq-AL"/>
        </w:rPr>
      </w:pPr>
      <w:r w:rsidRPr="007114AF">
        <w:rPr>
          <w:rFonts w:ascii="Garamond" w:hAnsi="Garamond"/>
          <w:lang w:val="sq-AL"/>
        </w:rPr>
        <w:t>SKNK</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Strategjia Kombëtare e Ndryshimeve Klimatike</w:t>
      </w:r>
    </w:p>
    <w:p w14:paraId="6EDCF39D" w14:textId="77C54D18" w:rsidR="00E24568" w:rsidRPr="007114AF" w:rsidRDefault="00E24568" w:rsidP="00FF37A6">
      <w:pPr>
        <w:pStyle w:val="NoSpacing"/>
        <w:rPr>
          <w:rFonts w:ascii="Garamond" w:hAnsi="Garamond"/>
          <w:lang w:val="sq-AL"/>
        </w:rPr>
      </w:pPr>
      <w:r w:rsidRPr="007114AF">
        <w:rPr>
          <w:rFonts w:ascii="Garamond" w:hAnsi="Garamond"/>
          <w:lang w:val="sq-AL"/>
        </w:rPr>
        <w:t>Dokumenti i SKNK</w:t>
      </w:r>
      <w:r w:rsidR="000A2A01" w:rsidRPr="007114AF">
        <w:rPr>
          <w:rFonts w:ascii="Garamond" w:hAnsi="Garamond"/>
          <w:lang w:val="sq-AL"/>
        </w:rPr>
        <w:t xml:space="preserve"> </w:t>
      </w:r>
      <w:r w:rsidRPr="007114AF">
        <w:rPr>
          <w:rFonts w:ascii="Garamond" w:hAnsi="Garamond"/>
          <w:lang w:val="sq-AL"/>
        </w:rPr>
        <w:t>Dokumenti i Strategjisë Kombëtare të Ndryshimeve Klimatike</w:t>
      </w:r>
    </w:p>
    <w:p w14:paraId="6EDCF39E" w14:textId="63B5793E" w:rsidR="00E24568" w:rsidRPr="007114AF" w:rsidRDefault="00E24568" w:rsidP="00FF37A6">
      <w:pPr>
        <w:pStyle w:val="NoSpacing"/>
        <w:rPr>
          <w:rFonts w:ascii="Garamond" w:hAnsi="Garamond"/>
          <w:b/>
          <w:lang w:val="sq-AL"/>
        </w:rPr>
      </w:pPr>
      <w:r w:rsidRPr="007114AF">
        <w:rPr>
          <w:rFonts w:ascii="Garamond" w:hAnsi="Garamond"/>
          <w:lang w:val="sq-AL"/>
        </w:rPr>
        <w:t>Dokumenti i SKNK&amp;P Dokumenti i Strategjisë Kombëtare të Ndryshimeve Klimatike</w:t>
      </w:r>
      <w:r w:rsidR="008F0E2C" w:rsidRPr="007114AF">
        <w:rPr>
          <w:rFonts w:ascii="Garamond" w:hAnsi="Garamond"/>
          <w:lang w:val="sq-AL"/>
        </w:rPr>
        <w:t xml:space="preserve"> dhe</w:t>
      </w:r>
      <w:r w:rsidRPr="007114AF">
        <w:rPr>
          <w:rFonts w:ascii="Garamond" w:hAnsi="Garamond"/>
          <w:lang w:val="sq-AL"/>
        </w:rPr>
        <w:t xml:space="preserve"> Planit</w:t>
      </w:r>
    </w:p>
    <w:p w14:paraId="6EDCF39F" w14:textId="77777777" w:rsidR="00E24568" w:rsidRPr="007114AF" w:rsidRDefault="00E24568" w:rsidP="00FF37A6">
      <w:pPr>
        <w:pStyle w:val="NoSpacing"/>
        <w:rPr>
          <w:rFonts w:ascii="Garamond" w:hAnsi="Garamond"/>
          <w:lang w:val="sq-AL"/>
        </w:rPr>
      </w:pPr>
      <w:r w:rsidRPr="007114AF">
        <w:rPr>
          <w:rFonts w:ascii="Garamond" w:hAnsi="Garamond"/>
          <w:lang w:val="sq-AL"/>
        </w:rPr>
        <w:t>KPK</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 xml:space="preserve">Kontributet e Përcaktuara në Nivel Kombëtar </w:t>
      </w:r>
    </w:p>
    <w:p w14:paraId="6EDCF3A0" w14:textId="77777777" w:rsidR="00E24568" w:rsidRPr="007114AF" w:rsidRDefault="00E24568" w:rsidP="00FF37A6">
      <w:pPr>
        <w:pStyle w:val="NoSpacing"/>
        <w:rPr>
          <w:rFonts w:ascii="Garamond" w:hAnsi="Garamond"/>
          <w:lang w:val="sq-AL"/>
        </w:rPr>
      </w:pPr>
      <w:r w:rsidRPr="007114AF">
        <w:rPr>
          <w:rFonts w:ascii="Garamond" w:hAnsi="Garamond"/>
          <w:lang w:val="sq-AL"/>
        </w:rPr>
        <w:t>AKM</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Agjencia Kombëtare e Mjedisit</w:t>
      </w:r>
    </w:p>
    <w:p w14:paraId="6EDCF3A1" w14:textId="77777777" w:rsidR="00E24568" w:rsidRPr="007114AF" w:rsidRDefault="00E24568" w:rsidP="00FF37A6">
      <w:pPr>
        <w:pStyle w:val="NoSpacing"/>
        <w:rPr>
          <w:rFonts w:ascii="Garamond" w:hAnsi="Garamond"/>
          <w:lang w:val="sq-AL"/>
        </w:rPr>
      </w:pPr>
      <w:r w:rsidRPr="007114AF">
        <w:rPr>
          <w:rFonts w:ascii="Garamond" w:hAnsi="Garamond"/>
          <w:lang w:val="sq-AL"/>
        </w:rPr>
        <w:lastRenderedPageBreak/>
        <w:t>PKVEE</w:t>
      </w:r>
      <w:r w:rsidRPr="007114AF">
        <w:rPr>
          <w:rFonts w:ascii="Garamond" w:hAnsi="Garamond"/>
          <w:lang w:val="sq-AL"/>
        </w:rPr>
        <w:tab/>
        <w:t>Plani Kombëtar i Veprimit për Eficiencën e Energjisë</w:t>
      </w:r>
    </w:p>
    <w:p w14:paraId="6EDCF3A2" w14:textId="77777777" w:rsidR="00E24568" w:rsidRPr="007114AF" w:rsidRDefault="00E24568" w:rsidP="00FF37A6">
      <w:pPr>
        <w:pStyle w:val="NoSpacing"/>
        <w:rPr>
          <w:rFonts w:ascii="Garamond" w:hAnsi="Garamond"/>
          <w:lang w:val="sq-AL"/>
        </w:rPr>
      </w:pPr>
      <w:r w:rsidRPr="007114AF">
        <w:rPr>
          <w:rFonts w:ascii="Garamond" w:hAnsi="Garamond"/>
          <w:lang w:val="sq-AL"/>
        </w:rPr>
        <w:t>NG</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Gazi Natyror</w:t>
      </w:r>
    </w:p>
    <w:p w14:paraId="6EDCF3A3" w14:textId="77777777" w:rsidR="00E24568" w:rsidRPr="007114AF" w:rsidRDefault="00E24568" w:rsidP="00FF37A6">
      <w:pPr>
        <w:pStyle w:val="NoSpacing"/>
        <w:rPr>
          <w:rFonts w:ascii="Garamond" w:hAnsi="Garamond"/>
          <w:lang w:val="sq-AL"/>
        </w:rPr>
      </w:pPr>
      <w:r w:rsidRPr="007114AF">
        <w:rPr>
          <w:rFonts w:ascii="Garamond" w:hAnsi="Garamond"/>
          <w:lang w:val="sq-AL"/>
        </w:rPr>
        <w:t>NAP</w:t>
      </w:r>
      <w:r w:rsidRPr="007114AF">
        <w:rPr>
          <w:rFonts w:ascii="Garamond" w:hAnsi="Garamond"/>
          <w:lang w:val="sq-AL"/>
        </w:rPr>
        <w:tab/>
      </w:r>
      <w:r w:rsidRPr="007114AF">
        <w:rPr>
          <w:rFonts w:ascii="Garamond" w:hAnsi="Garamond"/>
          <w:lang w:val="sq-AL"/>
        </w:rPr>
        <w:tab/>
        <w:t>Plani Kombëtar i Përshtatjes</w:t>
      </w:r>
    </w:p>
    <w:p w14:paraId="6EDCF3A4" w14:textId="77777777" w:rsidR="00E24568" w:rsidRPr="007114AF" w:rsidRDefault="00E24568" w:rsidP="00FF37A6">
      <w:pPr>
        <w:pStyle w:val="NoSpacing"/>
        <w:rPr>
          <w:rFonts w:ascii="Garamond" w:hAnsi="Garamond"/>
          <w:lang w:val="sq-AL"/>
        </w:rPr>
      </w:pPr>
      <w:r w:rsidRPr="007114AF">
        <w:rPr>
          <w:rFonts w:ascii="Garamond" w:hAnsi="Garamond"/>
          <w:lang w:val="sq-AL"/>
        </w:rPr>
        <w:t>NIE</w:t>
      </w:r>
      <w:r w:rsidRPr="007114AF">
        <w:rPr>
          <w:rFonts w:ascii="Garamond" w:hAnsi="Garamond"/>
          <w:lang w:val="sq-AL"/>
        </w:rPr>
        <w:tab/>
      </w:r>
      <w:r w:rsidRPr="007114AF">
        <w:rPr>
          <w:rFonts w:ascii="Garamond" w:hAnsi="Garamond"/>
          <w:lang w:val="sq-AL"/>
        </w:rPr>
        <w:tab/>
        <w:t xml:space="preserve">Entet Zbatuese Kombëtare </w:t>
      </w:r>
    </w:p>
    <w:p w14:paraId="6EDCF3A5" w14:textId="77777777" w:rsidR="00E24568" w:rsidRPr="007114AF" w:rsidRDefault="00E24568" w:rsidP="00FF37A6">
      <w:pPr>
        <w:pStyle w:val="NoSpacing"/>
        <w:rPr>
          <w:rFonts w:ascii="Garamond" w:hAnsi="Garamond"/>
          <w:lang w:val="sq-AL"/>
        </w:rPr>
      </w:pPr>
      <w:r w:rsidRPr="007114AF">
        <w:rPr>
          <w:rFonts w:ascii="Garamond" w:hAnsi="Garamond"/>
          <w:lang w:val="sq-AL"/>
        </w:rPr>
        <w:t>PEIP</w:t>
      </w:r>
      <w:r w:rsidRPr="007114AF">
        <w:rPr>
          <w:rFonts w:ascii="Garamond" w:hAnsi="Garamond"/>
          <w:lang w:val="sq-AL"/>
        </w:rPr>
        <w:tab/>
      </w:r>
      <w:r w:rsidRPr="007114AF">
        <w:rPr>
          <w:rFonts w:ascii="Garamond" w:hAnsi="Garamond"/>
          <w:lang w:val="sq-AL"/>
        </w:rPr>
        <w:tab/>
        <w:t xml:space="preserve">Shpenzimet e Programit dhe Planifikimi i Investimeve </w:t>
      </w:r>
    </w:p>
    <w:p w14:paraId="6EDCF3A6" w14:textId="77777777" w:rsidR="00E24568" w:rsidRPr="007114AF" w:rsidRDefault="00E24568" w:rsidP="00FF37A6">
      <w:pPr>
        <w:pStyle w:val="NoSpacing"/>
        <w:rPr>
          <w:rFonts w:ascii="Garamond" w:hAnsi="Garamond"/>
          <w:lang w:val="sq-AL"/>
        </w:rPr>
      </w:pPr>
      <w:r w:rsidRPr="007114AF">
        <w:rPr>
          <w:rFonts w:ascii="Garamond" w:hAnsi="Garamond"/>
          <w:lang w:val="sq-AL"/>
        </w:rPr>
        <w:t>PES</w:t>
      </w:r>
      <w:r w:rsidRPr="007114AF">
        <w:rPr>
          <w:rFonts w:ascii="Garamond" w:hAnsi="Garamond"/>
          <w:lang w:val="sq-AL"/>
        </w:rPr>
        <w:tab/>
      </w:r>
      <w:r w:rsidRPr="007114AF">
        <w:rPr>
          <w:rFonts w:ascii="Garamond" w:hAnsi="Garamond"/>
          <w:lang w:val="sq-AL"/>
        </w:rPr>
        <w:tab/>
        <w:t xml:space="preserve">Pagesa për shpenzimet e ekosistemit </w:t>
      </w:r>
    </w:p>
    <w:p w14:paraId="6EDCF3A7" w14:textId="77777777" w:rsidR="00E24568" w:rsidRPr="007114AF" w:rsidRDefault="00E24568" w:rsidP="00FF37A6">
      <w:pPr>
        <w:pStyle w:val="NoSpacing"/>
        <w:rPr>
          <w:rFonts w:ascii="Garamond" w:hAnsi="Garamond"/>
          <w:lang w:val="sq-AL"/>
        </w:rPr>
      </w:pPr>
      <w:r w:rsidRPr="007114AF">
        <w:rPr>
          <w:rFonts w:ascii="Garamond" w:hAnsi="Garamond"/>
          <w:lang w:val="sq-AL"/>
        </w:rPr>
        <w:t>PPCR</w:t>
      </w:r>
      <w:r w:rsidRPr="007114AF">
        <w:rPr>
          <w:rFonts w:ascii="Garamond" w:hAnsi="Garamond"/>
          <w:lang w:val="sq-AL"/>
        </w:rPr>
        <w:tab/>
      </w:r>
      <w:r w:rsidRPr="007114AF">
        <w:rPr>
          <w:rFonts w:ascii="Garamond" w:hAnsi="Garamond"/>
          <w:lang w:val="sq-AL"/>
        </w:rPr>
        <w:tab/>
        <w:t xml:space="preserve">Programi Pilot për një klimë Reziliente </w:t>
      </w:r>
    </w:p>
    <w:p w14:paraId="6EDCF3A8" w14:textId="77777777" w:rsidR="00E24568" w:rsidRPr="007114AF" w:rsidRDefault="00E24568" w:rsidP="00FF37A6">
      <w:pPr>
        <w:pStyle w:val="NoSpacing"/>
        <w:rPr>
          <w:rFonts w:ascii="Garamond" w:hAnsi="Garamond"/>
          <w:lang w:val="sq-AL"/>
        </w:rPr>
      </w:pPr>
      <w:r w:rsidRPr="007114AF">
        <w:rPr>
          <w:rFonts w:ascii="Garamond" w:hAnsi="Garamond"/>
          <w:lang w:val="sq-AL"/>
        </w:rPr>
        <w:t>PPP</w:t>
      </w:r>
      <w:r w:rsidRPr="007114AF">
        <w:rPr>
          <w:rFonts w:ascii="Garamond" w:hAnsi="Garamond"/>
          <w:lang w:val="sq-AL"/>
        </w:rPr>
        <w:tab/>
      </w:r>
      <w:r w:rsidRPr="007114AF">
        <w:rPr>
          <w:rFonts w:ascii="Garamond" w:hAnsi="Garamond"/>
          <w:lang w:val="sq-AL"/>
        </w:rPr>
        <w:tab/>
        <w:t>Partneriteti Publik-Privat</w:t>
      </w:r>
    </w:p>
    <w:p w14:paraId="6EDCF3A9" w14:textId="77777777" w:rsidR="00E24568" w:rsidRPr="007114AF" w:rsidRDefault="00E24568" w:rsidP="00FF37A6">
      <w:pPr>
        <w:pStyle w:val="NoSpacing"/>
        <w:rPr>
          <w:rFonts w:ascii="Garamond" w:hAnsi="Garamond"/>
          <w:lang w:val="sq-AL"/>
        </w:rPr>
      </w:pPr>
      <w:r w:rsidRPr="007114AF">
        <w:rPr>
          <w:rFonts w:ascii="Garamond" w:hAnsi="Garamond"/>
          <w:lang w:val="sq-AL"/>
        </w:rPr>
        <w:t>PPR</w:t>
      </w:r>
      <w:r w:rsidRPr="007114AF">
        <w:rPr>
          <w:rFonts w:ascii="Garamond" w:hAnsi="Garamond"/>
          <w:lang w:val="sq-AL"/>
        </w:rPr>
        <w:tab/>
      </w:r>
      <w:r w:rsidRPr="007114AF">
        <w:rPr>
          <w:rFonts w:ascii="Garamond" w:hAnsi="Garamond"/>
          <w:lang w:val="sq-AL"/>
        </w:rPr>
        <w:tab/>
        <w:t xml:space="preserve">Rishikimi i politikave të programit </w:t>
      </w:r>
    </w:p>
    <w:p w14:paraId="6EDCF3AA" w14:textId="77777777" w:rsidR="00E24568" w:rsidRPr="007114AF" w:rsidRDefault="00E24568" w:rsidP="00FF37A6">
      <w:pPr>
        <w:pStyle w:val="NoSpacing"/>
        <w:rPr>
          <w:rFonts w:ascii="Garamond" w:hAnsi="Garamond"/>
          <w:lang w:val="sq-AL"/>
        </w:rPr>
      </w:pPr>
      <w:r w:rsidRPr="007114AF">
        <w:rPr>
          <w:rFonts w:ascii="Garamond" w:hAnsi="Garamond"/>
          <w:lang w:val="sq-AL"/>
        </w:rPr>
        <w:t>PKT</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Plani Kombëtar i Territorit</w:t>
      </w:r>
    </w:p>
    <w:p w14:paraId="6EDCF3AB" w14:textId="77777777" w:rsidR="00E24568" w:rsidRPr="007114AF" w:rsidRDefault="00E24568" w:rsidP="00FF37A6">
      <w:pPr>
        <w:pStyle w:val="NoSpacing"/>
        <w:rPr>
          <w:rFonts w:ascii="Garamond" w:hAnsi="Garamond"/>
          <w:lang w:val="sq-AL"/>
        </w:rPr>
      </w:pPr>
      <w:r w:rsidRPr="007114AF">
        <w:rPr>
          <w:rFonts w:ascii="Garamond" w:hAnsi="Garamond"/>
          <w:lang w:val="sq-AL"/>
        </w:rPr>
        <w:t>PKZNK</w:t>
      </w:r>
      <w:r w:rsidRPr="007114AF">
        <w:rPr>
          <w:rFonts w:ascii="Garamond" w:hAnsi="Garamond"/>
          <w:lang w:val="sq-AL"/>
        </w:rPr>
        <w:tab/>
        <w:t>Plani Kombëtar për Zbutjen e Ndryshimeve Klimatike</w:t>
      </w:r>
    </w:p>
    <w:p w14:paraId="6EDCF3AC" w14:textId="0A791FB7" w:rsidR="00E24568" w:rsidRPr="007114AF" w:rsidRDefault="00E24568" w:rsidP="00FF37A6">
      <w:pPr>
        <w:pStyle w:val="NoSpacing"/>
        <w:rPr>
          <w:rFonts w:ascii="Garamond" w:hAnsi="Garamond"/>
          <w:lang w:val="sq-AL"/>
        </w:rPr>
      </w:pPr>
      <w:r w:rsidRPr="007114AF">
        <w:rPr>
          <w:rFonts w:ascii="Garamond" w:hAnsi="Garamond"/>
          <w:lang w:val="sq-AL"/>
        </w:rPr>
        <w:t>SKZNK</w:t>
      </w:r>
      <w:r w:rsidRPr="007114AF">
        <w:rPr>
          <w:rFonts w:ascii="Garamond" w:hAnsi="Garamond"/>
          <w:lang w:val="sq-AL"/>
        </w:rPr>
        <w:tab/>
        <w:t>Strategjia Kombëtare për</w:t>
      </w:r>
      <w:r w:rsidR="000A2A01" w:rsidRPr="007114AF">
        <w:rPr>
          <w:rFonts w:ascii="Garamond" w:hAnsi="Garamond"/>
          <w:lang w:val="sq-AL"/>
        </w:rPr>
        <w:t xml:space="preserve"> </w:t>
      </w:r>
      <w:r w:rsidRPr="007114AF">
        <w:rPr>
          <w:rFonts w:ascii="Garamond" w:hAnsi="Garamond"/>
          <w:lang w:val="sq-AL"/>
        </w:rPr>
        <w:t>Zbutjen e Ndryshimeve Klimatike</w:t>
      </w:r>
    </w:p>
    <w:p w14:paraId="6EDCF3AD" w14:textId="3529EDDB" w:rsidR="00E24568" w:rsidRPr="007114AF" w:rsidRDefault="00E24568" w:rsidP="00FF37A6">
      <w:pPr>
        <w:pStyle w:val="NoSpacing"/>
        <w:rPr>
          <w:rFonts w:ascii="Garamond" w:hAnsi="Garamond"/>
          <w:lang w:val="sq-AL"/>
        </w:rPr>
      </w:pPr>
      <w:r w:rsidRPr="007114AF">
        <w:rPr>
          <w:rFonts w:ascii="Garamond" w:hAnsi="Garamond"/>
          <w:lang w:val="sq-AL"/>
        </w:rPr>
        <w:t>SKZNK&amp;P</w:t>
      </w:r>
      <w:r w:rsidRPr="007114AF">
        <w:rPr>
          <w:rFonts w:ascii="Garamond" w:hAnsi="Garamond"/>
          <w:lang w:val="sq-AL"/>
        </w:rPr>
        <w:tab/>
        <w:t>Strategjia Kombëtare për</w:t>
      </w:r>
      <w:r w:rsidR="000A2A01" w:rsidRPr="007114AF">
        <w:rPr>
          <w:rFonts w:ascii="Garamond" w:hAnsi="Garamond"/>
          <w:lang w:val="sq-AL"/>
        </w:rPr>
        <w:t xml:space="preserve"> </w:t>
      </w:r>
      <w:r w:rsidRPr="007114AF">
        <w:rPr>
          <w:rFonts w:ascii="Garamond" w:hAnsi="Garamond"/>
          <w:lang w:val="sq-AL"/>
        </w:rPr>
        <w:t>Zbutjen e Ndryshimeve Klimatike</w:t>
      </w:r>
      <w:r w:rsidR="008F0E2C" w:rsidRPr="007114AF">
        <w:rPr>
          <w:rFonts w:ascii="Garamond" w:hAnsi="Garamond"/>
          <w:lang w:val="sq-AL"/>
        </w:rPr>
        <w:t xml:space="preserve"> </w:t>
      </w:r>
      <w:r w:rsidRPr="007114AF">
        <w:rPr>
          <w:rFonts w:ascii="Garamond" w:hAnsi="Garamond"/>
          <w:lang w:val="sq-AL"/>
        </w:rPr>
        <w:t xml:space="preserve">dhe Plani </w:t>
      </w:r>
    </w:p>
    <w:p w14:paraId="6EDCF3AE" w14:textId="77777777" w:rsidR="00E24568" w:rsidRPr="007114AF" w:rsidRDefault="00E24568" w:rsidP="00FF37A6">
      <w:pPr>
        <w:pStyle w:val="NoSpacing"/>
        <w:rPr>
          <w:rFonts w:ascii="Garamond" w:hAnsi="Garamond"/>
          <w:lang w:val="sq-AL"/>
        </w:rPr>
      </w:pPr>
      <w:r w:rsidRPr="007114AF">
        <w:rPr>
          <w:rFonts w:ascii="Garamond" w:hAnsi="Garamond"/>
          <w:lang w:val="sq-AL"/>
        </w:rPr>
        <w:t xml:space="preserve">SKZHI-II </w:t>
      </w:r>
      <w:r w:rsidRPr="007114AF">
        <w:rPr>
          <w:rFonts w:ascii="Garamond" w:hAnsi="Garamond"/>
          <w:lang w:val="sq-AL"/>
        </w:rPr>
        <w:tab/>
        <w:t>Strategjia Kombëtare për Zhvillim dhe Integrim</w:t>
      </w:r>
    </w:p>
    <w:p w14:paraId="6EDCF3AF" w14:textId="77777777" w:rsidR="00E24568" w:rsidRPr="007114AF" w:rsidRDefault="00E24568" w:rsidP="00FF37A6">
      <w:pPr>
        <w:pStyle w:val="NoSpacing"/>
        <w:rPr>
          <w:rFonts w:ascii="Garamond" w:hAnsi="Garamond"/>
          <w:lang w:val="sq-AL"/>
        </w:rPr>
      </w:pPr>
      <w:r w:rsidRPr="007114AF">
        <w:rPr>
          <w:rFonts w:ascii="Garamond" w:hAnsi="Garamond"/>
          <w:lang w:val="sq-AL"/>
        </w:rPr>
        <w:t>PRREH</w:t>
      </w:r>
      <w:r w:rsidRPr="007114AF">
        <w:rPr>
          <w:rFonts w:ascii="Garamond" w:hAnsi="Garamond"/>
          <w:lang w:val="sq-AL"/>
        </w:rPr>
        <w:tab/>
        <w:t>Mjetet Elektrike Hibride me Karikim</w:t>
      </w:r>
    </w:p>
    <w:p w14:paraId="6EDCF3B0" w14:textId="77777777" w:rsidR="00E24568" w:rsidRPr="007114AF" w:rsidRDefault="00E24568" w:rsidP="00FF37A6">
      <w:pPr>
        <w:pStyle w:val="NoSpacing"/>
        <w:rPr>
          <w:rFonts w:ascii="Garamond" w:hAnsi="Garamond"/>
          <w:lang w:val="sq-AL"/>
        </w:rPr>
      </w:pPr>
      <w:r w:rsidRPr="007114AF">
        <w:rPr>
          <w:rFonts w:ascii="Garamond" w:hAnsi="Garamond"/>
          <w:lang w:val="sq-AL"/>
        </w:rPr>
        <w:t>DER</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Direktiva e Energjisë së Rinovueshme</w:t>
      </w:r>
    </w:p>
    <w:p w14:paraId="6EDCF3B1" w14:textId="77777777" w:rsidR="00E24568" w:rsidRPr="007114AF" w:rsidRDefault="00E24568" w:rsidP="00FF37A6">
      <w:pPr>
        <w:pStyle w:val="NoSpacing"/>
        <w:rPr>
          <w:rFonts w:ascii="Garamond" w:hAnsi="Garamond"/>
          <w:lang w:val="sq-AL"/>
        </w:rPr>
      </w:pPr>
      <w:r w:rsidRPr="007114AF">
        <w:rPr>
          <w:rFonts w:ascii="Garamond" w:hAnsi="Garamond"/>
          <w:lang w:val="sq-AL"/>
        </w:rPr>
        <w:t>BER</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Burimet e Energjisë së Rinovueshme</w:t>
      </w:r>
    </w:p>
    <w:p w14:paraId="6EDCF3B2" w14:textId="77777777" w:rsidR="00E24568" w:rsidRPr="007114AF" w:rsidRDefault="00E24568" w:rsidP="00FF37A6">
      <w:pPr>
        <w:pStyle w:val="NoSpacing"/>
        <w:rPr>
          <w:rFonts w:ascii="Garamond" w:hAnsi="Garamond"/>
          <w:bCs/>
          <w:lang w:val="sq-AL"/>
        </w:rPr>
      </w:pPr>
      <w:r w:rsidRPr="007114AF">
        <w:rPr>
          <w:rFonts w:ascii="Garamond" w:hAnsi="Garamond"/>
          <w:lang w:val="sq-AL"/>
        </w:rPr>
        <w:t>SEETO</w:t>
      </w:r>
      <w:r w:rsidRPr="007114AF">
        <w:rPr>
          <w:rFonts w:ascii="Garamond" w:hAnsi="Garamond"/>
          <w:lang w:val="sq-AL"/>
        </w:rPr>
        <w:tab/>
      </w:r>
      <w:r w:rsidRPr="007114AF">
        <w:rPr>
          <w:rFonts w:ascii="Garamond" w:hAnsi="Garamond"/>
          <w:bCs/>
          <w:lang w:val="sq-AL"/>
        </w:rPr>
        <w:t xml:space="preserve">Observatori i </w:t>
      </w:r>
      <w:r w:rsidRPr="007114AF">
        <w:rPr>
          <w:rFonts w:ascii="Garamond" w:hAnsi="Garamond"/>
          <w:lang w:val="sq-AL"/>
        </w:rPr>
        <w:t>Transportit të Evropës Juglindore</w:t>
      </w:r>
    </w:p>
    <w:p w14:paraId="6EDCF3B3" w14:textId="77777777" w:rsidR="00E24568" w:rsidRPr="007114AF" w:rsidRDefault="00E24568" w:rsidP="00FF37A6">
      <w:pPr>
        <w:pStyle w:val="NoSpacing"/>
        <w:rPr>
          <w:rFonts w:ascii="Garamond" w:hAnsi="Garamond"/>
          <w:lang w:val="sq-AL"/>
        </w:rPr>
      </w:pPr>
      <w:r w:rsidRPr="007114AF">
        <w:rPr>
          <w:rFonts w:ascii="Garamond" w:hAnsi="Garamond"/>
          <w:lang w:val="sq-AL"/>
        </w:rPr>
        <w:t>KDK</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Komunikimi i Dytë Kombëtar</w:t>
      </w:r>
    </w:p>
    <w:p w14:paraId="6EDCF3B4" w14:textId="77777777" w:rsidR="00E24568" w:rsidRPr="007114AF" w:rsidRDefault="00E24568" w:rsidP="00FF37A6">
      <w:pPr>
        <w:pStyle w:val="NoSpacing"/>
        <w:rPr>
          <w:rFonts w:ascii="Garamond" w:hAnsi="Garamond"/>
          <w:lang w:val="sq-AL"/>
        </w:rPr>
      </w:pPr>
      <w:r w:rsidRPr="007114AF">
        <w:rPr>
          <w:rFonts w:ascii="Garamond" w:hAnsi="Garamond"/>
          <w:lang w:val="sq-AL"/>
        </w:rPr>
        <w:t>TECTQ</w:t>
      </w:r>
      <w:r w:rsidRPr="007114AF">
        <w:rPr>
          <w:rFonts w:ascii="Garamond" w:hAnsi="Garamond"/>
          <w:lang w:val="sq-AL"/>
        </w:rPr>
        <w:tab/>
        <w:t>Plani për Transport të Qëndrueshëm</w:t>
      </w:r>
    </w:p>
    <w:p w14:paraId="6EDCF3B5" w14:textId="77777777" w:rsidR="00E24568" w:rsidRPr="007114AF" w:rsidRDefault="00E24568" w:rsidP="00FF37A6">
      <w:pPr>
        <w:pStyle w:val="NoSpacing"/>
        <w:rPr>
          <w:rFonts w:ascii="Garamond" w:hAnsi="Garamond"/>
          <w:lang w:val="sq-AL"/>
        </w:rPr>
      </w:pPr>
      <w:r w:rsidRPr="007114AF">
        <w:rPr>
          <w:rFonts w:ascii="Garamond" w:hAnsi="Garamond"/>
          <w:lang w:val="sq-AL"/>
        </w:rPr>
        <w:t>TEN-T</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Rrjeti Trans-Evropiani Transportit </w:t>
      </w:r>
    </w:p>
    <w:p w14:paraId="6EDCF3B6" w14:textId="77777777" w:rsidR="00E24568" w:rsidRPr="007114AF" w:rsidRDefault="00E24568" w:rsidP="00FF37A6">
      <w:pPr>
        <w:pStyle w:val="NoSpacing"/>
        <w:rPr>
          <w:rFonts w:ascii="Garamond" w:hAnsi="Garamond"/>
          <w:lang w:val="sq-AL"/>
        </w:rPr>
      </w:pPr>
      <w:r w:rsidRPr="007114AF">
        <w:rPr>
          <w:rFonts w:ascii="Garamond" w:hAnsi="Garamond"/>
          <w:lang w:val="sq-AL"/>
        </w:rPr>
        <w:t>KTK</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Komunikimi i Tretë Kombëtar</w:t>
      </w:r>
    </w:p>
    <w:p w14:paraId="6EDCF3B7" w14:textId="77777777" w:rsidR="00E24568" w:rsidRPr="007114AF" w:rsidRDefault="00E24568" w:rsidP="00FF37A6">
      <w:pPr>
        <w:pStyle w:val="NoSpacing"/>
        <w:rPr>
          <w:rFonts w:ascii="Garamond" w:hAnsi="Garamond"/>
          <w:lang w:val="sq-AL"/>
        </w:rPr>
      </w:pPr>
      <w:r w:rsidRPr="007114AF">
        <w:rPr>
          <w:rFonts w:ascii="Garamond" w:hAnsi="Garamond"/>
          <w:lang w:val="sq-AL"/>
        </w:rPr>
        <w:t>FTPE</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Furnizimi Total Primar me Energji</w:t>
      </w:r>
    </w:p>
    <w:p w14:paraId="6EDCF3B8" w14:textId="77777777" w:rsidR="00E24568" w:rsidRPr="007114AF" w:rsidRDefault="00E24568" w:rsidP="00FF37A6">
      <w:pPr>
        <w:pStyle w:val="NoSpacing"/>
        <w:rPr>
          <w:rFonts w:ascii="Garamond" w:hAnsi="Garamond"/>
          <w:lang w:val="sq-AL"/>
        </w:rPr>
      </w:pPr>
      <w:r w:rsidRPr="007114AF">
        <w:rPr>
          <w:rFonts w:ascii="Garamond" w:hAnsi="Garamond"/>
          <w:lang w:val="sq-AL"/>
        </w:rPr>
        <w:t>TEC</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 xml:space="preserve">Termocentral </w:t>
      </w:r>
    </w:p>
    <w:p w14:paraId="6EDCF3B9" w14:textId="77777777" w:rsidR="00E24568" w:rsidRPr="007114AF" w:rsidRDefault="00E24568" w:rsidP="00FF37A6">
      <w:pPr>
        <w:pStyle w:val="NoSpacing"/>
        <w:rPr>
          <w:rFonts w:ascii="Garamond" w:hAnsi="Garamond"/>
          <w:lang w:val="sq-AL"/>
        </w:rPr>
      </w:pPr>
      <w:r w:rsidRPr="007114AF">
        <w:rPr>
          <w:rFonts w:ascii="Garamond" w:hAnsi="Garamond"/>
          <w:lang w:val="sq-AL"/>
        </w:rPr>
        <w:t>SSTPV</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Strategjia e Sektorit të Transportit dhe Plani i Veprimit</w:t>
      </w:r>
    </w:p>
    <w:p w14:paraId="6EDCF3BA" w14:textId="77777777" w:rsidR="00E24568" w:rsidRPr="007114AF" w:rsidRDefault="00E24568" w:rsidP="00FF37A6">
      <w:pPr>
        <w:pStyle w:val="NoSpacing"/>
        <w:rPr>
          <w:rFonts w:ascii="Garamond" w:hAnsi="Garamond"/>
          <w:lang w:val="sq-AL"/>
        </w:rPr>
      </w:pPr>
      <w:r w:rsidRPr="007114AF">
        <w:rPr>
          <w:rFonts w:ascii="Garamond" w:hAnsi="Garamond"/>
          <w:lang w:val="sq-AL"/>
        </w:rPr>
        <w:t xml:space="preserve">UNDP </w:t>
      </w:r>
      <w:r w:rsidRPr="007114AF">
        <w:rPr>
          <w:rFonts w:ascii="Garamond" w:hAnsi="Garamond"/>
          <w:lang w:val="sq-AL"/>
        </w:rPr>
        <w:tab/>
        <w:t>Programi për Zhvillim i Kombeve të Bashkuara</w:t>
      </w:r>
    </w:p>
    <w:p w14:paraId="6EDCF3BB" w14:textId="77777777" w:rsidR="00E24568" w:rsidRPr="007114AF" w:rsidRDefault="00E24568" w:rsidP="00FF37A6">
      <w:pPr>
        <w:pStyle w:val="NoSpacing"/>
        <w:rPr>
          <w:rFonts w:ascii="Garamond" w:hAnsi="Garamond"/>
          <w:lang w:val="sq-AL"/>
        </w:rPr>
      </w:pPr>
      <w:r w:rsidRPr="007114AF">
        <w:rPr>
          <w:rFonts w:ascii="Garamond" w:hAnsi="Garamond"/>
          <w:lang w:val="sq-AL"/>
        </w:rPr>
        <w:t xml:space="preserve">UNFCCC </w:t>
      </w:r>
      <w:r w:rsidRPr="007114AF">
        <w:rPr>
          <w:rFonts w:ascii="Garamond" w:hAnsi="Garamond"/>
          <w:lang w:val="sq-AL"/>
        </w:rPr>
        <w:tab/>
        <w:t xml:space="preserve">Konventa Kuadër e Kombeve të Bashkuara për Ndryshimet Klimatike </w:t>
      </w:r>
    </w:p>
    <w:p w14:paraId="6EDCF3BC" w14:textId="77777777" w:rsidR="00E24568" w:rsidRPr="007114AF" w:rsidRDefault="00E24568" w:rsidP="00FF37A6">
      <w:pPr>
        <w:pStyle w:val="NoSpacing"/>
        <w:rPr>
          <w:rFonts w:ascii="Garamond" w:hAnsi="Garamond"/>
          <w:lang w:val="sq-AL"/>
        </w:rPr>
      </w:pPr>
      <w:r w:rsidRPr="007114AF">
        <w:rPr>
          <w:rFonts w:ascii="Garamond" w:hAnsi="Garamond"/>
          <w:lang w:val="sq-AL"/>
        </w:rPr>
        <w:t>BB</w:t>
      </w:r>
      <w:r w:rsidRPr="007114AF">
        <w:rPr>
          <w:rFonts w:ascii="Garamond" w:hAnsi="Garamond"/>
          <w:lang w:val="sq-AL"/>
        </w:rPr>
        <w:tab/>
      </w:r>
      <w:r w:rsidR="00B74FC4" w:rsidRPr="007114AF">
        <w:rPr>
          <w:rFonts w:ascii="Garamond" w:hAnsi="Garamond"/>
          <w:lang w:val="sq-AL"/>
        </w:rPr>
        <w:tab/>
      </w:r>
      <w:r w:rsidRPr="007114AF">
        <w:rPr>
          <w:rFonts w:ascii="Garamond" w:hAnsi="Garamond"/>
          <w:lang w:val="sq-AL"/>
        </w:rPr>
        <w:t>Banka Botërore</w:t>
      </w:r>
    </w:p>
    <w:p w14:paraId="6EDCF3BD" w14:textId="77777777" w:rsidR="00B74FC4" w:rsidRPr="007114AF" w:rsidRDefault="00B74FC4" w:rsidP="00FF37A6">
      <w:pPr>
        <w:pStyle w:val="NoSpacing"/>
        <w:rPr>
          <w:rFonts w:ascii="Garamond" w:hAnsi="Garamond"/>
          <w:lang w:val="sq-AL"/>
        </w:rPr>
      </w:pPr>
    </w:p>
    <w:p w14:paraId="6EDCF3BE" w14:textId="38E92DC2" w:rsidR="001C6C5A" w:rsidRPr="007114AF" w:rsidRDefault="001C6C5A" w:rsidP="001C6C5A">
      <w:pPr>
        <w:spacing w:after="0" w:line="240" w:lineRule="auto"/>
        <w:ind w:firstLine="284"/>
        <w:rPr>
          <w:rFonts w:ascii="Garamond" w:hAnsi="Garamond"/>
          <w:sz w:val="24"/>
          <w:szCs w:val="24"/>
        </w:rPr>
      </w:pPr>
      <w:bookmarkStart w:id="0" w:name="_Toc484424467"/>
      <w:bookmarkStart w:id="1" w:name="_Toc450151824"/>
      <w:r w:rsidRPr="007114AF">
        <w:rPr>
          <w:rFonts w:ascii="Garamond" w:hAnsi="Garamond"/>
          <w:sz w:val="24"/>
          <w:szCs w:val="24"/>
        </w:rPr>
        <w:t>PËRMBLEDHJE</w:t>
      </w:r>
      <w:bookmarkEnd w:id="0"/>
      <w:r w:rsidR="001C3983" w:rsidRPr="007114AF">
        <w:rPr>
          <w:rFonts w:ascii="Garamond" w:hAnsi="Garamond"/>
          <w:sz w:val="24"/>
          <w:szCs w:val="24"/>
        </w:rPr>
        <w:t xml:space="preserve"> </w:t>
      </w:r>
    </w:p>
    <w:p w14:paraId="6EDCF3BF" w14:textId="77777777"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Ndryshimet klimatike përfaqësojnë një kërcënim urgjent dhe potencialisht të pakthyeshëm për shoqëritë njerëzore, sidomos për zonën e Mesdheut, ndaj zhvillimi drejt një ekonomie me karbon të ulët është kyçi për arritjen e objektivave të masave globale zbutëse, si dhe për një reagim të përshtatur të brezit të ardhshëm me kosto të arsyeshme mjedisore, ekonomike dhe sociale [3].</w:t>
      </w:r>
    </w:p>
    <w:p w14:paraId="6EDCF3C0" w14:textId="77777777"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Me nënshkrimin e Marrëveshjes së Parisit nga Qeveria (Nju-Jork, 22 prill 2016), Shqipëria ka hyrë në epokën e re të procesit të politikave klimatike ndërkombëtare, ku të gjitha palët synojnë në mënyrë kolektive ta mbajnë rritjen e temperaturës globale në 2°C mbi nivelin paraindustrial [2.2].</w:t>
      </w:r>
    </w:p>
    <w:p w14:paraId="6EDCF3C1" w14:textId="43AE4E3B"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Kjo Strategjie Përgjithshme Kombëtare e Ndryshimeve Klimatike dhe Plani (dokumenti i SKNK&amp;P) janë hartuar për të mbështetur zbatimin e legjislacionit të BE-së për mjedisin dhe klimën, duke synuar përforcimin e koordinimit ndërsektorial në Shqipëri për masat mbi klimën, mbrojtjen e mjedisit dhe zhvillimin e qëndrueshëm, me qëllim që t</w:t>
      </w:r>
      <w:r w:rsidR="00D10DAB" w:rsidRPr="007114AF">
        <w:rPr>
          <w:rFonts w:ascii="Garamond" w:hAnsi="Garamond"/>
          <w:sz w:val="24"/>
          <w:szCs w:val="24"/>
        </w:rPr>
        <w:t>’</w:t>
      </w:r>
      <w:r w:rsidRPr="007114AF">
        <w:rPr>
          <w:rFonts w:ascii="Garamond" w:hAnsi="Garamond"/>
          <w:sz w:val="24"/>
          <w:szCs w:val="24"/>
        </w:rPr>
        <w:t xml:space="preserve">i përgjigjen nevojës për afrimin me kërkesat e BE-së, duke qenë se aktualisht, Shqipëria mban statusin zyrtar të vendit kandidat për anëtarësim në BE (që prej qershorit 2014) [2.3; 2.4; 2.5].Dokumenti i </w:t>
      </w:r>
      <w:r w:rsidR="000A2A01" w:rsidRPr="007114AF">
        <w:rPr>
          <w:rFonts w:ascii="Garamond" w:hAnsi="Garamond"/>
          <w:sz w:val="24"/>
          <w:szCs w:val="24"/>
        </w:rPr>
        <w:t xml:space="preserve">SKNK&amp;P-së </w:t>
      </w:r>
      <w:r w:rsidRPr="007114AF">
        <w:rPr>
          <w:rFonts w:ascii="Garamond" w:hAnsi="Garamond"/>
          <w:sz w:val="24"/>
          <w:szCs w:val="24"/>
        </w:rPr>
        <w:t>kryhet në përputhje me vendimin 1/CP16 të UNFCCC-it dhe vendimin 525/2013/EUpër pjesën e zbutjes. Ndërkohë, procesi i përsh</w:t>
      </w:r>
      <w:r w:rsidR="008F0E2C" w:rsidRPr="007114AF">
        <w:rPr>
          <w:rFonts w:ascii="Garamond" w:hAnsi="Garamond"/>
          <w:sz w:val="24"/>
          <w:szCs w:val="24"/>
        </w:rPr>
        <w:t>t</w:t>
      </w:r>
      <w:r w:rsidRPr="007114AF">
        <w:rPr>
          <w:rFonts w:ascii="Garamond" w:hAnsi="Garamond"/>
          <w:sz w:val="24"/>
          <w:szCs w:val="24"/>
        </w:rPr>
        <w:t xml:space="preserve">atjes në Shqipëri orientohet nga </w:t>
      </w:r>
      <w:r w:rsidR="000A2A01" w:rsidRPr="007114AF">
        <w:rPr>
          <w:rFonts w:ascii="Garamond" w:hAnsi="Garamond"/>
          <w:sz w:val="24"/>
          <w:szCs w:val="24"/>
        </w:rPr>
        <w:t>“</w:t>
      </w:r>
      <w:r w:rsidRPr="007114AF">
        <w:rPr>
          <w:rFonts w:ascii="Garamond" w:hAnsi="Garamond"/>
          <w:sz w:val="24"/>
          <w:szCs w:val="24"/>
        </w:rPr>
        <w:t>Udhëzimet teknike për proceset e NAP-it</w:t>
      </w:r>
      <w:r w:rsidR="000A2A01" w:rsidRPr="007114AF">
        <w:rPr>
          <w:rFonts w:ascii="Garamond" w:hAnsi="Garamond"/>
          <w:sz w:val="24"/>
          <w:szCs w:val="24"/>
        </w:rPr>
        <w:t>”</w:t>
      </w:r>
      <w:r w:rsidRPr="007114AF">
        <w:rPr>
          <w:rFonts w:ascii="Garamond" w:hAnsi="Garamond"/>
          <w:sz w:val="24"/>
          <w:szCs w:val="24"/>
        </w:rPr>
        <w:t>, të përgatitura nga Grupi Ekspertëve të Vendeve më pak të zhvilluara të UNFCCC-së (LEG)</w:t>
      </w:r>
      <w:r w:rsidRPr="007114AF">
        <w:rPr>
          <w:rFonts w:ascii="Garamond" w:hAnsi="Garamond"/>
          <w:sz w:val="24"/>
          <w:szCs w:val="24"/>
          <w:vertAlign w:val="superscript"/>
        </w:rPr>
        <w:footnoteReference w:id="2"/>
      </w:r>
      <w:r w:rsidRPr="007114AF">
        <w:rPr>
          <w:rFonts w:ascii="Garamond" w:hAnsi="Garamond"/>
          <w:sz w:val="24"/>
          <w:szCs w:val="24"/>
        </w:rPr>
        <w:t xml:space="preserve"> dhe të publikuara në dhjetor të vitit 2012 (të ashtuquajturat </w:t>
      </w:r>
      <w:r w:rsidR="000A2A01" w:rsidRPr="007114AF">
        <w:rPr>
          <w:rFonts w:ascii="Garamond" w:hAnsi="Garamond"/>
          <w:sz w:val="24"/>
          <w:szCs w:val="24"/>
        </w:rPr>
        <w:t>“</w:t>
      </w:r>
      <w:r w:rsidRPr="007114AF">
        <w:rPr>
          <w:rFonts w:ascii="Garamond" w:hAnsi="Garamond"/>
          <w:sz w:val="24"/>
          <w:szCs w:val="24"/>
        </w:rPr>
        <w:t>Udhëzimet teknike</w:t>
      </w:r>
      <w:r w:rsidR="000A2A01" w:rsidRPr="007114AF">
        <w:rPr>
          <w:rFonts w:ascii="Garamond" w:hAnsi="Garamond"/>
          <w:sz w:val="24"/>
          <w:szCs w:val="24"/>
        </w:rPr>
        <w:t>”</w:t>
      </w:r>
      <w:r w:rsidRPr="007114AF">
        <w:rPr>
          <w:rFonts w:ascii="Garamond" w:hAnsi="Garamond"/>
          <w:sz w:val="24"/>
          <w:szCs w:val="24"/>
        </w:rPr>
        <w:t>). Procesi i NAP-it është performuar në përputhje me Strategjinë e BE-së, për përshtatjen ndaj ndryshimeve klimatike, e miratuara nga Komisioni Evropian në prill 2013.</w:t>
      </w:r>
      <w:r w:rsidRPr="007114AF">
        <w:rPr>
          <w:rFonts w:ascii="Garamond" w:hAnsi="Garamond"/>
          <w:sz w:val="24"/>
          <w:szCs w:val="24"/>
          <w:vertAlign w:val="superscript"/>
        </w:rPr>
        <w:footnoteReference w:id="3"/>
      </w:r>
    </w:p>
    <w:p w14:paraId="6EDCF3C2" w14:textId="2EDA103F"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 xml:space="preserve">Dokumenti i </w:t>
      </w:r>
      <w:r w:rsidR="000A2A01" w:rsidRPr="007114AF">
        <w:rPr>
          <w:rFonts w:ascii="Garamond" w:hAnsi="Garamond"/>
          <w:sz w:val="24"/>
          <w:szCs w:val="24"/>
        </w:rPr>
        <w:t xml:space="preserve">SKNK&amp;P-së </w:t>
      </w:r>
      <w:r w:rsidRPr="007114AF">
        <w:rPr>
          <w:rFonts w:ascii="Garamond" w:hAnsi="Garamond"/>
          <w:sz w:val="24"/>
          <w:szCs w:val="24"/>
        </w:rPr>
        <w:t>(pjesa e zbutjes) fokusohet në katër sektorët e mëposhtëm raportues të inventarit të gazrave serrë në Shqipëri: Energjia (me fokus të veçantë te Transporti), Bujqësia dhe sektorët e Ndryshimit të Përdorimit të Tokës dhe Pylltarisë(LUCF), duke mbuluar kështu 80% të shkarkimeve të Shqipërisë.</w:t>
      </w:r>
      <w:r w:rsidR="000A2A01" w:rsidRPr="007114AF">
        <w:rPr>
          <w:rFonts w:ascii="Garamond" w:hAnsi="Garamond"/>
          <w:sz w:val="24"/>
          <w:szCs w:val="24"/>
        </w:rPr>
        <w:t xml:space="preserve"> </w:t>
      </w:r>
      <w:r w:rsidRPr="007114AF">
        <w:rPr>
          <w:rFonts w:ascii="Garamond" w:hAnsi="Garamond"/>
          <w:sz w:val="24"/>
          <w:szCs w:val="24"/>
        </w:rPr>
        <w:t xml:space="preserve">NCCS &amp; P-ja (aspekti i përshtatjes NAP) siguron një drejtim udhëzues dhe veprime të përpikta për procesin e përshtatjes në Shqipëri, së bashku me kornizën për përshtatjen ndaj Ndryshimeve të Klimës (CCA). </w:t>
      </w:r>
    </w:p>
    <w:p w14:paraId="6EDCF3C3" w14:textId="25C21719"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Meqë Këshilli i Ministrave i Shqipërisë dhe Ministritë përkatëse kanë përgatitur apo po punojnë aktualisht me Strategjitë dhe Planet e Veprimit mbi ndryshimin e klimës për sektorët kryesorë në Shqipëri, dokumenti i SKNK&amp;PV-së</w:t>
      </w:r>
      <w:r w:rsidR="008669FE" w:rsidRPr="007114AF">
        <w:rPr>
          <w:rFonts w:ascii="Garamond" w:hAnsi="Garamond"/>
          <w:sz w:val="24"/>
          <w:szCs w:val="24"/>
        </w:rPr>
        <w:t xml:space="preserve"> </w:t>
      </w:r>
      <w:r w:rsidRPr="007114AF">
        <w:rPr>
          <w:rFonts w:ascii="Garamond" w:hAnsi="Garamond"/>
          <w:sz w:val="24"/>
          <w:szCs w:val="24"/>
        </w:rPr>
        <w:t>përfaqësojnë një strategji të përgjithshme ndërsektoriale dhe një plan që siguron një përmbledhje të pikësynimeve, si dhe të objektivave politik</w:t>
      </w:r>
      <w:r w:rsidR="00A67A6F">
        <w:rPr>
          <w:rFonts w:ascii="Garamond" w:hAnsi="Garamond"/>
          <w:sz w:val="24"/>
          <w:szCs w:val="24"/>
        </w:rPr>
        <w:t>ë</w:t>
      </w:r>
      <w:r w:rsidRPr="007114AF">
        <w:rPr>
          <w:rFonts w:ascii="Garamond" w:hAnsi="Garamond"/>
          <w:sz w:val="24"/>
          <w:szCs w:val="24"/>
        </w:rPr>
        <w:t xml:space="preserve"> të fokusuar te zbutja e ndryshimeve klimatike, parashikuar në planet dhe strategjitë ekzistuese, duke vlerësuar sinergjitë potenciale dhe boshllëqet/mungesat, si dhe duke planifikuar rrugët për zhvillim</w:t>
      </w:r>
      <w:r w:rsidR="008669FE" w:rsidRPr="007114AF">
        <w:rPr>
          <w:rFonts w:ascii="Garamond" w:hAnsi="Garamond"/>
          <w:sz w:val="24"/>
          <w:szCs w:val="24"/>
        </w:rPr>
        <w:t xml:space="preserve"> </w:t>
      </w:r>
      <w:r w:rsidRPr="007114AF">
        <w:rPr>
          <w:rFonts w:ascii="Garamond" w:hAnsi="Garamond"/>
          <w:sz w:val="24"/>
          <w:szCs w:val="24"/>
        </w:rPr>
        <w:t>me uljen e nivelit të karbonit [4].</w:t>
      </w:r>
    </w:p>
    <w:p w14:paraId="6EDCF3C4" w14:textId="27AAF4F6"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Në bazë të dokumenteve kryesore ekzistuese, është dhënë një përmbledhje e gjendjes së ekonomisë shqiptare [2.6] për</w:t>
      </w:r>
      <w:r w:rsidR="008669FE" w:rsidRPr="007114AF">
        <w:rPr>
          <w:rFonts w:ascii="Garamond" w:hAnsi="Garamond"/>
          <w:sz w:val="24"/>
          <w:szCs w:val="24"/>
        </w:rPr>
        <w:t xml:space="preserve"> </w:t>
      </w:r>
      <w:r w:rsidRPr="007114AF">
        <w:rPr>
          <w:rFonts w:ascii="Garamond" w:hAnsi="Garamond"/>
          <w:sz w:val="24"/>
          <w:szCs w:val="24"/>
        </w:rPr>
        <w:t>sektorët kryesorë të marrë në konsideratë, si dhe një analizë e prirjeve historike dhe të planifikuara të shkarkimeve GES [2.7].</w:t>
      </w:r>
    </w:p>
    <w:p w14:paraId="6EDCF3C5" w14:textId="229F1BFC"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Vizioni kombëtar fokusohet fort në tre komponentët kryesorë të ndryshimit të klimës në Shqipëri: masat zbutëse, adaptimi dhe zhvillimi i qëndrueshëm. Janë identifikuar gjashtë përparësi të strategjisë së masave zbutëse (PS): SP.1Sigurimi i një zhvillimi të qëndrueshëm të ekonomisë në përputhje</w:t>
      </w:r>
      <w:r w:rsidR="008669FE" w:rsidRPr="007114AF">
        <w:rPr>
          <w:rFonts w:ascii="Garamond" w:hAnsi="Garamond"/>
          <w:sz w:val="24"/>
          <w:szCs w:val="24"/>
        </w:rPr>
        <w:t xml:space="preserve"> </w:t>
      </w:r>
      <w:r w:rsidRPr="007114AF">
        <w:rPr>
          <w:rFonts w:ascii="Garamond" w:hAnsi="Garamond"/>
          <w:sz w:val="24"/>
          <w:szCs w:val="24"/>
        </w:rPr>
        <w:t>me rrugët e shkarkimit GES të përcaktuara në Strategji, dhe ecja drejt një objektivi për gjithë ekonominë, për të cilin kontribuojnë të gjithë sektorët; SP.2Ngritja e një sistemi monitorues, raportues dhe verifikues të GES-it</w:t>
      </w:r>
      <w:r w:rsidR="008669FE" w:rsidRPr="007114AF">
        <w:rPr>
          <w:rFonts w:ascii="Garamond" w:hAnsi="Garamond"/>
          <w:sz w:val="24"/>
          <w:szCs w:val="24"/>
        </w:rPr>
        <w:t xml:space="preserve"> </w:t>
      </w:r>
      <w:r w:rsidRPr="007114AF">
        <w:rPr>
          <w:rFonts w:ascii="Garamond" w:hAnsi="Garamond"/>
          <w:sz w:val="24"/>
          <w:szCs w:val="24"/>
        </w:rPr>
        <w:t>në përputhje me kërkesat e BE-së; SP.3 Forcimi i kapacitetit të institucioneve përkatëse dhe bashkëpunimit ndërinstitucional për trajtimin e çështjeve të ndryshimit të klimës; SP.4 Përmirësimi i ndryshimeve klimatike në planifikimin strategjik sektorial; SP.5 Forcimi i kapacitetit dhe ndërgjegjësimi mbi çështjet e ndryshimeve</w:t>
      </w:r>
      <w:r w:rsidR="008669FE" w:rsidRPr="007114AF">
        <w:rPr>
          <w:rFonts w:ascii="Garamond" w:hAnsi="Garamond"/>
          <w:sz w:val="24"/>
          <w:szCs w:val="24"/>
        </w:rPr>
        <w:t xml:space="preserve"> </w:t>
      </w:r>
      <w:r w:rsidRPr="007114AF">
        <w:rPr>
          <w:rFonts w:ascii="Garamond" w:hAnsi="Garamond"/>
          <w:sz w:val="24"/>
          <w:szCs w:val="24"/>
        </w:rPr>
        <w:t>klimatike; SP.6 Afrimi me kuadrin ligjor të BE-së për ndryshimin e klimës në gjithë sektorët [3].Janë identifikuar së bashku me qëllimet, dhe treguesit specifikë të gjashtë fushave kryesore interesi për rëndësinë strategjike gjithëpërfshirëse të procesit të adaptimit në Shqipëri: rezultatet e përshtatjes; drejtimi i zbatimit të NAP-it; integrimin e NAP-it në fusha të ndryshme; financimi për Përshtatjen e Ndryshimeve Klimatike, ngritja e kapaciteteve, informimi dhe përfshirja, krijimi institucional dhe zhvillimi i kapaciteteve.</w:t>
      </w:r>
    </w:p>
    <w:p w14:paraId="6EDCF3C6" w14:textId="00A179D3"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Për të garantuar që politikat dhe mekanizmat shqiptarë</w:t>
      </w:r>
      <w:r w:rsidR="000A2A01" w:rsidRPr="007114AF">
        <w:rPr>
          <w:rFonts w:ascii="Garamond" w:hAnsi="Garamond"/>
          <w:sz w:val="24"/>
          <w:szCs w:val="24"/>
        </w:rPr>
        <w:t xml:space="preserve"> </w:t>
      </w:r>
      <w:r w:rsidRPr="007114AF">
        <w:rPr>
          <w:rFonts w:ascii="Garamond" w:hAnsi="Garamond"/>
          <w:sz w:val="24"/>
          <w:szCs w:val="24"/>
        </w:rPr>
        <w:t>përpiqen për një ekonomi me karbon të ulët me kosto efikase, janë identifikuar një numër objektivash politik</w:t>
      </w:r>
      <w:r w:rsidR="00A67A6F">
        <w:rPr>
          <w:rFonts w:ascii="Garamond" w:hAnsi="Garamond"/>
          <w:sz w:val="24"/>
          <w:szCs w:val="24"/>
        </w:rPr>
        <w:t>ë</w:t>
      </w:r>
      <w:r w:rsidRPr="007114AF">
        <w:rPr>
          <w:rFonts w:ascii="Garamond" w:hAnsi="Garamond"/>
          <w:sz w:val="24"/>
          <w:szCs w:val="24"/>
        </w:rPr>
        <w:t xml:space="preserve"> kyç, të domosdoshme për t</w:t>
      </w:r>
      <w:r w:rsidR="00D10DAB" w:rsidRPr="007114AF">
        <w:rPr>
          <w:rFonts w:ascii="Garamond" w:hAnsi="Garamond"/>
          <w:sz w:val="24"/>
          <w:szCs w:val="24"/>
        </w:rPr>
        <w:t>’</w:t>
      </w:r>
      <w:r w:rsidRPr="007114AF">
        <w:rPr>
          <w:rFonts w:ascii="Garamond" w:hAnsi="Garamond"/>
          <w:sz w:val="24"/>
          <w:szCs w:val="24"/>
        </w:rPr>
        <w:t>iu përgjigjur gjashtë përparësive të identifikuara në</w:t>
      </w:r>
      <w:r w:rsidR="000A2A01" w:rsidRPr="007114AF">
        <w:rPr>
          <w:rFonts w:ascii="Garamond" w:hAnsi="Garamond"/>
          <w:sz w:val="24"/>
          <w:szCs w:val="24"/>
        </w:rPr>
        <w:t xml:space="preserve"> </w:t>
      </w:r>
      <w:r w:rsidRPr="007114AF">
        <w:rPr>
          <w:rFonts w:ascii="Garamond" w:hAnsi="Garamond"/>
          <w:sz w:val="24"/>
          <w:szCs w:val="24"/>
        </w:rPr>
        <w:t>dokumentin e SKNK-së [4.6].</w:t>
      </w:r>
    </w:p>
    <w:p w14:paraId="6EDCF3C7" w14:textId="3063E075"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 xml:space="preserve">Në Planin e Zbutjes së Ndryshimeve Klimatike janë identifikuar 222masa, kryesisht të fokusuara gjatë një periudhe afatshkurtër (deri në vitin 2020), si dhe disa të tjera të përcaktuara për periudhën e mesme (2030) dhe afatgjatë (2050). Pjesa kryesore e masave burojnë nga strategjitë dhe planet ekzistuese, disa prej tyre janë propozime të reja nga dokumenti i </w:t>
      </w:r>
      <w:r w:rsidR="000A2A01" w:rsidRPr="007114AF">
        <w:rPr>
          <w:rFonts w:ascii="Garamond" w:hAnsi="Garamond"/>
          <w:sz w:val="24"/>
          <w:szCs w:val="24"/>
        </w:rPr>
        <w:t xml:space="preserve">SKNK&amp;P-së </w:t>
      </w:r>
      <w:r w:rsidRPr="007114AF">
        <w:rPr>
          <w:rFonts w:ascii="Garamond" w:hAnsi="Garamond"/>
          <w:sz w:val="24"/>
          <w:szCs w:val="24"/>
        </w:rPr>
        <w:t>për trajtimin e boshllëqeve apo sinergjive.</w:t>
      </w:r>
    </w:p>
    <w:p w14:paraId="6EDCF3C8" w14:textId="3936D30F"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Shumica e masave janë në sektorin e energjisë (77) dhe në sektorin e transportit (71), ndjekur nga LUCF-ja (53), Bujqësia (17) dhe 4masa ndërsektoriale. Vëmendje e veçantë i kushtohet sistemit të matjes, monitorimit dhe raportimit në Shqipëri. Vlerësimi i fuqishëm, standard dhe transparent, raportimi dhe llogaritja e shkarkimeve GES</w:t>
      </w:r>
      <w:r w:rsidR="005F2324" w:rsidRPr="007114AF">
        <w:rPr>
          <w:rFonts w:ascii="Garamond" w:hAnsi="Garamond"/>
          <w:sz w:val="24"/>
          <w:szCs w:val="24"/>
        </w:rPr>
        <w:t xml:space="preserve"> </w:t>
      </w:r>
      <w:r w:rsidRPr="007114AF">
        <w:rPr>
          <w:rFonts w:ascii="Garamond" w:hAnsi="Garamond"/>
          <w:sz w:val="24"/>
          <w:szCs w:val="24"/>
        </w:rPr>
        <w:t>dhe sekuestrimit janë thelbësore për të ndjekur progresin drejt arritjes së objektivave, vlerësimin e performancës së politikave dhe masave, si dhe vlerësimin në nivel ndërkombëtar të suksesit të përpjekjeve të përbashkëta për të zbutur efektet e ndryshimeve klimatike [5].</w:t>
      </w:r>
      <w:r w:rsidR="001C3983" w:rsidRPr="007114AF">
        <w:rPr>
          <w:rFonts w:ascii="Garamond" w:hAnsi="Garamond"/>
          <w:sz w:val="24"/>
          <w:szCs w:val="24"/>
        </w:rPr>
        <w:t xml:space="preserve"> </w:t>
      </w:r>
    </w:p>
    <w:p w14:paraId="6EDCF3C9" w14:textId="693810CB"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Ndërkohë në planin e përshtatjes janë identifikuar dhe dizenjuar së bashku me grupin ndërministror të punës ndaj ndryshimeve klimatike (IMWG), 15 veprime prioritare nëpërmjet një zhvillimi të gjerë të kapaciteteve dhe qasjes pjesëmarrëse. Këto veprime prioritare (masa përshtatëse) perceptohen në formën e fishave të projektit në mënyrë që aktorët përkatës të mund t</w:t>
      </w:r>
      <w:r w:rsidR="00D10DAB" w:rsidRPr="007114AF">
        <w:rPr>
          <w:rFonts w:ascii="Garamond" w:hAnsi="Garamond"/>
          <w:sz w:val="24"/>
          <w:szCs w:val="24"/>
        </w:rPr>
        <w:t>’</w:t>
      </w:r>
      <w:r w:rsidRPr="007114AF">
        <w:rPr>
          <w:rFonts w:ascii="Garamond" w:hAnsi="Garamond"/>
          <w:sz w:val="24"/>
          <w:szCs w:val="24"/>
        </w:rPr>
        <w:t xml:space="preserve">i zhvillojnë ato më tej për financim. </w:t>
      </w:r>
    </w:p>
    <w:p w14:paraId="6EDCF3CA" w14:textId="60944661"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Për më tepër, është ngritur një sistem koherent monitorimi dhe vlerësimi i dokumentit të</w:t>
      </w:r>
      <w:r w:rsidR="005F2324" w:rsidRPr="007114AF">
        <w:rPr>
          <w:rFonts w:ascii="Garamond" w:hAnsi="Garamond"/>
          <w:sz w:val="24"/>
          <w:szCs w:val="24"/>
        </w:rPr>
        <w:t xml:space="preserve"> </w:t>
      </w:r>
      <w:r w:rsidRPr="007114AF">
        <w:rPr>
          <w:rFonts w:ascii="Garamond" w:hAnsi="Garamond"/>
          <w:sz w:val="24"/>
          <w:szCs w:val="24"/>
        </w:rPr>
        <w:t>SKNK&amp;P-</w:t>
      </w:r>
      <w:r w:rsidR="005F2324" w:rsidRPr="007114AF">
        <w:rPr>
          <w:rFonts w:ascii="Garamond" w:hAnsi="Garamond"/>
          <w:sz w:val="24"/>
          <w:szCs w:val="24"/>
        </w:rPr>
        <w:t>s</w:t>
      </w:r>
      <w:r w:rsidRPr="007114AF">
        <w:rPr>
          <w:rFonts w:ascii="Garamond" w:hAnsi="Garamond"/>
          <w:sz w:val="24"/>
          <w:szCs w:val="24"/>
        </w:rPr>
        <w:t>ë</w:t>
      </w:r>
      <w:r w:rsidR="005F2324" w:rsidRPr="007114AF">
        <w:rPr>
          <w:rFonts w:ascii="Garamond" w:hAnsi="Garamond"/>
          <w:sz w:val="24"/>
          <w:szCs w:val="24"/>
        </w:rPr>
        <w:t xml:space="preserve"> </w:t>
      </w:r>
      <w:r w:rsidRPr="007114AF">
        <w:rPr>
          <w:rFonts w:ascii="Garamond" w:hAnsi="Garamond"/>
          <w:sz w:val="24"/>
          <w:szCs w:val="24"/>
        </w:rPr>
        <w:t>për të siguruar arritjen efikase dhe efektive të objektivave të strategjisë, në bazë të kuadrit institucional dhe monitorues, tashmë të parashikuar nga strategjitë dhe planet ekzistues sektoriale dhe ndërsektoriale, me objektiva dhe tregues sipas metodologjisë specifike dhe institucioneve përgjegjëse [7].</w:t>
      </w:r>
    </w:p>
    <w:p w14:paraId="6EDCF3CB" w14:textId="77777777" w:rsidR="001C6C5A" w:rsidRPr="007114AF" w:rsidRDefault="00A816F3" w:rsidP="001C6C5A">
      <w:pPr>
        <w:spacing w:after="0" w:line="240" w:lineRule="auto"/>
        <w:ind w:firstLine="284"/>
        <w:rPr>
          <w:rFonts w:ascii="Garamond" w:hAnsi="Garamond"/>
          <w:sz w:val="24"/>
          <w:szCs w:val="24"/>
        </w:rPr>
      </w:pPr>
      <w:bookmarkStart w:id="2" w:name="_Toc484424468"/>
      <w:bookmarkEnd w:id="1"/>
      <w:r w:rsidRPr="007114AF">
        <w:rPr>
          <w:rFonts w:ascii="Garamond" w:hAnsi="Garamond"/>
          <w:sz w:val="24"/>
          <w:szCs w:val="24"/>
        </w:rPr>
        <w:t xml:space="preserve">1. </w:t>
      </w:r>
      <w:r w:rsidR="001C6C5A" w:rsidRPr="007114AF">
        <w:rPr>
          <w:rFonts w:ascii="Garamond" w:hAnsi="Garamond"/>
          <w:sz w:val="24"/>
          <w:szCs w:val="24"/>
        </w:rPr>
        <w:t>HYRJE</w:t>
      </w:r>
      <w:bookmarkEnd w:id="2"/>
    </w:p>
    <w:p w14:paraId="6EDCF3CC" w14:textId="77777777"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Me nënshkrimin e Marrëveshjes së Parisit nga Qeveria (Nju-Jork, 22 prill 2016), Shqipëria ka hyrë në epokën e re të procesit të politikave klimatike ndërkombëtare, ku të gjitha palët synojnë në mënyrë kolektive ta mbajnë rritjen e temperaturës globale në 2°C mbi nivelin paraindustrial. Zbutja e efekteve të ndryshimeve klimatike është thelbësore, për të garantuar adaptimin me kosto të arsyeshme ekonomike, mjedisore dhe sociale, çka është kyçi për një vend jashtëzakonisht të cenueshëm si Shqipëria.</w:t>
      </w:r>
    </w:p>
    <w:p w14:paraId="6EDCF3CD" w14:textId="77777777"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Duke qenë se Shqipëria mban aktualisht statusin zyrtar të vendit kandidat për anëtarësim në BE (që prej qershorit 2014), është bërë progres i qëndrueshëm lidhur me kriterin politik, duke zbatuar dhe konsoliduar reformat në fushën e shtetit ligjor dhe në administratën publike. Janë bërë përpjekje të frytshme për afrimin e legjislacionit shqiptar me kërkesat e BE-së në shumë fusha, duke rritur aftësinë për të marrë përsipër detyrimet e anëtarësisë. Megjithatë, Shqipëria ende duhet të bëjë përpjekje shumë të mëdha për të përmirësuar përgatitjet e saj për zbatimin e legjislacionit të BE-së në shumë fusha parësore kyçe si ndryshimet klimatike</w:t>
      </w:r>
      <w:r w:rsidRPr="007114AF">
        <w:rPr>
          <w:rFonts w:ascii="Garamond" w:hAnsi="Garamond"/>
          <w:sz w:val="24"/>
          <w:szCs w:val="24"/>
          <w:vertAlign w:val="superscript"/>
        </w:rPr>
        <w:footnoteReference w:id="4"/>
      </w:r>
      <w:r w:rsidRPr="007114AF">
        <w:rPr>
          <w:rFonts w:ascii="Garamond" w:hAnsi="Garamond"/>
          <w:sz w:val="24"/>
          <w:szCs w:val="24"/>
        </w:rPr>
        <w:t xml:space="preserve">. </w:t>
      </w:r>
    </w:p>
    <w:p w14:paraId="6EDCF3CE" w14:textId="0191C55D"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 xml:space="preserve">Strategjia e Përgjithshme Kombëtare e Ndryshimeve Klimatike dhe Plani (dokumenti i SKNK&amp;P) është hartuar për të mbështetur zbatimin e legjislacionit të BE-së për mjedisin dhe klimën, duke synuar forcimin e koordinimit ndërsektorial në Shqipëri për masa mbi klimën, mbrojtjen e mjedisit dhe zhvillimin e qëndrueshëm. Dokumenti i </w:t>
      </w:r>
      <w:r w:rsidR="000A2A01" w:rsidRPr="007114AF">
        <w:rPr>
          <w:rFonts w:ascii="Garamond" w:hAnsi="Garamond"/>
          <w:sz w:val="24"/>
          <w:szCs w:val="24"/>
        </w:rPr>
        <w:t xml:space="preserve">SKNK&amp;P-së </w:t>
      </w:r>
      <w:r w:rsidRPr="007114AF">
        <w:rPr>
          <w:rFonts w:ascii="Garamond" w:hAnsi="Garamond"/>
          <w:sz w:val="24"/>
          <w:szCs w:val="24"/>
        </w:rPr>
        <w:t>fokusohet në zbutjen dhe adaptimin e ndryshimeve klimatike.</w:t>
      </w:r>
      <w:r w:rsidR="000A2A01" w:rsidRPr="007114AF">
        <w:rPr>
          <w:rFonts w:ascii="Garamond" w:hAnsi="Garamond"/>
          <w:sz w:val="24"/>
          <w:szCs w:val="24"/>
        </w:rPr>
        <w:t xml:space="preserve"> </w:t>
      </w:r>
      <w:r w:rsidRPr="007114AF">
        <w:rPr>
          <w:rFonts w:ascii="Garamond" w:hAnsi="Garamond"/>
          <w:sz w:val="24"/>
          <w:szCs w:val="24"/>
        </w:rPr>
        <w:t>Këshilli i Ministrave dhe ministritë përkatëse kanë përgatitur tashmë apo po punojnë, me strategji dhe plane veprimi për ndryshimet klimatike për sektorët kryesorë në Shqipëri. Megjithatë, nevojitet një strategji dhe plan i përgjithshëm më i integruar për klimën, që të mund të integrojë në mënyrë efektive gjithë planet dhe strategjitë brenda një dokumenti gjithëpërfshirës.</w:t>
      </w:r>
    </w:p>
    <w:p w14:paraId="6EDCF3CF" w14:textId="1680B6BE"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Me qëllim që të trajtohet kjo nevojë, ky dokument i SKNK&amp;P-ëspërmbledh dhe sistematizon strategjitë dhe planet ekzistuese, duke siguruar një vlerësim gjithëpërfshirës të masave të planifikuara në Shqipëri për periudhën afatshkurtër dhe afatgjatë, rrjedhimisht ky dokument përfaqëson një strategji dhe plan të përgjithshëm ndërsektorial, që siguron një përmbledhje të synimeve, objektivav</w:t>
      </w:r>
      <w:r w:rsidR="00A67A6F">
        <w:rPr>
          <w:rFonts w:ascii="Garamond" w:hAnsi="Garamond"/>
          <w:sz w:val="24"/>
          <w:szCs w:val="24"/>
        </w:rPr>
        <w:t>ë</w:t>
      </w:r>
      <w:r w:rsidRPr="007114AF">
        <w:rPr>
          <w:rFonts w:ascii="Garamond" w:hAnsi="Garamond"/>
          <w:sz w:val="24"/>
          <w:szCs w:val="24"/>
        </w:rPr>
        <w:t xml:space="preserve"> politike dhe masave të fokusuara te zbutja dhe adaptimi i ndryshimeve klimatike në sektorët përkatës, duke vlerësuar sinergjitë dhe boshllëqet potenciale, implikimet financiare, si dhe duke planifikuar rrugët për zhvillimin mekarbon të ulët. </w:t>
      </w:r>
    </w:p>
    <w:p w14:paraId="6EDCF3D0" w14:textId="77777777" w:rsidR="001C6C5A" w:rsidRPr="007114AF" w:rsidRDefault="00A816F3" w:rsidP="001C6C5A">
      <w:pPr>
        <w:spacing w:after="0" w:line="240" w:lineRule="auto"/>
        <w:ind w:firstLine="284"/>
        <w:rPr>
          <w:rFonts w:ascii="Garamond" w:hAnsi="Garamond"/>
          <w:sz w:val="24"/>
          <w:szCs w:val="24"/>
        </w:rPr>
      </w:pPr>
      <w:bookmarkStart w:id="3" w:name="_Toc484424469"/>
      <w:r w:rsidRPr="007114AF">
        <w:rPr>
          <w:rFonts w:ascii="Garamond" w:hAnsi="Garamond"/>
          <w:sz w:val="24"/>
          <w:szCs w:val="24"/>
        </w:rPr>
        <w:t xml:space="preserve">1.1 </w:t>
      </w:r>
      <w:r w:rsidR="001C6C5A" w:rsidRPr="007114AF">
        <w:rPr>
          <w:rFonts w:ascii="Garamond" w:hAnsi="Garamond"/>
          <w:sz w:val="24"/>
          <w:szCs w:val="24"/>
        </w:rPr>
        <w:t>Aspektet e zbutjes</w:t>
      </w:r>
      <w:bookmarkEnd w:id="3"/>
    </w:p>
    <w:p w14:paraId="6EDCF3D1" w14:textId="1561E99D"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Dokumenti i SKNK&amp;P-s</w:t>
      </w:r>
      <w:r w:rsidR="005F2324" w:rsidRPr="007114AF">
        <w:rPr>
          <w:rFonts w:ascii="Garamond" w:hAnsi="Garamond"/>
          <w:sz w:val="24"/>
          <w:szCs w:val="24"/>
        </w:rPr>
        <w:t xml:space="preserve">ë </w:t>
      </w:r>
      <w:r w:rsidRPr="007114AF">
        <w:rPr>
          <w:rFonts w:ascii="Garamond" w:hAnsi="Garamond"/>
          <w:sz w:val="24"/>
          <w:szCs w:val="24"/>
        </w:rPr>
        <w:t xml:space="preserve">për pjesën e zbutjes, kryhen në përputhje me vendimin 1/CP16 të UNFCCC-ës dhe vendimin 525/2013/EU, meqë </w:t>
      </w:r>
      <w:r w:rsidR="000A2A01" w:rsidRPr="007114AF">
        <w:rPr>
          <w:rFonts w:ascii="Garamond" w:hAnsi="Garamond"/>
          <w:sz w:val="24"/>
          <w:szCs w:val="24"/>
        </w:rPr>
        <w:t>“</w:t>
      </w:r>
      <w:r w:rsidRPr="007114AF">
        <w:rPr>
          <w:rFonts w:ascii="Garamond" w:hAnsi="Garamond"/>
          <w:sz w:val="24"/>
          <w:szCs w:val="24"/>
        </w:rPr>
        <w:t>strategjitë apo planet pritet të kontribuojnë për ndërtimin e një shoqërie me karbon të ulët dhe të sigurojnë një zhvillim të madh dhe të qëndrueshëm, si dhe lëvizjen me kosto efektive drejt një objektivi afatgjatë për klimën, duke marrë në konsideratë stadet e ndërmjetme</w:t>
      </w:r>
      <w:r w:rsidR="000A2A01" w:rsidRPr="007114AF">
        <w:rPr>
          <w:rFonts w:ascii="Garamond" w:hAnsi="Garamond"/>
          <w:sz w:val="24"/>
          <w:szCs w:val="24"/>
        </w:rPr>
        <w:t>”</w:t>
      </w:r>
      <w:r w:rsidRPr="007114AF">
        <w:rPr>
          <w:rFonts w:ascii="Garamond" w:hAnsi="Garamond"/>
          <w:sz w:val="24"/>
          <w:szCs w:val="24"/>
        </w:rPr>
        <w:t xml:space="preserve">. </w:t>
      </w:r>
    </w:p>
    <w:p w14:paraId="6EDCF3D2" w14:textId="19D5B76C"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Dokumenti i SKNK&amp;P-ës</w:t>
      </w:r>
      <w:r w:rsidR="005F2324" w:rsidRPr="007114AF">
        <w:rPr>
          <w:rFonts w:ascii="Garamond" w:hAnsi="Garamond"/>
          <w:sz w:val="24"/>
          <w:szCs w:val="24"/>
        </w:rPr>
        <w:t xml:space="preserve"> </w:t>
      </w:r>
      <w:r w:rsidRPr="007114AF">
        <w:rPr>
          <w:rFonts w:ascii="Garamond" w:hAnsi="Garamond"/>
          <w:sz w:val="24"/>
          <w:szCs w:val="24"/>
        </w:rPr>
        <w:t>për pjesën e zbutjes,</w:t>
      </w:r>
      <w:r w:rsidR="005F2324" w:rsidRPr="007114AF">
        <w:rPr>
          <w:rFonts w:ascii="Garamond" w:hAnsi="Garamond"/>
          <w:sz w:val="24"/>
          <w:szCs w:val="24"/>
        </w:rPr>
        <w:t xml:space="preserve"> </w:t>
      </w:r>
      <w:r w:rsidRPr="007114AF">
        <w:rPr>
          <w:rFonts w:ascii="Garamond" w:hAnsi="Garamond"/>
          <w:sz w:val="24"/>
          <w:szCs w:val="24"/>
        </w:rPr>
        <w:t>merr në konsideratë objektivat afatgjat</w:t>
      </w:r>
      <w:r w:rsidR="00A67A6F">
        <w:rPr>
          <w:rFonts w:ascii="Garamond" w:hAnsi="Garamond"/>
          <w:sz w:val="24"/>
          <w:szCs w:val="24"/>
        </w:rPr>
        <w:t>ë</w:t>
      </w:r>
      <w:r w:rsidRPr="007114AF">
        <w:rPr>
          <w:rFonts w:ascii="Garamond" w:hAnsi="Garamond"/>
          <w:sz w:val="24"/>
          <w:szCs w:val="24"/>
        </w:rPr>
        <w:t xml:space="preserve"> deri në vitin 2050, që kërkojnë reduktime afatgjata të shkarkimeve dhe shtimin e përthithësve në sektorët përkatës, në përputhje me objektivat e Bashkimit Evropian, për të reduktuar me kosto efektive shkarkimet nga 80%deri në 95% deri në vitin 2050,krahasuar me nivelet e vitit 1990.</w:t>
      </w:r>
    </w:p>
    <w:p w14:paraId="6EDCF3D3" w14:textId="09E6D527"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Marrëveshja e Parisit thekson gjithashtu, nevojën për të formuluar dhe komunikuar strategji zhvillimi afatgjata për reduktimin e gazeve serrë, deri në mesin e shekulli XXI (</w:t>
      </w:r>
      <w:r w:rsidR="005F2324" w:rsidRPr="007114AF">
        <w:rPr>
          <w:rFonts w:ascii="Garamond" w:hAnsi="Garamond"/>
          <w:sz w:val="24"/>
          <w:szCs w:val="24"/>
        </w:rPr>
        <w:t xml:space="preserve">neni </w:t>
      </w:r>
      <w:r w:rsidRPr="007114AF">
        <w:rPr>
          <w:rFonts w:ascii="Garamond" w:hAnsi="Garamond"/>
          <w:sz w:val="24"/>
          <w:szCs w:val="24"/>
        </w:rPr>
        <w:t>4.19), dhe këto strategji duhen paraqitur deri në vitin 2020. Kjo kërkesë, e kombinuar me synimin afatgjatë për shkarkimet zero deri në gjysmën e dytë të këtij shekulli (</w:t>
      </w:r>
      <w:r w:rsidR="005F2324" w:rsidRPr="007114AF">
        <w:rPr>
          <w:rFonts w:ascii="Garamond" w:hAnsi="Garamond"/>
          <w:sz w:val="24"/>
          <w:szCs w:val="24"/>
        </w:rPr>
        <w:t xml:space="preserve">neni </w:t>
      </w:r>
      <w:r w:rsidRPr="007114AF">
        <w:rPr>
          <w:rFonts w:ascii="Garamond" w:hAnsi="Garamond"/>
          <w:sz w:val="24"/>
          <w:szCs w:val="24"/>
        </w:rPr>
        <w:t>4.1), nënkupton që vendet duhet të përpiqen të demonstrojnë, sesi do të kontribuojnë me përpjekjet dhe politikat e tyre të planifikuara apo të zbatuara për këtë objektiv.</w:t>
      </w:r>
    </w:p>
    <w:p w14:paraId="6EDCF3D4" w14:textId="778BF81B"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Kontributi i Kombëtar i Pikësynuar i Shqipërisë (INDC) paraqitur në shtator 2015 (dhe paraqitur si NDC në shtator 2016), siguron një hap të parë drejt një rruge me karbon të ulët, që synon të arrijë 2 tCO2eq për</w:t>
      </w:r>
      <w:r w:rsidR="005F2324" w:rsidRPr="007114AF">
        <w:rPr>
          <w:rFonts w:ascii="Garamond" w:hAnsi="Garamond"/>
          <w:sz w:val="24"/>
          <w:szCs w:val="24"/>
        </w:rPr>
        <w:t xml:space="preserve"> </w:t>
      </w:r>
      <w:r w:rsidRPr="007114AF">
        <w:rPr>
          <w:rFonts w:ascii="Garamond" w:hAnsi="Garamond"/>
          <w:sz w:val="24"/>
          <w:szCs w:val="24"/>
        </w:rPr>
        <w:t xml:space="preserve">kokë të nivelit të shkarkimit GES deri në vitin 2050, krahasuar me objektivin politik të BE-së për vitin 2050. </w:t>
      </w:r>
    </w:p>
    <w:p w14:paraId="6EDCF3D5" w14:textId="37EA268A" w:rsidR="001C6C5A" w:rsidRPr="007114AF" w:rsidRDefault="001C6C5A" w:rsidP="001C6C5A">
      <w:pPr>
        <w:spacing w:after="0" w:line="240" w:lineRule="auto"/>
        <w:ind w:firstLine="284"/>
        <w:rPr>
          <w:rFonts w:ascii="Garamond" w:hAnsi="Garamond"/>
          <w:sz w:val="24"/>
          <w:szCs w:val="24"/>
        </w:rPr>
      </w:pPr>
      <w:r w:rsidRPr="007114AF">
        <w:rPr>
          <w:rFonts w:ascii="Garamond" w:hAnsi="Garamond"/>
          <w:sz w:val="24"/>
          <w:szCs w:val="24"/>
        </w:rPr>
        <w:t>Dokumenti i SKNK&amp;P-ës</w:t>
      </w:r>
      <w:r w:rsidR="005F2324" w:rsidRPr="007114AF">
        <w:rPr>
          <w:rFonts w:ascii="Garamond" w:hAnsi="Garamond"/>
          <w:sz w:val="24"/>
          <w:szCs w:val="24"/>
        </w:rPr>
        <w:t xml:space="preserve"> </w:t>
      </w:r>
      <w:r w:rsidRPr="007114AF">
        <w:rPr>
          <w:rFonts w:ascii="Garamond" w:hAnsi="Garamond"/>
          <w:sz w:val="24"/>
          <w:szCs w:val="24"/>
        </w:rPr>
        <w:t>fokusohet në katër sektorët e mëposhtëm raportues të inventarit të gazeve serrë të Shqipërisë</w:t>
      </w:r>
      <w:r w:rsidRPr="007114AF">
        <w:rPr>
          <w:rFonts w:ascii="Garamond" w:hAnsi="Garamond"/>
          <w:sz w:val="24"/>
          <w:szCs w:val="24"/>
          <w:vertAlign w:val="superscript"/>
        </w:rPr>
        <w:footnoteReference w:id="5"/>
      </w:r>
      <w:r w:rsidRPr="007114AF">
        <w:rPr>
          <w:rFonts w:ascii="Garamond" w:hAnsi="Garamond"/>
          <w:sz w:val="24"/>
          <w:szCs w:val="24"/>
        </w:rPr>
        <w:t xml:space="preserve">: Energjia(me fokus të veçantë te Transporti), sektorët e Bujqësisë dhe Ndryshimit të Përdorimit të Tokës dhe Pylltarisë (LUCF), duke mbuluar kështu 80% të shkarkimeve të Shqipërisë (shih </w:t>
      </w:r>
      <w:r w:rsidR="003D2CB2" w:rsidRPr="007114AF">
        <w:rPr>
          <w:rFonts w:ascii="Garamond" w:hAnsi="Garamond"/>
          <w:sz w:val="24"/>
          <w:szCs w:val="24"/>
        </w:rPr>
        <w:t>t</w:t>
      </w:r>
      <w:r w:rsidRPr="007114AF">
        <w:rPr>
          <w:rFonts w:ascii="Garamond" w:hAnsi="Garamond"/>
          <w:sz w:val="24"/>
          <w:szCs w:val="24"/>
        </w:rPr>
        <w:t>abelën 1).</w:t>
      </w:r>
    </w:p>
    <w:p w14:paraId="6EDCF3D6" w14:textId="77777777" w:rsidR="00A816F3" w:rsidRPr="007114AF" w:rsidRDefault="00A816F3" w:rsidP="00A816F3">
      <w:pPr>
        <w:pStyle w:val="FIGURA"/>
      </w:pPr>
    </w:p>
    <w:p w14:paraId="513F82A5" w14:textId="577B9C37" w:rsidR="005F2324" w:rsidRPr="007114AF" w:rsidRDefault="001C6C5A" w:rsidP="00A816F3">
      <w:pPr>
        <w:pStyle w:val="FIGURA"/>
      </w:pPr>
      <w:r w:rsidRPr="007114AF">
        <w:t>Tabela</w:t>
      </w:r>
      <w:r w:rsidR="00A816F3" w:rsidRPr="007114AF">
        <w:t xml:space="preserve"> </w:t>
      </w:r>
      <w:r w:rsidRPr="007114AF">
        <w:fldChar w:fldCharType="begin"/>
      </w:r>
      <w:r w:rsidRPr="007114AF">
        <w:instrText xml:space="preserve"> SEQ Table \* ARABIC </w:instrText>
      </w:r>
      <w:r w:rsidRPr="007114AF">
        <w:fldChar w:fldCharType="separate"/>
      </w:r>
      <w:r w:rsidRPr="007114AF">
        <w:t>1</w:t>
      </w:r>
      <w:r w:rsidRPr="007114AF">
        <w:fldChar w:fldCharType="end"/>
      </w:r>
      <w:r w:rsidR="005F2324" w:rsidRPr="007114AF">
        <w:t>.</w:t>
      </w:r>
      <w:r w:rsidRPr="007114AF">
        <w:t xml:space="preserve"> Përmbledhje e përqindjes në shkarkimet totale GES</w:t>
      </w:r>
      <w:r w:rsidR="005F2324" w:rsidRPr="007114AF">
        <w:t xml:space="preserve"> </w:t>
      </w:r>
      <w:r w:rsidRPr="007114AF">
        <w:t xml:space="preserve">të sektorit të marrë në konsideratë, sipas Komunikimit të Dytë dhe të Tretë Kombëtar </w:t>
      </w:r>
    </w:p>
    <w:p w14:paraId="6EDCF3D7" w14:textId="074BC0D1" w:rsidR="001C6C5A" w:rsidRPr="007114AF" w:rsidRDefault="001C6C5A" w:rsidP="00A816F3">
      <w:pPr>
        <w:pStyle w:val="FIGURA"/>
      </w:pPr>
      <w:r w:rsidRPr="007114AF">
        <w:t>(</w:t>
      </w:r>
      <w:r w:rsidR="005F2324" w:rsidRPr="007114AF">
        <w:t>t</w:t>
      </w:r>
      <w:r w:rsidRPr="007114AF">
        <w:t>ë dhëna nga KDK</w:t>
      </w:r>
      <w:r w:rsidR="005F2324" w:rsidRPr="007114AF">
        <w:t xml:space="preserve"> </w:t>
      </w:r>
      <w:r w:rsidRPr="007114AF">
        <w:t>dhe KTK,</w:t>
      </w:r>
      <w:r w:rsidR="005F2324" w:rsidRPr="007114AF">
        <w:t xml:space="preserve"> </w:t>
      </w:r>
      <w:r w:rsidRPr="007114AF">
        <w:t>përkatësisht)</w:t>
      </w:r>
      <w:r w:rsidR="001C3983" w:rsidRPr="007114AF">
        <w:t xml:space="preserve"> </w:t>
      </w:r>
    </w:p>
    <w:p w14:paraId="6EDCF3D8" w14:textId="77777777" w:rsidR="00B74FC4" w:rsidRPr="007114AF" w:rsidRDefault="00B74FC4" w:rsidP="00FF37A6">
      <w:pPr>
        <w:pStyle w:val="NoSpacing"/>
        <w:rPr>
          <w:rFonts w:ascii="Garamond" w:hAnsi="Garamond"/>
          <w:lang w:val="sq-AL"/>
        </w:rPr>
      </w:pPr>
    </w:p>
    <w:tbl>
      <w:tblPr>
        <w:tblStyle w:val="GridTable1Light-Accent11"/>
        <w:tblW w:w="0" w:type="auto"/>
        <w:jc w:val="center"/>
        <w:tblLook w:val="04A0" w:firstRow="1" w:lastRow="0" w:firstColumn="1" w:lastColumn="0" w:noHBand="0" w:noVBand="1"/>
      </w:tblPr>
      <w:tblGrid>
        <w:gridCol w:w="3299"/>
        <w:gridCol w:w="2087"/>
        <w:gridCol w:w="2087"/>
      </w:tblGrid>
      <w:tr w:rsidR="001C6C5A" w:rsidRPr="007114AF" w14:paraId="6EDCF3DB" w14:textId="77777777" w:rsidTr="008F17E8">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DCF3D9" w14:textId="77777777" w:rsidR="001C6C5A" w:rsidRPr="007114AF" w:rsidRDefault="001C6C5A" w:rsidP="001C6C5A">
            <w:pPr>
              <w:spacing w:after="0"/>
              <w:rPr>
                <w:rFonts w:ascii="Garamond" w:hAnsi="Garamond"/>
                <w:b w:val="0"/>
                <w:sz w:val="24"/>
                <w:szCs w:val="24"/>
              </w:rPr>
            </w:pPr>
          </w:p>
        </w:tc>
        <w:tc>
          <w:tcPr>
            <w:tcW w:w="0" w:type="auto"/>
            <w:gridSpan w:val="2"/>
            <w:noWrap/>
            <w:vAlign w:val="center"/>
            <w:hideMark/>
          </w:tcPr>
          <w:p w14:paraId="6EDCF3DA" w14:textId="7D1BAB68" w:rsidR="001C6C5A" w:rsidRPr="007114AF" w:rsidRDefault="001C6C5A" w:rsidP="001C6C5A">
            <w:pPr>
              <w:spacing w:after="0"/>
              <w:cnfStyle w:val="100000000000" w:firstRow="1" w:lastRow="0" w:firstColumn="0" w:lastColumn="0" w:oddVBand="0" w:evenVBand="0" w:oddHBand="0" w:evenHBand="0" w:firstRowFirstColumn="0" w:firstRowLastColumn="0" w:lastRowFirstColumn="0" w:lastRowLastColumn="0"/>
              <w:rPr>
                <w:rFonts w:ascii="Garamond" w:hAnsi="Garamond"/>
                <w:b w:val="0"/>
                <w:sz w:val="24"/>
                <w:szCs w:val="24"/>
              </w:rPr>
            </w:pPr>
            <w:r w:rsidRPr="007114AF">
              <w:rPr>
                <w:rFonts w:ascii="Garamond" w:hAnsi="Garamond"/>
                <w:b w:val="0"/>
                <w:sz w:val="24"/>
                <w:szCs w:val="24"/>
              </w:rPr>
              <w:t>Përqindja</w:t>
            </w:r>
            <w:r w:rsidR="000A2A01" w:rsidRPr="007114AF">
              <w:rPr>
                <w:rFonts w:ascii="Garamond" w:hAnsi="Garamond"/>
                <w:b w:val="0"/>
                <w:sz w:val="24"/>
                <w:szCs w:val="24"/>
              </w:rPr>
              <w:t xml:space="preserve"> </w:t>
            </w:r>
            <w:r w:rsidRPr="007114AF">
              <w:rPr>
                <w:rFonts w:ascii="Garamond" w:hAnsi="Garamond"/>
                <w:b w:val="0"/>
                <w:sz w:val="24"/>
                <w:szCs w:val="24"/>
              </w:rPr>
              <w:t>në shkarkimet totale të vitit bazë</w:t>
            </w:r>
          </w:p>
        </w:tc>
      </w:tr>
      <w:tr w:rsidR="001C6C5A" w:rsidRPr="007114AF" w14:paraId="6EDCF3DF" w14:textId="77777777" w:rsidTr="008F17E8">
        <w:trPr>
          <w:trHeight w:val="35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CF3DC" w14:textId="77777777" w:rsidR="001C6C5A" w:rsidRPr="007114AF" w:rsidRDefault="001C6C5A" w:rsidP="001C6C5A">
            <w:pPr>
              <w:spacing w:after="0"/>
              <w:rPr>
                <w:rFonts w:ascii="Garamond" w:hAnsi="Garamond"/>
                <w:b w:val="0"/>
                <w:sz w:val="24"/>
                <w:szCs w:val="24"/>
              </w:rPr>
            </w:pPr>
            <w:r w:rsidRPr="007114AF">
              <w:rPr>
                <w:rFonts w:ascii="Garamond" w:hAnsi="Garamond"/>
                <w:b w:val="0"/>
                <w:sz w:val="24"/>
                <w:szCs w:val="24"/>
              </w:rPr>
              <w:t>Sektorët e mbuluar nga strategjia</w:t>
            </w:r>
          </w:p>
        </w:tc>
        <w:tc>
          <w:tcPr>
            <w:tcW w:w="0" w:type="auto"/>
            <w:noWrap/>
            <w:vAlign w:val="center"/>
            <w:hideMark/>
          </w:tcPr>
          <w:p w14:paraId="6EDCF3DD" w14:textId="77777777" w:rsidR="001C6C5A" w:rsidRPr="007114AF" w:rsidRDefault="001C6C5A" w:rsidP="001C6C5A">
            <w:pPr>
              <w:spacing w:after="0"/>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7114AF">
              <w:rPr>
                <w:rFonts w:ascii="Garamond" w:hAnsi="Garamond"/>
                <w:sz w:val="24"/>
                <w:szCs w:val="24"/>
              </w:rPr>
              <w:t>2000</w:t>
            </w:r>
          </w:p>
        </w:tc>
        <w:tc>
          <w:tcPr>
            <w:tcW w:w="0" w:type="auto"/>
            <w:noWrap/>
            <w:vAlign w:val="center"/>
            <w:hideMark/>
          </w:tcPr>
          <w:p w14:paraId="6EDCF3DE" w14:textId="77777777" w:rsidR="001C6C5A" w:rsidRPr="007114AF" w:rsidRDefault="001C6C5A" w:rsidP="001C6C5A">
            <w:pPr>
              <w:spacing w:after="0"/>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7114AF">
              <w:rPr>
                <w:rFonts w:ascii="Garamond" w:hAnsi="Garamond"/>
                <w:sz w:val="24"/>
                <w:szCs w:val="24"/>
              </w:rPr>
              <w:t>2005</w:t>
            </w:r>
          </w:p>
        </w:tc>
      </w:tr>
      <w:tr w:rsidR="001C6C5A" w:rsidRPr="007114AF" w14:paraId="6EDCF3E3" w14:textId="77777777" w:rsidTr="008F17E8">
        <w:trPr>
          <w:trHeight w:val="33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DCF3E0" w14:textId="77777777" w:rsidR="001C6C5A" w:rsidRPr="007114AF" w:rsidRDefault="001C6C5A" w:rsidP="001C6C5A">
            <w:pPr>
              <w:spacing w:after="0"/>
              <w:rPr>
                <w:rFonts w:ascii="Garamond" w:hAnsi="Garamond"/>
                <w:b w:val="0"/>
                <w:sz w:val="24"/>
                <w:szCs w:val="24"/>
              </w:rPr>
            </w:pPr>
            <w:r w:rsidRPr="007114AF">
              <w:rPr>
                <w:rFonts w:ascii="Garamond" w:hAnsi="Garamond"/>
                <w:b w:val="0"/>
                <w:sz w:val="24"/>
                <w:szCs w:val="24"/>
              </w:rPr>
              <w:t>Energji-Bujqësia-LUCF në KDK</w:t>
            </w:r>
          </w:p>
        </w:tc>
        <w:tc>
          <w:tcPr>
            <w:tcW w:w="0" w:type="auto"/>
            <w:noWrap/>
            <w:vAlign w:val="center"/>
            <w:hideMark/>
          </w:tcPr>
          <w:p w14:paraId="6EDCF3E1" w14:textId="77777777" w:rsidR="001C6C5A" w:rsidRPr="007114AF" w:rsidRDefault="001C6C5A" w:rsidP="001C6C5A">
            <w:pPr>
              <w:spacing w:after="0"/>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7114AF">
              <w:rPr>
                <w:rFonts w:ascii="Garamond" w:hAnsi="Garamond"/>
                <w:sz w:val="24"/>
                <w:szCs w:val="24"/>
              </w:rPr>
              <w:t>89%</w:t>
            </w:r>
          </w:p>
        </w:tc>
        <w:tc>
          <w:tcPr>
            <w:tcW w:w="0" w:type="auto"/>
            <w:noWrap/>
            <w:vAlign w:val="center"/>
            <w:hideMark/>
          </w:tcPr>
          <w:p w14:paraId="6EDCF3E2" w14:textId="77777777" w:rsidR="001C6C5A" w:rsidRPr="007114AF" w:rsidRDefault="001C6C5A" w:rsidP="001C6C5A">
            <w:pPr>
              <w:spacing w:after="0"/>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p>
        </w:tc>
      </w:tr>
      <w:tr w:rsidR="001C6C5A" w:rsidRPr="007114AF" w14:paraId="6EDCF3E7" w14:textId="77777777" w:rsidTr="008F17E8">
        <w:trPr>
          <w:trHeight w:val="33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DCF3E4" w14:textId="77777777" w:rsidR="001C6C5A" w:rsidRPr="007114AF" w:rsidRDefault="001C6C5A" w:rsidP="001C6C5A">
            <w:pPr>
              <w:spacing w:after="0"/>
              <w:rPr>
                <w:rFonts w:ascii="Garamond" w:hAnsi="Garamond"/>
                <w:b w:val="0"/>
                <w:sz w:val="24"/>
                <w:szCs w:val="24"/>
              </w:rPr>
            </w:pPr>
            <w:r w:rsidRPr="007114AF">
              <w:rPr>
                <w:rFonts w:ascii="Garamond" w:hAnsi="Garamond"/>
                <w:b w:val="0"/>
                <w:sz w:val="24"/>
                <w:szCs w:val="24"/>
              </w:rPr>
              <w:t>Energji-Bujqësi-LUCF në KTK</w:t>
            </w:r>
          </w:p>
        </w:tc>
        <w:tc>
          <w:tcPr>
            <w:tcW w:w="0" w:type="auto"/>
            <w:noWrap/>
            <w:vAlign w:val="center"/>
            <w:hideMark/>
          </w:tcPr>
          <w:p w14:paraId="6EDCF3E5" w14:textId="77777777" w:rsidR="001C6C5A" w:rsidRPr="007114AF" w:rsidRDefault="001C6C5A" w:rsidP="001C6C5A">
            <w:pPr>
              <w:spacing w:after="0"/>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7114AF">
              <w:rPr>
                <w:rFonts w:ascii="Garamond" w:hAnsi="Garamond"/>
                <w:sz w:val="24"/>
                <w:szCs w:val="24"/>
              </w:rPr>
              <w:t>88%</w:t>
            </w:r>
          </w:p>
        </w:tc>
        <w:tc>
          <w:tcPr>
            <w:tcW w:w="0" w:type="auto"/>
            <w:noWrap/>
            <w:vAlign w:val="center"/>
            <w:hideMark/>
          </w:tcPr>
          <w:p w14:paraId="6EDCF3E6" w14:textId="77777777" w:rsidR="001C6C5A" w:rsidRPr="007114AF" w:rsidRDefault="001C6C5A" w:rsidP="001C6C5A">
            <w:pPr>
              <w:spacing w:after="0"/>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7114AF">
              <w:rPr>
                <w:rFonts w:ascii="Garamond" w:hAnsi="Garamond"/>
                <w:sz w:val="24"/>
                <w:szCs w:val="24"/>
              </w:rPr>
              <w:t>80%</w:t>
            </w:r>
          </w:p>
        </w:tc>
      </w:tr>
    </w:tbl>
    <w:p w14:paraId="6EDCF3E8" w14:textId="77777777" w:rsidR="001C6C5A" w:rsidRPr="007114AF" w:rsidRDefault="001C6C5A" w:rsidP="00FF37A6">
      <w:pPr>
        <w:pStyle w:val="NoSpacing"/>
        <w:rPr>
          <w:rFonts w:ascii="Garamond" w:hAnsi="Garamond"/>
          <w:lang w:val="sq-AL"/>
        </w:rPr>
      </w:pPr>
    </w:p>
    <w:p w14:paraId="6EDCF3E9" w14:textId="7777777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Duke marrë në konsideratë përqasjen e propozuar, janë konsideruar dhe analizuar strategjitë, planet dhe ligjet e mëposhtme:</w:t>
      </w:r>
    </w:p>
    <w:p w14:paraId="6EDCF3EA" w14:textId="7777777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Ndërthurja sektoriale:</w:t>
      </w:r>
    </w:p>
    <w:p w14:paraId="6EDCF3EB" w14:textId="756D1548"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Kontributi i Synuar i Përcaktuar në Nivel Kombëtar (INDC) në kuadrin e NFCCC-it (2015</w:t>
      </w:r>
      <w:r w:rsidR="003D2CB2" w:rsidRPr="007114AF">
        <w:rPr>
          <w:rFonts w:ascii="Garamond" w:hAnsi="Garamond"/>
          <w:sz w:val="24"/>
          <w:szCs w:val="24"/>
        </w:rPr>
        <w:t>–</w:t>
      </w:r>
      <w:r w:rsidR="003A6446" w:rsidRPr="007114AF">
        <w:rPr>
          <w:rFonts w:ascii="Garamond" w:hAnsi="Garamond"/>
          <w:sz w:val="24"/>
          <w:szCs w:val="24"/>
        </w:rPr>
        <w:t>2030)</w:t>
      </w:r>
    </w:p>
    <w:p w14:paraId="6EDCF3EC" w14:textId="032F2FA7"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Draftstrategjia Mjedisore Ndërsektoriale (SMNS) (2015</w:t>
      </w:r>
      <w:r w:rsidR="003D2CB2" w:rsidRPr="007114AF">
        <w:rPr>
          <w:rFonts w:ascii="Garamond" w:hAnsi="Garamond"/>
          <w:sz w:val="24"/>
          <w:szCs w:val="24"/>
        </w:rPr>
        <w:t>–</w:t>
      </w:r>
      <w:r w:rsidR="003A6446" w:rsidRPr="007114AF">
        <w:rPr>
          <w:rFonts w:ascii="Garamond" w:hAnsi="Garamond"/>
          <w:sz w:val="24"/>
          <w:szCs w:val="24"/>
        </w:rPr>
        <w:t>2020)</w:t>
      </w:r>
    </w:p>
    <w:p w14:paraId="6EDCF3ED" w14:textId="3E8FF1DE"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Strategjia Kombëtare për Integrim dhe Zhvillim (SKZHI-II) (2015</w:t>
      </w:r>
      <w:r w:rsidR="003D2CB2" w:rsidRPr="007114AF">
        <w:rPr>
          <w:rFonts w:ascii="Garamond" w:hAnsi="Garamond"/>
          <w:sz w:val="24"/>
          <w:szCs w:val="24"/>
        </w:rPr>
        <w:t>–</w:t>
      </w:r>
      <w:r w:rsidR="003A6446" w:rsidRPr="007114AF">
        <w:rPr>
          <w:rFonts w:ascii="Garamond" w:hAnsi="Garamond"/>
          <w:sz w:val="24"/>
          <w:szCs w:val="24"/>
        </w:rPr>
        <w:t>2020)</w:t>
      </w:r>
    </w:p>
    <w:p w14:paraId="6EDCF3EE" w14:textId="77777777"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Projektligji për Ndryshimet Klimatike (nga hyrja në fuqi deri në rishikim)</w:t>
      </w:r>
    </w:p>
    <w:p w14:paraId="6EDCF3EF" w14:textId="74345005"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Plani Kombëtar i Territorit (PKT) (2015</w:t>
      </w:r>
      <w:r w:rsidR="003D2CB2" w:rsidRPr="007114AF">
        <w:rPr>
          <w:rFonts w:ascii="Garamond" w:hAnsi="Garamond"/>
          <w:sz w:val="24"/>
          <w:szCs w:val="24"/>
        </w:rPr>
        <w:t>–</w:t>
      </w:r>
      <w:r w:rsidR="003A6446" w:rsidRPr="007114AF">
        <w:rPr>
          <w:rFonts w:ascii="Garamond" w:hAnsi="Garamond"/>
          <w:sz w:val="24"/>
          <w:szCs w:val="24"/>
        </w:rPr>
        <w:t>2030)</w:t>
      </w:r>
      <w:r w:rsidR="003A6446" w:rsidRPr="007114AF">
        <w:rPr>
          <w:rFonts w:ascii="Garamond" w:hAnsi="Garamond"/>
          <w:sz w:val="24"/>
          <w:szCs w:val="24"/>
          <w:vertAlign w:val="superscript"/>
        </w:rPr>
        <w:footnoteReference w:id="6"/>
      </w:r>
    </w:p>
    <w:p w14:paraId="6EDCF3F0" w14:textId="7777777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Sektori i energjisë:</w:t>
      </w:r>
    </w:p>
    <w:p w14:paraId="6EDCF3F1" w14:textId="06CE94A2"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NAMA – Zëvendësimi i lëndëve djegëse fosile me mbetje jo të rrezikshme në industrinë shqiptare të çimentos (2015</w:t>
      </w:r>
      <w:r w:rsidR="003D2CB2" w:rsidRPr="007114AF">
        <w:rPr>
          <w:rFonts w:ascii="Garamond" w:hAnsi="Garamond"/>
          <w:sz w:val="24"/>
          <w:szCs w:val="24"/>
        </w:rPr>
        <w:t>–</w:t>
      </w:r>
      <w:r w:rsidR="003A6446" w:rsidRPr="007114AF">
        <w:rPr>
          <w:rFonts w:ascii="Garamond" w:hAnsi="Garamond"/>
          <w:sz w:val="24"/>
          <w:szCs w:val="24"/>
        </w:rPr>
        <w:t>2020)</w:t>
      </w:r>
    </w:p>
    <w:p w14:paraId="6EDCF3F2" w14:textId="1F6F6A7C"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NAMA – Financimi i mekanizmit për efic</w:t>
      </w:r>
      <w:r w:rsidR="003D2CB2" w:rsidRPr="007114AF">
        <w:rPr>
          <w:rFonts w:ascii="Garamond" w:hAnsi="Garamond"/>
          <w:sz w:val="24"/>
          <w:szCs w:val="24"/>
        </w:rPr>
        <w:t>i</w:t>
      </w:r>
      <w:r w:rsidR="003A6446" w:rsidRPr="007114AF">
        <w:rPr>
          <w:rFonts w:ascii="Garamond" w:hAnsi="Garamond"/>
          <w:sz w:val="24"/>
          <w:szCs w:val="24"/>
        </w:rPr>
        <w:t>encën e energjisë në ndërtesa (2015</w:t>
      </w:r>
      <w:r w:rsidR="003D2CB2" w:rsidRPr="007114AF">
        <w:rPr>
          <w:rFonts w:ascii="Garamond" w:hAnsi="Garamond"/>
          <w:sz w:val="24"/>
          <w:szCs w:val="24"/>
        </w:rPr>
        <w:t>–</w:t>
      </w:r>
      <w:r w:rsidR="003A6446" w:rsidRPr="007114AF">
        <w:rPr>
          <w:rFonts w:ascii="Garamond" w:hAnsi="Garamond"/>
          <w:sz w:val="24"/>
          <w:szCs w:val="24"/>
        </w:rPr>
        <w:t>2020)</w:t>
      </w:r>
    </w:p>
    <w:p w14:paraId="6EDCF3F3" w14:textId="7C76FB7D"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Plani Kombëtar i Veprimit për Burimet e Rinovueshme të Energjisë 2018</w:t>
      </w:r>
      <w:r w:rsidR="003D2CB2" w:rsidRPr="007114AF">
        <w:rPr>
          <w:rFonts w:ascii="Garamond" w:hAnsi="Garamond"/>
          <w:sz w:val="24"/>
          <w:szCs w:val="24"/>
        </w:rPr>
        <w:t>–</w:t>
      </w:r>
      <w:r w:rsidR="003A6446" w:rsidRPr="007114AF">
        <w:rPr>
          <w:rFonts w:ascii="Garamond" w:hAnsi="Garamond"/>
          <w:sz w:val="24"/>
          <w:szCs w:val="24"/>
        </w:rPr>
        <w:t>2020</w:t>
      </w:r>
    </w:p>
    <w:p w14:paraId="6EDCF3F4" w14:textId="5FE674D4"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Ligji</w:t>
      </w:r>
      <w:r w:rsidR="00242009" w:rsidRPr="007114AF">
        <w:rPr>
          <w:rFonts w:ascii="Garamond" w:hAnsi="Garamond"/>
          <w:sz w:val="24"/>
          <w:szCs w:val="24"/>
        </w:rPr>
        <w:t xml:space="preserve"> nr. </w:t>
      </w:r>
      <w:r w:rsidR="003A6446" w:rsidRPr="007114AF">
        <w:rPr>
          <w:rFonts w:ascii="Garamond" w:hAnsi="Garamond"/>
          <w:sz w:val="24"/>
          <w:szCs w:val="24"/>
        </w:rPr>
        <w:t>124/2015 për Eficiencën e Energjisë (nga hyrja në fuqi deri në rishikim)</w:t>
      </w:r>
    </w:p>
    <w:p w14:paraId="6EDCF3F5" w14:textId="180CBEF9"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Ligji</w:t>
      </w:r>
      <w:r w:rsidR="00242009" w:rsidRPr="007114AF">
        <w:rPr>
          <w:rFonts w:ascii="Garamond" w:hAnsi="Garamond"/>
          <w:sz w:val="24"/>
          <w:szCs w:val="24"/>
        </w:rPr>
        <w:t xml:space="preserve"> nr. </w:t>
      </w:r>
      <w:r w:rsidR="003A6446" w:rsidRPr="007114AF">
        <w:rPr>
          <w:rFonts w:ascii="Garamond" w:hAnsi="Garamond"/>
          <w:sz w:val="24"/>
          <w:szCs w:val="24"/>
        </w:rPr>
        <w:t xml:space="preserve">7/2017 </w:t>
      </w:r>
      <w:r w:rsidR="000A2A01" w:rsidRPr="007114AF">
        <w:rPr>
          <w:rFonts w:ascii="Garamond" w:hAnsi="Garamond"/>
          <w:sz w:val="24"/>
          <w:szCs w:val="24"/>
        </w:rPr>
        <w:t>“</w:t>
      </w:r>
      <w:r w:rsidR="003A6446" w:rsidRPr="007114AF">
        <w:rPr>
          <w:rFonts w:ascii="Garamond" w:hAnsi="Garamond"/>
          <w:sz w:val="24"/>
          <w:szCs w:val="24"/>
        </w:rPr>
        <w:t>P</w:t>
      </w:r>
      <w:r w:rsidR="003D2CB2" w:rsidRPr="007114AF">
        <w:rPr>
          <w:rFonts w:ascii="Garamond" w:hAnsi="Garamond"/>
          <w:sz w:val="24"/>
          <w:szCs w:val="24"/>
        </w:rPr>
        <w:t>ë</w:t>
      </w:r>
      <w:r w:rsidR="003A6446" w:rsidRPr="007114AF">
        <w:rPr>
          <w:rFonts w:ascii="Garamond" w:hAnsi="Garamond"/>
          <w:sz w:val="24"/>
          <w:szCs w:val="24"/>
        </w:rPr>
        <w:t>r nxitjen e përdorimit të burimeve të rinovueshme të energjisë</w:t>
      </w:r>
      <w:r w:rsidR="000A2A01" w:rsidRPr="007114AF">
        <w:rPr>
          <w:rFonts w:ascii="Garamond" w:hAnsi="Garamond"/>
          <w:sz w:val="24"/>
          <w:szCs w:val="24"/>
        </w:rPr>
        <w:t>”</w:t>
      </w:r>
    </w:p>
    <w:p w14:paraId="6EDCF3F6" w14:textId="743A7152"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Ligji</w:t>
      </w:r>
      <w:r w:rsidR="00242009" w:rsidRPr="007114AF">
        <w:rPr>
          <w:rFonts w:ascii="Garamond" w:hAnsi="Garamond"/>
          <w:sz w:val="24"/>
          <w:szCs w:val="24"/>
        </w:rPr>
        <w:t xml:space="preserve"> nr. </w:t>
      </w:r>
      <w:r w:rsidR="003A6446" w:rsidRPr="007114AF">
        <w:rPr>
          <w:rFonts w:ascii="Garamond" w:hAnsi="Garamond"/>
          <w:sz w:val="24"/>
          <w:szCs w:val="24"/>
        </w:rPr>
        <w:t xml:space="preserve">116/2016 </w:t>
      </w:r>
      <w:r w:rsidR="000A2A01" w:rsidRPr="007114AF">
        <w:rPr>
          <w:rFonts w:ascii="Garamond" w:hAnsi="Garamond"/>
          <w:sz w:val="24"/>
          <w:szCs w:val="24"/>
        </w:rPr>
        <w:t>“</w:t>
      </w:r>
      <w:r w:rsidR="003A6446" w:rsidRPr="007114AF">
        <w:rPr>
          <w:rFonts w:ascii="Garamond" w:hAnsi="Garamond"/>
          <w:sz w:val="24"/>
          <w:szCs w:val="24"/>
        </w:rPr>
        <w:t>Për performancën e energjisë së ndërtesave</w:t>
      </w:r>
    </w:p>
    <w:p w14:paraId="6EDCF3F7" w14:textId="29B1BB6A"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VKM</w:t>
      </w:r>
      <w:r w:rsidR="00242009" w:rsidRPr="007114AF">
        <w:rPr>
          <w:rFonts w:ascii="Garamond" w:hAnsi="Garamond"/>
          <w:sz w:val="24"/>
          <w:szCs w:val="24"/>
        </w:rPr>
        <w:t xml:space="preserve"> nr. </w:t>
      </w:r>
      <w:r w:rsidR="003A6446" w:rsidRPr="007114AF">
        <w:rPr>
          <w:rFonts w:ascii="Garamond" w:hAnsi="Garamond"/>
          <w:sz w:val="24"/>
          <w:szCs w:val="24"/>
        </w:rPr>
        <w:t>709, datë 1.12.2017 p</w:t>
      </w:r>
      <w:r w:rsidR="003D2CB2" w:rsidRPr="007114AF">
        <w:rPr>
          <w:rFonts w:ascii="Garamond" w:hAnsi="Garamond"/>
          <w:sz w:val="24"/>
          <w:szCs w:val="24"/>
        </w:rPr>
        <w:t>ë</w:t>
      </w:r>
      <w:r w:rsidR="003A6446" w:rsidRPr="007114AF">
        <w:rPr>
          <w:rFonts w:ascii="Garamond" w:hAnsi="Garamond"/>
          <w:sz w:val="24"/>
          <w:szCs w:val="24"/>
        </w:rPr>
        <w:t>r Planin komb</w:t>
      </w:r>
      <w:r w:rsidR="003D2CB2" w:rsidRPr="007114AF">
        <w:rPr>
          <w:rFonts w:ascii="Garamond" w:hAnsi="Garamond"/>
          <w:sz w:val="24"/>
          <w:szCs w:val="24"/>
        </w:rPr>
        <w:t>ë</w:t>
      </w:r>
      <w:r w:rsidR="003A6446" w:rsidRPr="007114AF">
        <w:rPr>
          <w:rFonts w:ascii="Garamond" w:hAnsi="Garamond"/>
          <w:sz w:val="24"/>
          <w:szCs w:val="24"/>
        </w:rPr>
        <w:t>tar t</w:t>
      </w:r>
      <w:r w:rsidR="003D2CB2" w:rsidRPr="007114AF">
        <w:rPr>
          <w:rFonts w:ascii="Garamond" w:hAnsi="Garamond"/>
          <w:sz w:val="24"/>
          <w:szCs w:val="24"/>
        </w:rPr>
        <w:t>ë</w:t>
      </w:r>
      <w:r w:rsidR="003A6446" w:rsidRPr="007114AF">
        <w:rPr>
          <w:rFonts w:ascii="Garamond" w:hAnsi="Garamond"/>
          <w:sz w:val="24"/>
          <w:szCs w:val="24"/>
        </w:rPr>
        <w:t xml:space="preserve"> efic</w:t>
      </w:r>
      <w:r w:rsidR="00AA35E8">
        <w:rPr>
          <w:rFonts w:ascii="Garamond" w:hAnsi="Garamond"/>
          <w:sz w:val="24"/>
          <w:szCs w:val="24"/>
        </w:rPr>
        <w:t>i</w:t>
      </w:r>
      <w:r w:rsidR="003A6446" w:rsidRPr="007114AF">
        <w:rPr>
          <w:rFonts w:ascii="Garamond" w:hAnsi="Garamond"/>
          <w:sz w:val="24"/>
          <w:szCs w:val="24"/>
        </w:rPr>
        <w:t>enc</w:t>
      </w:r>
      <w:r w:rsidR="003D2CB2" w:rsidRPr="007114AF">
        <w:rPr>
          <w:rFonts w:ascii="Garamond" w:hAnsi="Garamond"/>
          <w:sz w:val="24"/>
          <w:szCs w:val="24"/>
        </w:rPr>
        <w:t>ë</w:t>
      </w:r>
      <w:r w:rsidR="003A6446" w:rsidRPr="007114AF">
        <w:rPr>
          <w:rFonts w:ascii="Garamond" w:hAnsi="Garamond"/>
          <w:sz w:val="24"/>
          <w:szCs w:val="24"/>
        </w:rPr>
        <w:t xml:space="preserve">s se </w:t>
      </w:r>
      <w:r w:rsidR="003D2CB2" w:rsidRPr="007114AF">
        <w:rPr>
          <w:rFonts w:ascii="Garamond" w:hAnsi="Garamond"/>
          <w:sz w:val="24"/>
          <w:szCs w:val="24"/>
        </w:rPr>
        <w:t>Energjisë</w:t>
      </w:r>
      <w:r w:rsidR="003A6446" w:rsidRPr="007114AF">
        <w:rPr>
          <w:rFonts w:ascii="Garamond" w:hAnsi="Garamond"/>
          <w:sz w:val="24"/>
          <w:szCs w:val="24"/>
        </w:rPr>
        <w:t xml:space="preserve"> 2017</w:t>
      </w:r>
      <w:r w:rsidR="003D2CB2" w:rsidRPr="007114AF">
        <w:rPr>
          <w:rFonts w:ascii="Garamond" w:hAnsi="Garamond"/>
          <w:sz w:val="24"/>
          <w:szCs w:val="24"/>
        </w:rPr>
        <w:t>–</w:t>
      </w:r>
      <w:r w:rsidR="003A6446" w:rsidRPr="007114AF">
        <w:rPr>
          <w:rFonts w:ascii="Garamond" w:hAnsi="Garamond"/>
          <w:sz w:val="24"/>
          <w:szCs w:val="24"/>
        </w:rPr>
        <w:t>2020 </w:t>
      </w:r>
    </w:p>
    <w:p w14:paraId="6EDCF3F8" w14:textId="7777777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Sektori i Transportit:</w:t>
      </w:r>
    </w:p>
    <w:p w14:paraId="6EDCF3F9" w14:textId="3575D29C"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Strategjia dhe Plani i Veprimit i Sektorit tëTransportit (SSTPV) (2016</w:t>
      </w:r>
      <w:r w:rsidR="003D2CB2" w:rsidRPr="007114AF">
        <w:rPr>
          <w:rFonts w:ascii="Garamond" w:hAnsi="Garamond"/>
          <w:sz w:val="24"/>
          <w:szCs w:val="24"/>
        </w:rPr>
        <w:t>–</w:t>
      </w:r>
      <w:r w:rsidR="003A6446" w:rsidRPr="007114AF">
        <w:rPr>
          <w:rFonts w:ascii="Garamond" w:hAnsi="Garamond"/>
          <w:sz w:val="24"/>
          <w:szCs w:val="24"/>
        </w:rPr>
        <w:t>2020)</w:t>
      </w:r>
    </w:p>
    <w:p w14:paraId="6EDCF3FA" w14:textId="0845357B"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Plane për Transport të Qëndrueshëm (TECTQ) – dokument informues (2016</w:t>
      </w:r>
      <w:r w:rsidR="003D2CB2" w:rsidRPr="007114AF">
        <w:rPr>
          <w:rFonts w:ascii="Garamond" w:hAnsi="Garamond"/>
          <w:sz w:val="24"/>
          <w:szCs w:val="24"/>
        </w:rPr>
        <w:t>–</w:t>
      </w:r>
      <w:r w:rsidR="003A6446" w:rsidRPr="007114AF">
        <w:rPr>
          <w:rFonts w:ascii="Garamond" w:hAnsi="Garamond"/>
          <w:sz w:val="24"/>
          <w:szCs w:val="24"/>
        </w:rPr>
        <w:t>2020)</w:t>
      </w:r>
    </w:p>
    <w:p w14:paraId="6EDCF3FB" w14:textId="7777777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Bujqësia dhe LUCF-ja:</w:t>
      </w:r>
    </w:p>
    <w:p w14:paraId="6EDCF3FC" w14:textId="7243D16E"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Strategjia ndërsektorale për Bujqësinë dhe Zhvillimin Rural në Shqipëri (SNBZHR) (2014</w:t>
      </w:r>
      <w:r w:rsidR="003D2CB2" w:rsidRPr="007114AF">
        <w:rPr>
          <w:rFonts w:ascii="Garamond" w:hAnsi="Garamond"/>
          <w:sz w:val="24"/>
          <w:szCs w:val="24"/>
        </w:rPr>
        <w:t>–</w:t>
      </w:r>
      <w:r w:rsidR="003A6446" w:rsidRPr="007114AF">
        <w:rPr>
          <w:rFonts w:ascii="Garamond" w:hAnsi="Garamond"/>
          <w:sz w:val="24"/>
          <w:szCs w:val="24"/>
        </w:rPr>
        <w:t>2020)</w:t>
      </w:r>
    </w:p>
    <w:p w14:paraId="6EDCF3FD" w14:textId="605D6811"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Programi i Zhvillimit Rural 2014</w:t>
      </w:r>
      <w:r w:rsidR="003D2CB2" w:rsidRPr="007114AF">
        <w:rPr>
          <w:rFonts w:ascii="Garamond" w:hAnsi="Garamond"/>
          <w:sz w:val="24"/>
          <w:szCs w:val="24"/>
        </w:rPr>
        <w:t>–</w:t>
      </w:r>
      <w:r w:rsidR="003A6446" w:rsidRPr="007114AF">
        <w:rPr>
          <w:rFonts w:ascii="Garamond" w:hAnsi="Garamond"/>
          <w:sz w:val="24"/>
          <w:szCs w:val="24"/>
        </w:rPr>
        <w:t>2020 në kuadrin e Instrumentit për Asistencën para Anëtarësimit (IPARD) (2014</w:t>
      </w:r>
      <w:r w:rsidR="003D2CB2" w:rsidRPr="007114AF">
        <w:rPr>
          <w:rFonts w:ascii="Garamond" w:hAnsi="Garamond"/>
          <w:sz w:val="24"/>
          <w:szCs w:val="24"/>
        </w:rPr>
        <w:t>–</w:t>
      </w:r>
      <w:r w:rsidR="003A6446" w:rsidRPr="007114AF">
        <w:rPr>
          <w:rFonts w:ascii="Garamond" w:hAnsi="Garamond"/>
          <w:sz w:val="24"/>
          <w:szCs w:val="24"/>
        </w:rPr>
        <w:t>2020)</w:t>
      </w:r>
    </w:p>
    <w:p w14:paraId="6EDCF3FE" w14:textId="3726A821"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Dokumenti Politik i Strategjisë për Mbrojtjen e Biodiversitetit (DPSMB) (2016</w:t>
      </w:r>
      <w:r w:rsidR="003D2CB2" w:rsidRPr="007114AF">
        <w:rPr>
          <w:rFonts w:ascii="Garamond" w:hAnsi="Garamond"/>
          <w:sz w:val="24"/>
          <w:szCs w:val="24"/>
        </w:rPr>
        <w:t>–</w:t>
      </w:r>
      <w:r w:rsidR="003A6446" w:rsidRPr="007114AF">
        <w:rPr>
          <w:rFonts w:ascii="Garamond" w:hAnsi="Garamond"/>
          <w:sz w:val="24"/>
          <w:szCs w:val="24"/>
        </w:rPr>
        <w:t>2020)</w:t>
      </w:r>
    </w:p>
    <w:p w14:paraId="6EDCF3FF" w14:textId="77777777"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Projektligji për Administrimin e Fondit Kombëtar të Pyjeve dhe Kullotave në Republikën e Shqipërisë (nga hyrja në fuqi deri në rishikim).</w:t>
      </w:r>
    </w:p>
    <w:p w14:paraId="6EDCF400" w14:textId="7777777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Në kohën e shkrimit të dokumentit të SKNK-Së, po zhvilloheshin disa strategji dhe plane, prandaj janë në formë drafti, si në rastin e planit dhe strategjisë për Transportin, SKZHI-II dhe Komunikimit të Tretë Kombëtar ose ishin në stadin fillestar, si në rastin e Strategjisë Kombëtare të Energjisë. Prandaj rekomandohet një rishikim periodik i këtij dokumenti në dritën e zhvillimit të strategjive kryesore sektoriale gjatë viteve të ardhshme.</w:t>
      </w:r>
      <w:bookmarkStart w:id="4" w:name="_Toc471987561"/>
      <w:bookmarkStart w:id="5" w:name="_Toc450135222"/>
      <w:bookmarkStart w:id="6" w:name="_Toc450151825"/>
      <w:bookmarkEnd w:id="4"/>
    </w:p>
    <w:p w14:paraId="6EDCF401" w14:textId="77777777" w:rsidR="003A6446" w:rsidRPr="007114AF" w:rsidRDefault="00164B6B" w:rsidP="003A6446">
      <w:pPr>
        <w:spacing w:after="0" w:line="240" w:lineRule="auto"/>
        <w:ind w:firstLine="284"/>
        <w:rPr>
          <w:rFonts w:ascii="Garamond" w:hAnsi="Garamond"/>
          <w:sz w:val="24"/>
          <w:szCs w:val="24"/>
        </w:rPr>
      </w:pPr>
      <w:bookmarkStart w:id="7" w:name="_Toc484424470"/>
      <w:r w:rsidRPr="007114AF">
        <w:rPr>
          <w:rFonts w:ascii="Garamond" w:hAnsi="Garamond"/>
          <w:sz w:val="24"/>
          <w:szCs w:val="24"/>
        </w:rPr>
        <w:t xml:space="preserve">1.2 </w:t>
      </w:r>
      <w:r w:rsidR="003A6446" w:rsidRPr="007114AF">
        <w:rPr>
          <w:rFonts w:ascii="Garamond" w:hAnsi="Garamond"/>
          <w:sz w:val="24"/>
          <w:szCs w:val="24"/>
        </w:rPr>
        <w:t>Aspektet e përshtatjes</w:t>
      </w:r>
      <w:bookmarkEnd w:id="7"/>
    </w:p>
    <w:p w14:paraId="6EDCF402" w14:textId="69B4074E"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Plani kombëtar i përshtatjes është krijuar në bashkëpunim të ngushtë me ministritë e linjës, nën udhëheqjen e Ministrisë së Turizmit dhe Mjedisit (MTM),</w:t>
      </w:r>
      <w:r w:rsidR="000A2A01" w:rsidRPr="007114AF">
        <w:rPr>
          <w:rFonts w:ascii="Garamond" w:hAnsi="Garamond"/>
          <w:sz w:val="24"/>
          <w:szCs w:val="24"/>
        </w:rPr>
        <w:t xml:space="preserve"> </w:t>
      </w:r>
      <w:r w:rsidRPr="007114AF">
        <w:rPr>
          <w:rFonts w:ascii="Garamond" w:hAnsi="Garamond"/>
          <w:sz w:val="24"/>
          <w:szCs w:val="24"/>
        </w:rPr>
        <w:t>në kuadrin e Grupit Ndërministror të Punës së Ndryshimeve Klimatike, përgjatë vitit 2015</w:t>
      </w:r>
      <w:r w:rsidR="00AA35E8" w:rsidRPr="007114AF">
        <w:rPr>
          <w:rFonts w:ascii="Garamond" w:hAnsi="Garamond"/>
          <w:sz w:val="24"/>
          <w:szCs w:val="24"/>
        </w:rPr>
        <w:t>–</w:t>
      </w:r>
      <w:r w:rsidRPr="007114AF">
        <w:rPr>
          <w:rFonts w:ascii="Garamond" w:hAnsi="Garamond"/>
          <w:sz w:val="24"/>
          <w:szCs w:val="24"/>
        </w:rPr>
        <w:t>2016.</w:t>
      </w:r>
      <w:r w:rsidR="000A2A01" w:rsidRPr="007114AF">
        <w:rPr>
          <w:rFonts w:ascii="Garamond" w:hAnsi="Garamond"/>
          <w:sz w:val="24"/>
          <w:szCs w:val="24"/>
        </w:rPr>
        <w:t xml:space="preserve"> </w:t>
      </w:r>
    </w:p>
    <w:p w14:paraId="6EDCF403" w14:textId="22032440"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NAP-i kuptohet kryesisht, si një proces afatgjatë për të cilin ky dokument ofron elementet kuadër</w:t>
      </w:r>
      <w:r w:rsidR="00B32784" w:rsidRPr="007114AF">
        <w:rPr>
          <w:rFonts w:ascii="Garamond" w:hAnsi="Garamond"/>
          <w:sz w:val="24"/>
          <w:szCs w:val="24"/>
        </w:rPr>
        <w:t>,</w:t>
      </w:r>
      <w:r w:rsidRPr="007114AF">
        <w:rPr>
          <w:rFonts w:ascii="Garamond" w:hAnsi="Garamond"/>
          <w:sz w:val="24"/>
          <w:szCs w:val="24"/>
        </w:rPr>
        <w:t xml:space="preserve"> si:</w:t>
      </w:r>
      <w:r w:rsidR="00B32784" w:rsidRPr="007114AF">
        <w:rPr>
          <w:rFonts w:ascii="Garamond" w:hAnsi="Garamond"/>
          <w:sz w:val="24"/>
          <w:szCs w:val="24"/>
        </w:rPr>
        <w:t xml:space="preserve"> </w:t>
      </w:r>
      <w:r w:rsidRPr="007114AF">
        <w:rPr>
          <w:rFonts w:ascii="Garamond" w:hAnsi="Garamond"/>
          <w:sz w:val="24"/>
          <w:szCs w:val="24"/>
        </w:rPr>
        <w:t>parimet, objektivat, treguesit, veprimet prioritare dhe elementet e procesit.</w:t>
      </w:r>
    </w:p>
    <w:p w14:paraId="6EDCF404" w14:textId="7777777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Ai ofron një kuadër për integrimin e ndryshimeve klimatike në sektorët e synuar si dhe vendos një kuadër zbatimi kryesisht, nëpërmjet veprimeve prioritare të mbështetura nëpërmjet mekanizmave mundësues, si buxheti përkatës, informimi dhe përfshirja, zhvillimi i kapaciteteve dhe monitorimi.</w:t>
      </w:r>
    </w:p>
    <w:p w14:paraId="6EDCF405" w14:textId="6D92658B"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Një drejtim i efektshëm i procesit të përshtatjes do të sigurohet nëpërmjet objektivave dhe treguesve të orientuar nga rezultatet. Procesi i përshtatjes thjeshtohet, duke punuar mbi treguesit kryesorë që karakterizojnë progresin e përshtatjes, dhe duke punuar mbi objektivat dhe treguesit ekzistues, për shembull ata që janë të përcaktuar në SKZHI-në. Në pjesën e përshtatjes së dokumentit SKNK&amp;P janë identifikuar indikatorët të cilët gjithsesi, duhen specifikuar më tej, nëpërmjet rezultateve të prodhuara nga</w:t>
      </w:r>
      <w:r w:rsidR="00B32784" w:rsidRPr="007114AF">
        <w:rPr>
          <w:rFonts w:ascii="Garamond" w:hAnsi="Garamond"/>
          <w:sz w:val="24"/>
          <w:szCs w:val="24"/>
        </w:rPr>
        <w:t xml:space="preserve"> </w:t>
      </w:r>
      <w:r w:rsidRPr="007114AF">
        <w:rPr>
          <w:rFonts w:ascii="Garamond" w:hAnsi="Garamond"/>
          <w:sz w:val="24"/>
          <w:szCs w:val="24"/>
        </w:rPr>
        <w:t>një sistemi konciz monitorimi.</w:t>
      </w:r>
      <w:r w:rsidR="000A2A01" w:rsidRPr="007114AF">
        <w:rPr>
          <w:rFonts w:ascii="Garamond" w:hAnsi="Garamond"/>
          <w:sz w:val="24"/>
          <w:szCs w:val="24"/>
        </w:rPr>
        <w:t xml:space="preserve"> </w:t>
      </w:r>
    </w:p>
    <w:p w14:paraId="6EDCF406" w14:textId="0030C7A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 xml:space="preserve">Procesi NAP-it në Shqipëri, orientohet nga </w:t>
      </w:r>
      <w:r w:rsidR="000A2A01" w:rsidRPr="007114AF">
        <w:rPr>
          <w:rFonts w:ascii="Garamond" w:hAnsi="Garamond"/>
          <w:sz w:val="24"/>
          <w:szCs w:val="24"/>
        </w:rPr>
        <w:t>“</w:t>
      </w:r>
      <w:r w:rsidRPr="007114AF">
        <w:rPr>
          <w:rFonts w:ascii="Garamond" w:hAnsi="Garamond"/>
          <w:sz w:val="24"/>
          <w:szCs w:val="24"/>
        </w:rPr>
        <w:t>Udhëzimet teknike për proceset e NAP-it</w:t>
      </w:r>
      <w:r w:rsidR="000A2A01" w:rsidRPr="007114AF">
        <w:rPr>
          <w:rFonts w:ascii="Garamond" w:hAnsi="Garamond"/>
          <w:sz w:val="24"/>
          <w:szCs w:val="24"/>
        </w:rPr>
        <w:t>”</w:t>
      </w:r>
      <w:r w:rsidRPr="007114AF">
        <w:rPr>
          <w:rFonts w:ascii="Garamond" w:hAnsi="Garamond"/>
          <w:sz w:val="24"/>
          <w:szCs w:val="24"/>
        </w:rPr>
        <w:t>, të përgatitura nga Grupi Ekspertëve të Vendeve më pak të zhvilluara të UNFCCC-së (LEG)</w:t>
      </w:r>
      <w:r w:rsidRPr="007114AF">
        <w:rPr>
          <w:rFonts w:ascii="Garamond" w:hAnsi="Garamond"/>
          <w:sz w:val="24"/>
          <w:szCs w:val="24"/>
          <w:vertAlign w:val="superscript"/>
        </w:rPr>
        <w:footnoteReference w:id="7"/>
      </w:r>
      <w:r w:rsidRPr="007114AF">
        <w:rPr>
          <w:rFonts w:ascii="Garamond" w:hAnsi="Garamond"/>
          <w:sz w:val="24"/>
          <w:szCs w:val="24"/>
        </w:rPr>
        <w:t xml:space="preserve"> dhe të publikuara në dhjetor të vitit 2012 (të ashtuquajturat </w:t>
      </w:r>
      <w:r w:rsidR="000A2A01" w:rsidRPr="007114AF">
        <w:rPr>
          <w:rFonts w:ascii="Garamond" w:hAnsi="Garamond"/>
          <w:sz w:val="24"/>
          <w:szCs w:val="24"/>
        </w:rPr>
        <w:t>“</w:t>
      </w:r>
      <w:r w:rsidRPr="007114AF">
        <w:rPr>
          <w:rFonts w:ascii="Garamond" w:hAnsi="Garamond"/>
          <w:sz w:val="24"/>
          <w:szCs w:val="24"/>
        </w:rPr>
        <w:t>Udhëzimet teknike</w:t>
      </w:r>
      <w:r w:rsidR="000A2A01" w:rsidRPr="007114AF">
        <w:rPr>
          <w:rFonts w:ascii="Garamond" w:hAnsi="Garamond"/>
          <w:sz w:val="24"/>
          <w:szCs w:val="24"/>
        </w:rPr>
        <w:t>”</w:t>
      </w:r>
      <w:r w:rsidRPr="007114AF">
        <w:rPr>
          <w:rFonts w:ascii="Garamond" w:hAnsi="Garamond"/>
          <w:sz w:val="24"/>
          <w:szCs w:val="24"/>
        </w:rPr>
        <w:t>).</w:t>
      </w:r>
      <w:r w:rsidR="001C3983" w:rsidRPr="007114AF">
        <w:rPr>
          <w:rFonts w:ascii="Garamond" w:hAnsi="Garamond"/>
          <w:sz w:val="24"/>
          <w:szCs w:val="24"/>
        </w:rPr>
        <w:t xml:space="preserve"> </w:t>
      </w:r>
    </w:p>
    <w:p w14:paraId="6EDCF407" w14:textId="71F7C13B"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 xml:space="preserve">Bazuar mbi karakteristikat e dhëna në </w:t>
      </w:r>
      <w:r w:rsidR="000A2A01" w:rsidRPr="007114AF">
        <w:rPr>
          <w:rFonts w:ascii="Garamond" w:hAnsi="Garamond"/>
          <w:sz w:val="24"/>
          <w:szCs w:val="24"/>
        </w:rPr>
        <w:t>“</w:t>
      </w:r>
      <w:r w:rsidRPr="007114AF">
        <w:rPr>
          <w:rFonts w:ascii="Garamond" w:hAnsi="Garamond"/>
          <w:sz w:val="24"/>
          <w:szCs w:val="24"/>
        </w:rPr>
        <w:t>udhëzimet teknike</w:t>
      </w:r>
      <w:r w:rsidR="000A2A01" w:rsidRPr="007114AF">
        <w:rPr>
          <w:rFonts w:ascii="Garamond" w:hAnsi="Garamond"/>
          <w:sz w:val="24"/>
          <w:szCs w:val="24"/>
        </w:rPr>
        <w:t>”</w:t>
      </w:r>
      <w:r w:rsidRPr="007114AF">
        <w:rPr>
          <w:rFonts w:ascii="Garamond" w:hAnsi="Garamond"/>
          <w:sz w:val="24"/>
          <w:szCs w:val="24"/>
        </w:rPr>
        <w:t xml:space="preserve">, procesi i NAP-it në Shqipëri ishte: </w:t>
      </w:r>
    </w:p>
    <w:p w14:paraId="6EDCF408" w14:textId="14550B3D"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 xml:space="preserve">Drejtuar dhe udhëhequr nga Shqipëria: U drejtua nga MM-ja dhe u përpoq të rrisë përputhshmërinë me proceset e tjera të planifikimit kombëtar, si dhe të sigurojë një përfshirje të lartë politike. Procesi </w:t>
      </w:r>
      <w:r w:rsidR="00E0556A" w:rsidRPr="007114AF">
        <w:rPr>
          <w:rFonts w:ascii="Garamond" w:hAnsi="Garamond"/>
          <w:sz w:val="24"/>
          <w:szCs w:val="24"/>
        </w:rPr>
        <w:t>i</w:t>
      </w:r>
      <w:r w:rsidR="003A6446" w:rsidRPr="007114AF">
        <w:rPr>
          <w:rFonts w:ascii="Garamond" w:hAnsi="Garamond"/>
          <w:sz w:val="24"/>
          <w:szCs w:val="24"/>
        </w:rPr>
        <w:t xml:space="preserve"> NAP-it synon të shfrytëzojë dhe të mbështetet në kapacitetet e nivelit kombëtar, me mbështetjen e partnerëve të ndryshëm sipas nevojës.</w:t>
      </w:r>
      <w:r w:rsidR="008D30FC" w:rsidRPr="007114AF">
        <w:rPr>
          <w:rFonts w:ascii="Garamond" w:hAnsi="Garamond"/>
          <w:sz w:val="24"/>
          <w:szCs w:val="24"/>
        </w:rPr>
        <w:t xml:space="preserve"> </w:t>
      </w:r>
    </w:p>
    <w:p w14:paraId="6EDCF409" w14:textId="77777777"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 xml:space="preserve">Jopërshkrues, në sensin që përzgjedhja e veprimeve prioritare reflekton nivelin e progresit në vend, aktivitetin e aktorëve të ndryshëm si dhe kushtet konkrete të kuadrit të NAP-it. </w:t>
      </w:r>
    </w:p>
    <w:p w14:paraId="6EDCF40A" w14:textId="5E90769C"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 xml:space="preserve">Fokusuar në </w:t>
      </w:r>
      <w:r w:rsidR="0000517F">
        <w:rPr>
          <w:rFonts w:ascii="Garamond" w:hAnsi="Garamond"/>
          <w:sz w:val="24"/>
          <w:szCs w:val="24"/>
        </w:rPr>
        <w:t>i</w:t>
      </w:r>
      <w:r w:rsidR="003A6446" w:rsidRPr="007114AF">
        <w:rPr>
          <w:rFonts w:ascii="Garamond" w:hAnsi="Garamond"/>
          <w:sz w:val="24"/>
          <w:szCs w:val="24"/>
        </w:rPr>
        <w:t>ntegrim, kështu sigurohet një koherencë mes planifikimit të përshtatjes dhe zhvillimit: Ky lloj integrimi përfshin gjithashtu, reflektimin e nevojave për përshtatje në të tërë burimet financiare të nevojshme.</w:t>
      </w:r>
      <w:r w:rsidR="000A2A01" w:rsidRPr="007114AF">
        <w:rPr>
          <w:rFonts w:ascii="Garamond" w:hAnsi="Garamond"/>
          <w:sz w:val="24"/>
          <w:szCs w:val="24"/>
        </w:rPr>
        <w:t xml:space="preserve"> </w:t>
      </w:r>
    </w:p>
    <w:p w14:paraId="6EDCF40B" w14:textId="76B731F5"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Orientuar drejt përmirësimit të menaxhimit të rreziqeve klimatike. Veprimet prioritare të përzgjedhura janë n</w:t>
      </w:r>
      <w:r w:rsidR="0000517F">
        <w:rPr>
          <w:rFonts w:ascii="Garamond" w:hAnsi="Garamond"/>
          <w:sz w:val="24"/>
          <w:szCs w:val="24"/>
        </w:rPr>
        <w:t>ë</w:t>
      </w:r>
      <w:r w:rsidR="003A6446" w:rsidRPr="007114AF">
        <w:rPr>
          <w:rFonts w:ascii="Garamond" w:hAnsi="Garamond"/>
          <w:sz w:val="24"/>
          <w:szCs w:val="24"/>
        </w:rPr>
        <w:t xml:space="preserve"> fakt një list</w:t>
      </w:r>
      <w:r w:rsidR="00E0556A" w:rsidRPr="007114AF">
        <w:rPr>
          <w:rFonts w:ascii="Garamond" w:hAnsi="Garamond"/>
          <w:sz w:val="24"/>
          <w:szCs w:val="24"/>
        </w:rPr>
        <w:t>ë</w:t>
      </w:r>
      <w:r w:rsidR="003A6446" w:rsidRPr="007114AF">
        <w:rPr>
          <w:rFonts w:ascii="Garamond" w:hAnsi="Garamond"/>
          <w:sz w:val="24"/>
          <w:szCs w:val="24"/>
        </w:rPr>
        <w:t xml:space="preserve"> ndërhyrjesh të cilat ndihmojnë në zvogëlimin e rreziqeve të klimës, identifikojnë pika hyrëse në proceset ekzistuese kombëtare si dhe gjejnë fonde nga burime publike, private. Kombëtare dhe ndërkombëtare.</w:t>
      </w:r>
    </w:p>
    <w:p w14:paraId="6EDCF40C" w14:textId="48966DF9"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 xml:space="preserve">Në përputhje me </w:t>
      </w:r>
      <w:r w:rsidR="00E0556A" w:rsidRPr="007114AF">
        <w:rPr>
          <w:rFonts w:ascii="Garamond" w:hAnsi="Garamond"/>
          <w:sz w:val="24"/>
          <w:szCs w:val="24"/>
        </w:rPr>
        <w:t>udhëzimet teknike</w:t>
      </w:r>
      <w:r w:rsidRPr="007114AF">
        <w:rPr>
          <w:rFonts w:ascii="Garamond" w:hAnsi="Garamond"/>
          <w:sz w:val="24"/>
          <w:szCs w:val="24"/>
        </w:rPr>
        <w:t>, Shqipëria e kupton NAP-in si një proces që përfshin palët e ndryshme të interesit dhe organizon bashkëpunimin e tyre, për ta rritur aftësinë rimëkëmbëse të Shqipërisë ndaj ndryshimeve të klimës, në një periudhë afatgjatë.</w:t>
      </w:r>
    </w:p>
    <w:p w14:paraId="6EDCF40D" w14:textId="4E05BC7A"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Parimet orientuese për procesin NAP-it të Shqipërisë përcaktohen në kapitullin</w:t>
      </w:r>
      <w:r w:rsidR="00E0556A" w:rsidRPr="007114AF">
        <w:rPr>
          <w:rFonts w:ascii="Garamond" w:hAnsi="Garamond"/>
          <w:sz w:val="24"/>
          <w:szCs w:val="24"/>
        </w:rPr>
        <w:t xml:space="preserve"> </w:t>
      </w:r>
      <w:r w:rsidRPr="007114AF">
        <w:rPr>
          <w:rFonts w:ascii="Garamond" w:hAnsi="Garamond"/>
          <w:sz w:val="24"/>
          <w:szCs w:val="24"/>
        </w:rPr>
        <w:t>2.9. Deri tani janë bërë hapat e mëposhtëm për zhvillimin e procesit NAP:</w:t>
      </w:r>
    </w:p>
    <w:p w14:paraId="6EDCF40E" w14:textId="77777777"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Lançimi dhe fillimi i procesit NAP, më 19 shkurt 2015.</w:t>
      </w:r>
    </w:p>
    <w:p w14:paraId="6EDCF40F" w14:textId="77777777"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Drejtimi i procesit NAP: Në bazë të vendimit të Kryeministrit, procesi drejtohet nga Ministria e Turizmit dhe Mjedisit në bashkëpunim të ngushtë me Grupin Ndërministror të Punës për Ndryshimet Klimatike.</w:t>
      </w:r>
    </w:p>
    <w:p w14:paraId="6EDCF410" w14:textId="77777777"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Vlerësimi i situatës: Më 19 shkurt 2015 u zhvillua një takim pune me pjesëmarrje të gjerë për vlerësimin e situatës, duke shfrytëzuar instrumentin SNAP-i të përgatitur nga GIZ-i. Kjo pati si rezultat një vlerësim përgjatë 7 faktorëve të suksesit dhe një analizë SWOT-i (pikat e forta, pikate dobëta, mundësi, rreziqe) për Shqipërinë.</w:t>
      </w:r>
    </w:p>
    <w:p w14:paraId="6EDCF411" w14:textId="3B1F7183"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Vlerësimi i vulnerabilitetit nga klima realizuar në bazë të vlerësimeve të mëparshme të vulnerabilitetit, si ato të zhvilluar për Komunikimin e Dytë Kombëtar (2009), për Konventën Kuadër të OKB-së për Ndryshimet Klimatike (UNFCCC), studimet e vulnerabilitetit p</w:t>
      </w:r>
      <w:r w:rsidR="00E0556A" w:rsidRPr="007114AF">
        <w:rPr>
          <w:rFonts w:ascii="Garamond" w:hAnsi="Garamond"/>
          <w:sz w:val="24"/>
          <w:szCs w:val="24"/>
        </w:rPr>
        <w:t>ë</w:t>
      </w:r>
      <w:r w:rsidR="003A6446" w:rsidRPr="007114AF">
        <w:rPr>
          <w:rFonts w:ascii="Garamond" w:hAnsi="Garamond"/>
          <w:sz w:val="24"/>
          <w:szCs w:val="24"/>
        </w:rPr>
        <w:t xml:space="preserve">r sektorin e Bujqësisë (2013), sektorin e Shëndetësisë (2011) dhe sektorin e </w:t>
      </w:r>
      <w:r w:rsidR="00E0556A" w:rsidRPr="007114AF">
        <w:rPr>
          <w:rFonts w:ascii="Garamond" w:hAnsi="Garamond"/>
          <w:sz w:val="24"/>
          <w:szCs w:val="24"/>
        </w:rPr>
        <w:t>energjetikës</w:t>
      </w:r>
      <w:r w:rsidR="003A6446" w:rsidRPr="007114AF">
        <w:rPr>
          <w:rFonts w:ascii="Garamond" w:hAnsi="Garamond"/>
          <w:sz w:val="24"/>
          <w:szCs w:val="24"/>
        </w:rPr>
        <w:t xml:space="preserve"> (2009).</w:t>
      </w:r>
    </w:p>
    <w:p w14:paraId="6EDCF412" w14:textId="77777777"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 xml:space="preserve">Organizimi i procesit: Më 10 qershor 2015, është zhvilluar një takim pune me pjesëmarrje të gjerë për zhvillimin e detyrave, afateve dhe përgjegjësive për procesin NAP-it. Organizimi konkret i procesit të hartimit të NAP-it, është qartësuar gjatë takimit të Grupit Ndërministror të Punës më 8 shtator 2015. Gjithashtu, është hartuar dhe miratuar një draftide për kapitujt që do të mbulohen në këtë dokument. </w:t>
      </w:r>
    </w:p>
    <w:p w14:paraId="6EDCF413" w14:textId="2C2D2C05"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Përcaktimi i objektivave dhe treguesve: Në kuadër të një debati ndërveprues, GNMP-ës NAP-i zhvilloi/përshtati objektivat dhe treguesit për procesin e NAP-it gjatë takimit të datës</w:t>
      </w:r>
      <w:r w:rsidR="000A2A01" w:rsidRPr="007114AF">
        <w:rPr>
          <w:rFonts w:ascii="Garamond" w:hAnsi="Garamond"/>
          <w:sz w:val="24"/>
          <w:szCs w:val="24"/>
        </w:rPr>
        <w:t xml:space="preserve"> </w:t>
      </w:r>
      <w:r w:rsidR="003A6446" w:rsidRPr="007114AF">
        <w:rPr>
          <w:rFonts w:ascii="Garamond" w:hAnsi="Garamond"/>
          <w:sz w:val="24"/>
          <w:szCs w:val="24"/>
        </w:rPr>
        <w:t>27 nëntor 2015.</w:t>
      </w:r>
    </w:p>
    <w:p w14:paraId="6EDCF414" w14:textId="77777777"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Integrimi i përshtatjes ndaj ndryshimeve klimatike në politikat sektoriale dhe politikat për zhvillimin: Lançimi i përdorimit për herë të parë të thjerrës klimatike në SKZHI-në më 19 qershor 2015.</w:t>
      </w:r>
    </w:p>
    <w:p w14:paraId="6EDCF415" w14:textId="35E1BCD2"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Trajnimi dhe reflektimi për financimin në lidhje me klimën: Më 7 shtator 2015 u zhvillua një takimi posaçëm pune për financimin lidhur me klimën së bashku me Autoritetin Kombëtar</w:t>
      </w:r>
      <w:r w:rsidR="00E0556A" w:rsidRPr="007114AF">
        <w:rPr>
          <w:rFonts w:ascii="Garamond" w:hAnsi="Garamond"/>
          <w:sz w:val="24"/>
          <w:szCs w:val="24"/>
        </w:rPr>
        <w:t xml:space="preserve"> </w:t>
      </w:r>
      <w:r w:rsidR="003A6446" w:rsidRPr="007114AF">
        <w:rPr>
          <w:rFonts w:ascii="Garamond" w:hAnsi="Garamond"/>
          <w:sz w:val="24"/>
          <w:szCs w:val="24"/>
        </w:rPr>
        <w:t>të Përcaktuar. Më 8 shtator 2015 u zhvillua një seancë trajnimi për financimin e lidhur me klimën gjatë takimit</w:t>
      </w:r>
      <w:r w:rsidR="00E0556A" w:rsidRPr="007114AF">
        <w:rPr>
          <w:rFonts w:ascii="Garamond" w:hAnsi="Garamond"/>
          <w:sz w:val="24"/>
          <w:szCs w:val="24"/>
        </w:rPr>
        <w:t xml:space="preserve"> </w:t>
      </w:r>
      <w:r w:rsidR="003A6446" w:rsidRPr="007114AF">
        <w:rPr>
          <w:rFonts w:ascii="Garamond" w:hAnsi="Garamond"/>
          <w:sz w:val="24"/>
          <w:szCs w:val="24"/>
        </w:rPr>
        <w:t>të Grupit Ndërministror të Punës.</w:t>
      </w:r>
    </w:p>
    <w:p w14:paraId="6EDCF416" w14:textId="4BFA76AB"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Diskutim i përbashkët i versionit të parë të dokumentit NAP: Gjatë mbledhjes së GNMP-ës NAP-i</w:t>
      </w:r>
      <w:r w:rsidR="000A2A01" w:rsidRPr="007114AF">
        <w:rPr>
          <w:rFonts w:ascii="Garamond" w:hAnsi="Garamond"/>
          <w:sz w:val="24"/>
          <w:szCs w:val="24"/>
        </w:rPr>
        <w:t xml:space="preserve"> </w:t>
      </w:r>
      <w:r w:rsidR="003A6446" w:rsidRPr="007114AF">
        <w:rPr>
          <w:rFonts w:ascii="Garamond" w:hAnsi="Garamond"/>
          <w:sz w:val="24"/>
          <w:szCs w:val="24"/>
        </w:rPr>
        <w:t xml:space="preserve">më 28 prill 2016 u diskutua dhe u komentua për ndryshime versioni i parë i dokumentit të NAP-it. </w:t>
      </w:r>
    </w:p>
    <w:p w14:paraId="6EDCF417" w14:textId="36CB3FC6"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Trajnim mbi zbatimin e politikave të ndryshimeve klimatike në Shqipëri: Një trajnim u organizua për Departamentin e Ndryshimeve Klimatike dhe Ajrit (MM), si dhe për Agjencinë Kombëtare të Mjedisit më 13-15 korrik. Trajnimi kishte për qëllim ngritjen e kapaciteteve në veçanti për depa</w:t>
      </w:r>
      <w:r w:rsidR="00E505D0">
        <w:rPr>
          <w:rFonts w:ascii="Garamond" w:hAnsi="Garamond"/>
          <w:sz w:val="24"/>
          <w:szCs w:val="24"/>
        </w:rPr>
        <w:t>rtamentin e ri të krijuar në MM</w:t>
      </w:r>
      <w:r w:rsidR="003A6446" w:rsidRPr="007114AF">
        <w:rPr>
          <w:rFonts w:ascii="Garamond" w:hAnsi="Garamond"/>
          <w:sz w:val="24"/>
          <w:szCs w:val="24"/>
        </w:rPr>
        <w:t>, në përcaktimin e ndarjen e detyrave të veçanta dhe krijimin e një ideje mbi krijimin e një sistemi monitorimi dhe vlerësimi për procesin e NAP-it.</w:t>
      </w:r>
    </w:p>
    <w:p w14:paraId="6EDCF418" w14:textId="14FB09B3" w:rsidR="003A6446" w:rsidRPr="007114AF" w:rsidRDefault="00164B6B" w:rsidP="003A6446">
      <w:pPr>
        <w:spacing w:after="0" w:line="240" w:lineRule="auto"/>
        <w:ind w:firstLine="284"/>
        <w:rPr>
          <w:rFonts w:ascii="Garamond" w:hAnsi="Garamond"/>
          <w:sz w:val="24"/>
          <w:szCs w:val="24"/>
        </w:rPr>
      </w:pPr>
      <w:r w:rsidRPr="007114AF">
        <w:rPr>
          <w:rFonts w:ascii="Garamond" w:hAnsi="Garamond"/>
          <w:sz w:val="24"/>
          <w:szCs w:val="24"/>
        </w:rPr>
        <w:t xml:space="preserve">- </w:t>
      </w:r>
      <w:r w:rsidR="003A6446" w:rsidRPr="007114AF">
        <w:rPr>
          <w:rFonts w:ascii="Garamond" w:hAnsi="Garamond"/>
          <w:sz w:val="24"/>
          <w:szCs w:val="24"/>
        </w:rPr>
        <w:t>Workshop-i mbi mundësitë e financimit për klimën: Me 21 tetor u organizua një seminar me pjesëmarrësit GPNM-ës dhe gjithashtu me personat respektivë të buxhetit të ministrive të linjës,</w:t>
      </w:r>
      <w:r w:rsidR="000A2A01" w:rsidRPr="007114AF">
        <w:rPr>
          <w:rFonts w:ascii="Garamond" w:hAnsi="Garamond"/>
          <w:sz w:val="24"/>
          <w:szCs w:val="24"/>
        </w:rPr>
        <w:t xml:space="preserve"> </w:t>
      </w:r>
      <w:r w:rsidR="003A6446" w:rsidRPr="007114AF">
        <w:rPr>
          <w:rFonts w:ascii="Garamond" w:hAnsi="Garamond"/>
          <w:sz w:val="24"/>
          <w:szCs w:val="24"/>
        </w:rPr>
        <w:t xml:space="preserve">për të diskutuar opsionet e mundshme të financimit (ato kombëtare dhe ndërkombëtare) për zbatimin NAP-it. Dokumenti i financimit të NAP-it jepet në </w:t>
      </w:r>
      <w:r w:rsidR="00E0556A" w:rsidRPr="007114AF">
        <w:rPr>
          <w:rFonts w:ascii="Garamond" w:hAnsi="Garamond"/>
          <w:sz w:val="24"/>
          <w:szCs w:val="24"/>
        </w:rPr>
        <w:t>a</w:t>
      </w:r>
      <w:r w:rsidR="003A6446" w:rsidRPr="007114AF">
        <w:rPr>
          <w:rFonts w:ascii="Garamond" w:hAnsi="Garamond"/>
          <w:sz w:val="24"/>
          <w:szCs w:val="24"/>
        </w:rPr>
        <w:t>neksin 3.</w:t>
      </w:r>
    </w:p>
    <w:p w14:paraId="6EDCF419" w14:textId="77777777" w:rsidR="003A6446" w:rsidRPr="007114AF" w:rsidRDefault="00164B6B" w:rsidP="003A6446">
      <w:pPr>
        <w:spacing w:after="0" w:line="240" w:lineRule="auto"/>
        <w:ind w:firstLine="284"/>
        <w:rPr>
          <w:rFonts w:ascii="Garamond" w:hAnsi="Garamond"/>
          <w:sz w:val="24"/>
          <w:szCs w:val="24"/>
        </w:rPr>
      </w:pPr>
      <w:bookmarkStart w:id="8" w:name="_Toc484424471"/>
      <w:r w:rsidRPr="007114AF">
        <w:rPr>
          <w:rFonts w:ascii="Garamond" w:hAnsi="Garamond"/>
          <w:sz w:val="24"/>
          <w:szCs w:val="24"/>
        </w:rPr>
        <w:t xml:space="preserve">2. </w:t>
      </w:r>
      <w:r w:rsidR="003A6446" w:rsidRPr="007114AF">
        <w:rPr>
          <w:rFonts w:ascii="Garamond" w:hAnsi="Garamond"/>
          <w:sz w:val="24"/>
          <w:szCs w:val="24"/>
        </w:rPr>
        <w:t>ANALIZË E SITUAT</w:t>
      </w:r>
      <w:bookmarkEnd w:id="5"/>
      <w:bookmarkEnd w:id="6"/>
      <w:r w:rsidR="003A6446" w:rsidRPr="007114AF">
        <w:rPr>
          <w:rFonts w:ascii="Garamond" w:hAnsi="Garamond"/>
          <w:sz w:val="24"/>
          <w:szCs w:val="24"/>
        </w:rPr>
        <w:t>ËS AKTUALE</w:t>
      </w:r>
      <w:bookmarkEnd w:id="8"/>
    </w:p>
    <w:p w14:paraId="6EDCF41A" w14:textId="77777777" w:rsidR="003A6446" w:rsidRPr="007114AF" w:rsidRDefault="00164B6B" w:rsidP="003A6446">
      <w:pPr>
        <w:spacing w:after="0" w:line="240" w:lineRule="auto"/>
        <w:ind w:firstLine="284"/>
        <w:rPr>
          <w:rFonts w:ascii="Garamond" w:hAnsi="Garamond"/>
          <w:sz w:val="24"/>
          <w:szCs w:val="24"/>
        </w:rPr>
      </w:pPr>
      <w:bookmarkStart w:id="9" w:name="_Toc450135223"/>
      <w:bookmarkStart w:id="10" w:name="_Toc450151826"/>
      <w:bookmarkStart w:id="11" w:name="_Toc484424472"/>
      <w:r w:rsidRPr="007114AF">
        <w:rPr>
          <w:rFonts w:ascii="Garamond" w:hAnsi="Garamond"/>
          <w:sz w:val="24"/>
          <w:szCs w:val="24"/>
        </w:rPr>
        <w:t xml:space="preserve">2.1 </w:t>
      </w:r>
      <w:r w:rsidR="003A6446" w:rsidRPr="007114AF">
        <w:rPr>
          <w:rFonts w:ascii="Garamond" w:hAnsi="Garamond"/>
          <w:sz w:val="24"/>
          <w:szCs w:val="24"/>
        </w:rPr>
        <w:t>Shkenca e ndryshimeve klimatik</w:t>
      </w:r>
      <w:bookmarkEnd w:id="9"/>
      <w:bookmarkEnd w:id="10"/>
      <w:r w:rsidR="003A6446" w:rsidRPr="007114AF">
        <w:rPr>
          <w:rFonts w:ascii="Garamond" w:hAnsi="Garamond"/>
          <w:sz w:val="24"/>
          <w:szCs w:val="24"/>
        </w:rPr>
        <w:t>e</w:t>
      </w:r>
      <w:bookmarkEnd w:id="11"/>
    </w:p>
    <w:p w14:paraId="6EDCF41B" w14:textId="5CC1CA0B"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 xml:space="preserve">Prova e ndikimit njerëzor në sistemin klimatik është rritur që prej fillimit të viteve </w:t>
      </w:r>
      <w:r w:rsidR="00D10DAB" w:rsidRPr="007114AF">
        <w:rPr>
          <w:rFonts w:ascii="Garamond" w:hAnsi="Garamond"/>
          <w:sz w:val="24"/>
          <w:szCs w:val="24"/>
        </w:rPr>
        <w:t>‘</w:t>
      </w:r>
      <w:r w:rsidRPr="007114AF">
        <w:rPr>
          <w:rFonts w:ascii="Garamond" w:hAnsi="Garamond"/>
          <w:sz w:val="24"/>
          <w:szCs w:val="24"/>
        </w:rPr>
        <w:t>90, si dhe është afirmuar dhe pranuar gjerësisht në Raportin e Katërt Vlerësues (AR4) të Panelit Ndërkombëtar për Ndryshimet Klimatike, botuar në vitin 2007. Ka shumë gjasa që rritja e vëzhguar në temperaturën mesatare globale sipërfaqësore, të jetë shkaktuar nga rritja antropogjenike e përqendrimeve GES-it dhe faktorëve të tjerë antropogjenikë së bashku.</w:t>
      </w:r>
    </w:p>
    <w:p w14:paraId="6EDCF41C" w14:textId="30158C5F"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Efekti i ndryshimeve klimatike është i qartë në mbarë botën, teksa ndryshimet në temperaturë dhe precipitime po i ndryshojnë sistemet hidrologjike, duke ndikuar në burimet ujore në</w:t>
      </w:r>
      <w:r w:rsidR="00E0556A" w:rsidRPr="007114AF">
        <w:rPr>
          <w:rFonts w:ascii="Garamond" w:hAnsi="Garamond"/>
          <w:sz w:val="24"/>
          <w:szCs w:val="24"/>
        </w:rPr>
        <w:t xml:space="preserve"> </w:t>
      </w:r>
      <w:r w:rsidRPr="007114AF">
        <w:rPr>
          <w:rFonts w:ascii="Garamond" w:hAnsi="Garamond"/>
          <w:sz w:val="24"/>
          <w:szCs w:val="24"/>
        </w:rPr>
        <w:t>sasi dhe cilësi. Shumë specie tokësore, të ujërave të ëmbla dhe detare, i kanë zhvendosur shtrirjet e tyre gjeografike, aktivitetet sezonale, modelet e migrimit, sasitë dhe ndërveprimet e specieve, si reagim ndaj ndryshimeve klimatike në vazhdim. Po ashtu, janë vëzhguar shumë ngjarje të motit dhe klimës ekstreme, përfshirë rënien e ekstremeve të temperaturave të ftohta, rritjen e ekstremeve të temperaturave të larta, rritjen e niveleve të deteve dhe rritjen e numrit të ngjarjeve me precipitim të dendur në një numër rajonesh.</w:t>
      </w:r>
    </w:p>
    <w:p w14:paraId="6EDCF41D" w14:textId="3F73B986"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Në veçanti, rajoni i Mesdheut është konsideruar shumë i cenueshëm ndaj ndryshimeve klimatike. Rajoni i Mesdheut karakterizohet nga një risk i lartë për të pësuar dëmtime të shumta dhe të njëpasnjëshme, për shkak të ndryshimeve klimatike që përfshijnë njëkohësisht gjithë sektorët kryesorë, si turizmin, bujqësinë, pylltarinë, infrastrukturën, energjinë dhe shëndetin publik. Ndryshimet në përbërjen e llojeve, shtimi i specieve të huaja, humbja e habitatit dhe degradimi i tokës dhe detit, së bashku me humbjet e prodhimeve bujqësore dhe të pylltarisë, për shkak të shtimit të valëve të të nxehtit dhe thatësirave, që përkeqësohen gjithashtu nga gara për ujë-</w:t>
      </w:r>
      <w:r w:rsidR="000A2A01" w:rsidRPr="007114AF">
        <w:rPr>
          <w:rFonts w:ascii="Garamond" w:hAnsi="Garamond"/>
          <w:sz w:val="24"/>
          <w:szCs w:val="24"/>
        </w:rPr>
        <w:t xml:space="preserve"> </w:t>
      </w:r>
      <w:r w:rsidRPr="007114AF">
        <w:rPr>
          <w:rFonts w:ascii="Garamond" w:hAnsi="Garamond"/>
          <w:sz w:val="24"/>
          <w:szCs w:val="24"/>
        </w:rPr>
        <w:t>do ta rrisë cenueshmërinë</w:t>
      </w:r>
      <w:r w:rsidRPr="007114AF">
        <w:rPr>
          <w:rFonts w:ascii="Garamond" w:hAnsi="Garamond"/>
          <w:sz w:val="24"/>
          <w:szCs w:val="24"/>
          <w:vertAlign w:val="superscript"/>
        </w:rPr>
        <w:footnoteReference w:id="8"/>
      </w:r>
      <w:r w:rsidRPr="007114AF">
        <w:rPr>
          <w:rFonts w:ascii="Garamond" w:hAnsi="Garamond"/>
          <w:sz w:val="24"/>
          <w:szCs w:val="24"/>
        </w:rPr>
        <w:t>.</w:t>
      </w:r>
    </w:p>
    <w:p w14:paraId="6EDCF41E" w14:textId="33F070C4"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Skenari i ardhshëm klimatik për Shqipërinë parashikon ndryshime, si temperatura të rritura, pakësim të precipitimeve dhe reduktim të burimeve ujore dhe tokës së punueshme. Zonat më të ndjeshme në Shqipëri janë ato bregdetare, ndërsa sektorët më të cenueshëm janë burimet ujore, bujqësia, energjia dhe turizmi. Në veçanti, pritet gjithashtu, që ndryshimet klimatike të shkaktojnë rritje temperaturash me 0.8°C</w:t>
      </w:r>
      <w:r w:rsidR="00A40566" w:rsidRPr="007114AF">
        <w:rPr>
          <w:rFonts w:ascii="Garamond" w:hAnsi="Garamond"/>
          <w:sz w:val="24"/>
          <w:szCs w:val="24"/>
        </w:rPr>
        <w:t xml:space="preserve"> </w:t>
      </w:r>
      <w:r w:rsidRPr="007114AF">
        <w:rPr>
          <w:rFonts w:ascii="Garamond" w:hAnsi="Garamond"/>
          <w:sz w:val="24"/>
          <w:szCs w:val="24"/>
        </w:rPr>
        <w:t>deri 1.0°C deri në vitin 2025, nga 1.2°C</w:t>
      </w:r>
      <w:r w:rsidR="00A40566" w:rsidRPr="007114AF">
        <w:rPr>
          <w:rFonts w:ascii="Garamond" w:hAnsi="Garamond"/>
          <w:sz w:val="24"/>
          <w:szCs w:val="24"/>
        </w:rPr>
        <w:t xml:space="preserve"> </w:t>
      </w:r>
      <w:r w:rsidRPr="007114AF">
        <w:rPr>
          <w:rFonts w:ascii="Garamond" w:hAnsi="Garamond"/>
          <w:sz w:val="24"/>
          <w:szCs w:val="24"/>
        </w:rPr>
        <w:t>deri në 1.8°C deri në vitin 2050, si dhe nga 2.1°C</w:t>
      </w:r>
      <w:r w:rsidR="00A40566" w:rsidRPr="007114AF">
        <w:rPr>
          <w:rFonts w:ascii="Garamond" w:hAnsi="Garamond"/>
          <w:sz w:val="24"/>
          <w:szCs w:val="24"/>
        </w:rPr>
        <w:t xml:space="preserve"> </w:t>
      </w:r>
      <w:r w:rsidRPr="007114AF">
        <w:rPr>
          <w:rFonts w:ascii="Garamond" w:hAnsi="Garamond"/>
          <w:sz w:val="24"/>
          <w:szCs w:val="24"/>
        </w:rPr>
        <w:t>deri në 3.6°C deri në vitin 2100</w:t>
      </w:r>
      <w:r w:rsidRPr="007114AF">
        <w:rPr>
          <w:rFonts w:ascii="Garamond" w:hAnsi="Garamond"/>
          <w:sz w:val="24"/>
          <w:szCs w:val="24"/>
          <w:vertAlign w:val="superscript"/>
        </w:rPr>
        <w:footnoteReference w:id="9"/>
      </w:r>
      <w:r w:rsidRPr="007114AF">
        <w:rPr>
          <w:rFonts w:ascii="Garamond" w:hAnsi="Garamond"/>
          <w:sz w:val="24"/>
          <w:szCs w:val="24"/>
        </w:rPr>
        <w:t>. Ky ndryshim në klimë do t</w:t>
      </w:r>
      <w:r w:rsidR="00D10DAB" w:rsidRPr="007114AF">
        <w:rPr>
          <w:rFonts w:ascii="Garamond" w:hAnsi="Garamond"/>
          <w:sz w:val="24"/>
          <w:szCs w:val="24"/>
        </w:rPr>
        <w:t>’</w:t>
      </w:r>
      <w:r w:rsidRPr="007114AF">
        <w:rPr>
          <w:rFonts w:ascii="Garamond" w:hAnsi="Garamond"/>
          <w:sz w:val="24"/>
          <w:szCs w:val="24"/>
        </w:rPr>
        <w:t>i reduktojë burimet ujore dhe lagështinë, si dhe do të ketë një ndikim të pafavorshëm mbi bujqësinë, pyjet dhe biodiversitetin. Ndryshimet e ardhshme të klimës priten të ndikojnë negativisht mbi rrjedhën e lumenjve, që nga ana e tyre do të ndikojnë në kapacitetin gjenerues të hidrocentraleve.</w:t>
      </w:r>
    </w:p>
    <w:p w14:paraId="6EDCF41F" w14:textId="5A39245A"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Shkarkimet e vazhdueshme të gazeve serrë do të shkaktojnë ngrohje të mëtejshme dhe ndryshime afatgjata në sistemin klimatik, duke rritur gjasat për ndikime të ashpra, përhapëse dhe të pakthyeshme për njerëzit dhe ekosistemet</w:t>
      </w:r>
      <w:r w:rsidRPr="007114AF">
        <w:rPr>
          <w:rFonts w:ascii="Garamond" w:hAnsi="Garamond"/>
          <w:sz w:val="24"/>
          <w:szCs w:val="24"/>
          <w:vertAlign w:val="superscript"/>
        </w:rPr>
        <w:footnoteReference w:id="10"/>
      </w:r>
      <w:r w:rsidR="00191838" w:rsidRPr="007114AF">
        <w:rPr>
          <w:rFonts w:ascii="Garamond" w:hAnsi="Garamond"/>
          <w:sz w:val="24"/>
          <w:szCs w:val="24"/>
        </w:rPr>
        <w:t>.</w:t>
      </w:r>
      <w:r w:rsidRPr="007114AF">
        <w:rPr>
          <w:rFonts w:ascii="Garamond" w:hAnsi="Garamond"/>
          <w:sz w:val="24"/>
          <w:szCs w:val="24"/>
        </w:rPr>
        <w:t xml:space="preserve"> Shkarkimet antropogjenike GES</w:t>
      </w:r>
      <w:r w:rsidR="00862C8C" w:rsidRPr="007114AF">
        <w:rPr>
          <w:rFonts w:ascii="Garamond" w:hAnsi="Garamond"/>
          <w:sz w:val="24"/>
          <w:szCs w:val="24"/>
        </w:rPr>
        <w:t xml:space="preserve"> </w:t>
      </w:r>
      <w:r w:rsidRPr="007114AF">
        <w:rPr>
          <w:rFonts w:ascii="Garamond" w:hAnsi="Garamond"/>
          <w:sz w:val="24"/>
          <w:szCs w:val="24"/>
        </w:rPr>
        <w:t>nxiten nga shumë faktorë, si madhësia e popullsisë, aktiviteti ekonomik, stili i jetesës, përdorimi i energjisë, modelet e përdorimit të tokës, teknologjia dhe politikat klimatike. Parashikimet e ardhshme të shkarkimeve GESdhe përqendrimet atmosferike, shkarkimet që ndotin ajrin dhe përdorimi i tokës në skenarët RCP-ës</w:t>
      </w:r>
      <w:r w:rsidR="00E505D0">
        <w:rPr>
          <w:rFonts w:ascii="Garamond" w:hAnsi="Garamond"/>
          <w:sz w:val="24"/>
          <w:szCs w:val="24"/>
        </w:rPr>
        <w:t xml:space="preserve"> </w:t>
      </w:r>
      <w:r w:rsidRPr="007114AF">
        <w:rPr>
          <w:rFonts w:ascii="Garamond" w:hAnsi="Garamond"/>
          <w:sz w:val="24"/>
          <w:szCs w:val="24"/>
        </w:rPr>
        <w:t>për shekullin XXI të IPCC-ës AR5 tregojnë, se edhe në skenarin më të rreptë të masave zbutëse, një ngrohje globale me gjasë, nën 2°C të temperaturës globale të sipërfaqes mbi temperaturat e periudhës paraindustriale. Kufizimi i ndryshimeve klimatike do të kërkonte reduktime të mëdha të shkarkimeve të gazrave serrë që së bashku me adaptimin, mund t</w:t>
      </w:r>
      <w:r w:rsidR="00D10DAB" w:rsidRPr="007114AF">
        <w:rPr>
          <w:rFonts w:ascii="Garamond" w:hAnsi="Garamond"/>
          <w:sz w:val="24"/>
          <w:szCs w:val="24"/>
        </w:rPr>
        <w:t>’</w:t>
      </w:r>
      <w:r w:rsidRPr="007114AF">
        <w:rPr>
          <w:rFonts w:ascii="Garamond" w:hAnsi="Garamond"/>
          <w:sz w:val="24"/>
          <w:szCs w:val="24"/>
        </w:rPr>
        <w:t>i kufizojnë risqet e ndryshimeve klimatike.</w:t>
      </w:r>
    </w:p>
    <w:p w14:paraId="6EDCF420" w14:textId="77777777" w:rsidR="003A6446" w:rsidRPr="007114AF" w:rsidRDefault="00164B6B" w:rsidP="003A6446">
      <w:pPr>
        <w:spacing w:after="0" w:line="240" w:lineRule="auto"/>
        <w:ind w:firstLine="284"/>
        <w:rPr>
          <w:rFonts w:ascii="Garamond" w:hAnsi="Garamond"/>
          <w:sz w:val="24"/>
          <w:szCs w:val="24"/>
        </w:rPr>
      </w:pPr>
      <w:bookmarkStart w:id="12" w:name="_Toc450135224"/>
      <w:bookmarkStart w:id="13" w:name="_Toc450151827"/>
      <w:bookmarkStart w:id="14" w:name="_Toc484424473"/>
      <w:r w:rsidRPr="007114AF">
        <w:rPr>
          <w:rFonts w:ascii="Garamond" w:hAnsi="Garamond"/>
          <w:sz w:val="24"/>
          <w:szCs w:val="24"/>
        </w:rPr>
        <w:t xml:space="preserve">2.2 </w:t>
      </w:r>
      <w:r w:rsidR="003A6446" w:rsidRPr="007114AF">
        <w:rPr>
          <w:rFonts w:ascii="Garamond" w:hAnsi="Garamond"/>
          <w:sz w:val="24"/>
          <w:szCs w:val="24"/>
        </w:rPr>
        <w:t>Konteksti ndërkombëtar i politikës së ndryshimeve klimatik</w:t>
      </w:r>
      <w:bookmarkEnd w:id="12"/>
      <w:bookmarkEnd w:id="13"/>
      <w:r w:rsidR="003A6446" w:rsidRPr="007114AF">
        <w:rPr>
          <w:rFonts w:ascii="Garamond" w:hAnsi="Garamond"/>
          <w:sz w:val="24"/>
          <w:szCs w:val="24"/>
        </w:rPr>
        <w:t>e</w:t>
      </w:r>
      <w:bookmarkEnd w:id="14"/>
    </w:p>
    <w:p w14:paraId="6EDCF421" w14:textId="44F5A8CA"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 xml:space="preserve">Gjatë dy dekadave të fundit, sfida e ndryshimeve klimatike është përballur me një qasje për përgjegjësi të përbashkët në procesin ndërkombëtar të negocimit, që ka çuar në instrumente të rëndësishme ligjore të detyrueshme me angazhime të diferencuara ndonëse të krahasueshme, në bazë të parimit të përgjegjësive të përbashkëta, por të diferencuara dhe aftësive përkatëse mes vendeve. </w:t>
      </w:r>
    </w:p>
    <w:p w14:paraId="6EDCF422" w14:textId="5B14B878"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Objektivi për stabilizimin e përqendrimeve GES</w:t>
      </w:r>
      <w:r w:rsidR="001E65EC">
        <w:rPr>
          <w:rFonts w:ascii="Garamond" w:hAnsi="Garamond"/>
          <w:sz w:val="24"/>
          <w:szCs w:val="24"/>
        </w:rPr>
        <w:t xml:space="preserve"> </w:t>
      </w:r>
      <w:r w:rsidRPr="007114AF">
        <w:rPr>
          <w:rFonts w:ascii="Garamond" w:hAnsi="Garamond"/>
          <w:sz w:val="24"/>
          <w:szCs w:val="24"/>
        </w:rPr>
        <w:t>në atmosferë, duke lejuar zhvillimin e qëndrueshëm (</w:t>
      </w:r>
      <w:r w:rsidR="001C3983" w:rsidRPr="007114AF">
        <w:rPr>
          <w:rFonts w:ascii="Garamond" w:hAnsi="Garamond"/>
          <w:sz w:val="24"/>
          <w:szCs w:val="24"/>
        </w:rPr>
        <w:t>n</w:t>
      </w:r>
      <w:r w:rsidRPr="007114AF">
        <w:rPr>
          <w:rFonts w:ascii="Garamond" w:hAnsi="Garamond"/>
          <w:sz w:val="24"/>
          <w:szCs w:val="24"/>
        </w:rPr>
        <w:t xml:space="preserve">eni 2 i UNFCCC), u përdor për herë të parë gjatë Konventës Kuadër të Kombeve të Bashkuara për Ndryshimet Klimatike (UNFCCC), të miratuar në </w:t>
      </w:r>
      <w:r w:rsidR="000A2A01" w:rsidRPr="007114AF">
        <w:rPr>
          <w:rFonts w:ascii="Garamond" w:hAnsi="Garamond"/>
          <w:sz w:val="24"/>
          <w:szCs w:val="24"/>
        </w:rPr>
        <w:t>“</w:t>
      </w:r>
      <w:r w:rsidRPr="007114AF">
        <w:rPr>
          <w:rFonts w:ascii="Garamond" w:hAnsi="Garamond"/>
          <w:sz w:val="24"/>
          <w:szCs w:val="24"/>
        </w:rPr>
        <w:t>Samitin e Rios për Tokën</w:t>
      </w:r>
      <w:r w:rsidR="000A2A01" w:rsidRPr="007114AF">
        <w:rPr>
          <w:rFonts w:ascii="Garamond" w:hAnsi="Garamond"/>
          <w:sz w:val="24"/>
          <w:szCs w:val="24"/>
        </w:rPr>
        <w:t>”</w:t>
      </w:r>
      <w:r w:rsidRPr="007114AF">
        <w:rPr>
          <w:rFonts w:ascii="Garamond" w:hAnsi="Garamond"/>
          <w:sz w:val="24"/>
          <w:szCs w:val="24"/>
        </w:rPr>
        <w:t xml:space="preserve"> në vitin 1992. Konventa nuk vendos objektiva të matshëm reduktimi (që përfshihen në Protokollin e Kiotos),</w:t>
      </w:r>
      <w:r w:rsidR="005E7F0F" w:rsidRPr="007114AF">
        <w:rPr>
          <w:rFonts w:ascii="Garamond" w:hAnsi="Garamond"/>
          <w:sz w:val="24"/>
          <w:szCs w:val="24"/>
        </w:rPr>
        <w:t xml:space="preserve"> </w:t>
      </w:r>
      <w:r w:rsidRPr="007114AF">
        <w:rPr>
          <w:rFonts w:ascii="Garamond" w:hAnsi="Garamond"/>
          <w:sz w:val="24"/>
          <w:szCs w:val="24"/>
        </w:rPr>
        <w:t>por përcaktoi detyrimet e raportimit të shkarkimeve GES</w:t>
      </w:r>
      <w:r w:rsidR="005E7F0F" w:rsidRPr="007114AF">
        <w:rPr>
          <w:rFonts w:ascii="Garamond" w:hAnsi="Garamond"/>
          <w:sz w:val="24"/>
          <w:szCs w:val="24"/>
        </w:rPr>
        <w:t xml:space="preserve"> </w:t>
      </w:r>
      <w:r w:rsidRPr="007114AF">
        <w:rPr>
          <w:rFonts w:ascii="Garamond" w:hAnsi="Garamond"/>
          <w:sz w:val="24"/>
          <w:szCs w:val="24"/>
        </w:rPr>
        <w:t>nga gjithë sektorët (neni</w:t>
      </w:r>
      <w:r w:rsidR="000A2A01" w:rsidRPr="007114AF">
        <w:rPr>
          <w:rFonts w:ascii="Garamond" w:hAnsi="Garamond"/>
          <w:sz w:val="24"/>
          <w:szCs w:val="24"/>
        </w:rPr>
        <w:t xml:space="preserve"> </w:t>
      </w:r>
      <w:r w:rsidRPr="007114AF">
        <w:rPr>
          <w:rFonts w:ascii="Garamond" w:hAnsi="Garamond"/>
          <w:sz w:val="24"/>
          <w:szCs w:val="24"/>
        </w:rPr>
        <w:t xml:space="preserve">4.1 i UNFCCC-ës). </w:t>
      </w:r>
    </w:p>
    <w:p w14:paraId="6EDCF423" w14:textId="2B952969"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Protokolli i Kiotos (PK), i miratuar në vitin 1997,gjatë Konferencës së 3-të të Palëve (KeP 3) të UNFCCC-ës, përcakton objektiva të matsh</w:t>
      </w:r>
      <w:r w:rsidR="00A67A6F">
        <w:rPr>
          <w:rFonts w:ascii="Garamond" w:hAnsi="Garamond"/>
          <w:sz w:val="24"/>
          <w:szCs w:val="24"/>
        </w:rPr>
        <w:t>ë</w:t>
      </w:r>
      <w:r w:rsidRPr="007114AF">
        <w:rPr>
          <w:rFonts w:ascii="Garamond" w:hAnsi="Garamond"/>
          <w:sz w:val="24"/>
          <w:szCs w:val="24"/>
        </w:rPr>
        <w:t>m për reduktimin e shkarkimeve GES, nga gjithë sektorët në vendet e zhvilluara (</w:t>
      </w:r>
      <w:r w:rsidR="001C3983" w:rsidRPr="007114AF">
        <w:rPr>
          <w:rFonts w:ascii="Garamond" w:hAnsi="Garamond"/>
          <w:sz w:val="24"/>
          <w:szCs w:val="24"/>
        </w:rPr>
        <w:t>a</w:t>
      </w:r>
      <w:r w:rsidRPr="007114AF">
        <w:rPr>
          <w:rFonts w:ascii="Garamond" w:hAnsi="Garamond"/>
          <w:sz w:val="24"/>
          <w:szCs w:val="24"/>
        </w:rPr>
        <w:t xml:space="preserve">neksi I i UNFCCC). Palët që nuk janë përfshirë në </w:t>
      </w:r>
      <w:r w:rsidR="001E65EC">
        <w:rPr>
          <w:rFonts w:ascii="Garamond" w:hAnsi="Garamond"/>
          <w:sz w:val="24"/>
          <w:szCs w:val="24"/>
        </w:rPr>
        <w:t>a</w:t>
      </w:r>
      <w:r w:rsidRPr="007114AF">
        <w:rPr>
          <w:rFonts w:ascii="Garamond" w:hAnsi="Garamond"/>
          <w:sz w:val="24"/>
          <w:szCs w:val="24"/>
        </w:rPr>
        <w:t xml:space="preserve">neksin I, nxiten po ashtu të ndjekin një udhë të zhvillimit të qëndrueshëm dhe të kontribuojnë për objektivin e fundit të Konventës përmes mekanizmit të zhvillimit të pastër (CDM). CDM lejon projekte për reduktimin e shkarkimeve në vendet në zhvillim për të fituar kredite të certifikuara për reduktimin e shkarkimeve GES, që do të përdoren nga Palët e përfshira në </w:t>
      </w:r>
      <w:r w:rsidR="00677294" w:rsidRPr="007114AF">
        <w:rPr>
          <w:rFonts w:ascii="Garamond" w:hAnsi="Garamond"/>
          <w:sz w:val="24"/>
          <w:szCs w:val="24"/>
        </w:rPr>
        <w:t>a</w:t>
      </w:r>
      <w:r w:rsidRPr="007114AF">
        <w:rPr>
          <w:rFonts w:ascii="Garamond" w:hAnsi="Garamond"/>
          <w:sz w:val="24"/>
          <w:szCs w:val="24"/>
        </w:rPr>
        <w:t xml:space="preserve">neksin I, për arritjen e përputhshmërisë me angazhimet e tyre të matshme për reduktimin e shkarkimeve në kuadrin e </w:t>
      </w:r>
      <w:r w:rsidR="00677294" w:rsidRPr="007114AF">
        <w:rPr>
          <w:rFonts w:ascii="Garamond" w:hAnsi="Garamond"/>
          <w:sz w:val="24"/>
          <w:szCs w:val="24"/>
        </w:rPr>
        <w:t>n</w:t>
      </w:r>
      <w:r w:rsidRPr="007114AF">
        <w:rPr>
          <w:rFonts w:ascii="Garamond" w:hAnsi="Garamond"/>
          <w:sz w:val="24"/>
          <w:szCs w:val="24"/>
        </w:rPr>
        <w:t>enit 3.</w:t>
      </w:r>
    </w:p>
    <w:p w14:paraId="6EDCF424" w14:textId="5A3CC7C2"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Në Konferencën e 18-të të Palëve të UNFCCC-ës (KeP 18), mbajtur në Doha, Katar, në dhjetor 2012, u miratua një amendim i Protokollit të Kiotos, që zyrtarizon hyrjen në fuqi të periudhës së dytë të angazhimit (2013-2020). Gjithsej 144 palëve u kërkohet ta miratojnë amendimin Doha për hyrjen e tij në fuqi. Në KeP18 mbajtur në Doha (2012) u bënë përparime në Grupin e Punës Ad Hoc të emërtuar për Platformën</w:t>
      </w:r>
      <w:r w:rsidR="002E168C" w:rsidRPr="007114AF">
        <w:rPr>
          <w:rFonts w:ascii="Garamond" w:hAnsi="Garamond"/>
          <w:sz w:val="24"/>
          <w:szCs w:val="24"/>
        </w:rPr>
        <w:t xml:space="preserve"> </w:t>
      </w:r>
      <w:r w:rsidRPr="007114AF">
        <w:rPr>
          <w:rFonts w:ascii="Garamond" w:hAnsi="Garamond"/>
          <w:sz w:val="24"/>
          <w:szCs w:val="24"/>
        </w:rPr>
        <w:t>Durban për Veprim të Shtuar (ADP). Kjo Platformë synon të zhvillojnë një protokoll të ri, një tjetër instrument ligjor apo të paktën, një rezultat të vendosur me forcë ligjore deri në vitin 2015,</w:t>
      </w:r>
      <w:r w:rsidR="00E914BF">
        <w:rPr>
          <w:rFonts w:ascii="Garamond" w:hAnsi="Garamond"/>
          <w:sz w:val="24"/>
          <w:szCs w:val="24"/>
        </w:rPr>
        <w:t xml:space="preserve"> </w:t>
      </w:r>
      <w:r w:rsidRPr="007114AF">
        <w:rPr>
          <w:rFonts w:ascii="Garamond" w:hAnsi="Garamond"/>
          <w:sz w:val="24"/>
          <w:szCs w:val="24"/>
        </w:rPr>
        <w:t>që do të zbatohet nga viti 2020, dhe detyrues për gjithë Palët. Njëkohësisht, vendet në zhvillim po nxiten të përpunojnë Masa të Përshtatshme Zbutëse</w:t>
      </w:r>
      <w:r w:rsidR="00E914BF">
        <w:rPr>
          <w:rFonts w:ascii="Garamond" w:hAnsi="Garamond"/>
          <w:sz w:val="24"/>
          <w:szCs w:val="24"/>
        </w:rPr>
        <w:t xml:space="preserve"> </w:t>
      </w:r>
      <w:r w:rsidRPr="007114AF">
        <w:rPr>
          <w:rFonts w:ascii="Garamond" w:hAnsi="Garamond"/>
          <w:sz w:val="24"/>
          <w:szCs w:val="24"/>
        </w:rPr>
        <w:t>Kombëtare (NAMA), me mundësinë për të marrë mbështetje dhe lehtësim nga financime dhe teknologji ndërkombëtare. NAMA-t</w:t>
      </w:r>
      <w:r w:rsidR="00E914BF">
        <w:rPr>
          <w:rFonts w:ascii="Garamond" w:hAnsi="Garamond"/>
          <w:sz w:val="24"/>
          <w:szCs w:val="24"/>
        </w:rPr>
        <w:t xml:space="preserve"> </w:t>
      </w:r>
      <w:r w:rsidRPr="007114AF">
        <w:rPr>
          <w:rFonts w:ascii="Garamond" w:hAnsi="Garamond"/>
          <w:sz w:val="24"/>
          <w:szCs w:val="24"/>
        </w:rPr>
        <w:t xml:space="preserve">përfshijnë politika apo aktivitete të përshtatshme nga ana kombëtare, që synojnë të kontribuojnë për përmbushjen e synimeve vullnetare të reduktimit të shkarkimeve të përcaktuara nga vendet në zhvillim. Gjithë sektorët kryesorë përgjegjës për shkarkimet GES në çdo vend janë përfshirë në NAMA. </w:t>
      </w:r>
    </w:p>
    <w:p w14:paraId="6EDCF425" w14:textId="76D8077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Marrëveshja e Parisit, miratuar në dhjetor 2015, përcakton një pikë kthese në politikën ndërkombëtare të ndryshimeve klimatike, duke siguruar një kornizë të përbashkët për gjithë Palët</w:t>
      </w:r>
      <w:r w:rsidR="003F649E" w:rsidRPr="007114AF">
        <w:rPr>
          <w:rFonts w:ascii="Garamond" w:hAnsi="Garamond"/>
          <w:sz w:val="24"/>
          <w:szCs w:val="24"/>
        </w:rPr>
        <w:t>,</w:t>
      </w:r>
      <w:r w:rsidRPr="007114AF">
        <w:rPr>
          <w:rFonts w:ascii="Garamond" w:hAnsi="Garamond"/>
          <w:sz w:val="24"/>
          <w:szCs w:val="24"/>
        </w:rPr>
        <w:t xml:space="preserve"> me synim mbajtjen nën kontroll të rritjes së temperaturës mesatare globale nën 2° C mbi nivelet e periudhës paraindustriale dhe vazhdimin e përpjekjeve për kufizimin e rritjes së temperaturës me 1,5°C (Neni 2). Për arritjen e një objektivi kaq afatgjatë, palët duhet të synojnë të arrijnë një pikë</w:t>
      </w:r>
      <w:r w:rsidR="00E914BF">
        <w:rPr>
          <w:rFonts w:ascii="Garamond" w:hAnsi="Garamond"/>
          <w:sz w:val="24"/>
          <w:szCs w:val="24"/>
        </w:rPr>
        <w:t xml:space="preserve"> </w:t>
      </w:r>
      <w:r w:rsidRPr="007114AF">
        <w:rPr>
          <w:rFonts w:ascii="Garamond" w:hAnsi="Garamond"/>
          <w:sz w:val="24"/>
          <w:szCs w:val="24"/>
        </w:rPr>
        <w:t>globale</w:t>
      </w:r>
      <w:r w:rsidR="00E914BF">
        <w:rPr>
          <w:rFonts w:ascii="Garamond" w:hAnsi="Garamond"/>
          <w:sz w:val="24"/>
          <w:szCs w:val="24"/>
        </w:rPr>
        <w:t xml:space="preserve"> </w:t>
      </w:r>
      <w:r w:rsidRPr="007114AF">
        <w:rPr>
          <w:rFonts w:ascii="Garamond" w:hAnsi="Garamond"/>
          <w:sz w:val="24"/>
          <w:szCs w:val="24"/>
        </w:rPr>
        <w:t xml:space="preserve">të shkarkimeve GES </w:t>
      </w:r>
      <w:r w:rsidR="000A2A01" w:rsidRPr="007114AF">
        <w:rPr>
          <w:rFonts w:ascii="Garamond" w:hAnsi="Garamond"/>
          <w:sz w:val="24"/>
          <w:szCs w:val="24"/>
        </w:rPr>
        <w:t>“</w:t>
      </w:r>
      <w:r w:rsidRPr="007114AF">
        <w:rPr>
          <w:rFonts w:ascii="Garamond" w:hAnsi="Garamond"/>
          <w:sz w:val="24"/>
          <w:szCs w:val="24"/>
        </w:rPr>
        <w:t>sa më shpejt të jetë e mundur</w:t>
      </w:r>
      <w:r w:rsidR="000A2A01" w:rsidRPr="007114AF">
        <w:rPr>
          <w:rFonts w:ascii="Garamond" w:hAnsi="Garamond"/>
          <w:sz w:val="24"/>
          <w:szCs w:val="24"/>
        </w:rPr>
        <w:t>”</w:t>
      </w:r>
      <w:r w:rsidRPr="007114AF">
        <w:rPr>
          <w:rFonts w:ascii="Garamond" w:hAnsi="Garamond"/>
          <w:sz w:val="24"/>
          <w:szCs w:val="24"/>
        </w:rPr>
        <w:t>, duke pranuar se piku do të zgjasë më shumë për palët e vendeve në zhvillim, si dhe të ndërmarrin reduktime të shpejta më pas, në përputhje me gjetjet më të mira të mundshme, për të arritur një balancë mes shkarkimeve antropogjenike nga burimet dhe përthithjen nga përthithësit në gjysmën e dytë të këtij shekulli</w:t>
      </w:r>
      <w:r w:rsidR="00E914BF">
        <w:rPr>
          <w:rFonts w:ascii="Garamond" w:hAnsi="Garamond"/>
          <w:sz w:val="24"/>
          <w:szCs w:val="24"/>
        </w:rPr>
        <w:t xml:space="preserve"> </w:t>
      </w:r>
      <w:r w:rsidRPr="007114AF">
        <w:rPr>
          <w:rFonts w:ascii="Garamond" w:hAnsi="Garamond"/>
          <w:sz w:val="24"/>
          <w:szCs w:val="24"/>
        </w:rPr>
        <w:t>(</w:t>
      </w:r>
      <w:r w:rsidR="00E914BF">
        <w:rPr>
          <w:rFonts w:ascii="Garamond" w:hAnsi="Garamond"/>
          <w:sz w:val="24"/>
          <w:szCs w:val="24"/>
        </w:rPr>
        <w:t>n</w:t>
      </w:r>
      <w:r w:rsidRPr="007114AF">
        <w:rPr>
          <w:rFonts w:ascii="Garamond" w:hAnsi="Garamond"/>
          <w:sz w:val="24"/>
          <w:szCs w:val="24"/>
        </w:rPr>
        <w:t>eni 4.1), përveç objektivave të masave zbutëse.</w:t>
      </w:r>
      <w:r w:rsidR="00E914BF">
        <w:rPr>
          <w:rFonts w:ascii="Garamond" w:hAnsi="Garamond"/>
          <w:sz w:val="24"/>
          <w:szCs w:val="24"/>
        </w:rPr>
        <w:t xml:space="preserve"> </w:t>
      </w:r>
      <w:r w:rsidRPr="007114AF">
        <w:rPr>
          <w:rFonts w:ascii="Garamond" w:hAnsi="Garamond"/>
          <w:sz w:val="24"/>
          <w:szCs w:val="24"/>
        </w:rPr>
        <w:t>Marrëveshja synon të forcojë reagimin global ndaj kërcënimit të ndryshimeve klimatike edhe përmes rritjes së aftësisë për t</w:t>
      </w:r>
      <w:r w:rsidR="00D10DAB" w:rsidRPr="007114AF">
        <w:rPr>
          <w:rFonts w:ascii="Garamond" w:hAnsi="Garamond"/>
          <w:sz w:val="24"/>
          <w:szCs w:val="24"/>
        </w:rPr>
        <w:t>’</w:t>
      </w:r>
      <w:r w:rsidRPr="007114AF">
        <w:rPr>
          <w:rFonts w:ascii="Garamond" w:hAnsi="Garamond"/>
          <w:sz w:val="24"/>
          <w:szCs w:val="24"/>
        </w:rPr>
        <w:t>u përshtatur me ndikimet e dëmshëm të ndryshimeve klimatike, ndërsa garantohet një zhvillim i qëndrueshëm, elastik dhe me nivele të ulëta karboni, përmes flukseve të përshtatshme financiare. Mbështetja duhet siguruar nga Palët e vendeve të zhvilluara lidhur me masat zbutëse dhe adaptimin, duke vazhduar synimin ekzistues kolektiv për mobilizimin e 100 miliard</w:t>
      </w:r>
      <w:r w:rsidR="00E914BF">
        <w:rPr>
          <w:rFonts w:ascii="Garamond" w:hAnsi="Garamond"/>
          <w:sz w:val="24"/>
          <w:szCs w:val="24"/>
        </w:rPr>
        <w:t xml:space="preserve">ë </w:t>
      </w:r>
      <w:r w:rsidRPr="007114AF">
        <w:rPr>
          <w:rFonts w:ascii="Garamond" w:hAnsi="Garamond"/>
          <w:sz w:val="24"/>
          <w:szCs w:val="24"/>
        </w:rPr>
        <w:t xml:space="preserve">USD në vit, deri në vitin 2025, kohë kur do të vendoset një objektiv i ri i përbashkët. Me qëllim që të arrihen objektivat e mësipërm për reduktimin e shkarkimeve, Marrëveshja përcakton një </w:t>
      </w:r>
      <w:r w:rsidR="000A2A01" w:rsidRPr="007114AF">
        <w:rPr>
          <w:rFonts w:ascii="Garamond" w:hAnsi="Garamond"/>
          <w:sz w:val="24"/>
          <w:szCs w:val="24"/>
        </w:rPr>
        <w:t>“</w:t>
      </w:r>
      <w:r w:rsidRPr="007114AF">
        <w:rPr>
          <w:rFonts w:ascii="Garamond" w:hAnsi="Garamond"/>
          <w:sz w:val="24"/>
          <w:szCs w:val="24"/>
        </w:rPr>
        <w:t>sistem nga poshtë-lart</w:t>
      </w:r>
      <w:r w:rsidR="000A2A01" w:rsidRPr="007114AF">
        <w:rPr>
          <w:rFonts w:ascii="Garamond" w:hAnsi="Garamond"/>
          <w:sz w:val="24"/>
          <w:szCs w:val="24"/>
        </w:rPr>
        <w:t>”</w:t>
      </w:r>
      <w:r w:rsidRPr="007114AF">
        <w:rPr>
          <w:rFonts w:ascii="Garamond" w:hAnsi="Garamond"/>
          <w:sz w:val="24"/>
          <w:szCs w:val="24"/>
        </w:rPr>
        <w:t xml:space="preserve"> ku Palët do të duhet të përgatisin, komunikojnë dhe mbajnë Kontribute të Mëtejshme Kombëtare të Përcaktuara (KKP), që synojnë t</w:t>
      </w:r>
      <w:r w:rsidR="00D10DAB" w:rsidRPr="007114AF">
        <w:rPr>
          <w:rFonts w:ascii="Garamond" w:hAnsi="Garamond"/>
          <w:sz w:val="24"/>
          <w:szCs w:val="24"/>
        </w:rPr>
        <w:t>’</w:t>
      </w:r>
      <w:r w:rsidRPr="007114AF">
        <w:rPr>
          <w:rFonts w:ascii="Garamond" w:hAnsi="Garamond"/>
          <w:sz w:val="24"/>
          <w:szCs w:val="24"/>
        </w:rPr>
        <w:t>i arrijnë,</w:t>
      </w:r>
      <w:r w:rsidR="000A2A01" w:rsidRPr="007114AF">
        <w:rPr>
          <w:rFonts w:ascii="Garamond" w:hAnsi="Garamond"/>
          <w:sz w:val="24"/>
          <w:szCs w:val="24"/>
        </w:rPr>
        <w:t xml:space="preserve"> </w:t>
      </w:r>
      <w:r w:rsidRPr="007114AF">
        <w:rPr>
          <w:rFonts w:ascii="Garamond" w:hAnsi="Garamond"/>
          <w:sz w:val="24"/>
          <w:szCs w:val="24"/>
        </w:rPr>
        <w:t>duke ndjekur masa zbutëse vendore. Palët do t</w:t>
      </w:r>
      <w:r w:rsidR="00D10DAB" w:rsidRPr="007114AF">
        <w:rPr>
          <w:rFonts w:ascii="Garamond" w:hAnsi="Garamond"/>
          <w:sz w:val="24"/>
          <w:szCs w:val="24"/>
        </w:rPr>
        <w:t>’</w:t>
      </w:r>
      <w:r w:rsidRPr="007114AF">
        <w:rPr>
          <w:rFonts w:ascii="Garamond" w:hAnsi="Garamond"/>
          <w:sz w:val="24"/>
          <w:szCs w:val="24"/>
        </w:rPr>
        <w:t>i komunikojnë kontributet, çdo pesë vjet, me synim përmirësimin progresiv të përpjekjeve të tyre (</w:t>
      </w:r>
      <w:r w:rsidR="00D565A2" w:rsidRPr="007114AF">
        <w:rPr>
          <w:rFonts w:ascii="Garamond" w:hAnsi="Garamond"/>
          <w:sz w:val="24"/>
          <w:szCs w:val="24"/>
        </w:rPr>
        <w:t>n</w:t>
      </w:r>
      <w:r w:rsidRPr="007114AF">
        <w:rPr>
          <w:rFonts w:ascii="Garamond" w:hAnsi="Garamond"/>
          <w:sz w:val="24"/>
          <w:szCs w:val="24"/>
        </w:rPr>
        <w:t>eni</w:t>
      </w:r>
      <w:r w:rsidR="000A2A01" w:rsidRPr="007114AF">
        <w:rPr>
          <w:rFonts w:ascii="Garamond" w:hAnsi="Garamond"/>
          <w:sz w:val="24"/>
          <w:szCs w:val="24"/>
        </w:rPr>
        <w:t xml:space="preserve"> </w:t>
      </w:r>
      <w:r w:rsidRPr="007114AF">
        <w:rPr>
          <w:rFonts w:ascii="Garamond" w:hAnsi="Garamond"/>
          <w:sz w:val="24"/>
          <w:szCs w:val="24"/>
        </w:rPr>
        <w:t>4.11).</w:t>
      </w:r>
    </w:p>
    <w:p w14:paraId="6EDCF426" w14:textId="4B4C88CD"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Përveç kontributeve kombëtare, Palët duhet gjithashtu, të formulojnë dhe komunikojnë strategji zhvillimi afatgjatë, me GES-in të ulët në gjysmën e shekullit (</w:t>
      </w:r>
      <w:r w:rsidR="00E914BF">
        <w:rPr>
          <w:rFonts w:ascii="Garamond" w:hAnsi="Garamond"/>
          <w:sz w:val="24"/>
          <w:szCs w:val="24"/>
        </w:rPr>
        <w:t>n</w:t>
      </w:r>
      <w:r w:rsidRPr="007114AF">
        <w:rPr>
          <w:rFonts w:ascii="Garamond" w:hAnsi="Garamond"/>
          <w:sz w:val="24"/>
          <w:szCs w:val="24"/>
        </w:rPr>
        <w:t>eni 4.19), si dhe t</w:t>
      </w:r>
      <w:r w:rsidR="00D10DAB" w:rsidRPr="007114AF">
        <w:rPr>
          <w:rFonts w:ascii="Garamond" w:hAnsi="Garamond"/>
          <w:sz w:val="24"/>
          <w:szCs w:val="24"/>
        </w:rPr>
        <w:t>’</w:t>
      </w:r>
      <w:r w:rsidRPr="007114AF">
        <w:rPr>
          <w:rFonts w:ascii="Garamond" w:hAnsi="Garamond"/>
          <w:sz w:val="24"/>
          <w:szCs w:val="24"/>
        </w:rPr>
        <w:t>i paraqesin ato deri në vitin 2020. Leximi i kombinimit të kësaj kërkese me synimin afatgjatë të shkarkimeve zero në gjysmën e dytë të këtij shekulli (</w:t>
      </w:r>
      <w:r w:rsidR="00E914BF">
        <w:rPr>
          <w:rFonts w:ascii="Garamond" w:hAnsi="Garamond"/>
          <w:sz w:val="24"/>
          <w:szCs w:val="24"/>
        </w:rPr>
        <w:t>n</w:t>
      </w:r>
      <w:r w:rsidRPr="007114AF">
        <w:rPr>
          <w:rFonts w:ascii="Garamond" w:hAnsi="Garamond"/>
          <w:sz w:val="24"/>
          <w:szCs w:val="24"/>
        </w:rPr>
        <w:t xml:space="preserve">eni 4.1), nënkupton që vendet duhet të përpiqen të demonstrojnë, se si do të kontribuojnë përpjekjet e tyre dhe politikat e tyre të planifikuara apo të zbatuara për këtë objektiv. </w:t>
      </w:r>
    </w:p>
    <w:p w14:paraId="6EDCF427" w14:textId="7777777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Marrëveshja e Parisit do të hyjë në fuqi, pasi 55 vendet që zënë të paktën 55% të shkarkimeve globale, të kenë depozituar instrumentet e tyre të ratifikimit.</w:t>
      </w:r>
    </w:p>
    <w:p w14:paraId="6EDCF428" w14:textId="77777777" w:rsidR="003A6446" w:rsidRPr="007114AF" w:rsidRDefault="003A6446" w:rsidP="003A6446">
      <w:pPr>
        <w:spacing w:after="0" w:line="240" w:lineRule="auto"/>
        <w:ind w:firstLine="284"/>
        <w:rPr>
          <w:rFonts w:ascii="Garamond" w:hAnsi="Garamond"/>
          <w:sz w:val="24"/>
          <w:szCs w:val="24"/>
        </w:rPr>
      </w:pPr>
      <w:r w:rsidRPr="007114AF">
        <w:rPr>
          <w:rFonts w:ascii="Garamond" w:hAnsi="Garamond"/>
          <w:sz w:val="24"/>
          <w:szCs w:val="24"/>
        </w:rPr>
        <w:t>Figura më poshtë tregon programin e zbatimit të përcaktuar nga marrëveshja për arritjen e synimit 2°C (1,5°C).</w:t>
      </w:r>
    </w:p>
    <w:p w14:paraId="6EDCF429" w14:textId="77777777" w:rsidR="001C6C5A" w:rsidRPr="007114AF" w:rsidRDefault="00854661" w:rsidP="00FF37A6">
      <w:pPr>
        <w:pStyle w:val="NoSpacing"/>
        <w:rPr>
          <w:rFonts w:ascii="Garamond" w:hAnsi="Garamond"/>
          <w:lang w:val="sq-AL"/>
        </w:rPr>
      </w:pPr>
      <w:r w:rsidRPr="007114AF">
        <w:rPr>
          <w:rFonts w:ascii="Garamond" w:hAnsi="Garamond"/>
          <w:noProof/>
          <w:lang w:val="en-US" w:eastAsia="en-US"/>
        </w:rPr>
        <w:drawing>
          <wp:inline distT="0" distB="0" distL="0" distR="0" wp14:anchorId="6EDD1780" wp14:editId="6EDD1781">
            <wp:extent cx="5664200" cy="210820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t="19820"/>
                    <a:stretch>
                      <a:fillRect/>
                    </a:stretch>
                  </pic:blipFill>
                  <pic:spPr bwMode="auto">
                    <a:xfrm>
                      <a:off x="0" y="0"/>
                      <a:ext cx="5664200" cy="2108200"/>
                    </a:xfrm>
                    <a:prstGeom prst="rect">
                      <a:avLst/>
                    </a:prstGeom>
                    <a:solidFill>
                      <a:srgbClr val="FFFFFF"/>
                    </a:solidFill>
                    <a:ln>
                      <a:noFill/>
                    </a:ln>
                  </pic:spPr>
                </pic:pic>
              </a:graphicData>
            </a:graphic>
          </wp:inline>
        </w:drawing>
      </w:r>
    </w:p>
    <w:p w14:paraId="6EDCF42A" w14:textId="77777777" w:rsidR="00854661" w:rsidRPr="007114AF" w:rsidRDefault="00854661" w:rsidP="00FF37A6">
      <w:pPr>
        <w:pStyle w:val="NoSpacing"/>
        <w:rPr>
          <w:rFonts w:ascii="Garamond" w:hAnsi="Garamond"/>
          <w:lang w:val="sq-AL"/>
        </w:rPr>
      </w:pPr>
    </w:p>
    <w:p w14:paraId="6EDCF42B" w14:textId="172A8E30" w:rsidR="00D86DD8" w:rsidRPr="007114AF" w:rsidRDefault="00D86DD8" w:rsidP="00E32157">
      <w:pPr>
        <w:spacing w:after="0" w:line="240" w:lineRule="auto"/>
        <w:ind w:firstLine="284"/>
        <w:jc w:val="center"/>
        <w:rPr>
          <w:rFonts w:ascii="Garamond" w:hAnsi="Garamond"/>
          <w:b/>
          <w:sz w:val="20"/>
          <w:szCs w:val="20"/>
        </w:rPr>
      </w:pPr>
      <w:r w:rsidRPr="007114AF">
        <w:rPr>
          <w:rFonts w:ascii="Garamond" w:hAnsi="Garamond"/>
          <w:b/>
          <w:sz w:val="20"/>
          <w:szCs w:val="20"/>
        </w:rPr>
        <w:t>Figura 1</w:t>
      </w:r>
      <w:r w:rsidR="00A37E7C" w:rsidRPr="007114AF">
        <w:rPr>
          <w:rFonts w:ascii="Garamond" w:hAnsi="Garamond"/>
          <w:b/>
          <w:sz w:val="20"/>
          <w:szCs w:val="20"/>
        </w:rPr>
        <w:t xml:space="preserve"> </w:t>
      </w:r>
      <w:r w:rsidRPr="007114AF">
        <w:rPr>
          <w:rFonts w:ascii="Garamond" w:hAnsi="Garamond"/>
          <w:b/>
          <w:sz w:val="20"/>
          <w:szCs w:val="20"/>
        </w:rPr>
        <w:t>–</w:t>
      </w:r>
      <w:r w:rsidR="00A37E7C" w:rsidRPr="007114AF">
        <w:rPr>
          <w:rFonts w:ascii="Garamond" w:hAnsi="Garamond"/>
          <w:b/>
          <w:sz w:val="20"/>
          <w:szCs w:val="20"/>
        </w:rPr>
        <w:t xml:space="preserve"> </w:t>
      </w:r>
      <w:r w:rsidRPr="007114AF">
        <w:rPr>
          <w:rFonts w:ascii="Garamond" w:hAnsi="Garamond"/>
          <w:b/>
          <w:sz w:val="20"/>
          <w:szCs w:val="20"/>
        </w:rPr>
        <w:t>Afati kohor i procesit të përkufizuar në Marrëveshjen e Parisit</w:t>
      </w:r>
    </w:p>
    <w:p w14:paraId="6EDCF42C" w14:textId="77777777" w:rsidR="00D86DD8" w:rsidRPr="007114AF" w:rsidRDefault="00D86DD8" w:rsidP="00D86DD8">
      <w:pPr>
        <w:spacing w:after="0" w:line="240" w:lineRule="auto"/>
        <w:ind w:firstLine="284"/>
        <w:rPr>
          <w:rFonts w:ascii="Garamond" w:hAnsi="Garamond"/>
          <w:sz w:val="24"/>
          <w:szCs w:val="24"/>
        </w:rPr>
      </w:pPr>
    </w:p>
    <w:p w14:paraId="6EDCF42D" w14:textId="77777777" w:rsidR="00D86DD8" w:rsidRPr="007114AF" w:rsidRDefault="00D86DD8" w:rsidP="00D86DD8">
      <w:pPr>
        <w:spacing w:after="0" w:line="240" w:lineRule="auto"/>
        <w:ind w:firstLine="284"/>
        <w:rPr>
          <w:rFonts w:ascii="Garamond" w:hAnsi="Garamond"/>
          <w:sz w:val="24"/>
          <w:szCs w:val="24"/>
        </w:rPr>
      </w:pPr>
      <w:bookmarkStart w:id="15" w:name="__RefHeading___Toc444944780"/>
      <w:bookmarkStart w:id="16" w:name="_Toc450135225"/>
      <w:bookmarkStart w:id="17" w:name="_Toc450151828"/>
      <w:bookmarkStart w:id="18" w:name="_Toc484424474"/>
      <w:bookmarkEnd w:id="15"/>
      <w:r w:rsidRPr="007114AF">
        <w:rPr>
          <w:rFonts w:ascii="Garamond" w:hAnsi="Garamond"/>
          <w:sz w:val="24"/>
          <w:szCs w:val="24"/>
        </w:rPr>
        <w:t>2.3 Politika e BE-së për ndryshimet klimatik</w:t>
      </w:r>
      <w:bookmarkEnd w:id="16"/>
      <w:bookmarkEnd w:id="17"/>
      <w:r w:rsidRPr="007114AF">
        <w:rPr>
          <w:rFonts w:ascii="Garamond" w:hAnsi="Garamond"/>
          <w:sz w:val="24"/>
          <w:szCs w:val="24"/>
        </w:rPr>
        <w:t>e</w:t>
      </w:r>
      <w:bookmarkEnd w:id="18"/>
    </w:p>
    <w:p w14:paraId="6EDCF42E" w14:textId="5DA7002A" w:rsidR="00D86DD8" w:rsidRPr="007114AF" w:rsidRDefault="00D86DD8" w:rsidP="00D86DD8">
      <w:pPr>
        <w:spacing w:after="0" w:line="240" w:lineRule="auto"/>
        <w:ind w:firstLine="284"/>
        <w:rPr>
          <w:rFonts w:ascii="Garamond" w:hAnsi="Garamond"/>
          <w:sz w:val="24"/>
          <w:szCs w:val="24"/>
        </w:rPr>
      </w:pPr>
      <w:r w:rsidRPr="007114AF">
        <w:rPr>
          <w:rFonts w:ascii="Garamond" w:hAnsi="Garamond"/>
          <w:sz w:val="24"/>
          <w:szCs w:val="24"/>
        </w:rPr>
        <w:t>Një përqasje proaktive në nivel evropian</w:t>
      </w:r>
      <w:r w:rsidR="00D565A2" w:rsidRPr="007114AF">
        <w:rPr>
          <w:rFonts w:ascii="Garamond" w:hAnsi="Garamond"/>
          <w:sz w:val="24"/>
          <w:szCs w:val="24"/>
        </w:rPr>
        <w:t xml:space="preserve"> </w:t>
      </w:r>
      <w:r w:rsidRPr="007114AF">
        <w:rPr>
          <w:rFonts w:ascii="Garamond" w:hAnsi="Garamond"/>
          <w:sz w:val="24"/>
          <w:szCs w:val="24"/>
        </w:rPr>
        <w:t xml:space="preserve">përfshin gjithë </w:t>
      </w:r>
      <w:r w:rsidR="00D565A2" w:rsidRPr="007114AF">
        <w:rPr>
          <w:rFonts w:ascii="Garamond" w:hAnsi="Garamond"/>
          <w:sz w:val="24"/>
          <w:szCs w:val="24"/>
        </w:rPr>
        <w:t xml:space="preserve">shtetet anëtare </w:t>
      </w:r>
      <w:r w:rsidRPr="007114AF">
        <w:rPr>
          <w:rFonts w:ascii="Garamond" w:hAnsi="Garamond"/>
          <w:sz w:val="24"/>
          <w:szCs w:val="24"/>
        </w:rPr>
        <w:t>për nxitjen e një reagimi të përbashkët ndërkombëtar ndaj ndryshimeve klimatike. Kjo përfshin përpjekje për masa zbutëse për kontrollin e shkarkimeve të gazeve serrë, si dhe nxitjen e masave adaptuese për të luftuar ndikimet e dëmshme të ndryshimeve klimatike që janë ndërkaq të pashmangshme.</w:t>
      </w:r>
    </w:p>
    <w:p w14:paraId="6EDCF42F" w14:textId="1A93CC5B" w:rsidR="00D86DD8" w:rsidRPr="007114AF" w:rsidRDefault="00D86DD8" w:rsidP="00D86DD8">
      <w:pPr>
        <w:spacing w:after="0" w:line="240" w:lineRule="auto"/>
        <w:ind w:firstLine="284"/>
        <w:rPr>
          <w:rFonts w:ascii="Garamond" w:hAnsi="Garamond"/>
          <w:sz w:val="24"/>
          <w:szCs w:val="24"/>
        </w:rPr>
      </w:pPr>
      <w:r w:rsidRPr="007114AF">
        <w:rPr>
          <w:rFonts w:ascii="Garamond" w:hAnsi="Garamond"/>
          <w:sz w:val="24"/>
          <w:szCs w:val="24"/>
        </w:rPr>
        <w:t>Ia vlen të vihet në dukje se veprimi politik i BE-së është nga ndërtimi dhe natyra, i gjerë dhe gjenerik. Parimi i varësisë, një shtyllë e sistemit qeverisës të BE-së, thërret për ndërhyrjen e BE-së vetëm në fushat që nuk mund të rregullohen më mirë në nivelin e shtetit anëtar, duke u lënë kështu nivele të larta autonomie shteteve anëtare në fusha të ndryshme politike. Në fushat klimë-energji, politika e BE-së mund të vendosë synime dhe të përcaktojë kriteret e pranueshme matëse, për të verifikuar arritjen e këtyre synimeve, si dhe mjetet e pranueshme të politikave për t</w:t>
      </w:r>
      <w:r w:rsidR="00D10DAB" w:rsidRPr="007114AF">
        <w:rPr>
          <w:rFonts w:ascii="Garamond" w:hAnsi="Garamond"/>
          <w:sz w:val="24"/>
          <w:szCs w:val="24"/>
        </w:rPr>
        <w:t>’</w:t>
      </w:r>
      <w:r w:rsidRPr="007114AF">
        <w:rPr>
          <w:rFonts w:ascii="Garamond" w:hAnsi="Garamond"/>
          <w:sz w:val="24"/>
          <w:szCs w:val="24"/>
        </w:rPr>
        <w:t>i arritur ato, por i lë çdo Shteti Anëtar zgjedhjen e masave konkrete që do të merren. Kështu, praktikat më të mira në nivel kombëtar mund të jenë po aq me rëndësi në përcaktimin e mënyrës, sipas së cilës Shqipëria duhet ta zhvillojë strategjinë dhe planin e saj për klimën në sektorin e klimës.</w:t>
      </w:r>
    </w:p>
    <w:p w14:paraId="6EDCF430" w14:textId="6559BE73" w:rsidR="00D86DD8" w:rsidRPr="007114AF" w:rsidRDefault="000A2A01" w:rsidP="00D86DD8">
      <w:pPr>
        <w:spacing w:after="0" w:line="240" w:lineRule="auto"/>
        <w:ind w:firstLine="284"/>
        <w:rPr>
          <w:rFonts w:ascii="Garamond" w:hAnsi="Garamond"/>
          <w:b/>
          <w:sz w:val="24"/>
          <w:szCs w:val="24"/>
        </w:rPr>
      </w:pPr>
      <w:r w:rsidRPr="007114AF">
        <w:rPr>
          <w:rFonts w:ascii="Garamond" w:hAnsi="Garamond"/>
          <w:b/>
          <w:sz w:val="24"/>
          <w:szCs w:val="24"/>
        </w:rPr>
        <w:t>“</w:t>
      </w:r>
      <w:r w:rsidR="00D86DD8" w:rsidRPr="007114AF">
        <w:rPr>
          <w:rFonts w:ascii="Garamond" w:hAnsi="Garamond"/>
          <w:b/>
          <w:sz w:val="24"/>
          <w:szCs w:val="24"/>
        </w:rPr>
        <w:t>Plani për Ekonomi me Karbon të Ulët</w:t>
      </w:r>
      <w:r w:rsidRPr="007114AF">
        <w:rPr>
          <w:rFonts w:ascii="Garamond" w:hAnsi="Garamond"/>
          <w:b/>
          <w:sz w:val="24"/>
          <w:szCs w:val="24"/>
        </w:rPr>
        <w:t>”</w:t>
      </w:r>
    </w:p>
    <w:p w14:paraId="6EDCF431" w14:textId="683D8524" w:rsidR="00D86DD8" w:rsidRPr="007114AF" w:rsidRDefault="00D86DD8" w:rsidP="00D86DD8">
      <w:pPr>
        <w:spacing w:after="0" w:line="240" w:lineRule="auto"/>
        <w:ind w:firstLine="284"/>
        <w:rPr>
          <w:rFonts w:ascii="Garamond" w:hAnsi="Garamond"/>
          <w:sz w:val="24"/>
          <w:szCs w:val="24"/>
        </w:rPr>
      </w:pPr>
      <w:r w:rsidRPr="007114AF">
        <w:rPr>
          <w:rFonts w:ascii="Garamond" w:hAnsi="Garamond"/>
          <w:sz w:val="24"/>
          <w:szCs w:val="24"/>
        </w:rPr>
        <w:t xml:space="preserve">BE-ja ka miratuar </w:t>
      </w:r>
      <w:r w:rsidR="000A2A01" w:rsidRPr="007114AF">
        <w:rPr>
          <w:rFonts w:ascii="Garamond" w:hAnsi="Garamond"/>
          <w:sz w:val="24"/>
          <w:szCs w:val="24"/>
        </w:rPr>
        <w:t>“</w:t>
      </w:r>
      <w:r w:rsidRPr="007114AF">
        <w:rPr>
          <w:rFonts w:ascii="Garamond" w:hAnsi="Garamond"/>
          <w:sz w:val="24"/>
          <w:szCs w:val="24"/>
        </w:rPr>
        <w:t>Planin për Ekonomi me Karbon të Ulët</w:t>
      </w:r>
      <w:r w:rsidR="000A2A01" w:rsidRPr="007114AF">
        <w:rPr>
          <w:rFonts w:ascii="Garamond" w:hAnsi="Garamond"/>
          <w:sz w:val="24"/>
          <w:szCs w:val="24"/>
        </w:rPr>
        <w:t>”</w:t>
      </w:r>
      <w:r w:rsidRPr="007114AF">
        <w:rPr>
          <w:rFonts w:ascii="Garamond" w:hAnsi="Garamond"/>
          <w:sz w:val="24"/>
          <w:szCs w:val="24"/>
          <w:vertAlign w:val="superscript"/>
        </w:rPr>
        <w:footnoteReference w:id="11"/>
      </w:r>
      <w:r w:rsidRPr="007114AF">
        <w:rPr>
          <w:rFonts w:ascii="Garamond" w:hAnsi="Garamond"/>
          <w:sz w:val="24"/>
          <w:szCs w:val="24"/>
        </w:rPr>
        <w:t xml:space="preserve"> në vitin 2011,duke përcaktuar një udhë efikase nga ana e kostos, për ta bërë ekonominë</w:t>
      </w:r>
      <w:r w:rsidR="00D565A2" w:rsidRPr="007114AF">
        <w:rPr>
          <w:rFonts w:ascii="Garamond" w:hAnsi="Garamond"/>
          <w:sz w:val="24"/>
          <w:szCs w:val="24"/>
        </w:rPr>
        <w:t xml:space="preserve"> </w:t>
      </w:r>
      <w:r w:rsidRPr="007114AF">
        <w:rPr>
          <w:rFonts w:ascii="Garamond" w:hAnsi="Garamond"/>
          <w:sz w:val="24"/>
          <w:szCs w:val="24"/>
        </w:rPr>
        <w:t>evropiane më miqësore me klimën dhe me më pak konsum energjie. Plani sugjeron që deri në vitin 2050, BE-ja duhet t</w:t>
      </w:r>
      <w:r w:rsidR="00D10DAB" w:rsidRPr="007114AF">
        <w:rPr>
          <w:rFonts w:ascii="Garamond" w:hAnsi="Garamond"/>
          <w:sz w:val="24"/>
          <w:szCs w:val="24"/>
        </w:rPr>
        <w:t>’</w:t>
      </w:r>
      <w:r w:rsidRPr="007114AF">
        <w:rPr>
          <w:rFonts w:ascii="Garamond" w:hAnsi="Garamond"/>
          <w:sz w:val="24"/>
          <w:szCs w:val="24"/>
        </w:rPr>
        <w:t>i reduktojë shkarkimet e saj në 80% nën nivelet e vitit 1990. Piketat për arritjen e kësaj janë 40% reduktime të shkarkimeve deri në vitin 2030, dhe 60% deri në vitin 2040 (</w:t>
      </w:r>
      <w:r w:rsidR="00D565A2" w:rsidRPr="007114AF">
        <w:rPr>
          <w:rFonts w:ascii="Garamond" w:hAnsi="Garamond"/>
          <w:sz w:val="24"/>
          <w:szCs w:val="24"/>
        </w:rPr>
        <w:t>f</w:t>
      </w:r>
      <w:r w:rsidRPr="007114AF">
        <w:rPr>
          <w:rFonts w:ascii="Garamond" w:hAnsi="Garamond"/>
          <w:sz w:val="24"/>
          <w:szCs w:val="24"/>
        </w:rPr>
        <w:t xml:space="preserve">igura 2). Gjithë sektorët duhet të kontribuojnë për tranzicionin me karbon të ulët, sipas potencialit të tyre teknologjik dhe ekonomik. </w:t>
      </w:r>
      <w:r w:rsidR="000A2A01" w:rsidRPr="007114AF">
        <w:rPr>
          <w:rFonts w:ascii="Garamond" w:hAnsi="Garamond"/>
          <w:sz w:val="24"/>
          <w:szCs w:val="24"/>
        </w:rPr>
        <w:t>“</w:t>
      </w:r>
      <w:r w:rsidRPr="007114AF">
        <w:rPr>
          <w:rFonts w:ascii="Garamond" w:hAnsi="Garamond"/>
          <w:sz w:val="24"/>
          <w:szCs w:val="24"/>
        </w:rPr>
        <w:t>Plani i BE-së për Ekonomi me Karbon të Ulët</w:t>
      </w:r>
      <w:r w:rsidR="000A2A01" w:rsidRPr="007114AF">
        <w:rPr>
          <w:rFonts w:ascii="Garamond" w:hAnsi="Garamond"/>
          <w:sz w:val="24"/>
          <w:szCs w:val="24"/>
        </w:rPr>
        <w:t>”</w:t>
      </w:r>
      <w:r w:rsidR="00D565A2" w:rsidRPr="007114AF">
        <w:rPr>
          <w:rFonts w:ascii="Garamond" w:hAnsi="Garamond"/>
          <w:sz w:val="24"/>
          <w:szCs w:val="24"/>
        </w:rPr>
        <w:t xml:space="preserve"> </w:t>
      </w:r>
      <w:r w:rsidRPr="007114AF">
        <w:rPr>
          <w:rFonts w:ascii="Garamond" w:hAnsi="Garamond"/>
          <w:sz w:val="24"/>
          <w:szCs w:val="24"/>
        </w:rPr>
        <w:t>kërkon masa në gjithë sektorët kryesorë përgjegjës për shkarkimet e Evropës</w:t>
      </w:r>
      <w:r w:rsidR="00637270" w:rsidRPr="007114AF">
        <w:rPr>
          <w:rFonts w:ascii="Garamond" w:hAnsi="Garamond"/>
          <w:sz w:val="24"/>
          <w:szCs w:val="24"/>
        </w:rPr>
        <w:t xml:space="preserve"> </w:t>
      </w:r>
      <w:r w:rsidRPr="007114AF">
        <w:rPr>
          <w:rFonts w:ascii="Garamond" w:hAnsi="Garamond"/>
          <w:sz w:val="24"/>
          <w:szCs w:val="24"/>
        </w:rPr>
        <w:t>– gjenerimi i energjisë, industria, transporti, ndërtesat, ndërtimet dhe bujqësia –</w:t>
      </w:r>
      <w:r w:rsidR="00637270" w:rsidRPr="007114AF">
        <w:rPr>
          <w:rFonts w:ascii="Garamond" w:hAnsi="Garamond"/>
          <w:sz w:val="24"/>
          <w:szCs w:val="24"/>
        </w:rPr>
        <w:t xml:space="preserve"> </w:t>
      </w:r>
      <w:r w:rsidRPr="007114AF">
        <w:rPr>
          <w:rFonts w:ascii="Garamond" w:hAnsi="Garamond"/>
          <w:sz w:val="24"/>
          <w:szCs w:val="24"/>
        </w:rPr>
        <w:t>si dhe duhen bërë investime të mëdha në:</w:t>
      </w:r>
    </w:p>
    <w:p w14:paraId="6EDCF432" w14:textId="5228EDCC" w:rsidR="00D86DD8" w:rsidRPr="007114AF" w:rsidRDefault="00164B6B" w:rsidP="00D86DD8">
      <w:pPr>
        <w:spacing w:after="0" w:line="240" w:lineRule="auto"/>
        <w:ind w:firstLine="284"/>
        <w:rPr>
          <w:rFonts w:ascii="Garamond" w:hAnsi="Garamond"/>
          <w:sz w:val="24"/>
          <w:szCs w:val="24"/>
        </w:rPr>
      </w:pPr>
      <w:r w:rsidRPr="007114AF">
        <w:rPr>
          <w:rFonts w:ascii="Garamond" w:hAnsi="Garamond"/>
          <w:sz w:val="24"/>
          <w:szCs w:val="24"/>
        </w:rPr>
        <w:t xml:space="preserve">- </w:t>
      </w:r>
      <w:r w:rsidR="00D86DD8" w:rsidRPr="007114AF">
        <w:rPr>
          <w:rFonts w:ascii="Garamond" w:hAnsi="Garamond"/>
          <w:sz w:val="24"/>
          <w:szCs w:val="24"/>
        </w:rPr>
        <w:t>Teknologjitë e reja me karbon të ulët</w:t>
      </w:r>
      <w:r w:rsidR="00E914BF">
        <w:rPr>
          <w:rFonts w:ascii="Garamond" w:hAnsi="Garamond"/>
          <w:sz w:val="24"/>
          <w:szCs w:val="24"/>
        </w:rPr>
        <w:t>;</w:t>
      </w:r>
    </w:p>
    <w:p w14:paraId="6EDCF433" w14:textId="07379656" w:rsidR="00D86DD8" w:rsidRPr="007114AF" w:rsidRDefault="00164B6B" w:rsidP="00D86DD8">
      <w:pPr>
        <w:spacing w:after="0" w:line="240" w:lineRule="auto"/>
        <w:ind w:firstLine="284"/>
        <w:rPr>
          <w:rFonts w:ascii="Garamond" w:hAnsi="Garamond"/>
          <w:sz w:val="24"/>
          <w:szCs w:val="24"/>
        </w:rPr>
      </w:pPr>
      <w:r w:rsidRPr="007114AF">
        <w:rPr>
          <w:rFonts w:ascii="Garamond" w:hAnsi="Garamond"/>
          <w:sz w:val="24"/>
          <w:szCs w:val="24"/>
        </w:rPr>
        <w:t xml:space="preserve">- </w:t>
      </w:r>
      <w:r w:rsidR="00D86DD8" w:rsidRPr="007114AF">
        <w:rPr>
          <w:rFonts w:ascii="Garamond" w:hAnsi="Garamond"/>
          <w:sz w:val="24"/>
          <w:szCs w:val="24"/>
        </w:rPr>
        <w:t>Energjinë e rinovueshme</w:t>
      </w:r>
      <w:r w:rsidR="00E914BF">
        <w:rPr>
          <w:rFonts w:ascii="Garamond" w:hAnsi="Garamond"/>
          <w:sz w:val="24"/>
          <w:szCs w:val="24"/>
        </w:rPr>
        <w:t>;</w:t>
      </w:r>
    </w:p>
    <w:p w14:paraId="6EDCF434" w14:textId="7A8F11F1" w:rsidR="00D86DD8" w:rsidRPr="007114AF" w:rsidRDefault="00164B6B" w:rsidP="00D86DD8">
      <w:pPr>
        <w:spacing w:after="0" w:line="240" w:lineRule="auto"/>
        <w:ind w:firstLine="284"/>
        <w:rPr>
          <w:rFonts w:ascii="Garamond" w:hAnsi="Garamond"/>
          <w:sz w:val="24"/>
          <w:szCs w:val="24"/>
        </w:rPr>
      </w:pPr>
      <w:r w:rsidRPr="007114AF">
        <w:rPr>
          <w:rFonts w:ascii="Garamond" w:hAnsi="Garamond"/>
          <w:sz w:val="24"/>
          <w:szCs w:val="24"/>
        </w:rPr>
        <w:t xml:space="preserve">- </w:t>
      </w:r>
      <w:r w:rsidR="00D86DD8" w:rsidRPr="007114AF">
        <w:rPr>
          <w:rFonts w:ascii="Garamond" w:hAnsi="Garamond"/>
          <w:sz w:val="24"/>
          <w:szCs w:val="24"/>
        </w:rPr>
        <w:t>Eficiencën e energjisë</w:t>
      </w:r>
      <w:r w:rsidR="00E914BF">
        <w:rPr>
          <w:rFonts w:ascii="Garamond" w:hAnsi="Garamond"/>
          <w:sz w:val="24"/>
          <w:szCs w:val="24"/>
        </w:rPr>
        <w:t>;</w:t>
      </w:r>
    </w:p>
    <w:p w14:paraId="6EDCF435" w14:textId="77777777" w:rsidR="00D86DD8" w:rsidRPr="007114AF" w:rsidRDefault="00164B6B" w:rsidP="00D86DD8">
      <w:pPr>
        <w:spacing w:after="0" w:line="240" w:lineRule="auto"/>
        <w:ind w:firstLine="284"/>
        <w:rPr>
          <w:rFonts w:ascii="Garamond" w:hAnsi="Garamond"/>
          <w:sz w:val="24"/>
          <w:szCs w:val="24"/>
        </w:rPr>
      </w:pPr>
      <w:r w:rsidRPr="007114AF">
        <w:rPr>
          <w:rFonts w:ascii="Garamond" w:hAnsi="Garamond"/>
          <w:sz w:val="24"/>
          <w:szCs w:val="24"/>
        </w:rPr>
        <w:t xml:space="preserve">- </w:t>
      </w:r>
      <w:r w:rsidR="00D86DD8" w:rsidRPr="007114AF">
        <w:rPr>
          <w:rFonts w:ascii="Garamond" w:hAnsi="Garamond"/>
          <w:sz w:val="24"/>
          <w:szCs w:val="24"/>
        </w:rPr>
        <w:t xml:space="preserve">Infrastrukturën e rrjetit. </w:t>
      </w:r>
    </w:p>
    <w:p w14:paraId="6EDCF436" w14:textId="77777777" w:rsidR="00D86DD8" w:rsidRPr="007114AF" w:rsidRDefault="00D86DD8" w:rsidP="00D86DD8">
      <w:pPr>
        <w:spacing w:after="0" w:line="240" w:lineRule="auto"/>
        <w:ind w:firstLine="284"/>
        <w:rPr>
          <w:rFonts w:ascii="Garamond" w:hAnsi="Garamond"/>
          <w:sz w:val="24"/>
          <w:szCs w:val="24"/>
        </w:rPr>
      </w:pPr>
      <w:r w:rsidRPr="007114AF">
        <w:rPr>
          <w:rFonts w:ascii="Garamond" w:hAnsi="Garamond"/>
          <w:sz w:val="24"/>
          <w:szCs w:val="24"/>
        </w:rPr>
        <w:t>Shkarkimet nga sektori i transportit mund të reduktohen me më shumë se 60% nën nivelet e vitit 1990 deri në vitin 2050. Në periudhën afatshkurtër pjesa më e madhe e progresit mund të gjendet në motorët efikasë me benzinë dhe naftë. Në periudhën afatmesme, makinat e karikueshme hibride dhe elektrike do të mundësojnë reduktime të mëdha të shkarkimeve. Biokarburet do të përdoren gjithnjë e më shumë në aviacion dhe në transportin rrugor, pasi jo gjithë mjetet e rënda për transportin e mallrave do të punojnë me energji elektrike në të ardhmen.</w:t>
      </w:r>
    </w:p>
    <w:p w14:paraId="6EDCF437" w14:textId="77777777" w:rsidR="00D86DD8" w:rsidRPr="007114AF" w:rsidRDefault="00D86DD8" w:rsidP="00D86DD8">
      <w:pPr>
        <w:spacing w:after="0" w:line="240" w:lineRule="auto"/>
        <w:ind w:firstLine="284"/>
        <w:rPr>
          <w:rFonts w:ascii="Garamond" w:hAnsi="Garamond"/>
          <w:sz w:val="24"/>
          <w:szCs w:val="24"/>
        </w:rPr>
      </w:pPr>
      <w:r w:rsidRPr="007114AF">
        <w:rPr>
          <w:rFonts w:ascii="Garamond" w:hAnsi="Garamond"/>
          <w:sz w:val="24"/>
          <w:szCs w:val="24"/>
        </w:rPr>
        <w:t>Strategjia kërkon politika që nxisin klimën e qëndrueshme të biznesit, çka nxit investimet me karbon të ulët që duhet të bëhen sa më shpejt të jetë e mundur.</w:t>
      </w:r>
    </w:p>
    <w:p w14:paraId="6EDCF438" w14:textId="77777777" w:rsidR="00854661" w:rsidRPr="007114AF" w:rsidRDefault="00854661" w:rsidP="00D86DD8">
      <w:pPr>
        <w:spacing w:after="0" w:line="240" w:lineRule="auto"/>
        <w:ind w:firstLine="284"/>
        <w:rPr>
          <w:rFonts w:ascii="Garamond" w:hAnsi="Garamond"/>
          <w:sz w:val="24"/>
          <w:szCs w:val="24"/>
        </w:rPr>
      </w:pPr>
    </w:p>
    <w:p w14:paraId="6EDCF439" w14:textId="77777777" w:rsidR="00D86DD8" w:rsidRPr="007114AF" w:rsidRDefault="008B66EE" w:rsidP="008B66EE">
      <w:pPr>
        <w:spacing w:after="0" w:line="240" w:lineRule="auto"/>
        <w:ind w:firstLine="284"/>
        <w:jc w:val="center"/>
        <w:rPr>
          <w:rFonts w:ascii="Garamond" w:hAnsi="Garamond"/>
          <w:sz w:val="24"/>
          <w:szCs w:val="24"/>
        </w:rPr>
      </w:pPr>
      <w:r w:rsidRPr="007114AF">
        <w:rPr>
          <w:rFonts w:ascii="Garamond" w:hAnsi="Garamond"/>
          <w:noProof/>
          <w:lang w:val="en-US" w:eastAsia="en-US"/>
        </w:rPr>
        <w:drawing>
          <wp:inline distT="0" distB="0" distL="0" distR="0" wp14:anchorId="6EDD1782" wp14:editId="6EDD1783">
            <wp:extent cx="4699221" cy="2560320"/>
            <wp:effectExtent l="0" t="0" r="635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11794" cy="2567170"/>
                    </a:xfrm>
                    <a:prstGeom prst="rect">
                      <a:avLst/>
                    </a:prstGeom>
                    <a:solidFill>
                      <a:srgbClr val="FFFFFF"/>
                    </a:solidFill>
                    <a:ln>
                      <a:noFill/>
                    </a:ln>
                  </pic:spPr>
                </pic:pic>
              </a:graphicData>
            </a:graphic>
          </wp:inline>
        </w:drawing>
      </w:r>
    </w:p>
    <w:p w14:paraId="6EDCF43A" w14:textId="77777777" w:rsidR="007A451F" w:rsidRPr="007114AF" w:rsidRDefault="007A451F" w:rsidP="008B66EE">
      <w:pPr>
        <w:spacing w:after="0" w:line="240" w:lineRule="auto"/>
        <w:ind w:firstLine="284"/>
        <w:jc w:val="center"/>
        <w:rPr>
          <w:rFonts w:ascii="Garamond" w:hAnsi="Garamond"/>
          <w:sz w:val="24"/>
          <w:szCs w:val="24"/>
        </w:rPr>
      </w:pPr>
    </w:p>
    <w:p w14:paraId="6EDCF43B" w14:textId="4F925B76" w:rsidR="00E20D71" w:rsidRPr="007114AF" w:rsidRDefault="00E20D71" w:rsidP="00E32157">
      <w:pPr>
        <w:spacing w:after="0" w:line="240" w:lineRule="auto"/>
        <w:ind w:firstLine="284"/>
        <w:jc w:val="center"/>
        <w:rPr>
          <w:rFonts w:ascii="Garamond" w:hAnsi="Garamond"/>
          <w:b/>
          <w:sz w:val="20"/>
          <w:szCs w:val="20"/>
        </w:rPr>
      </w:pPr>
      <w:r w:rsidRPr="007114AF">
        <w:rPr>
          <w:rFonts w:ascii="Garamond" w:hAnsi="Garamond"/>
          <w:b/>
          <w:sz w:val="20"/>
          <w:szCs w:val="20"/>
        </w:rPr>
        <w:t>Figura 2</w:t>
      </w:r>
      <w:r w:rsidR="00E914BF">
        <w:rPr>
          <w:rFonts w:ascii="Garamond" w:hAnsi="Garamond"/>
          <w:b/>
          <w:sz w:val="20"/>
          <w:szCs w:val="20"/>
        </w:rPr>
        <w:t xml:space="preserve"> </w:t>
      </w:r>
      <w:r w:rsidRPr="007114AF">
        <w:rPr>
          <w:rFonts w:ascii="Garamond" w:hAnsi="Garamond"/>
          <w:b/>
          <w:sz w:val="20"/>
          <w:szCs w:val="20"/>
        </w:rPr>
        <w:t>–</w:t>
      </w:r>
      <w:r w:rsidR="00E914BF">
        <w:rPr>
          <w:rFonts w:ascii="Garamond" w:hAnsi="Garamond"/>
          <w:b/>
          <w:sz w:val="20"/>
          <w:szCs w:val="20"/>
        </w:rPr>
        <w:t xml:space="preserve"> </w:t>
      </w:r>
      <w:r w:rsidRPr="007114AF">
        <w:rPr>
          <w:rFonts w:ascii="Garamond" w:hAnsi="Garamond"/>
          <w:b/>
          <w:sz w:val="20"/>
          <w:szCs w:val="20"/>
        </w:rPr>
        <w:t>Reduktimi i mundshëm i sektorëve në udhën drejt reduktimit -80%</w:t>
      </w:r>
      <w:r w:rsidRPr="007114AF">
        <w:rPr>
          <w:rFonts w:ascii="Garamond" w:hAnsi="Garamond"/>
          <w:b/>
          <w:sz w:val="20"/>
          <w:szCs w:val="20"/>
          <w:vertAlign w:val="superscript"/>
        </w:rPr>
        <w:footnoteReference w:id="12"/>
      </w:r>
    </w:p>
    <w:p w14:paraId="6EDCF43C" w14:textId="77777777" w:rsidR="00E20D71" w:rsidRPr="007114AF" w:rsidRDefault="00E20D71" w:rsidP="00E20D71">
      <w:pPr>
        <w:spacing w:after="0" w:line="240" w:lineRule="auto"/>
        <w:ind w:firstLine="284"/>
        <w:rPr>
          <w:rFonts w:ascii="Garamond" w:hAnsi="Garamond"/>
          <w:b/>
          <w:sz w:val="24"/>
          <w:szCs w:val="24"/>
        </w:rPr>
      </w:pPr>
    </w:p>
    <w:p w14:paraId="6EDCF43D" w14:textId="6C414D80" w:rsidR="00E20D71" w:rsidRPr="007114AF" w:rsidRDefault="000A2A01" w:rsidP="00E20D71">
      <w:pPr>
        <w:spacing w:after="0" w:line="240" w:lineRule="auto"/>
        <w:ind w:firstLine="284"/>
        <w:rPr>
          <w:rFonts w:ascii="Garamond" w:hAnsi="Garamond"/>
          <w:b/>
          <w:sz w:val="24"/>
          <w:szCs w:val="24"/>
        </w:rPr>
      </w:pPr>
      <w:r w:rsidRPr="007114AF">
        <w:rPr>
          <w:rFonts w:ascii="Garamond" w:hAnsi="Garamond"/>
          <w:b/>
          <w:sz w:val="24"/>
          <w:szCs w:val="24"/>
        </w:rPr>
        <w:t>“</w:t>
      </w:r>
      <w:r w:rsidR="00E20D71" w:rsidRPr="007114AF">
        <w:rPr>
          <w:rFonts w:ascii="Garamond" w:hAnsi="Garamond"/>
          <w:b/>
          <w:sz w:val="24"/>
          <w:szCs w:val="24"/>
        </w:rPr>
        <w:t>Paketa e Klimës dhe Energjisë2020</w:t>
      </w:r>
      <w:r w:rsidRPr="007114AF">
        <w:rPr>
          <w:rFonts w:ascii="Garamond" w:hAnsi="Garamond"/>
          <w:b/>
          <w:sz w:val="24"/>
          <w:szCs w:val="24"/>
        </w:rPr>
        <w:t>”</w:t>
      </w:r>
      <w:r w:rsidR="00E20D71" w:rsidRPr="007114AF">
        <w:rPr>
          <w:rFonts w:ascii="Garamond" w:hAnsi="Garamond"/>
          <w:b/>
          <w:sz w:val="24"/>
          <w:szCs w:val="24"/>
        </w:rPr>
        <w:t xml:space="preserve"> dhe periudha e dytë e angazhimit të PK-ës (2013</w:t>
      </w:r>
      <w:r w:rsidR="00F0008E" w:rsidRPr="007114AF">
        <w:rPr>
          <w:rFonts w:ascii="Garamond" w:hAnsi="Garamond"/>
          <w:sz w:val="24"/>
          <w:szCs w:val="24"/>
        </w:rPr>
        <w:t>–</w:t>
      </w:r>
      <w:r w:rsidR="00E20D71" w:rsidRPr="007114AF">
        <w:rPr>
          <w:rFonts w:ascii="Garamond" w:hAnsi="Garamond"/>
          <w:b/>
          <w:sz w:val="24"/>
          <w:szCs w:val="24"/>
        </w:rPr>
        <w:t>2020)</w:t>
      </w:r>
    </w:p>
    <w:p w14:paraId="6EDCF43E" w14:textId="5F0BB29F"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Në vitin 2009 BE-ja miratoi </w:t>
      </w:r>
      <w:r w:rsidR="000A2A01" w:rsidRPr="007114AF">
        <w:rPr>
          <w:rFonts w:ascii="Garamond" w:hAnsi="Garamond"/>
          <w:sz w:val="24"/>
          <w:szCs w:val="24"/>
        </w:rPr>
        <w:t>“</w:t>
      </w:r>
      <w:r w:rsidRPr="007114AF">
        <w:rPr>
          <w:rFonts w:ascii="Garamond" w:hAnsi="Garamond"/>
          <w:sz w:val="24"/>
          <w:szCs w:val="24"/>
        </w:rPr>
        <w:t>Paketën e Klimës dhe Energjisë 2020</w:t>
      </w:r>
      <w:r w:rsidR="000A2A01" w:rsidRPr="007114AF">
        <w:rPr>
          <w:rFonts w:ascii="Garamond" w:hAnsi="Garamond"/>
          <w:sz w:val="24"/>
          <w:szCs w:val="24"/>
        </w:rPr>
        <w:t>”</w:t>
      </w:r>
      <w:r w:rsidRPr="007114AF">
        <w:rPr>
          <w:rFonts w:ascii="Garamond" w:hAnsi="Garamond"/>
          <w:sz w:val="24"/>
          <w:szCs w:val="24"/>
        </w:rPr>
        <w:t>, një grup legjislacionesh të detyrueshme që garantojnë deri në vitin 2020, arritjen e objektivave të klimës dhe energjisë prej 20% reduktim në shkarkimet e gazeve serrë nga nivelet e vitit 1990, 20% të energjisë së BE-së nga burimet e rinovueshme, si dhe 20% përmirësim të eficiencës së energjisë.</w:t>
      </w:r>
    </w:p>
    <w:p w14:paraId="6EDCF43F" w14:textId="5BE8F86A"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Politika kryesore për përmbushjen e objektivave të reduktimit të shkarkimeve në BE, përfaqësohet nga Skema Evropiane për Tregtinë e Shkarkimeve (S</w:t>
      </w:r>
      <w:r w:rsidR="00FA3C19">
        <w:rPr>
          <w:rFonts w:ascii="Garamond" w:hAnsi="Garamond"/>
          <w:sz w:val="24"/>
          <w:szCs w:val="24"/>
        </w:rPr>
        <w:t>ETSH</w:t>
      </w:r>
      <w:r w:rsidRPr="007114AF">
        <w:rPr>
          <w:rFonts w:ascii="Garamond" w:hAnsi="Garamond"/>
          <w:sz w:val="24"/>
          <w:szCs w:val="24"/>
        </w:rPr>
        <w:t>) për tregtinë e lejeve të shkarkimeve të gazeve serrë në Komunitetin Evropian</w:t>
      </w:r>
      <w:r w:rsidRPr="007114AF">
        <w:rPr>
          <w:rFonts w:ascii="Garamond" w:hAnsi="Garamond"/>
          <w:sz w:val="24"/>
          <w:szCs w:val="24"/>
        </w:rPr>
        <w:footnoteReference w:id="13"/>
      </w:r>
      <w:r w:rsidRPr="007114AF">
        <w:rPr>
          <w:rFonts w:ascii="Garamond" w:hAnsi="Garamond"/>
          <w:sz w:val="24"/>
          <w:szCs w:val="24"/>
        </w:rPr>
        <w:t>, vendosur me Direktivën 2003/87/EC të</w:t>
      </w:r>
      <w:r w:rsidR="00F0008E" w:rsidRPr="007114AF">
        <w:rPr>
          <w:rFonts w:ascii="Garamond" w:hAnsi="Garamond"/>
          <w:sz w:val="24"/>
          <w:szCs w:val="24"/>
        </w:rPr>
        <w:t xml:space="preserve"> </w:t>
      </w:r>
      <w:r w:rsidRPr="007114AF">
        <w:rPr>
          <w:rFonts w:ascii="Garamond" w:hAnsi="Garamond"/>
          <w:sz w:val="24"/>
          <w:szCs w:val="24"/>
        </w:rPr>
        <w:t>Parlamentit Evropian</w:t>
      </w:r>
      <w:r w:rsidR="00F0008E" w:rsidRPr="007114AF">
        <w:rPr>
          <w:rFonts w:ascii="Garamond" w:hAnsi="Garamond"/>
          <w:sz w:val="24"/>
          <w:szCs w:val="24"/>
        </w:rPr>
        <w:t xml:space="preserve"> </w:t>
      </w:r>
      <w:r w:rsidRPr="007114AF">
        <w:rPr>
          <w:rFonts w:ascii="Garamond" w:hAnsi="Garamond"/>
          <w:sz w:val="24"/>
          <w:szCs w:val="24"/>
        </w:rPr>
        <w:t xml:space="preserve">dhe Këshillit. </w:t>
      </w:r>
      <w:r w:rsidR="00FA3C19" w:rsidRPr="007114AF">
        <w:rPr>
          <w:rFonts w:ascii="Garamond" w:hAnsi="Garamond"/>
          <w:sz w:val="24"/>
          <w:szCs w:val="24"/>
        </w:rPr>
        <w:t>S</w:t>
      </w:r>
      <w:r w:rsidR="00FA3C19">
        <w:rPr>
          <w:rFonts w:ascii="Garamond" w:hAnsi="Garamond"/>
          <w:sz w:val="24"/>
          <w:szCs w:val="24"/>
        </w:rPr>
        <w:t>ETSH</w:t>
      </w:r>
      <w:r w:rsidRPr="007114AF">
        <w:rPr>
          <w:rFonts w:ascii="Garamond" w:hAnsi="Garamond"/>
          <w:sz w:val="24"/>
          <w:szCs w:val="24"/>
        </w:rPr>
        <w:t>-i</w:t>
      </w:r>
      <w:r w:rsidR="00F0008E" w:rsidRPr="007114AF">
        <w:rPr>
          <w:rFonts w:ascii="Garamond" w:hAnsi="Garamond"/>
          <w:sz w:val="24"/>
          <w:szCs w:val="24"/>
        </w:rPr>
        <w:t xml:space="preserve"> </w:t>
      </w:r>
      <w:r w:rsidRPr="007114AF">
        <w:rPr>
          <w:rFonts w:ascii="Garamond" w:hAnsi="Garamond"/>
          <w:sz w:val="24"/>
          <w:szCs w:val="24"/>
        </w:rPr>
        <w:t>mbulon kryesisht sektorin e energjisë dhe industrinë, duke mbuluar 45% të shkarkimeve të BE-së; megjithatë Shtetet Anëtarë kanë mundësi të mbajnë ose vendosin skema kombëtare tregtimi, që mbulojnë sektorë të tjerë ekonomikë, të përjashtuar përkohësisht nga skema e Komunitetit.</w:t>
      </w:r>
    </w:p>
    <w:p w14:paraId="6EDCF440" w14:textId="7A7FF0A7"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S</w:t>
      </w:r>
      <w:r w:rsidR="00FA3C19">
        <w:rPr>
          <w:rFonts w:ascii="Garamond" w:hAnsi="Garamond"/>
          <w:sz w:val="24"/>
          <w:szCs w:val="24"/>
        </w:rPr>
        <w:t>ETSH</w:t>
      </w:r>
      <w:r w:rsidRPr="007114AF">
        <w:rPr>
          <w:rFonts w:ascii="Garamond" w:hAnsi="Garamond"/>
          <w:sz w:val="24"/>
          <w:szCs w:val="24"/>
        </w:rPr>
        <w:t>-i</w:t>
      </w:r>
      <w:r w:rsidR="00F0008E" w:rsidRPr="007114AF">
        <w:rPr>
          <w:rFonts w:ascii="Garamond" w:hAnsi="Garamond"/>
          <w:sz w:val="24"/>
          <w:szCs w:val="24"/>
        </w:rPr>
        <w:t xml:space="preserve"> </w:t>
      </w:r>
      <w:r w:rsidRPr="007114AF">
        <w:rPr>
          <w:rFonts w:ascii="Garamond" w:hAnsi="Garamond"/>
          <w:sz w:val="24"/>
          <w:szCs w:val="24"/>
        </w:rPr>
        <w:t>mbetet ende mjeti kryesor për reduktimet e shkarkimeve deri në vitin 2020, me një rishikim të madh të miratuar në vitin 2009,me qëllim forcimin e sistemit, duke hyrë në fazën e tij të tretë me rregulla më të harmonizuara në periudhën nga viti 2013 deri në vitin 2020. S</w:t>
      </w:r>
      <w:r w:rsidR="00FA3C19">
        <w:rPr>
          <w:rFonts w:ascii="Garamond" w:hAnsi="Garamond"/>
          <w:sz w:val="24"/>
          <w:szCs w:val="24"/>
        </w:rPr>
        <w:t>ETSH</w:t>
      </w:r>
      <w:r w:rsidRPr="007114AF">
        <w:rPr>
          <w:rFonts w:ascii="Garamond" w:hAnsi="Garamond"/>
          <w:sz w:val="24"/>
          <w:szCs w:val="24"/>
        </w:rPr>
        <w:t>-i</w:t>
      </w:r>
      <w:r w:rsidR="00F0008E" w:rsidRPr="007114AF">
        <w:rPr>
          <w:rFonts w:ascii="Garamond" w:hAnsi="Garamond"/>
          <w:sz w:val="24"/>
          <w:szCs w:val="24"/>
        </w:rPr>
        <w:t xml:space="preserve"> </w:t>
      </w:r>
      <w:r w:rsidRPr="007114AF">
        <w:rPr>
          <w:rFonts w:ascii="Garamond" w:hAnsi="Garamond"/>
          <w:sz w:val="24"/>
          <w:szCs w:val="24"/>
        </w:rPr>
        <w:t>mbulon më shumë se 11,000 instalime të rënda, që përdorin energji</w:t>
      </w:r>
      <w:r w:rsidR="000A2A01" w:rsidRPr="007114AF">
        <w:rPr>
          <w:rFonts w:ascii="Garamond" w:hAnsi="Garamond"/>
          <w:sz w:val="24"/>
          <w:szCs w:val="24"/>
        </w:rPr>
        <w:t xml:space="preserve"> </w:t>
      </w:r>
      <w:r w:rsidRPr="007114AF">
        <w:rPr>
          <w:rFonts w:ascii="Garamond" w:hAnsi="Garamond"/>
          <w:sz w:val="24"/>
          <w:szCs w:val="24"/>
        </w:rPr>
        <w:t>në gjenerimin e energjisë dhe industrinë prodhuese, si dhe operatorët e avionëve që kryejnë aktivitete aviacioni në BE dhe në shtetet EFTA-s.</w:t>
      </w:r>
    </w:p>
    <w:p w14:paraId="6EDCF441" w14:textId="3C024626"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Sektorët që nuk përfshihen në S</w:t>
      </w:r>
      <w:r w:rsidR="00FA3C19">
        <w:rPr>
          <w:rFonts w:ascii="Garamond" w:hAnsi="Garamond"/>
          <w:sz w:val="24"/>
          <w:szCs w:val="24"/>
        </w:rPr>
        <w:t>ETSH</w:t>
      </w:r>
      <w:r w:rsidRPr="007114AF">
        <w:rPr>
          <w:rFonts w:ascii="Garamond" w:hAnsi="Garamond"/>
          <w:sz w:val="24"/>
          <w:szCs w:val="24"/>
        </w:rPr>
        <w:t xml:space="preserve">, si transporti (përveç aviacionit dhe transportit ndërkombëtar detar), ndërtesat, bujqësia dhe mbetjet, mbulohen nga </w:t>
      </w:r>
      <w:r w:rsidR="008F3F1D" w:rsidRPr="007114AF">
        <w:rPr>
          <w:rFonts w:ascii="Garamond" w:hAnsi="Garamond"/>
          <w:sz w:val="24"/>
          <w:szCs w:val="24"/>
        </w:rPr>
        <w:t>vendimi për përpjekje të përbashkëta</w:t>
      </w:r>
      <w:r w:rsidRPr="007114AF">
        <w:rPr>
          <w:rFonts w:ascii="Garamond" w:hAnsi="Garamond"/>
          <w:sz w:val="24"/>
          <w:szCs w:val="24"/>
        </w:rPr>
        <w:t xml:space="preserve"> (</w:t>
      </w:r>
      <w:r w:rsidR="008F3F1D" w:rsidRPr="007114AF">
        <w:rPr>
          <w:rFonts w:ascii="Garamond" w:hAnsi="Garamond"/>
          <w:sz w:val="24"/>
          <w:szCs w:val="24"/>
        </w:rPr>
        <w:t>vendimi</w:t>
      </w:r>
      <w:r w:rsidR="00242009" w:rsidRPr="007114AF">
        <w:rPr>
          <w:rFonts w:ascii="Garamond" w:hAnsi="Garamond"/>
          <w:sz w:val="24"/>
          <w:szCs w:val="24"/>
        </w:rPr>
        <w:t xml:space="preserve"> nr. </w:t>
      </w:r>
      <w:r w:rsidRPr="007114AF">
        <w:rPr>
          <w:rFonts w:ascii="Garamond" w:hAnsi="Garamond"/>
          <w:sz w:val="24"/>
          <w:szCs w:val="24"/>
        </w:rPr>
        <w:t>406/2009/EC i Parlamentit</w:t>
      </w:r>
      <w:r w:rsidR="008F3F1D" w:rsidRPr="007114AF">
        <w:rPr>
          <w:rFonts w:ascii="Garamond" w:hAnsi="Garamond"/>
          <w:sz w:val="24"/>
          <w:szCs w:val="24"/>
        </w:rPr>
        <w:t xml:space="preserve"> </w:t>
      </w:r>
      <w:r w:rsidRPr="007114AF">
        <w:rPr>
          <w:rFonts w:ascii="Garamond" w:hAnsi="Garamond"/>
          <w:sz w:val="24"/>
          <w:szCs w:val="24"/>
        </w:rPr>
        <w:t>Evropian</w:t>
      </w:r>
      <w:r w:rsidR="008F3F1D" w:rsidRPr="007114AF">
        <w:rPr>
          <w:rFonts w:ascii="Garamond" w:hAnsi="Garamond"/>
          <w:sz w:val="24"/>
          <w:szCs w:val="24"/>
        </w:rPr>
        <w:t xml:space="preserve"> </w:t>
      </w:r>
      <w:r w:rsidRPr="007114AF">
        <w:rPr>
          <w:rFonts w:ascii="Garamond" w:hAnsi="Garamond"/>
          <w:sz w:val="24"/>
          <w:szCs w:val="24"/>
        </w:rPr>
        <w:t xml:space="preserve">dhe Këshillit i datës 23 prill 2009). Vendimi për </w:t>
      </w:r>
      <w:r w:rsidR="008F3F1D" w:rsidRPr="007114AF">
        <w:rPr>
          <w:rFonts w:ascii="Garamond" w:hAnsi="Garamond"/>
          <w:sz w:val="24"/>
          <w:szCs w:val="24"/>
        </w:rPr>
        <w:t xml:space="preserve">përpjekje të përbashkëta </w:t>
      </w:r>
      <w:r w:rsidRPr="007114AF">
        <w:rPr>
          <w:rFonts w:ascii="Garamond" w:hAnsi="Garamond"/>
          <w:sz w:val="24"/>
          <w:szCs w:val="24"/>
        </w:rPr>
        <w:t>(VPB) vendos objektiva kombëtar</w:t>
      </w:r>
      <w:r w:rsidR="00A67A6F">
        <w:rPr>
          <w:rFonts w:ascii="Garamond" w:hAnsi="Garamond"/>
          <w:sz w:val="24"/>
          <w:szCs w:val="24"/>
        </w:rPr>
        <w:t>ë</w:t>
      </w:r>
      <w:r w:rsidRPr="007114AF">
        <w:rPr>
          <w:rFonts w:ascii="Garamond" w:hAnsi="Garamond"/>
          <w:sz w:val="24"/>
          <w:szCs w:val="24"/>
        </w:rPr>
        <w:t xml:space="preserve"> për shkarkimet për </w:t>
      </w:r>
      <w:r w:rsidR="007B519E" w:rsidRPr="007114AF">
        <w:rPr>
          <w:rFonts w:ascii="Garamond" w:hAnsi="Garamond"/>
          <w:sz w:val="24"/>
          <w:szCs w:val="24"/>
        </w:rPr>
        <w:t>shtetet anëtare</w:t>
      </w:r>
      <w:r w:rsidRPr="007114AF">
        <w:rPr>
          <w:rFonts w:ascii="Garamond" w:hAnsi="Garamond"/>
          <w:sz w:val="24"/>
          <w:szCs w:val="24"/>
        </w:rPr>
        <w:t>, për periudhën 2013</w:t>
      </w:r>
      <w:r w:rsidR="008F3F1D" w:rsidRPr="007114AF">
        <w:rPr>
          <w:rFonts w:ascii="Garamond" w:hAnsi="Garamond"/>
          <w:sz w:val="24"/>
          <w:szCs w:val="24"/>
        </w:rPr>
        <w:t>–</w:t>
      </w:r>
      <w:r w:rsidRPr="007114AF">
        <w:rPr>
          <w:rFonts w:ascii="Garamond" w:hAnsi="Garamond"/>
          <w:sz w:val="24"/>
          <w:szCs w:val="24"/>
        </w:rPr>
        <w:t xml:space="preserve">2020, të shprehura si ndryshime në përqindje nga nivelet e vitit 2005. </w:t>
      </w:r>
    </w:p>
    <w:p w14:paraId="6EDCF442" w14:textId="5840B6CE"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Për periudhën 2013</w:t>
      </w:r>
      <w:r w:rsidR="008F3F1D" w:rsidRPr="007114AF">
        <w:rPr>
          <w:rFonts w:ascii="Garamond" w:hAnsi="Garamond"/>
          <w:sz w:val="24"/>
          <w:szCs w:val="24"/>
        </w:rPr>
        <w:t>–</w:t>
      </w:r>
      <w:r w:rsidRPr="007114AF">
        <w:rPr>
          <w:rFonts w:ascii="Garamond" w:hAnsi="Garamond"/>
          <w:sz w:val="24"/>
          <w:szCs w:val="24"/>
        </w:rPr>
        <w:t xml:space="preserve">2020 të Protokollit të Kiotos, vendet e BE-së (28 </w:t>
      </w:r>
      <w:r w:rsidR="00F0008E" w:rsidRPr="007114AF">
        <w:rPr>
          <w:rFonts w:ascii="Garamond" w:hAnsi="Garamond"/>
          <w:sz w:val="24"/>
          <w:szCs w:val="24"/>
        </w:rPr>
        <w:t xml:space="preserve">shtetet anëtare </w:t>
      </w:r>
      <w:r w:rsidRPr="007114AF">
        <w:rPr>
          <w:rFonts w:ascii="Garamond" w:hAnsi="Garamond"/>
          <w:sz w:val="24"/>
          <w:szCs w:val="24"/>
        </w:rPr>
        <w:t>së bashku me Islandën) kanë rënë dakord të arrijnë së bashku një objektiv reduktimi prej 20% krahasuar me vitin 1990, në përputhje me objektivin e vetë BE-së prej 20% deri në vitin 2020, gjerësisht në përputhje me angazhime të tjera në çdo sektor të ekonomisë. Në veçanti, BE-ja është përgjegjëse për shkarkimet në sektorët e mbuluar nga S</w:t>
      </w:r>
      <w:r w:rsidR="00FA3C19">
        <w:rPr>
          <w:rFonts w:ascii="Garamond" w:hAnsi="Garamond"/>
          <w:sz w:val="24"/>
          <w:szCs w:val="24"/>
        </w:rPr>
        <w:t>ETSH</w:t>
      </w:r>
      <w:r w:rsidRPr="007114AF">
        <w:rPr>
          <w:rFonts w:ascii="Garamond" w:hAnsi="Garamond"/>
          <w:sz w:val="24"/>
          <w:szCs w:val="24"/>
        </w:rPr>
        <w:t>-i, dhe çdo vend është përgjegjës për shkarkimet e veta kombëtare në sektorët jashtë S</w:t>
      </w:r>
      <w:r w:rsidR="00FA3C19">
        <w:rPr>
          <w:rFonts w:ascii="Garamond" w:hAnsi="Garamond"/>
          <w:sz w:val="24"/>
          <w:szCs w:val="24"/>
        </w:rPr>
        <w:t>ETSH</w:t>
      </w:r>
      <w:r w:rsidRPr="007114AF">
        <w:rPr>
          <w:rFonts w:ascii="Garamond" w:hAnsi="Garamond"/>
          <w:sz w:val="24"/>
          <w:szCs w:val="24"/>
        </w:rPr>
        <w:t xml:space="preserve">-it. </w:t>
      </w:r>
    </w:p>
    <w:p w14:paraId="6EDCF443" w14:textId="4533F5D3"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Sipas analizave të Agjencisë Evropiane të Mjedisit, të parashikimeve të vetë Shteteve Anëtare; BE-ja ka gjasa t</w:t>
      </w:r>
      <w:r w:rsidR="00D10DAB" w:rsidRPr="007114AF">
        <w:rPr>
          <w:rFonts w:ascii="Garamond" w:hAnsi="Garamond"/>
          <w:sz w:val="24"/>
          <w:szCs w:val="24"/>
        </w:rPr>
        <w:t>’</w:t>
      </w:r>
      <w:r w:rsidRPr="007114AF">
        <w:rPr>
          <w:rFonts w:ascii="Garamond" w:hAnsi="Garamond"/>
          <w:sz w:val="24"/>
          <w:szCs w:val="24"/>
        </w:rPr>
        <w:t>i reduktojë shkarkimet e gazeve serrë, me të paktën 21% të niveleve të vitit 1990 deri në vitin 2020, duke e kaluar objektivin prej 20%. (EEA, 2014)</w:t>
      </w:r>
      <w:r w:rsidRPr="007114AF">
        <w:rPr>
          <w:rFonts w:ascii="Garamond" w:hAnsi="Garamond"/>
          <w:sz w:val="24"/>
          <w:szCs w:val="24"/>
          <w:vertAlign w:val="superscript"/>
        </w:rPr>
        <w:footnoteReference w:id="14"/>
      </w:r>
    </w:p>
    <w:p w14:paraId="6EDCF444" w14:textId="187A970C" w:rsidR="00E20D71" w:rsidRPr="007114AF" w:rsidRDefault="001259F3" w:rsidP="00E20D71">
      <w:pPr>
        <w:spacing w:after="0" w:line="240" w:lineRule="auto"/>
        <w:ind w:firstLine="284"/>
        <w:rPr>
          <w:rFonts w:ascii="Garamond" w:hAnsi="Garamond"/>
          <w:b/>
          <w:sz w:val="24"/>
          <w:szCs w:val="24"/>
        </w:rPr>
      </w:pPr>
      <w:r w:rsidRPr="007114AF">
        <w:rPr>
          <w:rFonts w:ascii="Garamond" w:hAnsi="Garamond"/>
          <w:b/>
          <w:sz w:val="24"/>
          <w:szCs w:val="24"/>
        </w:rPr>
        <w:t xml:space="preserve"> </w:t>
      </w:r>
      <w:r w:rsidR="000A2A01" w:rsidRPr="007114AF">
        <w:rPr>
          <w:rFonts w:ascii="Garamond" w:hAnsi="Garamond"/>
          <w:b/>
          <w:sz w:val="24"/>
          <w:szCs w:val="24"/>
        </w:rPr>
        <w:t>“</w:t>
      </w:r>
      <w:r w:rsidR="00E20D71" w:rsidRPr="007114AF">
        <w:rPr>
          <w:rFonts w:ascii="Garamond" w:hAnsi="Garamond"/>
          <w:b/>
          <w:sz w:val="24"/>
          <w:szCs w:val="24"/>
        </w:rPr>
        <w:t xml:space="preserve">Kuadri </w:t>
      </w:r>
      <w:r w:rsidR="008F3F1D" w:rsidRPr="007114AF">
        <w:rPr>
          <w:rFonts w:ascii="Garamond" w:hAnsi="Garamond"/>
          <w:b/>
          <w:sz w:val="24"/>
          <w:szCs w:val="24"/>
        </w:rPr>
        <w:t xml:space="preserve">ligjor për klimën dhe energjinë </w:t>
      </w:r>
      <w:r w:rsidR="00E20D71" w:rsidRPr="007114AF">
        <w:rPr>
          <w:rFonts w:ascii="Garamond" w:hAnsi="Garamond"/>
          <w:b/>
          <w:sz w:val="24"/>
          <w:szCs w:val="24"/>
        </w:rPr>
        <w:t>2030</w:t>
      </w:r>
      <w:r w:rsidR="000A2A01" w:rsidRPr="007114AF">
        <w:rPr>
          <w:rFonts w:ascii="Garamond" w:hAnsi="Garamond"/>
          <w:b/>
          <w:sz w:val="24"/>
          <w:szCs w:val="24"/>
        </w:rPr>
        <w:t>”</w:t>
      </w:r>
    </w:p>
    <w:p w14:paraId="6EDCF445" w14:textId="0E5C407B"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Më 23 tetor 2014, Këshilli Evropian</w:t>
      </w:r>
      <w:r w:rsidR="008F3F1D" w:rsidRPr="007114AF">
        <w:rPr>
          <w:rFonts w:ascii="Garamond" w:hAnsi="Garamond"/>
          <w:sz w:val="24"/>
          <w:szCs w:val="24"/>
        </w:rPr>
        <w:t xml:space="preserve"> </w:t>
      </w:r>
      <w:r w:rsidRPr="007114AF">
        <w:rPr>
          <w:rFonts w:ascii="Garamond" w:hAnsi="Garamond"/>
          <w:sz w:val="24"/>
          <w:szCs w:val="24"/>
        </w:rPr>
        <w:t xml:space="preserve">miratoi </w:t>
      </w:r>
      <w:r w:rsidR="000A2A01" w:rsidRPr="007114AF">
        <w:rPr>
          <w:rFonts w:ascii="Garamond" w:hAnsi="Garamond"/>
          <w:sz w:val="24"/>
          <w:szCs w:val="24"/>
        </w:rPr>
        <w:t>“</w:t>
      </w:r>
      <w:r w:rsidRPr="007114AF">
        <w:rPr>
          <w:rFonts w:ascii="Garamond" w:hAnsi="Garamond"/>
          <w:sz w:val="24"/>
          <w:szCs w:val="24"/>
        </w:rPr>
        <w:t xml:space="preserve">Kuadrin </w:t>
      </w:r>
      <w:r w:rsidR="008F3F1D" w:rsidRPr="007114AF">
        <w:rPr>
          <w:rFonts w:ascii="Garamond" w:hAnsi="Garamond"/>
          <w:sz w:val="24"/>
          <w:szCs w:val="24"/>
        </w:rPr>
        <w:t xml:space="preserve">ligjor për klimën dhe energjinë </w:t>
      </w:r>
      <w:r w:rsidRPr="007114AF">
        <w:rPr>
          <w:rFonts w:ascii="Garamond" w:hAnsi="Garamond"/>
          <w:sz w:val="24"/>
          <w:szCs w:val="24"/>
        </w:rPr>
        <w:t>2030</w:t>
      </w:r>
      <w:r w:rsidR="000A2A01" w:rsidRPr="007114AF">
        <w:rPr>
          <w:rFonts w:ascii="Garamond" w:hAnsi="Garamond"/>
          <w:sz w:val="24"/>
          <w:szCs w:val="24"/>
        </w:rPr>
        <w:t>”</w:t>
      </w:r>
      <w:r w:rsidRPr="007114AF">
        <w:rPr>
          <w:rFonts w:ascii="Garamond" w:hAnsi="Garamond"/>
          <w:sz w:val="24"/>
          <w:szCs w:val="24"/>
        </w:rPr>
        <w:t xml:space="preserve"> për përudhën 2020</w:t>
      </w:r>
      <w:r w:rsidR="00F0008E" w:rsidRPr="007114AF">
        <w:rPr>
          <w:rFonts w:ascii="Garamond" w:hAnsi="Garamond"/>
          <w:sz w:val="24"/>
          <w:szCs w:val="24"/>
        </w:rPr>
        <w:t>–</w:t>
      </w:r>
      <w:r w:rsidRPr="007114AF">
        <w:rPr>
          <w:rFonts w:ascii="Garamond" w:hAnsi="Garamond"/>
          <w:sz w:val="24"/>
          <w:szCs w:val="24"/>
        </w:rPr>
        <w:t>2030, që synon ta bëjë ekonominë dhe sistemin e energjisë në BE më konkurruese, më të qëndrueshme dhe me të sigurt, në udhën drejt ekonomisë me karbon të ulët, në përputhje me perspektivën afatgjatë të përcaktuar në planin për kalimin në një ekonomi konkurruese me karbon të ulët në vitin 2050</w:t>
      </w:r>
      <w:r w:rsidR="00F0008E" w:rsidRPr="007114AF">
        <w:rPr>
          <w:rFonts w:ascii="Garamond" w:hAnsi="Garamond"/>
          <w:sz w:val="24"/>
          <w:szCs w:val="24"/>
        </w:rPr>
        <w:t xml:space="preserve"> –</w:t>
      </w:r>
      <w:r w:rsidRPr="007114AF">
        <w:rPr>
          <w:rFonts w:ascii="Garamond" w:hAnsi="Garamond"/>
          <w:sz w:val="24"/>
          <w:szCs w:val="24"/>
        </w:rPr>
        <w:t xml:space="preserve"> Planin e Energjisë 2050</w:t>
      </w:r>
      <w:r w:rsidR="00F0008E" w:rsidRPr="007114AF">
        <w:rPr>
          <w:rFonts w:ascii="Garamond" w:hAnsi="Garamond"/>
          <w:sz w:val="24"/>
          <w:szCs w:val="24"/>
        </w:rPr>
        <w:t xml:space="preserve"> </w:t>
      </w:r>
      <w:r w:rsidRPr="007114AF">
        <w:rPr>
          <w:rFonts w:ascii="Garamond" w:hAnsi="Garamond"/>
          <w:sz w:val="24"/>
          <w:szCs w:val="24"/>
        </w:rPr>
        <w:t>dhe Dokumentin e Bardhë të Transportit. Kuadri ligjor për klimën dhe energjinë 2030 përcakton objektivin e reduktimit 40% nën nivelet e vitit 1990 deri në vitin 2030, të refuzuar në objektivat e mëposht</w:t>
      </w:r>
      <w:r w:rsidR="00A67A6F">
        <w:rPr>
          <w:rFonts w:ascii="Garamond" w:hAnsi="Garamond"/>
          <w:sz w:val="24"/>
          <w:szCs w:val="24"/>
        </w:rPr>
        <w:t>ë</w:t>
      </w:r>
      <w:r w:rsidRPr="007114AF">
        <w:rPr>
          <w:rFonts w:ascii="Garamond" w:hAnsi="Garamond"/>
          <w:sz w:val="24"/>
          <w:szCs w:val="24"/>
        </w:rPr>
        <w:t>m specifik</w:t>
      </w:r>
      <w:r w:rsidR="00A67A6F">
        <w:rPr>
          <w:rFonts w:ascii="Garamond" w:hAnsi="Garamond"/>
          <w:sz w:val="24"/>
          <w:szCs w:val="24"/>
        </w:rPr>
        <w:t>ë</w:t>
      </w:r>
      <w:r w:rsidRPr="007114AF">
        <w:rPr>
          <w:rFonts w:ascii="Garamond" w:hAnsi="Garamond"/>
          <w:sz w:val="24"/>
          <w:szCs w:val="24"/>
        </w:rPr>
        <w:t>:</w:t>
      </w:r>
    </w:p>
    <w:p w14:paraId="6EDCF446" w14:textId="5306D6B3"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 xml:space="preserve">reduktimi prej 30% krahasuar me vitin 2005, për sektorët e përfshirë në </w:t>
      </w:r>
      <w:r w:rsidR="00FA3C19" w:rsidRPr="007114AF">
        <w:rPr>
          <w:rFonts w:ascii="Garamond" w:hAnsi="Garamond"/>
          <w:sz w:val="24"/>
          <w:szCs w:val="24"/>
        </w:rPr>
        <w:t>S</w:t>
      </w:r>
      <w:r w:rsidR="00FA3C19">
        <w:rPr>
          <w:rFonts w:ascii="Garamond" w:hAnsi="Garamond"/>
          <w:sz w:val="24"/>
          <w:szCs w:val="24"/>
        </w:rPr>
        <w:t xml:space="preserve">ETSH </w:t>
      </w:r>
      <w:r w:rsidR="00E20D71" w:rsidRPr="007114AF">
        <w:rPr>
          <w:rFonts w:ascii="Garamond" w:hAnsi="Garamond"/>
          <w:sz w:val="24"/>
          <w:szCs w:val="24"/>
        </w:rPr>
        <w:t xml:space="preserve">(centrale më të mëdhenj se </w:t>
      </w:r>
      <w:r w:rsidR="008F3F1D" w:rsidRPr="007114AF">
        <w:rPr>
          <w:rFonts w:ascii="Garamond" w:hAnsi="Garamond"/>
          <w:sz w:val="24"/>
          <w:szCs w:val="24"/>
        </w:rPr>
        <w:t>20mw</w:t>
      </w:r>
      <w:r w:rsidR="00E20D71" w:rsidRPr="007114AF">
        <w:rPr>
          <w:rFonts w:ascii="Garamond" w:hAnsi="Garamond"/>
          <w:sz w:val="24"/>
          <w:szCs w:val="24"/>
        </w:rPr>
        <w:t>);</w:t>
      </w:r>
    </w:p>
    <w:p w14:paraId="6EDCF447" w14:textId="435EAE1B"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reduktim prej 43% krahasuar me vitin 2005, për sektorë që nuk përfshihen në</w:t>
      </w:r>
      <w:r w:rsidR="00FA3C19">
        <w:rPr>
          <w:rFonts w:ascii="Garamond" w:hAnsi="Garamond"/>
          <w:sz w:val="24"/>
          <w:szCs w:val="24"/>
        </w:rPr>
        <w:t xml:space="preserve"> </w:t>
      </w:r>
      <w:r w:rsidR="00FA3C19" w:rsidRPr="007114AF">
        <w:rPr>
          <w:rFonts w:ascii="Garamond" w:hAnsi="Garamond"/>
          <w:sz w:val="24"/>
          <w:szCs w:val="24"/>
        </w:rPr>
        <w:t>S</w:t>
      </w:r>
      <w:r w:rsidR="00FA3C19">
        <w:rPr>
          <w:rFonts w:ascii="Garamond" w:hAnsi="Garamond"/>
          <w:sz w:val="24"/>
          <w:szCs w:val="24"/>
        </w:rPr>
        <w:t>ETSH</w:t>
      </w:r>
      <w:r w:rsidR="00FA3C19" w:rsidRPr="007114AF">
        <w:rPr>
          <w:rFonts w:ascii="Garamond" w:hAnsi="Garamond"/>
          <w:sz w:val="24"/>
          <w:szCs w:val="24"/>
        </w:rPr>
        <w:t xml:space="preserve"> </w:t>
      </w:r>
      <w:r w:rsidR="00E20D71" w:rsidRPr="007114AF">
        <w:rPr>
          <w:rFonts w:ascii="Garamond" w:hAnsi="Garamond"/>
          <w:sz w:val="24"/>
          <w:szCs w:val="24"/>
        </w:rPr>
        <w:t>(si transporti, bujqësia, ngrohja, mbetjet);</w:t>
      </w:r>
    </w:p>
    <w:p w14:paraId="6EDCF448"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rritja e konsumit të energjisë së rinovueshme deri në 27% të konsumit total;</w:t>
      </w:r>
    </w:p>
    <w:p w14:paraId="6EDCF449"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27% rritje në eficiencën e energjisë, krahasuar me parashikimet e konsumit të energjisë bazuar në kriterin aktual.</w:t>
      </w:r>
    </w:p>
    <w:p w14:paraId="6EDCF44A" w14:textId="38956473"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INDC-ja e BE-së</w:t>
      </w:r>
      <w:r w:rsidR="008F3F1D" w:rsidRPr="007114AF">
        <w:rPr>
          <w:rFonts w:ascii="Garamond" w:hAnsi="Garamond"/>
          <w:sz w:val="24"/>
          <w:szCs w:val="24"/>
        </w:rPr>
        <w:t xml:space="preserve"> </w:t>
      </w:r>
      <w:r w:rsidRPr="007114AF">
        <w:rPr>
          <w:rFonts w:ascii="Garamond" w:hAnsi="Garamond"/>
          <w:sz w:val="24"/>
          <w:szCs w:val="24"/>
        </w:rPr>
        <w:t>në kuadrin e procesit ADP-ës</w:t>
      </w:r>
      <w:r w:rsidR="00FA3C19">
        <w:rPr>
          <w:rFonts w:ascii="Garamond" w:hAnsi="Garamond"/>
          <w:sz w:val="24"/>
          <w:szCs w:val="24"/>
        </w:rPr>
        <w:t xml:space="preserve"> </w:t>
      </w:r>
      <w:r w:rsidRPr="007114AF">
        <w:rPr>
          <w:rFonts w:ascii="Garamond" w:hAnsi="Garamond"/>
          <w:sz w:val="24"/>
          <w:szCs w:val="24"/>
        </w:rPr>
        <w:t>për Marrëveshjen e Parisit, i përkthen objektivat e mësipërm deri në vitin 2030, duke u zotuar të arrijë të paktën 40% reduktim të brendshëm në shkarkimet GES</w:t>
      </w:r>
      <w:r w:rsidR="00FA3C19">
        <w:rPr>
          <w:rFonts w:ascii="Garamond" w:hAnsi="Garamond"/>
          <w:sz w:val="24"/>
          <w:szCs w:val="24"/>
        </w:rPr>
        <w:t xml:space="preserve"> </w:t>
      </w:r>
      <w:r w:rsidRPr="007114AF">
        <w:rPr>
          <w:rFonts w:ascii="Garamond" w:hAnsi="Garamond"/>
          <w:sz w:val="24"/>
          <w:szCs w:val="24"/>
        </w:rPr>
        <w:t>krahasuar me nivelet e vitit 1990 deri në vitin 2030</w:t>
      </w:r>
      <w:r w:rsidRPr="007114AF">
        <w:rPr>
          <w:rFonts w:ascii="Garamond" w:hAnsi="Garamond"/>
          <w:sz w:val="24"/>
          <w:szCs w:val="24"/>
          <w:vertAlign w:val="superscript"/>
        </w:rPr>
        <w:footnoteReference w:id="15"/>
      </w:r>
      <w:r w:rsidRPr="007114AF">
        <w:rPr>
          <w:rFonts w:ascii="Garamond" w:hAnsi="Garamond"/>
          <w:sz w:val="24"/>
          <w:szCs w:val="24"/>
        </w:rPr>
        <w:t xml:space="preserve">. </w:t>
      </w:r>
    </w:p>
    <w:p w14:paraId="6EDCF44B" w14:textId="77777777" w:rsidR="00E20D71" w:rsidRPr="007114AF" w:rsidRDefault="00164B6B" w:rsidP="00E20D71">
      <w:pPr>
        <w:spacing w:after="0" w:line="240" w:lineRule="auto"/>
        <w:ind w:firstLine="284"/>
        <w:rPr>
          <w:rFonts w:ascii="Garamond" w:hAnsi="Garamond"/>
          <w:sz w:val="24"/>
          <w:szCs w:val="24"/>
        </w:rPr>
      </w:pPr>
      <w:bookmarkStart w:id="19" w:name="__RefHeading___Toc444944781"/>
      <w:bookmarkStart w:id="20" w:name="_Toc450135226"/>
      <w:bookmarkStart w:id="21" w:name="_Toc450151829"/>
      <w:bookmarkStart w:id="22" w:name="_Toc484424475"/>
      <w:bookmarkEnd w:id="19"/>
      <w:r w:rsidRPr="007114AF">
        <w:rPr>
          <w:rFonts w:ascii="Garamond" w:hAnsi="Garamond"/>
          <w:sz w:val="24"/>
          <w:szCs w:val="24"/>
        </w:rPr>
        <w:t xml:space="preserve">2.3.1 </w:t>
      </w:r>
      <w:r w:rsidR="00E20D71" w:rsidRPr="007114AF">
        <w:rPr>
          <w:rFonts w:ascii="Garamond" w:hAnsi="Garamond"/>
          <w:sz w:val="24"/>
          <w:szCs w:val="24"/>
        </w:rPr>
        <w:t>Sektor</w:t>
      </w:r>
      <w:bookmarkEnd w:id="20"/>
      <w:bookmarkEnd w:id="21"/>
      <w:r w:rsidR="00E20D71" w:rsidRPr="007114AF">
        <w:rPr>
          <w:rFonts w:ascii="Garamond" w:hAnsi="Garamond"/>
          <w:sz w:val="24"/>
          <w:szCs w:val="24"/>
        </w:rPr>
        <w:t>i i tokës</w:t>
      </w:r>
      <w:bookmarkEnd w:id="22"/>
    </w:p>
    <w:p w14:paraId="6EDCF44C" w14:textId="119B3EC0"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Bujqësia luan një rol të rëndësishëm në kalimin me karbon të ulët të ekonomisë evropiane, teksa kërkesa globale për ushqim parashikohet të rritet, dhe atëherë pjesa bujqësisë në shkarkimet totale të BE-së do të rritet me rreth 1/3 deri në vitin 2050. Bujqësia do të duhet t</w:t>
      </w:r>
      <w:r w:rsidR="00D10DAB" w:rsidRPr="007114AF">
        <w:rPr>
          <w:rFonts w:ascii="Garamond" w:hAnsi="Garamond"/>
          <w:sz w:val="24"/>
          <w:szCs w:val="24"/>
        </w:rPr>
        <w:t>’</w:t>
      </w:r>
      <w:r w:rsidRPr="007114AF">
        <w:rPr>
          <w:rFonts w:ascii="Garamond" w:hAnsi="Garamond"/>
          <w:sz w:val="24"/>
          <w:szCs w:val="24"/>
        </w:rPr>
        <w:t xml:space="preserve">i reduktojë shkarkimet nga plehrat kimike, organike dhe bagëtia, dhe mund të kontribuojë për ruajtjen e CO2 në toka dhe pyje. </w:t>
      </w:r>
    </w:p>
    <w:p w14:paraId="6EDCF44D" w14:textId="77777777"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Në kontekstin e lëvizjes drejt një ekonomie konkurruese me karbon të ulët në vitin 2050, gjithë përdorimi i tokës duhet marrë në konsideratë në mënyrë holistike dhe LULUCF-ja duhet trajtuar në kuadrin e politikës së BE-së për klimën.</w:t>
      </w:r>
    </w:p>
    <w:p w14:paraId="6EDCF44E" w14:textId="25FEBA23"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Shkarkimet dhe përthithësit e gazeve serrë që rezultojnë nga sektori LULUCF-së, nuk llogariten kundrejt objektivave të BE-së për reduktimin e shkarkimeve të gazeve me 20% për vitin 2020,</w:t>
      </w:r>
      <w:r w:rsidR="00A67A6F">
        <w:rPr>
          <w:rFonts w:ascii="Garamond" w:hAnsi="Garamond"/>
          <w:sz w:val="24"/>
          <w:szCs w:val="24"/>
        </w:rPr>
        <w:t xml:space="preserve"> </w:t>
      </w:r>
      <w:r w:rsidRPr="007114AF">
        <w:rPr>
          <w:rFonts w:ascii="Garamond" w:hAnsi="Garamond"/>
          <w:sz w:val="24"/>
          <w:szCs w:val="24"/>
        </w:rPr>
        <w:t>sipas objektivave të VPB-së</w:t>
      </w:r>
      <w:r w:rsidR="00FA3C19">
        <w:rPr>
          <w:rFonts w:ascii="Garamond" w:hAnsi="Garamond"/>
          <w:sz w:val="24"/>
          <w:szCs w:val="24"/>
        </w:rPr>
        <w:t xml:space="preserve"> </w:t>
      </w:r>
      <w:r w:rsidRPr="007114AF">
        <w:rPr>
          <w:rFonts w:ascii="Garamond" w:hAnsi="Garamond"/>
          <w:sz w:val="24"/>
          <w:szCs w:val="24"/>
        </w:rPr>
        <w:t>dhe S</w:t>
      </w:r>
      <w:r w:rsidR="00FA3C19">
        <w:rPr>
          <w:rFonts w:ascii="Garamond" w:hAnsi="Garamond"/>
          <w:sz w:val="24"/>
          <w:szCs w:val="24"/>
        </w:rPr>
        <w:t>ETSH</w:t>
      </w:r>
      <w:r w:rsidRPr="007114AF">
        <w:rPr>
          <w:rFonts w:ascii="Garamond" w:hAnsi="Garamond"/>
          <w:sz w:val="24"/>
          <w:szCs w:val="24"/>
        </w:rPr>
        <w:t xml:space="preserve">-it, ndonëse ato llogariten pjesërisht kundrejt kufizimit të matshëm të shkarkimeve të BE-së dhe angazhimeve për reduktim sipas </w:t>
      </w:r>
      <w:r w:rsidR="00A67A6F">
        <w:rPr>
          <w:rFonts w:ascii="Garamond" w:hAnsi="Garamond"/>
          <w:sz w:val="24"/>
          <w:szCs w:val="24"/>
        </w:rPr>
        <w:t>n</w:t>
      </w:r>
      <w:r w:rsidRPr="007114AF">
        <w:rPr>
          <w:rFonts w:ascii="Garamond" w:hAnsi="Garamond"/>
          <w:sz w:val="24"/>
          <w:szCs w:val="24"/>
        </w:rPr>
        <w:t>enit 3, të Protokollit të Kiotos</w:t>
      </w:r>
      <w:r w:rsidR="00FA3C19">
        <w:rPr>
          <w:rFonts w:ascii="Garamond" w:hAnsi="Garamond"/>
          <w:sz w:val="24"/>
          <w:szCs w:val="24"/>
        </w:rPr>
        <w:t xml:space="preserve"> </w:t>
      </w:r>
      <w:r w:rsidRPr="007114AF">
        <w:rPr>
          <w:rFonts w:ascii="Garamond" w:hAnsi="Garamond"/>
          <w:sz w:val="24"/>
          <w:szCs w:val="24"/>
        </w:rPr>
        <w:t>në UNFCCC-ë.</w:t>
      </w:r>
    </w:p>
    <w:p w14:paraId="6EDCF44F" w14:textId="3710DD21"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Ndonëse LULUCF-ja</w:t>
      </w:r>
      <w:r w:rsidR="00FA3C19">
        <w:rPr>
          <w:rFonts w:ascii="Garamond" w:hAnsi="Garamond"/>
          <w:sz w:val="24"/>
          <w:szCs w:val="24"/>
        </w:rPr>
        <w:t xml:space="preserve"> </w:t>
      </w:r>
      <w:r w:rsidRPr="007114AF">
        <w:rPr>
          <w:rFonts w:ascii="Garamond" w:hAnsi="Garamond"/>
          <w:sz w:val="24"/>
          <w:szCs w:val="24"/>
        </w:rPr>
        <w:t>nuk përfshihet drejtpërdrejt në arritjen e objektivave të BE-së deri në vitin 2020, nevojitet një politikë menaxhimi e qëndrueshme për sektorin agropyjor për të mbështetur prodhimin e energjisë së rinovueshme nga biomasa agropyjore, pa kërcënuar rolin e rëndësishëm që kanë (të përthithësve të karbonit).</w:t>
      </w:r>
    </w:p>
    <w:p w14:paraId="6EDCF450" w14:textId="7EC828BE"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Sektori LULUCF-ës</w:t>
      </w:r>
      <w:r w:rsidR="00FA3C19">
        <w:rPr>
          <w:rFonts w:ascii="Garamond" w:hAnsi="Garamond"/>
          <w:sz w:val="24"/>
          <w:szCs w:val="24"/>
        </w:rPr>
        <w:t xml:space="preserve"> </w:t>
      </w:r>
      <w:r w:rsidRPr="007114AF">
        <w:rPr>
          <w:rFonts w:ascii="Garamond" w:hAnsi="Garamond"/>
          <w:sz w:val="24"/>
          <w:szCs w:val="24"/>
        </w:rPr>
        <w:t xml:space="preserve">në kontekstin evropian, kornizohet nga </w:t>
      </w:r>
      <w:r w:rsidR="00FA3C19">
        <w:rPr>
          <w:rFonts w:ascii="Garamond" w:hAnsi="Garamond"/>
          <w:sz w:val="24"/>
          <w:szCs w:val="24"/>
        </w:rPr>
        <w:t>v</w:t>
      </w:r>
      <w:r w:rsidRPr="007114AF">
        <w:rPr>
          <w:rFonts w:ascii="Garamond" w:hAnsi="Garamond"/>
          <w:sz w:val="24"/>
          <w:szCs w:val="24"/>
        </w:rPr>
        <w:t>endimi</w:t>
      </w:r>
      <w:r w:rsidR="00242009" w:rsidRPr="007114AF">
        <w:rPr>
          <w:rFonts w:ascii="Garamond" w:hAnsi="Garamond"/>
          <w:sz w:val="24"/>
          <w:szCs w:val="24"/>
        </w:rPr>
        <w:t xml:space="preserve"> nr. </w:t>
      </w:r>
      <w:r w:rsidRPr="007114AF">
        <w:rPr>
          <w:rFonts w:ascii="Garamond" w:hAnsi="Garamond"/>
          <w:sz w:val="24"/>
          <w:szCs w:val="24"/>
        </w:rPr>
        <w:t>529/2013/EU i Parlamentit</w:t>
      </w:r>
      <w:r w:rsidR="00FA3C19">
        <w:rPr>
          <w:rFonts w:ascii="Garamond" w:hAnsi="Garamond"/>
          <w:sz w:val="24"/>
          <w:szCs w:val="24"/>
        </w:rPr>
        <w:t xml:space="preserve"> </w:t>
      </w:r>
      <w:r w:rsidRPr="007114AF">
        <w:rPr>
          <w:rFonts w:ascii="Garamond" w:hAnsi="Garamond"/>
          <w:sz w:val="24"/>
          <w:szCs w:val="24"/>
        </w:rPr>
        <w:t>Evropian</w:t>
      </w:r>
      <w:r w:rsidR="00FA3C19">
        <w:rPr>
          <w:rFonts w:ascii="Garamond" w:hAnsi="Garamond"/>
          <w:sz w:val="24"/>
          <w:szCs w:val="24"/>
        </w:rPr>
        <w:t xml:space="preserve"> </w:t>
      </w:r>
      <w:r w:rsidRPr="007114AF">
        <w:rPr>
          <w:rFonts w:ascii="Garamond" w:hAnsi="Garamond"/>
          <w:sz w:val="24"/>
          <w:szCs w:val="24"/>
        </w:rPr>
        <w:t>dhe Këshillit i 21 majit 2013, që vendos rregullat raportuese</w:t>
      </w:r>
      <w:r w:rsidR="00FA3C19">
        <w:rPr>
          <w:rFonts w:ascii="Garamond" w:hAnsi="Garamond"/>
          <w:sz w:val="24"/>
          <w:szCs w:val="24"/>
        </w:rPr>
        <w:t xml:space="preserve"> </w:t>
      </w:r>
      <w:r w:rsidRPr="007114AF">
        <w:rPr>
          <w:rFonts w:ascii="Garamond" w:hAnsi="Garamond"/>
          <w:sz w:val="24"/>
          <w:szCs w:val="24"/>
        </w:rPr>
        <w:t>për shkarkimet e gazeve serrë dhe përthithësit, që rezultojnë nga aktivitete që lidhen me përdorimin e tokës, ndryshimin e përdorimit të tokës dhe pyjeve, si dhe informacionin lidhur me veprimet që lidhen me këto aktivitete.</w:t>
      </w:r>
    </w:p>
    <w:p w14:paraId="6EDCF451" w14:textId="7B94DF5F"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Vendimi 529/2013, ndërsa nënvizon përjashtimin e LULUCF-ës</w:t>
      </w:r>
      <w:r w:rsidR="00A518D9">
        <w:rPr>
          <w:rFonts w:ascii="Garamond" w:hAnsi="Garamond"/>
          <w:sz w:val="24"/>
          <w:szCs w:val="24"/>
        </w:rPr>
        <w:t xml:space="preserve"> </w:t>
      </w:r>
      <w:r w:rsidRPr="007114AF">
        <w:rPr>
          <w:rFonts w:ascii="Garamond" w:hAnsi="Garamond"/>
          <w:sz w:val="24"/>
          <w:szCs w:val="24"/>
        </w:rPr>
        <w:t>nga objektivat aktual</w:t>
      </w:r>
      <w:r w:rsidR="00A518D9">
        <w:rPr>
          <w:rFonts w:ascii="Garamond" w:hAnsi="Garamond"/>
          <w:sz w:val="24"/>
          <w:szCs w:val="24"/>
        </w:rPr>
        <w:t>ë</w:t>
      </w:r>
      <w:r w:rsidRPr="007114AF">
        <w:rPr>
          <w:rFonts w:ascii="Garamond" w:hAnsi="Garamond"/>
          <w:sz w:val="24"/>
          <w:szCs w:val="24"/>
        </w:rPr>
        <w:t xml:space="preserve"> të BE-së, njeh mundësinë për një përfshirje të ardhshme të LULUCF-ës</w:t>
      </w:r>
      <w:r w:rsidR="00A518D9">
        <w:rPr>
          <w:rFonts w:ascii="Garamond" w:hAnsi="Garamond"/>
          <w:sz w:val="24"/>
          <w:szCs w:val="24"/>
        </w:rPr>
        <w:t xml:space="preserve"> </w:t>
      </w:r>
      <w:r w:rsidRPr="007114AF">
        <w:rPr>
          <w:rFonts w:ascii="Garamond" w:hAnsi="Garamond"/>
          <w:sz w:val="24"/>
          <w:szCs w:val="24"/>
        </w:rPr>
        <w:t>në përpjekjen e BE-së</w:t>
      </w:r>
      <w:r w:rsidR="00FA3C19">
        <w:rPr>
          <w:rFonts w:ascii="Garamond" w:hAnsi="Garamond"/>
          <w:sz w:val="24"/>
          <w:szCs w:val="24"/>
        </w:rPr>
        <w:t xml:space="preserve"> </w:t>
      </w:r>
      <w:r w:rsidRPr="007114AF">
        <w:rPr>
          <w:rFonts w:ascii="Garamond" w:hAnsi="Garamond"/>
          <w:sz w:val="24"/>
          <w:szCs w:val="24"/>
        </w:rPr>
        <w:t>për reduktimin eGES-it. Në këtë kuptim, vendimi propozon një sistem gradual, ku shtetet anëtare do t</w:t>
      </w:r>
      <w:r w:rsidR="00D10DAB" w:rsidRPr="007114AF">
        <w:rPr>
          <w:rFonts w:ascii="Garamond" w:hAnsi="Garamond"/>
          <w:sz w:val="24"/>
          <w:szCs w:val="24"/>
        </w:rPr>
        <w:t>’</w:t>
      </w:r>
      <w:r w:rsidRPr="007114AF">
        <w:rPr>
          <w:rFonts w:ascii="Garamond" w:hAnsi="Garamond"/>
          <w:sz w:val="24"/>
          <w:szCs w:val="24"/>
        </w:rPr>
        <w:t>i raportojnë BE-së shkarkimet dhe përthithësit nga aktivitetet LULUCF-ës, duke filluar nga viti 2015 (dhe duke iu referuar vitit 2013), për të arritur në raportimin final</w:t>
      </w:r>
      <w:r w:rsidR="00A518D9">
        <w:rPr>
          <w:rFonts w:ascii="Garamond" w:hAnsi="Garamond"/>
          <w:sz w:val="24"/>
          <w:szCs w:val="24"/>
        </w:rPr>
        <w:t xml:space="preserve"> </w:t>
      </w:r>
      <w:r w:rsidRPr="007114AF">
        <w:rPr>
          <w:rFonts w:ascii="Garamond" w:hAnsi="Garamond"/>
          <w:sz w:val="24"/>
          <w:szCs w:val="24"/>
        </w:rPr>
        <w:t>në vitin 2022, për vitet e përfshira në periudhën 2013</w:t>
      </w:r>
      <w:r w:rsidR="00A518D9">
        <w:rPr>
          <w:rFonts w:ascii="Garamond" w:hAnsi="Garamond"/>
          <w:sz w:val="24"/>
          <w:szCs w:val="24"/>
        </w:rPr>
        <w:t>–</w:t>
      </w:r>
      <w:r w:rsidRPr="007114AF">
        <w:rPr>
          <w:rFonts w:ascii="Garamond" w:hAnsi="Garamond"/>
          <w:sz w:val="24"/>
          <w:szCs w:val="24"/>
        </w:rPr>
        <w:t xml:space="preserve">2020. </w:t>
      </w:r>
    </w:p>
    <w:p w14:paraId="6EDCF452" w14:textId="2FEB1F4F" w:rsidR="00E20D71" w:rsidRPr="007114AF" w:rsidRDefault="000A2A01" w:rsidP="00E20D71">
      <w:pPr>
        <w:spacing w:after="0" w:line="240" w:lineRule="auto"/>
        <w:ind w:firstLine="284"/>
        <w:rPr>
          <w:rFonts w:ascii="Garamond" w:hAnsi="Garamond"/>
          <w:sz w:val="24"/>
          <w:szCs w:val="24"/>
        </w:rPr>
      </w:pPr>
      <w:r w:rsidRPr="007114AF">
        <w:rPr>
          <w:rFonts w:ascii="Garamond" w:hAnsi="Garamond"/>
          <w:sz w:val="24"/>
          <w:szCs w:val="24"/>
        </w:rPr>
        <w:t>“</w:t>
      </w:r>
      <w:r w:rsidR="00E20D71" w:rsidRPr="007114AF">
        <w:rPr>
          <w:rFonts w:ascii="Garamond" w:hAnsi="Garamond"/>
          <w:sz w:val="24"/>
          <w:szCs w:val="24"/>
        </w:rPr>
        <w:t>Kuadri Ligjor për Klimën dhe Energjinë 2030</w:t>
      </w:r>
      <w:r w:rsidRPr="007114AF">
        <w:rPr>
          <w:rFonts w:ascii="Garamond" w:hAnsi="Garamond"/>
          <w:sz w:val="24"/>
          <w:szCs w:val="24"/>
        </w:rPr>
        <w:t>”</w:t>
      </w:r>
      <w:r w:rsidR="00E20D71" w:rsidRPr="007114AF">
        <w:rPr>
          <w:rFonts w:ascii="Garamond" w:hAnsi="Garamond"/>
          <w:sz w:val="24"/>
          <w:szCs w:val="24"/>
        </w:rPr>
        <w:t xml:space="preserve"> u njeh sektorëve të Bujqësisë dhe LULUCF-ës multifunksionalitetin e tyre, që konsiston në sigurimin e energjisë së rinovueshme nga biomasa, duke ruajtur objektivat e</w:t>
      </w:r>
      <w:r w:rsidR="00A518D9">
        <w:rPr>
          <w:rFonts w:ascii="Garamond" w:hAnsi="Garamond"/>
          <w:sz w:val="24"/>
          <w:szCs w:val="24"/>
        </w:rPr>
        <w:t xml:space="preserve"> </w:t>
      </w:r>
      <w:r w:rsidR="00E20D71" w:rsidRPr="007114AF">
        <w:rPr>
          <w:rFonts w:ascii="Garamond" w:hAnsi="Garamond"/>
          <w:sz w:val="24"/>
          <w:szCs w:val="24"/>
        </w:rPr>
        <w:t>sigurimit ushqimor, si dhe duke siguruar një potencial zbutjeje, falë kapacitetit të tyre si përthithës të karbonit. Këshilli i bën gjithashtu, thirrje komisionit të shqyrtojë, sesi të inkurajohet sa më mirë intensifikimi i biomasës dhe prodhimi i ushqimit në mënyrë të qëndrueshme, duke bërë optimal kontributin në zbutjen e shkarkimeve të gazeve serrë, përfshirë pyllëzimin. Pavarësisht kësaj, integrimi i sektorit me objektivin prej 40% për vitin 2030, është shtyrë në të ardhmen, kur kushtet teknike ta lejojnë, dhe</w:t>
      </w:r>
      <w:r w:rsidRPr="007114AF">
        <w:rPr>
          <w:rFonts w:ascii="Garamond" w:hAnsi="Garamond"/>
          <w:sz w:val="24"/>
          <w:szCs w:val="24"/>
        </w:rPr>
        <w:t xml:space="preserve"> </w:t>
      </w:r>
      <w:r w:rsidR="00E20D71" w:rsidRPr="007114AF">
        <w:rPr>
          <w:rFonts w:ascii="Garamond" w:hAnsi="Garamond"/>
          <w:sz w:val="24"/>
          <w:szCs w:val="24"/>
        </w:rPr>
        <w:t xml:space="preserve">para vitit 2020. </w:t>
      </w:r>
    </w:p>
    <w:p w14:paraId="6EDCF453" w14:textId="1C2813AF"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Pa dyshim, Politika e Përbashkët Bujqësore (PBB) mbetet instrumenti kryesor ligjor për zbatimin e politikave në sektorin bujqësor dhe pyjor në nivel evropian. Lidhjet me politikat që mbulojnë sektorët e bujqësisë dhe LULUCF-ës</w:t>
      </w:r>
      <w:r w:rsidR="00A518D9">
        <w:rPr>
          <w:rFonts w:ascii="Garamond" w:hAnsi="Garamond"/>
          <w:sz w:val="24"/>
          <w:szCs w:val="24"/>
        </w:rPr>
        <w:t xml:space="preserve"> </w:t>
      </w:r>
      <w:r w:rsidRPr="007114AF">
        <w:rPr>
          <w:rFonts w:ascii="Garamond" w:hAnsi="Garamond"/>
          <w:sz w:val="24"/>
          <w:szCs w:val="24"/>
        </w:rPr>
        <w:t>janë thelbësore. Në fakt, bujqësia ka një sfidë të dyfishtë: të</w:t>
      </w:r>
      <w:r w:rsidR="00A518D9">
        <w:rPr>
          <w:rFonts w:ascii="Garamond" w:hAnsi="Garamond"/>
          <w:sz w:val="24"/>
          <w:szCs w:val="24"/>
        </w:rPr>
        <w:t xml:space="preserve"> </w:t>
      </w:r>
      <w:r w:rsidRPr="007114AF">
        <w:rPr>
          <w:rFonts w:ascii="Garamond" w:hAnsi="Garamond"/>
          <w:sz w:val="24"/>
          <w:szCs w:val="24"/>
        </w:rPr>
        <w:t>prodhojë ushqim,</w:t>
      </w:r>
      <w:r w:rsidR="000A2A01" w:rsidRPr="007114AF">
        <w:rPr>
          <w:rFonts w:ascii="Garamond" w:hAnsi="Garamond"/>
          <w:sz w:val="24"/>
          <w:szCs w:val="24"/>
        </w:rPr>
        <w:t xml:space="preserve"> </w:t>
      </w:r>
      <w:r w:rsidRPr="007114AF">
        <w:rPr>
          <w:rFonts w:ascii="Garamond" w:hAnsi="Garamond"/>
          <w:sz w:val="24"/>
          <w:szCs w:val="24"/>
        </w:rPr>
        <w:t>teksa mbron njëkohësisht natyrën dhe ruan biodiversitetin. PBB-ja</w:t>
      </w:r>
      <w:r w:rsidR="00A518D9">
        <w:rPr>
          <w:rFonts w:ascii="Garamond" w:hAnsi="Garamond"/>
          <w:sz w:val="24"/>
          <w:szCs w:val="24"/>
        </w:rPr>
        <w:t xml:space="preserve"> </w:t>
      </w:r>
      <w:r w:rsidRPr="007114AF">
        <w:rPr>
          <w:rFonts w:ascii="Garamond" w:hAnsi="Garamond"/>
          <w:sz w:val="24"/>
          <w:szCs w:val="24"/>
        </w:rPr>
        <w:t>u siguron fermerëve asistencë financiare për t</w:t>
      </w:r>
      <w:r w:rsidR="00D10DAB" w:rsidRPr="007114AF">
        <w:rPr>
          <w:rFonts w:ascii="Garamond" w:hAnsi="Garamond"/>
          <w:sz w:val="24"/>
          <w:szCs w:val="24"/>
        </w:rPr>
        <w:t>’</w:t>
      </w:r>
      <w:r w:rsidRPr="007114AF">
        <w:rPr>
          <w:rFonts w:ascii="Garamond" w:hAnsi="Garamond"/>
          <w:sz w:val="24"/>
          <w:szCs w:val="24"/>
        </w:rPr>
        <w:t xml:space="preserve">i përshtatur metodat dhe sistemet e tyre të kultivimit, për të përballuar efektet e dëmshme të ndryshimit të klimës. Për më tepër, për të shmangur efektet negative anësore të disa praktikave bujqësore dhe për të reduktuar shkarkimet GES, BE-ja siguron stimuj për fermerët që të punojnë në mënyrë të qëndrueshme dhe miqësore me mjedisin. </w:t>
      </w:r>
    </w:p>
    <w:p w14:paraId="6EDCF454" w14:textId="2D906312"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E njohur si </w:t>
      </w:r>
      <w:r w:rsidR="000A2A01" w:rsidRPr="007114AF">
        <w:rPr>
          <w:rFonts w:ascii="Garamond" w:hAnsi="Garamond"/>
          <w:sz w:val="24"/>
          <w:szCs w:val="24"/>
        </w:rPr>
        <w:t>“</w:t>
      </w:r>
      <w:r w:rsidRPr="007114AF">
        <w:rPr>
          <w:rFonts w:ascii="Garamond" w:hAnsi="Garamond"/>
          <w:sz w:val="24"/>
          <w:szCs w:val="24"/>
        </w:rPr>
        <w:t>shtylla e dytë</w:t>
      </w:r>
      <w:r w:rsidR="000A2A01" w:rsidRPr="007114AF">
        <w:rPr>
          <w:rFonts w:ascii="Garamond" w:hAnsi="Garamond"/>
          <w:sz w:val="24"/>
          <w:szCs w:val="24"/>
        </w:rPr>
        <w:t>”</w:t>
      </w:r>
      <w:r w:rsidRPr="007114AF">
        <w:rPr>
          <w:rFonts w:ascii="Garamond" w:hAnsi="Garamond"/>
          <w:sz w:val="24"/>
          <w:szCs w:val="24"/>
        </w:rPr>
        <w:t xml:space="preserve"> e PBB-së, Politika e Zhvillimit Rural e BE-së është përmirësuar për periudhën 2014</w:t>
      </w:r>
      <w:r w:rsidR="00A518D9">
        <w:rPr>
          <w:rFonts w:ascii="Garamond" w:hAnsi="Garamond"/>
          <w:sz w:val="24"/>
          <w:szCs w:val="24"/>
        </w:rPr>
        <w:t>–</w:t>
      </w:r>
      <w:r w:rsidRPr="007114AF">
        <w:rPr>
          <w:rFonts w:ascii="Garamond" w:hAnsi="Garamond"/>
          <w:sz w:val="24"/>
          <w:szCs w:val="24"/>
        </w:rPr>
        <w:t>2020, përmes procesit të një reforme</w:t>
      </w:r>
      <w:r w:rsidR="00244CEF">
        <w:rPr>
          <w:rFonts w:ascii="Garamond" w:hAnsi="Garamond"/>
          <w:sz w:val="24"/>
          <w:szCs w:val="24"/>
        </w:rPr>
        <w:t xml:space="preserve"> </w:t>
      </w:r>
      <w:r w:rsidRPr="007114AF">
        <w:rPr>
          <w:rFonts w:ascii="Garamond" w:hAnsi="Garamond"/>
          <w:sz w:val="24"/>
          <w:szCs w:val="24"/>
        </w:rPr>
        <w:t xml:space="preserve">më të gjerë të PBB-së. Në përputhje me </w:t>
      </w:r>
      <w:r w:rsidR="000A2A01" w:rsidRPr="007114AF">
        <w:rPr>
          <w:rFonts w:ascii="Garamond" w:hAnsi="Garamond"/>
          <w:sz w:val="24"/>
          <w:szCs w:val="24"/>
        </w:rPr>
        <w:t>“</w:t>
      </w:r>
      <w:r w:rsidRPr="007114AF">
        <w:rPr>
          <w:rFonts w:ascii="Garamond" w:hAnsi="Garamond"/>
          <w:sz w:val="24"/>
          <w:szCs w:val="24"/>
        </w:rPr>
        <w:t>Europa 2020</w:t>
      </w:r>
      <w:r w:rsidR="000A2A01" w:rsidRPr="007114AF">
        <w:rPr>
          <w:rFonts w:ascii="Garamond" w:hAnsi="Garamond"/>
          <w:sz w:val="24"/>
          <w:szCs w:val="24"/>
        </w:rPr>
        <w:t>”</w:t>
      </w:r>
      <w:r w:rsidRPr="007114AF">
        <w:rPr>
          <w:rFonts w:ascii="Garamond" w:hAnsi="Garamond"/>
          <w:sz w:val="24"/>
          <w:szCs w:val="24"/>
        </w:rPr>
        <w:t xml:space="preserve"> dhe objektivat e përgjithsh</w:t>
      </w:r>
      <w:r w:rsidR="0004342E">
        <w:rPr>
          <w:rFonts w:ascii="Garamond" w:hAnsi="Garamond"/>
          <w:sz w:val="24"/>
          <w:szCs w:val="24"/>
        </w:rPr>
        <w:t>ë</w:t>
      </w:r>
      <w:r w:rsidRPr="007114AF">
        <w:rPr>
          <w:rFonts w:ascii="Garamond" w:hAnsi="Garamond"/>
          <w:sz w:val="24"/>
          <w:szCs w:val="24"/>
        </w:rPr>
        <w:t>m të PBB-së,</w:t>
      </w:r>
      <w:r w:rsidR="00244CEF">
        <w:rPr>
          <w:rFonts w:ascii="Garamond" w:hAnsi="Garamond"/>
          <w:sz w:val="24"/>
          <w:szCs w:val="24"/>
        </w:rPr>
        <w:t xml:space="preserve"> </w:t>
      </w:r>
      <w:r w:rsidRPr="007114AF">
        <w:rPr>
          <w:rFonts w:ascii="Garamond" w:hAnsi="Garamond"/>
          <w:sz w:val="24"/>
          <w:szCs w:val="24"/>
        </w:rPr>
        <w:t>mund të identifikohen tre objektiva afatgjat</w:t>
      </w:r>
      <w:r w:rsidR="0004342E">
        <w:rPr>
          <w:rFonts w:ascii="Garamond" w:hAnsi="Garamond"/>
          <w:sz w:val="24"/>
          <w:szCs w:val="24"/>
        </w:rPr>
        <w:t>ë</w:t>
      </w:r>
      <w:r w:rsidRPr="007114AF">
        <w:rPr>
          <w:rFonts w:ascii="Garamond" w:hAnsi="Garamond"/>
          <w:sz w:val="24"/>
          <w:szCs w:val="24"/>
        </w:rPr>
        <w:t xml:space="preserve"> strategjik</w:t>
      </w:r>
      <w:r w:rsidR="0004342E">
        <w:rPr>
          <w:rFonts w:ascii="Garamond" w:hAnsi="Garamond"/>
          <w:sz w:val="24"/>
          <w:szCs w:val="24"/>
        </w:rPr>
        <w:t>ë</w:t>
      </w:r>
      <w:r w:rsidRPr="007114AF">
        <w:rPr>
          <w:rFonts w:ascii="Garamond" w:hAnsi="Garamond"/>
          <w:sz w:val="24"/>
          <w:szCs w:val="24"/>
        </w:rPr>
        <w:t xml:space="preserve"> për politikën e zhvillimit rural të BE-së për periudhën 2014</w:t>
      </w:r>
      <w:r w:rsidR="00244CEF">
        <w:rPr>
          <w:rFonts w:ascii="Garamond" w:hAnsi="Garamond"/>
          <w:sz w:val="24"/>
          <w:szCs w:val="24"/>
        </w:rPr>
        <w:t>–</w:t>
      </w:r>
      <w:r w:rsidRPr="007114AF">
        <w:rPr>
          <w:rFonts w:ascii="Garamond" w:hAnsi="Garamond"/>
          <w:sz w:val="24"/>
          <w:szCs w:val="24"/>
        </w:rPr>
        <w:t>2020: nxitja e konkurrencës në bujqësi; garantimi i menaxhimit të qëndrueshëm të burimeve natyrore dhe veprimi për klimën; arritja e një zhvillimi territorial të balancuar të ekonomive dhe komuniteteve rurale, përfshirë krijimin dhe mbajtjen e punësimit.</w:t>
      </w:r>
    </w:p>
    <w:p w14:paraId="6EDCF455" w14:textId="77777777" w:rsidR="00E20D71" w:rsidRPr="007114AF" w:rsidRDefault="001259F3" w:rsidP="00E20D71">
      <w:pPr>
        <w:spacing w:after="0" w:line="240" w:lineRule="auto"/>
        <w:ind w:firstLine="284"/>
        <w:rPr>
          <w:rFonts w:ascii="Garamond" w:hAnsi="Garamond"/>
          <w:b/>
          <w:sz w:val="24"/>
          <w:szCs w:val="24"/>
        </w:rPr>
      </w:pPr>
      <w:bookmarkStart w:id="23" w:name="__RefHeading___Toc444944782"/>
      <w:bookmarkStart w:id="24" w:name="_Toc484424476"/>
      <w:bookmarkStart w:id="25" w:name="_Toc450135227"/>
      <w:bookmarkStart w:id="26" w:name="_Toc450151830"/>
      <w:bookmarkEnd w:id="23"/>
      <w:r w:rsidRPr="007114AF">
        <w:rPr>
          <w:rFonts w:ascii="Garamond" w:hAnsi="Garamond"/>
          <w:b/>
          <w:sz w:val="24"/>
          <w:szCs w:val="24"/>
        </w:rPr>
        <w:t xml:space="preserve">2.3.2 </w:t>
      </w:r>
      <w:r w:rsidR="00E20D71" w:rsidRPr="007114AF">
        <w:rPr>
          <w:rFonts w:ascii="Garamond" w:hAnsi="Garamond"/>
          <w:b/>
          <w:sz w:val="24"/>
          <w:szCs w:val="24"/>
        </w:rPr>
        <w:t>Sektori i energjisë</w:t>
      </w:r>
      <w:bookmarkEnd w:id="24"/>
      <w:bookmarkEnd w:id="25"/>
      <w:bookmarkEnd w:id="26"/>
    </w:p>
    <w:p w14:paraId="6EDCF456" w14:textId="336B491D"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Zbutja e ndryshimeve klimatike luan një rol të madh në Strategjinë e Energjisë së BE-së, kryesisht përmes rëndësisë që i jepet eficiencës së energjisë dhe burimeve të rinovueshme të energjisë. Në veçanti, janë marrë në konsideratë dy politika afatshkurtra dhe afatmesme: 2020 dhe 2030. Deri në vitin 2020,</w:t>
      </w:r>
      <w:r w:rsidR="0040312C">
        <w:rPr>
          <w:rFonts w:ascii="Garamond" w:hAnsi="Garamond"/>
          <w:sz w:val="24"/>
          <w:szCs w:val="24"/>
        </w:rPr>
        <w:t xml:space="preserve"> </w:t>
      </w:r>
      <w:r w:rsidRPr="007114AF">
        <w:rPr>
          <w:rFonts w:ascii="Garamond" w:hAnsi="Garamond"/>
          <w:sz w:val="24"/>
          <w:szCs w:val="24"/>
        </w:rPr>
        <w:t xml:space="preserve">BE-ja synon të plotësojë 20% të nevojave për energji nga burimet e rinovueshme, dhe të zbatojë një rritje prej 20% të eficiencës së energjisë, kundrejt skenarit bazë të zhvillimit. Deri në vitin 2030, BE-ja synon një </w:t>
      </w:r>
      <w:r w:rsidR="000A2A01" w:rsidRPr="007114AF">
        <w:rPr>
          <w:rFonts w:ascii="Garamond" w:hAnsi="Garamond"/>
          <w:sz w:val="24"/>
          <w:szCs w:val="24"/>
        </w:rPr>
        <w:t>“</w:t>
      </w:r>
      <w:r w:rsidRPr="007114AF">
        <w:rPr>
          <w:rFonts w:ascii="Garamond" w:hAnsi="Garamond"/>
          <w:sz w:val="24"/>
          <w:szCs w:val="24"/>
        </w:rPr>
        <w:t>reduktim prej 40% në shkarkimet e gazeve serrë krahasuar me nivelet e vitit 1990; të paktën një përqindje prej 27% të konsumit të energjisë së rinovueshme; të paktën 27% kursim energjie, krahasuar me skenarin e biznesit si zakonisht</w:t>
      </w:r>
      <w:r w:rsidR="000A2A01" w:rsidRPr="007114AF">
        <w:rPr>
          <w:rFonts w:ascii="Garamond" w:hAnsi="Garamond"/>
          <w:sz w:val="24"/>
          <w:szCs w:val="24"/>
        </w:rPr>
        <w:t>”</w:t>
      </w:r>
      <w:r w:rsidRPr="007114AF">
        <w:rPr>
          <w:rFonts w:ascii="Garamond" w:hAnsi="Garamond"/>
          <w:sz w:val="24"/>
          <w:szCs w:val="24"/>
        </w:rPr>
        <w:t>.</w:t>
      </w:r>
      <w:r w:rsidRPr="007114AF">
        <w:rPr>
          <w:rFonts w:ascii="Garamond" w:hAnsi="Garamond"/>
          <w:sz w:val="24"/>
          <w:szCs w:val="24"/>
          <w:vertAlign w:val="superscript"/>
        </w:rPr>
        <w:footnoteReference w:id="16"/>
      </w:r>
    </w:p>
    <w:p w14:paraId="6EDCF457" w14:textId="77777777"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Direktiva e vitit 2012 për Eficiencën e Energjisë (DEE 2012/27/EU), është instrumenti kryesor politik evropian, që specifikon kuadrin e përgjithshëm politik, me synim arritjen e objektivit për kursimin e energjisë në 20% deri në vitin 2020</w:t>
      </w:r>
      <w:r w:rsidRPr="007114AF">
        <w:rPr>
          <w:rFonts w:ascii="Garamond" w:hAnsi="Garamond"/>
          <w:sz w:val="24"/>
          <w:szCs w:val="24"/>
          <w:vertAlign w:val="superscript"/>
        </w:rPr>
        <w:footnoteReference w:id="17"/>
      </w:r>
      <w:r w:rsidRPr="007114AF">
        <w:rPr>
          <w:rFonts w:ascii="Garamond" w:hAnsi="Garamond"/>
          <w:sz w:val="24"/>
          <w:szCs w:val="24"/>
        </w:rPr>
        <w:t>, dhe përcakton një kuadër të përbashkët masash për këtë qëllim. Direktiva plotësoi kuadrin e politikave të BE-së për eficiencën e energjisë, përfshirë Direktivën e Performancës Energjetike të Ndërtesave, Direktivat Eco-dizajn dhe Etiketimin e Energjisë.</w:t>
      </w:r>
    </w:p>
    <w:p w14:paraId="6EDCF458" w14:textId="78554A1A"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Përqasja e politikës DEE-së specifikohet kryesisht në </w:t>
      </w:r>
      <w:r w:rsidR="008F3F1D" w:rsidRPr="007114AF">
        <w:rPr>
          <w:rFonts w:ascii="Garamond" w:hAnsi="Garamond"/>
          <w:sz w:val="24"/>
          <w:szCs w:val="24"/>
        </w:rPr>
        <w:t>n</w:t>
      </w:r>
      <w:r w:rsidRPr="007114AF">
        <w:rPr>
          <w:rFonts w:ascii="Garamond" w:hAnsi="Garamond"/>
          <w:sz w:val="24"/>
          <w:szCs w:val="24"/>
        </w:rPr>
        <w:t>enin 7-të, dhe pritet të japë më shumë rezultat, sesa gjysma e kursimit të kërkuar të energjisë. Në mënyrë specifike, ajo kërkon që Shtetet Anëtare të fusin skema të detyrueshme për eficiencën e energjisë</w:t>
      </w:r>
      <w:r w:rsidRPr="007114AF">
        <w:rPr>
          <w:rFonts w:ascii="Garamond" w:hAnsi="Garamond"/>
          <w:sz w:val="24"/>
          <w:szCs w:val="24"/>
          <w:vertAlign w:val="superscript"/>
        </w:rPr>
        <w:footnoteReference w:id="18"/>
      </w:r>
      <w:r w:rsidR="00E57D26" w:rsidRPr="007114AF">
        <w:rPr>
          <w:rFonts w:ascii="Garamond" w:hAnsi="Garamond"/>
          <w:sz w:val="24"/>
          <w:szCs w:val="24"/>
        </w:rPr>
        <w:t xml:space="preserve"> </w:t>
      </w:r>
      <w:r w:rsidRPr="007114AF">
        <w:rPr>
          <w:rFonts w:ascii="Garamond" w:hAnsi="Garamond"/>
          <w:sz w:val="24"/>
          <w:szCs w:val="24"/>
        </w:rPr>
        <w:t xml:space="preserve">(EEOSs) apo masa alternative politike me synim arritjen e një kursimi vjetor prej 1.5% për shitjet e energjisë konsumatorëve fundorë, të gjithë shpërndarësve të energjisë apo kompanive me pakicë. Në zbatimin e kësaj mase, Shtetet Anëtare mund të zgjedhin nga një gamë e gjerë masash politike dhe masash individuale, për përmirësimin e eficiencës së energjisë. </w:t>
      </w:r>
    </w:p>
    <w:p w14:paraId="6EDCF459" w14:textId="0A0DACD1"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Në mënyrë analoge, Direktiva e Energjive të Rinovueshme e vitit 2009 përcakton një politikë të përgjithshme për prodhimin dhe promovimin e energjisë nga burimet e rinovueshme në BE. Ajo kërkon nga BE-ja të përmbushë të paktën 20% të nevojave totale për energji nga burimet e rinovueshme deri në vitin 2020 – që do të arrihet përmes arritjes së objektivave individual</w:t>
      </w:r>
      <w:r w:rsidR="00003AEC">
        <w:rPr>
          <w:rFonts w:ascii="Garamond" w:hAnsi="Garamond"/>
          <w:sz w:val="24"/>
          <w:szCs w:val="24"/>
        </w:rPr>
        <w:t>ë</w:t>
      </w:r>
      <w:r w:rsidRPr="007114AF">
        <w:rPr>
          <w:rFonts w:ascii="Garamond" w:hAnsi="Garamond"/>
          <w:sz w:val="24"/>
          <w:szCs w:val="24"/>
        </w:rPr>
        <w:t xml:space="preserve"> kombëtare. Gjithë vendet e BE-së duhet të garantojnë, gjithashtu, që të paktën 10% e lëndëve djegëse për transport, të vijnë nga burimet e rinovueshme –</w:t>
      </w:r>
      <w:r w:rsidR="008F3F1D" w:rsidRPr="007114AF">
        <w:rPr>
          <w:rFonts w:ascii="Garamond" w:hAnsi="Garamond"/>
          <w:sz w:val="24"/>
          <w:szCs w:val="24"/>
        </w:rPr>
        <w:t xml:space="preserve"> </w:t>
      </w:r>
      <w:r w:rsidRPr="007114AF">
        <w:rPr>
          <w:rFonts w:ascii="Garamond" w:hAnsi="Garamond"/>
          <w:sz w:val="24"/>
          <w:szCs w:val="24"/>
        </w:rPr>
        <w:t>jo medoemos biokarbure</w:t>
      </w:r>
      <w:r w:rsidR="008F3F1D" w:rsidRPr="007114AF">
        <w:rPr>
          <w:rFonts w:ascii="Garamond" w:hAnsi="Garamond"/>
          <w:sz w:val="24"/>
          <w:szCs w:val="24"/>
        </w:rPr>
        <w:t xml:space="preserve"> </w:t>
      </w:r>
      <w:r w:rsidRPr="007114AF">
        <w:rPr>
          <w:rFonts w:ascii="Garamond" w:hAnsi="Garamond"/>
          <w:sz w:val="24"/>
          <w:szCs w:val="24"/>
        </w:rPr>
        <w:t>–</w:t>
      </w:r>
      <w:r w:rsidR="008F3F1D" w:rsidRPr="007114AF">
        <w:rPr>
          <w:rFonts w:ascii="Garamond" w:hAnsi="Garamond"/>
          <w:sz w:val="24"/>
          <w:szCs w:val="24"/>
        </w:rPr>
        <w:t xml:space="preserve"> </w:t>
      </w:r>
      <w:r w:rsidRPr="007114AF">
        <w:rPr>
          <w:rFonts w:ascii="Garamond" w:hAnsi="Garamond"/>
          <w:sz w:val="24"/>
          <w:szCs w:val="24"/>
        </w:rPr>
        <w:t xml:space="preserve">deri në vitin 2020. Sërish, Direktiva specifikon objektivat për energjinë e rinovueshme për çdo vend, duke marrë parasysh pikën e nisjes dhe potencialin e përgjithshëm për burime të rinovueshme. Objektivat shkojnë nga 10% në Maltë, në 49% në Suedi. Shtetet </w:t>
      </w:r>
      <w:r w:rsidR="008F3F1D" w:rsidRPr="007114AF">
        <w:rPr>
          <w:rFonts w:ascii="Garamond" w:hAnsi="Garamond"/>
          <w:sz w:val="24"/>
          <w:szCs w:val="24"/>
        </w:rPr>
        <w:t>a</w:t>
      </w:r>
      <w:r w:rsidRPr="007114AF">
        <w:rPr>
          <w:rFonts w:ascii="Garamond" w:hAnsi="Garamond"/>
          <w:sz w:val="24"/>
          <w:szCs w:val="24"/>
        </w:rPr>
        <w:t>nëtare janë sërish përgjegjëse për të gjetur se si do t</w:t>
      </w:r>
      <w:r w:rsidR="00D10DAB" w:rsidRPr="007114AF">
        <w:rPr>
          <w:rFonts w:ascii="Garamond" w:hAnsi="Garamond"/>
          <w:sz w:val="24"/>
          <w:szCs w:val="24"/>
        </w:rPr>
        <w:t>’</w:t>
      </w:r>
      <w:r w:rsidRPr="007114AF">
        <w:rPr>
          <w:rFonts w:ascii="Garamond" w:hAnsi="Garamond"/>
          <w:sz w:val="24"/>
          <w:szCs w:val="24"/>
        </w:rPr>
        <w:t>i përmbushin kët</w:t>
      </w:r>
      <w:r w:rsidR="008F3F1D" w:rsidRPr="007114AF">
        <w:rPr>
          <w:rFonts w:ascii="Garamond" w:hAnsi="Garamond"/>
          <w:sz w:val="24"/>
          <w:szCs w:val="24"/>
        </w:rPr>
        <w:t>a</w:t>
      </w:r>
      <w:r w:rsidRPr="007114AF">
        <w:rPr>
          <w:rFonts w:ascii="Garamond" w:hAnsi="Garamond"/>
          <w:sz w:val="24"/>
          <w:szCs w:val="24"/>
        </w:rPr>
        <w:t xml:space="preserve"> objektiva, dhe u kërkohet të specifikojnë kursin e përgjithshëm të politikes së tyre për energjinë e rinovueshme, në plane veprimi kombëtare për energjinë e rinovueshme. Një opsion që u jepet vendeve anëtare përfshin bashkëpunimin për arritjen e objektivave të Burimeve të Rinovueshme të Energjisë (BRE), përmes mekanizmave të bashkëpunimit, si transferimi statistikor i energjisë së rinovueshme, projektet e përbashkëta për energjinë e rinovueshme dhe skemat e përbashkëta të mbështetjes për energjinë e rinovueshme. Janë hartuar dispozita specifike për biokarburet, meqë ato janë vendimtare për t</w:t>
      </w:r>
      <w:r w:rsidR="00D10DAB" w:rsidRPr="007114AF">
        <w:rPr>
          <w:rFonts w:ascii="Garamond" w:hAnsi="Garamond"/>
          <w:sz w:val="24"/>
          <w:szCs w:val="24"/>
        </w:rPr>
        <w:t>’</w:t>
      </w:r>
      <w:r w:rsidRPr="007114AF">
        <w:rPr>
          <w:rFonts w:ascii="Garamond" w:hAnsi="Garamond"/>
          <w:sz w:val="24"/>
          <w:szCs w:val="24"/>
        </w:rPr>
        <w:t>i ndihmuar vendet e BE-së të plotësojnë objektivin e tyre</w:t>
      </w:r>
      <w:r w:rsidR="008F3F1D" w:rsidRPr="007114AF">
        <w:rPr>
          <w:rFonts w:ascii="Garamond" w:hAnsi="Garamond"/>
          <w:sz w:val="24"/>
          <w:szCs w:val="24"/>
        </w:rPr>
        <w:t xml:space="preserve"> </w:t>
      </w:r>
      <w:r w:rsidRPr="007114AF">
        <w:rPr>
          <w:rFonts w:ascii="Garamond" w:hAnsi="Garamond"/>
          <w:sz w:val="24"/>
          <w:szCs w:val="24"/>
        </w:rPr>
        <w:t>prej 10% për burimet e rinovueshme në transport, si dhe duhet t</w:t>
      </w:r>
      <w:r w:rsidR="00D10DAB" w:rsidRPr="007114AF">
        <w:rPr>
          <w:rFonts w:ascii="Garamond" w:hAnsi="Garamond"/>
          <w:sz w:val="24"/>
          <w:szCs w:val="24"/>
        </w:rPr>
        <w:t>’</w:t>
      </w:r>
      <w:r w:rsidRPr="007114AF">
        <w:rPr>
          <w:rFonts w:ascii="Garamond" w:hAnsi="Garamond"/>
          <w:sz w:val="24"/>
          <w:szCs w:val="24"/>
        </w:rPr>
        <w:t>i përgjigjen kriterit të qëndrueshmërisë për gjithë biokarburet e prodhuara, po të konsumuara në BE, për të garantuar që janë prodhuar në mënyrë të qëndrueshme dhe miqësore me mjedisin.</w:t>
      </w:r>
    </w:p>
    <w:p w14:paraId="6EDCF45A" w14:textId="5A56ADB0"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Së fundi, mjeti i tretë i madh i politikës lidhur me zbutjen e efekteve nga ndryshimet klimatike në sektorin e energjisë është gjithëpërfshirës dhe është sigurisht ETS (Sistemi i Tregtimit t</w:t>
      </w:r>
      <w:r w:rsidR="009C6C6D">
        <w:rPr>
          <w:rFonts w:ascii="Garamond" w:hAnsi="Garamond"/>
          <w:sz w:val="24"/>
          <w:szCs w:val="24"/>
        </w:rPr>
        <w:t>ë</w:t>
      </w:r>
      <w:r w:rsidRPr="007114AF">
        <w:rPr>
          <w:rFonts w:ascii="Garamond" w:hAnsi="Garamond"/>
          <w:sz w:val="24"/>
          <w:szCs w:val="24"/>
        </w:rPr>
        <w:t xml:space="preserve"> Emisioneve)</w:t>
      </w:r>
      <w:r w:rsidR="00191838" w:rsidRPr="007114AF">
        <w:rPr>
          <w:rFonts w:ascii="Garamond" w:hAnsi="Garamond"/>
          <w:sz w:val="24"/>
          <w:szCs w:val="24"/>
        </w:rPr>
        <w:t>.</w:t>
      </w:r>
      <w:r w:rsidRPr="007114AF">
        <w:rPr>
          <w:rFonts w:ascii="Garamond" w:hAnsi="Garamond"/>
          <w:sz w:val="24"/>
          <w:szCs w:val="24"/>
        </w:rPr>
        <w:t xml:space="preserve"> Ndryshe nga politika e eficiencës së energjisë, S</w:t>
      </w:r>
      <w:r w:rsidR="00FA3C19">
        <w:rPr>
          <w:rFonts w:ascii="Garamond" w:hAnsi="Garamond"/>
          <w:sz w:val="24"/>
          <w:szCs w:val="24"/>
        </w:rPr>
        <w:t>ETSH</w:t>
      </w:r>
      <w:r w:rsidRPr="007114AF">
        <w:rPr>
          <w:rFonts w:ascii="Garamond" w:hAnsi="Garamond"/>
          <w:sz w:val="24"/>
          <w:szCs w:val="24"/>
        </w:rPr>
        <w:t>-i</w:t>
      </w:r>
      <w:r w:rsidR="008F3F1D" w:rsidRPr="007114AF">
        <w:rPr>
          <w:rFonts w:ascii="Garamond" w:hAnsi="Garamond"/>
          <w:sz w:val="24"/>
          <w:szCs w:val="24"/>
        </w:rPr>
        <w:t xml:space="preserve"> </w:t>
      </w:r>
      <w:r w:rsidRPr="007114AF">
        <w:rPr>
          <w:rFonts w:ascii="Garamond" w:hAnsi="Garamond"/>
          <w:sz w:val="24"/>
          <w:szCs w:val="24"/>
        </w:rPr>
        <w:t>nga përkufizimi, duhet zbatuar në nivel ndërkombëtar. ETS</w:t>
      </w:r>
      <w:r w:rsidR="008F3F1D" w:rsidRPr="007114AF">
        <w:rPr>
          <w:rFonts w:ascii="Garamond" w:hAnsi="Garamond"/>
          <w:sz w:val="24"/>
          <w:szCs w:val="24"/>
        </w:rPr>
        <w:t xml:space="preserve"> </w:t>
      </w:r>
      <w:r w:rsidRPr="007114AF">
        <w:rPr>
          <w:rFonts w:ascii="Garamond" w:hAnsi="Garamond"/>
          <w:sz w:val="24"/>
          <w:szCs w:val="24"/>
        </w:rPr>
        <w:t>ka qenë vitet e fundit objekt kritikash serioze, për shkak të mbifurnizimit të lejeve, duke rezultuar me çmimet aktuale (të ulëta deri në 6 €/tCO2eq) që janë shumë poshtë asaj çka nevojitet për të siguruar stimujt e duhur për dekarbonizim. Po kryhet një rishikim i madh i sistemit dhe konkluzionet e tij priten në vitin 2018. Fokusi kryesor i këtij procesi reforme do të jetë afrimi i këtij instrumenti me 21 zotimet e KeP-it. Sipas disa vëzhguesve, kjo do të kërkojë një reduktim të madh të lejeve në treg, me një normë prej rreth 4%</w:t>
      </w:r>
      <w:r w:rsidRPr="0040312C">
        <w:rPr>
          <w:rFonts w:ascii="Garamond" w:hAnsi="Garamond"/>
          <w:sz w:val="24"/>
          <w:szCs w:val="24"/>
          <w:vertAlign w:val="superscript"/>
        </w:rPr>
        <w:footnoteReference w:id="19"/>
      </w:r>
      <w:r w:rsidR="0040312C">
        <w:rPr>
          <w:rFonts w:ascii="Garamond" w:hAnsi="Garamond"/>
          <w:sz w:val="24"/>
          <w:szCs w:val="24"/>
        </w:rPr>
        <w:t xml:space="preserve"> </w:t>
      </w:r>
      <w:r w:rsidRPr="007114AF">
        <w:rPr>
          <w:rFonts w:ascii="Garamond" w:hAnsi="Garamond"/>
          <w:sz w:val="24"/>
          <w:szCs w:val="24"/>
        </w:rPr>
        <w:t>në vit. Kjo varet, sigurisht, nga roli që luajnë masa të tjera dhe nga kontributi i reduktimeve të shkarkimeve LULUCF-ë, por nënvizon magnitudën e rregullimit që nevojitet në mënyrë që</w:t>
      </w:r>
      <w:r w:rsidR="008F3F1D" w:rsidRPr="007114AF">
        <w:rPr>
          <w:rFonts w:ascii="Garamond" w:hAnsi="Garamond"/>
          <w:sz w:val="24"/>
          <w:szCs w:val="24"/>
        </w:rPr>
        <w:t xml:space="preserve"> </w:t>
      </w:r>
      <w:r w:rsidRPr="007114AF">
        <w:rPr>
          <w:rFonts w:ascii="Garamond" w:hAnsi="Garamond"/>
          <w:sz w:val="24"/>
          <w:szCs w:val="24"/>
        </w:rPr>
        <w:t xml:space="preserve">ETS të përballojë objektivat e përforcuar të masave zbutëse të BE-së. </w:t>
      </w:r>
    </w:p>
    <w:p w14:paraId="6EDCF45B" w14:textId="77777777" w:rsidR="00E20D71" w:rsidRPr="007114AF" w:rsidRDefault="001259F3" w:rsidP="00E20D71">
      <w:pPr>
        <w:spacing w:after="0" w:line="240" w:lineRule="auto"/>
        <w:ind w:firstLine="284"/>
        <w:rPr>
          <w:rFonts w:ascii="Garamond" w:hAnsi="Garamond"/>
          <w:b/>
          <w:sz w:val="24"/>
          <w:szCs w:val="24"/>
        </w:rPr>
      </w:pPr>
      <w:bookmarkStart w:id="27" w:name="_Toc484424477"/>
      <w:bookmarkStart w:id="28" w:name="__RefHeading___Toc444944783"/>
      <w:bookmarkStart w:id="29" w:name="_Toc450135228"/>
      <w:bookmarkStart w:id="30" w:name="_Toc450151831"/>
      <w:r w:rsidRPr="007114AF">
        <w:rPr>
          <w:rFonts w:ascii="Garamond" w:hAnsi="Garamond"/>
          <w:b/>
          <w:sz w:val="24"/>
          <w:szCs w:val="24"/>
        </w:rPr>
        <w:t xml:space="preserve">2.3.3 </w:t>
      </w:r>
      <w:r w:rsidR="00E20D71" w:rsidRPr="007114AF">
        <w:rPr>
          <w:rFonts w:ascii="Garamond" w:hAnsi="Garamond"/>
          <w:b/>
          <w:sz w:val="24"/>
          <w:szCs w:val="24"/>
        </w:rPr>
        <w:t>Sektori i transportit</w:t>
      </w:r>
      <w:bookmarkEnd w:id="27"/>
      <w:bookmarkEnd w:id="28"/>
      <w:bookmarkEnd w:id="29"/>
      <w:bookmarkEnd w:id="30"/>
    </w:p>
    <w:p w14:paraId="6EDCF45C" w14:textId="35E0A0AC"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Meqë rritja e lëvizjes në BE është e pashmangshme, masat për frenimin e shkarkimeve GES janë thelbësore në kuadrin e </w:t>
      </w:r>
      <w:r w:rsidR="000A2A01" w:rsidRPr="007114AF">
        <w:rPr>
          <w:rFonts w:ascii="Garamond" w:hAnsi="Garamond"/>
          <w:sz w:val="24"/>
          <w:szCs w:val="24"/>
        </w:rPr>
        <w:t>“</w:t>
      </w:r>
      <w:r w:rsidRPr="007114AF">
        <w:rPr>
          <w:rFonts w:ascii="Garamond" w:hAnsi="Garamond"/>
          <w:sz w:val="24"/>
          <w:szCs w:val="24"/>
        </w:rPr>
        <w:t>Planit për Ekonomi me Karbon të Ulët deri në vitin 2050</w:t>
      </w:r>
      <w:r w:rsidR="000A2A01" w:rsidRPr="007114AF">
        <w:rPr>
          <w:rFonts w:ascii="Garamond" w:hAnsi="Garamond"/>
          <w:sz w:val="24"/>
          <w:szCs w:val="24"/>
        </w:rPr>
        <w:t>”</w:t>
      </w:r>
      <w:r w:rsidRPr="007114AF">
        <w:rPr>
          <w:rFonts w:ascii="Garamond" w:hAnsi="Garamond"/>
          <w:sz w:val="24"/>
          <w:szCs w:val="24"/>
        </w:rPr>
        <w:t xml:space="preserve">. Dokumenti i Bardhë </w:t>
      </w:r>
      <w:r w:rsidR="000A2A01" w:rsidRPr="007114AF">
        <w:rPr>
          <w:rFonts w:ascii="Garamond" w:hAnsi="Garamond"/>
          <w:sz w:val="24"/>
          <w:szCs w:val="24"/>
        </w:rPr>
        <w:t>“</w:t>
      </w:r>
      <w:r w:rsidRPr="007114AF">
        <w:rPr>
          <w:rFonts w:ascii="Garamond" w:hAnsi="Garamond"/>
          <w:sz w:val="24"/>
          <w:szCs w:val="24"/>
        </w:rPr>
        <w:t>Plani për një Zonë Unike Evropiane Transporti – Drejt një sistemi transporti konkurrues dhe efikas nga ana e burimeve</w:t>
      </w:r>
      <w:r w:rsidR="000A2A01" w:rsidRPr="007114AF">
        <w:rPr>
          <w:rFonts w:ascii="Garamond" w:hAnsi="Garamond"/>
          <w:sz w:val="24"/>
          <w:szCs w:val="24"/>
        </w:rPr>
        <w:t>”</w:t>
      </w:r>
      <w:r w:rsidRPr="0040312C">
        <w:rPr>
          <w:rFonts w:ascii="Garamond" w:hAnsi="Garamond"/>
          <w:sz w:val="24"/>
          <w:szCs w:val="24"/>
          <w:vertAlign w:val="superscript"/>
        </w:rPr>
        <w:footnoteReference w:id="20"/>
      </w:r>
      <w:r w:rsidR="0040312C">
        <w:rPr>
          <w:rFonts w:ascii="Garamond" w:hAnsi="Garamond"/>
          <w:sz w:val="24"/>
          <w:szCs w:val="24"/>
        </w:rPr>
        <w:t xml:space="preserve"> </w:t>
      </w:r>
      <w:r w:rsidRPr="007114AF">
        <w:rPr>
          <w:rFonts w:ascii="Garamond" w:hAnsi="Garamond"/>
          <w:sz w:val="24"/>
          <w:szCs w:val="24"/>
        </w:rPr>
        <w:t>përmban 40 nisma konkrete për dekadën e ardhshme, për të ndërtuar një sistem transporti konkurrues që do të rrisë lëvizjen, do të largojë barrierat kryesore në fushat kyçe, si dhe do të nxisë zhvillimin dhe punësimin. Njëkohësisht, propozimet vështirë se do ta reduktojnë varësinë e Evropës</w:t>
      </w:r>
      <w:r w:rsidR="008F3F1D" w:rsidRPr="007114AF">
        <w:rPr>
          <w:rFonts w:ascii="Garamond" w:hAnsi="Garamond"/>
          <w:sz w:val="24"/>
          <w:szCs w:val="24"/>
        </w:rPr>
        <w:t xml:space="preserve"> </w:t>
      </w:r>
      <w:r w:rsidRPr="007114AF">
        <w:rPr>
          <w:rFonts w:ascii="Garamond" w:hAnsi="Garamond"/>
          <w:sz w:val="24"/>
          <w:szCs w:val="24"/>
        </w:rPr>
        <w:t>nga nafta e importuar dhe do t</w:t>
      </w:r>
      <w:r w:rsidR="00D10DAB" w:rsidRPr="007114AF">
        <w:rPr>
          <w:rFonts w:ascii="Garamond" w:hAnsi="Garamond"/>
          <w:sz w:val="24"/>
          <w:szCs w:val="24"/>
        </w:rPr>
        <w:t>’</w:t>
      </w:r>
      <w:r w:rsidRPr="007114AF">
        <w:rPr>
          <w:rFonts w:ascii="Garamond" w:hAnsi="Garamond"/>
          <w:sz w:val="24"/>
          <w:szCs w:val="24"/>
        </w:rPr>
        <w:t>i reduktojnë shkarkimet GEStë sektorit të transportit me 60% deri në vitin 2050.</w:t>
      </w:r>
    </w:p>
    <w:p w14:paraId="6EDCF45D" w14:textId="20B62D28"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Duke nisur nga deklarata se </w:t>
      </w:r>
      <w:r w:rsidR="000A2A01" w:rsidRPr="007114AF">
        <w:rPr>
          <w:rFonts w:ascii="Garamond" w:hAnsi="Garamond"/>
          <w:sz w:val="24"/>
          <w:szCs w:val="24"/>
        </w:rPr>
        <w:t>“</w:t>
      </w:r>
      <w:r w:rsidRPr="007114AF">
        <w:rPr>
          <w:rFonts w:ascii="Garamond" w:hAnsi="Garamond"/>
          <w:sz w:val="24"/>
          <w:szCs w:val="24"/>
        </w:rPr>
        <w:t>ulja e lëvizjes nuk është opsion</w:t>
      </w:r>
      <w:r w:rsidR="000A2A01" w:rsidRPr="007114AF">
        <w:rPr>
          <w:rFonts w:ascii="Garamond" w:hAnsi="Garamond"/>
          <w:sz w:val="24"/>
          <w:szCs w:val="24"/>
        </w:rPr>
        <w:t>”</w:t>
      </w:r>
      <w:r w:rsidRPr="007114AF">
        <w:rPr>
          <w:rFonts w:ascii="Garamond" w:hAnsi="Garamond"/>
          <w:sz w:val="24"/>
          <w:szCs w:val="24"/>
        </w:rPr>
        <w:t xml:space="preserve"> sfida është të zbutet varësia e transportit nga nafta, pa sakrifikuar efikasitetin. Mënyra për ta zhvilluar këtë ide është ndihma për krijimin e modeleve të reja të transportit, si dërgimi i vëllimeve të mëdha të mallrave dhe /ose pasagjerëve në destinacion me kombinimin më efikas të mënyrave që mund të mbështesin ndryshimin e paradigmës: efic</w:t>
      </w:r>
      <w:r w:rsidR="008F3F1D" w:rsidRPr="007114AF">
        <w:rPr>
          <w:rFonts w:ascii="Garamond" w:hAnsi="Garamond"/>
          <w:sz w:val="24"/>
          <w:szCs w:val="24"/>
        </w:rPr>
        <w:t>i</w:t>
      </w:r>
      <w:r w:rsidRPr="007114AF">
        <w:rPr>
          <w:rFonts w:ascii="Garamond" w:hAnsi="Garamond"/>
          <w:sz w:val="24"/>
          <w:szCs w:val="24"/>
        </w:rPr>
        <w:t>enca e energjisë, optimizmi i performancave operative dhe teknologjitë e reja. Prandaj, transformimi i përbashkët, i integruar dhe efikas i sektorit të transportit në nivel evropian, duhet rregulluar në mënyrë harmonike tani e tutje, duke qenë se një zhvillim vendor inkoherent mund të komprometojë rezultatet në fushat e përbashkëta.</w:t>
      </w:r>
    </w:p>
    <w:p w14:paraId="6EDCF45E" w14:textId="098C1E78"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Në Dokumentin e Bardhë përshkruhen dhjetë synimet specifike për një sistem transporti konkurrues dhe efikas në lidhje me burimet, si dhe për arritjen e objektivit për reduktimin e shkarkimeve GES me 60%. Objektivat specifik</w:t>
      </w:r>
      <w:r w:rsidR="00A67A6F">
        <w:rPr>
          <w:rFonts w:ascii="Garamond" w:hAnsi="Garamond"/>
          <w:sz w:val="24"/>
          <w:szCs w:val="24"/>
        </w:rPr>
        <w:t>ë</w:t>
      </w:r>
      <w:r w:rsidRPr="007114AF">
        <w:rPr>
          <w:rFonts w:ascii="Garamond" w:hAnsi="Garamond"/>
          <w:sz w:val="24"/>
          <w:szCs w:val="24"/>
        </w:rPr>
        <w:t xml:space="preserve"> lidhur me një Zonë Unike Transporti të Dokumentit të Bardhë janë mjaft ambicioze: </w:t>
      </w:r>
    </w:p>
    <w:p w14:paraId="6EDCF45F"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Deri në vitin 2030, 30% e transportit rrugor me distancë mbi 300 km duhet të zhvendoset në mënyra të tjera, si transporti hekurudhor apo detar, dhe më shumë se 50% deri në vitin 2050.</w:t>
      </w:r>
    </w:p>
    <w:p w14:paraId="6EDCF460" w14:textId="2344C7EA"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Deri në vitin 2050, duhet përfunduar</w:t>
      </w:r>
      <w:r w:rsidR="008F3F1D" w:rsidRPr="007114AF">
        <w:rPr>
          <w:rFonts w:ascii="Garamond" w:hAnsi="Garamond"/>
          <w:sz w:val="24"/>
          <w:szCs w:val="24"/>
        </w:rPr>
        <w:t xml:space="preserve"> </w:t>
      </w:r>
      <w:r w:rsidR="00E20D71" w:rsidRPr="007114AF">
        <w:rPr>
          <w:rFonts w:ascii="Garamond" w:hAnsi="Garamond"/>
          <w:sz w:val="24"/>
          <w:szCs w:val="24"/>
        </w:rPr>
        <w:t>rrjeti hekurudhor evropiani shpejtësisë së lartë dhe një rrjet i dendur hekurudhor duhet krijuar në gjithë shtetet anëtare. Deri në vitin 2050, pjesa më e madhe e lëvizjes së pasagjerëve për distancat mesatare të transportit duhet të bëhet me hekurudhë.</w:t>
      </w:r>
    </w:p>
    <w:p w14:paraId="6EDCF461"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Deri në vitin 2030, duhet zbatuar një Rrjet Transporti TEN-T plotësisht funksional dhe multimodal në mbarë BE-në, me cilësi dhe kapacitet rrjeti të lartë deri në vitin 2050, si dhe duhet vënë në zbatim një numër korrespondues shërbimesh informuese.</w:t>
      </w:r>
    </w:p>
    <w:p w14:paraId="6EDCF462"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Deri në vitin 2050, gjithë aeroportet kryesore duhen lidhur me rrjetin hekurudhor, mundësisht me linja me shpejtësi të lartë.</w:t>
      </w:r>
    </w:p>
    <w:p w14:paraId="6EDCF463"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Deri në vitin 2050, duhet garantuar që gjithë portet kryesore detare të lidhen si duhet me rrjetin hekurudhor të transportit të mallrave dhe aty ku është e mundur, me sistemin e brendshëm të lumenjve.</w:t>
      </w:r>
    </w:p>
    <w:p w14:paraId="6EDCF464" w14:textId="13F673BF"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Në kuadrin e </w:t>
      </w:r>
      <w:r w:rsidR="000A2A01" w:rsidRPr="007114AF">
        <w:rPr>
          <w:rFonts w:ascii="Garamond" w:hAnsi="Garamond"/>
          <w:sz w:val="24"/>
          <w:szCs w:val="24"/>
        </w:rPr>
        <w:t>“</w:t>
      </w:r>
      <w:r w:rsidRPr="007114AF">
        <w:rPr>
          <w:rFonts w:ascii="Garamond" w:hAnsi="Garamond"/>
          <w:sz w:val="24"/>
          <w:szCs w:val="24"/>
        </w:rPr>
        <w:t>Paketës së BE-së për Klimën dhe Energjinë 2020</w:t>
      </w:r>
      <w:r w:rsidR="000A2A01" w:rsidRPr="007114AF">
        <w:rPr>
          <w:rFonts w:ascii="Garamond" w:hAnsi="Garamond"/>
          <w:sz w:val="24"/>
          <w:szCs w:val="24"/>
        </w:rPr>
        <w:t>”</w:t>
      </w:r>
      <w:r w:rsidRPr="007114AF">
        <w:rPr>
          <w:rFonts w:ascii="Garamond" w:hAnsi="Garamond"/>
          <w:sz w:val="24"/>
          <w:szCs w:val="24"/>
        </w:rPr>
        <w:t>, sektori i</w:t>
      </w:r>
      <w:r w:rsidR="008F3F1D" w:rsidRPr="007114AF">
        <w:rPr>
          <w:rFonts w:ascii="Garamond" w:hAnsi="Garamond"/>
          <w:sz w:val="24"/>
          <w:szCs w:val="24"/>
        </w:rPr>
        <w:t xml:space="preserve"> </w:t>
      </w:r>
      <w:r w:rsidRPr="007114AF">
        <w:rPr>
          <w:rFonts w:ascii="Garamond" w:hAnsi="Garamond"/>
          <w:sz w:val="24"/>
          <w:szCs w:val="24"/>
        </w:rPr>
        <w:t>transportit është marrë në konsideratë përmes Direktivës për Cilësinë e Lëndëve Djegëse (DCLD, Direktiva 2009/30/EC), Direktiva për Energjinë e Rinovueshme (DER, Direktiva 2009/28/EC) dhe objektivat Mjetet CO</w:t>
      </w:r>
      <w:r w:rsidRPr="007114AF">
        <w:rPr>
          <w:rFonts w:ascii="Garamond" w:hAnsi="Garamond"/>
          <w:sz w:val="24"/>
          <w:szCs w:val="24"/>
          <w:vertAlign w:val="subscript"/>
        </w:rPr>
        <w:t>2</w:t>
      </w:r>
      <w:r w:rsidRPr="007114AF">
        <w:rPr>
          <w:rFonts w:ascii="Garamond" w:hAnsi="Garamond"/>
          <w:sz w:val="24"/>
          <w:szCs w:val="24"/>
        </w:rPr>
        <w:t xml:space="preserve"> (Reg. EU 333/2014).</w:t>
      </w:r>
    </w:p>
    <w:p w14:paraId="6EDCF465" w14:textId="48EE5B81"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DCLD-ja (</w:t>
      </w:r>
      <w:r w:rsidR="008F3F1D" w:rsidRPr="007114AF">
        <w:rPr>
          <w:rFonts w:ascii="Garamond" w:hAnsi="Garamond"/>
          <w:sz w:val="24"/>
          <w:szCs w:val="24"/>
        </w:rPr>
        <w:t>d</w:t>
      </w:r>
      <w:r w:rsidRPr="007114AF">
        <w:rPr>
          <w:rFonts w:ascii="Garamond" w:hAnsi="Garamond"/>
          <w:sz w:val="24"/>
          <w:szCs w:val="24"/>
        </w:rPr>
        <w:t>irektiva 2009/30/EC) për kontrollin e shkarkimeve GES</w:t>
      </w:r>
      <w:r w:rsidR="008F3F1D" w:rsidRPr="007114AF">
        <w:rPr>
          <w:rFonts w:ascii="Garamond" w:hAnsi="Garamond"/>
          <w:sz w:val="24"/>
          <w:szCs w:val="24"/>
        </w:rPr>
        <w:t xml:space="preserve"> </w:t>
      </w:r>
      <w:r w:rsidRPr="007114AF">
        <w:rPr>
          <w:rFonts w:ascii="Garamond" w:hAnsi="Garamond"/>
          <w:sz w:val="24"/>
          <w:szCs w:val="24"/>
        </w:rPr>
        <w:t>në nivel BE-je, kërkon që intensiteti i gazeve serrë të shkaktuara nga përdorimi i lëndëve djegëse nga mjetet, të reduktohet deri në 6% deri në vitin 2020. Kjo zbatohet për gjithë benzinën, naftën dhe biokarburet që përdoren në transportin rrugor, si dhe gazoilin e përdorur në makineritë jo për transport, çka në të kaluarën ka treguar rezultate me rëndësi në reduktimin e përmbajtjes së sulfurit të lëndëve djegëse. Objektivi i DER-it (</w:t>
      </w:r>
      <w:r w:rsidR="008F3F1D" w:rsidRPr="007114AF">
        <w:rPr>
          <w:rFonts w:ascii="Garamond" w:hAnsi="Garamond"/>
          <w:sz w:val="24"/>
          <w:szCs w:val="24"/>
        </w:rPr>
        <w:t>d</w:t>
      </w:r>
      <w:r w:rsidRPr="007114AF">
        <w:rPr>
          <w:rFonts w:ascii="Garamond" w:hAnsi="Garamond"/>
          <w:sz w:val="24"/>
          <w:szCs w:val="24"/>
        </w:rPr>
        <w:t>irektiva 2009/28/EC) synon që 10% e energjisë që konsumohet për transport, të gjenerohet nga burime të energjisë së rinovueshme deri në vitin 2020. Objektivat për CO</w:t>
      </w:r>
      <w:r w:rsidRPr="007114AF">
        <w:rPr>
          <w:rFonts w:ascii="Garamond" w:hAnsi="Garamond"/>
          <w:sz w:val="24"/>
          <w:szCs w:val="24"/>
          <w:vertAlign w:val="subscript"/>
        </w:rPr>
        <w:t>2</w:t>
      </w:r>
      <w:r w:rsidRPr="007114AF">
        <w:rPr>
          <w:rFonts w:ascii="Garamond" w:hAnsi="Garamond"/>
          <w:sz w:val="24"/>
          <w:szCs w:val="24"/>
        </w:rPr>
        <w:t xml:space="preserve"> përcaktohen në Rregulloren (BE 333/2014) për shitjet e mjeteve të reja në vitin 2021. Direktiva për Etiketimin e Makinave (</w:t>
      </w:r>
      <w:r w:rsidR="00D8298D" w:rsidRPr="007114AF">
        <w:rPr>
          <w:rFonts w:ascii="Garamond" w:hAnsi="Garamond"/>
          <w:sz w:val="24"/>
          <w:szCs w:val="24"/>
        </w:rPr>
        <w:t>d</w:t>
      </w:r>
      <w:r w:rsidRPr="007114AF">
        <w:rPr>
          <w:rFonts w:ascii="Garamond" w:hAnsi="Garamond"/>
          <w:sz w:val="24"/>
          <w:szCs w:val="24"/>
        </w:rPr>
        <w:t>irektiva 1999/94/EC),</w:t>
      </w:r>
      <w:r w:rsidR="00D8298D" w:rsidRPr="007114AF">
        <w:rPr>
          <w:rFonts w:ascii="Garamond" w:hAnsi="Garamond"/>
          <w:sz w:val="24"/>
          <w:szCs w:val="24"/>
        </w:rPr>
        <w:t xml:space="preserve"> </w:t>
      </w:r>
      <w:r w:rsidRPr="007114AF">
        <w:rPr>
          <w:rFonts w:ascii="Garamond" w:hAnsi="Garamond"/>
          <w:sz w:val="24"/>
          <w:szCs w:val="24"/>
        </w:rPr>
        <w:t>që ka qenë një instrument interesant për t</w:t>
      </w:r>
      <w:r w:rsidR="00D10DAB" w:rsidRPr="007114AF">
        <w:rPr>
          <w:rFonts w:ascii="Garamond" w:hAnsi="Garamond"/>
          <w:sz w:val="24"/>
          <w:szCs w:val="24"/>
        </w:rPr>
        <w:t>’</w:t>
      </w:r>
      <w:r w:rsidRPr="007114AF">
        <w:rPr>
          <w:rFonts w:ascii="Garamond" w:hAnsi="Garamond"/>
          <w:sz w:val="24"/>
          <w:szCs w:val="24"/>
        </w:rPr>
        <w:t>iu qasur ndërgjegjësimit të konsumatorëve privatë për përdorimin e lëndëve djegëse dhe shkarkimit të CO</w:t>
      </w:r>
      <w:r w:rsidRPr="007114AF">
        <w:rPr>
          <w:rFonts w:ascii="Garamond" w:hAnsi="Garamond"/>
          <w:sz w:val="24"/>
          <w:szCs w:val="24"/>
          <w:vertAlign w:val="subscript"/>
        </w:rPr>
        <w:t>2</w:t>
      </w:r>
      <w:r w:rsidR="00D8298D" w:rsidRPr="007114AF">
        <w:rPr>
          <w:rFonts w:ascii="Garamond" w:hAnsi="Garamond"/>
          <w:sz w:val="24"/>
          <w:szCs w:val="24"/>
          <w:vertAlign w:val="subscript"/>
        </w:rPr>
        <w:t xml:space="preserve"> </w:t>
      </w:r>
      <w:r w:rsidRPr="007114AF">
        <w:rPr>
          <w:rFonts w:ascii="Garamond" w:hAnsi="Garamond"/>
          <w:sz w:val="24"/>
          <w:szCs w:val="24"/>
        </w:rPr>
        <w:t>dhe për politikën e kërkesës, konsiderohet një masë e rëndësishme plotësuese për t</w:t>
      </w:r>
      <w:r w:rsidR="00D10DAB" w:rsidRPr="007114AF">
        <w:rPr>
          <w:rFonts w:ascii="Garamond" w:hAnsi="Garamond"/>
          <w:sz w:val="24"/>
          <w:szCs w:val="24"/>
        </w:rPr>
        <w:t>’</w:t>
      </w:r>
      <w:r w:rsidRPr="007114AF">
        <w:rPr>
          <w:rFonts w:ascii="Garamond" w:hAnsi="Garamond"/>
          <w:sz w:val="24"/>
          <w:szCs w:val="24"/>
        </w:rPr>
        <w:t>i ndihmuar prodhuesit e makinave të përmbushin objektivat e tyre specifikë për shkarkimet e CO</w:t>
      </w:r>
      <w:r w:rsidRPr="007114AF">
        <w:rPr>
          <w:rFonts w:ascii="Garamond" w:hAnsi="Garamond"/>
          <w:sz w:val="24"/>
          <w:szCs w:val="24"/>
          <w:vertAlign w:val="subscript"/>
        </w:rPr>
        <w:t>2</w:t>
      </w:r>
      <w:r w:rsidRPr="007114AF">
        <w:rPr>
          <w:rFonts w:ascii="Garamond" w:hAnsi="Garamond"/>
          <w:sz w:val="24"/>
          <w:szCs w:val="24"/>
        </w:rPr>
        <w:t xml:space="preserve">, siç përcaktohen në Rregullore. </w:t>
      </w:r>
    </w:p>
    <w:p w14:paraId="6EDCF466" w14:textId="206BE5C9"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Me </w:t>
      </w:r>
      <w:r w:rsidR="000A2A01" w:rsidRPr="007114AF">
        <w:rPr>
          <w:rFonts w:ascii="Garamond" w:hAnsi="Garamond"/>
          <w:sz w:val="24"/>
          <w:szCs w:val="24"/>
        </w:rPr>
        <w:t>“</w:t>
      </w:r>
      <w:r w:rsidRPr="007114AF">
        <w:rPr>
          <w:rFonts w:ascii="Garamond" w:hAnsi="Garamond"/>
          <w:sz w:val="24"/>
          <w:szCs w:val="24"/>
        </w:rPr>
        <w:t>Paketën e Lëvizjes Urbane</w:t>
      </w:r>
      <w:r w:rsidR="000A2A01" w:rsidRPr="007114AF">
        <w:rPr>
          <w:rFonts w:ascii="Garamond" w:hAnsi="Garamond"/>
          <w:sz w:val="24"/>
          <w:szCs w:val="24"/>
        </w:rPr>
        <w:t>”</w:t>
      </w:r>
      <w:r w:rsidRPr="007114AF">
        <w:rPr>
          <w:rFonts w:ascii="Garamond" w:hAnsi="Garamond"/>
          <w:sz w:val="24"/>
          <w:szCs w:val="24"/>
        </w:rPr>
        <w:t>, Komisioni forcon masat mbështetëse në fushën e transportiturban, duken</w:t>
      </w:r>
      <w:r w:rsidR="00D8298D" w:rsidRPr="007114AF">
        <w:rPr>
          <w:rFonts w:ascii="Garamond" w:hAnsi="Garamond"/>
          <w:sz w:val="24"/>
          <w:szCs w:val="24"/>
        </w:rPr>
        <w:t xml:space="preserve"> </w:t>
      </w:r>
      <w:r w:rsidRPr="007114AF">
        <w:rPr>
          <w:rFonts w:ascii="Garamond" w:hAnsi="Garamond"/>
          <w:sz w:val="24"/>
          <w:szCs w:val="24"/>
        </w:rPr>
        <w:t xml:space="preserve">darë eksperiencat, duke treguar praktikat më të mira, duke nxitur bashkëpunimin, duke siguruar mbështetje të përcaktuar financiare, duke e fokusuar kërkimin dhe risinë te gjetja e zgjidhjeve për sfidat e lëvizjes urbane, duke përfshirë </w:t>
      </w:r>
      <w:r w:rsidR="00D8298D" w:rsidRPr="007114AF">
        <w:rPr>
          <w:rFonts w:ascii="Garamond" w:hAnsi="Garamond"/>
          <w:sz w:val="24"/>
          <w:szCs w:val="24"/>
        </w:rPr>
        <w:t>shtetet anëtare</w:t>
      </w:r>
      <w:r w:rsidRPr="007114AF">
        <w:rPr>
          <w:rFonts w:ascii="Garamond" w:hAnsi="Garamond"/>
          <w:sz w:val="24"/>
          <w:szCs w:val="24"/>
        </w:rPr>
        <w:t>, si dhe duke nxitur bashkëpunimin ndërkombëtar. Planifikimi i Lëvizjes së Qëndrueshme Urbane</w:t>
      </w:r>
      <w:r w:rsidRPr="007114AF">
        <w:rPr>
          <w:rFonts w:ascii="Garamond" w:hAnsi="Garamond"/>
          <w:sz w:val="24"/>
          <w:szCs w:val="24"/>
          <w:vertAlign w:val="superscript"/>
        </w:rPr>
        <w:footnoteReference w:id="21"/>
      </w:r>
      <w:r w:rsidR="00D8298D" w:rsidRPr="007114AF">
        <w:rPr>
          <w:rFonts w:ascii="Garamond" w:hAnsi="Garamond"/>
          <w:sz w:val="24"/>
          <w:szCs w:val="24"/>
        </w:rPr>
        <w:t xml:space="preserve"> </w:t>
      </w:r>
      <w:r w:rsidRPr="007114AF">
        <w:rPr>
          <w:rFonts w:ascii="Garamond" w:hAnsi="Garamond"/>
          <w:sz w:val="24"/>
          <w:szCs w:val="24"/>
        </w:rPr>
        <w:t>është tema më e rëndësishme në Paketën e Lëvizjes Urbane të Komisionit. Koncepti i saj merr në konsideratë zonën urbane funksionale dhe parashikon që planet të hartohen në bashkëpunim, në fusha dhe sektorë të ndryshëm të politikave;</w:t>
      </w:r>
      <w:r w:rsidR="00D8298D" w:rsidRPr="007114AF">
        <w:rPr>
          <w:rFonts w:ascii="Garamond" w:hAnsi="Garamond"/>
          <w:sz w:val="24"/>
          <w:szCs w:val="24"/>
        </w:rPr>
        <w:t xml:space="preserve"> </w:t>
      </w:r>
      <w:r w:rsidRPr="007114AF">
        <w:rPr>
          <w:rFonts w:ascii="Garamond" w:hAnsi="Garamond"/>
          <w:sz w:val="24"/>
          <w:szCs w:val="24"/>
        </w:rPr>
        <w:t>në nivele të ndryshme të qeverisë dhe administratës, si dhe në bashkëpunim me qytetarët dhe palë të tjera të interesuara.</w:t>
      </w:r>
    </w:p>
    <w:p w14:paraId="6EDCF467" w14:textId="5C329F65"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Objektivat politik</w:t>
      </w:r>
      <w:r w:rsidR="00003AEC">
        <w:rPr>
          <w:rFonts w:ascii="Garamond" w:hAnsi="Garamond"/>
          <w:sz w:val="24"/>
          <w:szCs w:val="24"/>
        </w:rPr>
        <w:t>ë</w:t>
      </w:r>
      <w:r w:rsidRPr="007114AF">
        <w:rPr>
          <w:rFonts w:ascii="Garamond" w:hAnsi="Garamond"/>
          <w:sz w:val="24"/>
          <w:szCs w:val="24"/>
        </w:rPr>
        <w:t xml:space="preserve"> në zhvillimin urban të BE-së për periudhën 2014</w:t>
      </w:r>
      <w:r w:rsidR="00D8298D" w:rsidRPr="007114AF">
        <w:rPr>
          <w:rFonts w:ascii="Garamond" w:hAnsi="Garamond"/>
          <w:sz w:val="24"/>
          <w:szCs w:val="24"/>
        </w:rPr>
        <w:t>–</w:t>
      </w:r>
      <w:r w:rsidRPr="007114AF">
        <w:rPr>
          <w:rFonts w:ascii="Garamond" w:hAnsi="Garamond"/>
          <w:sz w:val="24"/>
          <w:szCs w:val="24"/>
        </w:rPr>
        <w:t xml:space="preserve">2020, marrin në konsideratë masa të rëndësishme për lëvizjen e qëndrueshme urbane. Trajtimi i çështjes së reduktimit të shkarkimeve nga transporti, përmes mbështetjes së planifikimit dhe infrastrukturës urbane, është pa dyshim një përqasje fituese për një Evropë të gjelbër. Promovimi i transportit të qëndrueshëm dhe heqja e pengesave në infrastrukturat kyçe të transportit është një nga njëmbëdhjetë </w:t>
      </w:r>
      <w:r w:rsidR="00003AEC" w:rsidRPr="007114AF">
        <w:rPr>
          <w:rFonts w:ascii="Garamond" w:hAnsi="Garamond"/>
          <w:sz w:val="24"/>
          <w:szCs w:val="24"/>
        </w:rPr>
        <w:t>objektivat tematik</w:t>
      </w:r>
      <w:r w:rsidR="00003AEC">
        <w:rPr>
          <w:rFonts w:ascii="Garamond" w:hAnsi="Garamond"/>
          <w:sz w:val="24"/>
          <w:szCs w:val="24"/>
        </w:rPr>
        <w:t>ë</w:t>
      </w:r>
      <w:r w:rsidR="00003AEC" w:rsidRPr="007114AF">
        <w:rPr>
          <w:rFonts w:ascii="Garamond" w:hAnsi="Garamond"/>
          <w:sz w:val="24"/>
          <w:szCs w:val="24"/>
        </w:rPr>
        <w:t xml:space="preserve"> për politikat e kohezionit </w:t>
      </w:r>
      <w:r w:rsidRPr="007114AF">
        <w:rPr>
          <w:rFonts w:ascii="Garamond" w:hAnsi="Garamond"/>
          <w:sz w:val="24"/>
          <w:szCs w:val="24"/>
        </w:rPr>
        <w:t>për periudhën 2014</w:t>
      </w:r>
      <w:r w:rsidR="00D8298D" w:rsidRPr="007114AF">
        <w:rPr>
          <w:rFonts w:ascii="Garamond" w:hAnsi="Garamond"/>
          <w:sz w:val="24"/>
          <w:szCs w:val="24"/>
        </w:rPr>
        <w:t>–</w:t>
      </w:r>
      <w:r w:rsidRPr="007114AF">
        <w:rPr>
          <w:rFonts w:ascii="Garamond" w:hAnsi="Garamond"/>
          <w:sz w:val="24"/>
          <w:szCs w:val="24"/>
        </w:rPr>
        <w:t>2020. Mbështetja e Fondit Evropian</w:t>
      </w:r>
      <w:r w:rsidR="00D8298D" w:rsidRPr="007114AF">
        <w:rPr>
          <w:rFonts w:ascii="Garamond" w:hAnsi="Garamond"/>
          <w:sz w:val="24"/>
          <w:szCs w:val="24"/>
        </w:rPr>
        <w:t xml:space="preserve"> </w:t>
      </w:r>
      <w:r w:rsidRPr="007114AF">
        <w:rPr>
          <w:rFonts w:ascii="Garamond" w:hAnsi="Garamond"/>
          <w:sz w:val="24"/>
          <w:szCs w:val="24"/>
        </w:rPr>
        <w:t>për Zhvillim Rajonal (ERDF) dhe Fondit të Kohezionit siguron bashkëfinancimin e BE-së, për projekte që lidhen me përparësitë e mëposhtme të investimeve, në kuadrin e objektivit tematik 7-të:</w:t>
      </w:r>
    </w:p>
    <w:p w14:paraId="6EDCF468" w14:textId="17483E93"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Investimi në rrjetin Transevropian</w:t>
      </w:r>
      <w:r w:rsidR="00D8298D" w:rsidRPr="007114AF">
        <w:rPr>
          <w:rFonts w:ascii="Garamond" w:hAnsi="Garamond"/>
          <w:sz w:val="24"/>
          <w:szCs w:val="24"/>
        </w:rPr>
        <w:t xml:space="preserve"> </w:t>
      </w:r>
      <w:r w:rsidR="00E20D71" w:rsidRPr="007114AF">
        <w:rPr>
          <w:rFonts w:ascii="Garamond" w:hAnsi="Garamond"/>
          <w:sz w:val="24"/>
          <w:szCs w:val="24"/>
        </w:rPr>
        <w:t>të Transportit (TEN-T).</w:t>
      </w:r>
    </w:p>
    <w:p w14:paraId="6EDCF469"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Nxitja e lëvizjes rajonale, duke lidhur nyjat dytësore dhe terciare me infrastrukturën TEN-T përfshirë nyjat multimodale.</w:t>
      </w:r>
    </w:p>
    <w:p w14:paraId="6EDCF46A" w14:textId="59789DDE"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Zhvillimi dhe përmirësimi i sistemeve të transportit miqësore me mjedisin (përfshirë zhurmat e ulëta) dhe me nivele karboni</w:t>
      </w:r>
      <w:r w:rsidR="00467273" w:rsidRPr="007114AF">
        <w:rPr>
          <w:rFonts w:ascii="Garamond" w:hAnsi="Garamond"/>
          <w:sz w:val="24"/>
          <w:szCs w:val="24"/>
        </w:rPr>
        <w:t xml:space="preserve"> </w:t>
      </w:r>
      <w:r w:rsidR="00E20D71" w:rsidRPr="007114AF">
        <w:rPr>
          <w:rFonts w:ascii="Garamond" w:hAnsi="Garamond"/>
          <w:sz w:val="24"/>
          <w:szCs w:val="24"/>
        </w:rPr>
        <w:t>të ulët, përfshirë transportin e brendshëm lumor dhe detar, portet lidhjet multimodale dhe infrastrukturën e aeroporteve, për të promovuar lëvizjen e qëndrueshme rajonale dhe vendore.</w:t>
      </w:r>
    </w:p>
    <w:p w14:paraId="6EDCF46B"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Zhvillimi dhe rehabilitimi i sistemeve hekurudhore gjithëpërfshirëse, me cilësi të larta dhe ndëroperuese, si dhe nxitja e masave për reduktimin e zhurmës.</w:t>
      </w:r>
    </w:p>
    <w:p w14:paraId="6EDCF46C" w14:textId="6B3BF92E"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Për më tepër, BE-ja mbështet investimet e finalizuara për zhvendosjen drejt një ekonomie me karbon të ulët në sektorët e transportit, veçanërisht për të nxitur lëvizjen e qëndrueshme multimodale urbane</w:t>
      </w:r>
      <w:r w:rsidR="00467273" w:rsidRPr="007114AF">
        <w:rPr>
          <w:rFonts w:ascii="Garamond" w:hAnsi="Garamond"/>
          <w:sz w:val="24"/>
          <w:szCs w:val="24"/>
        </w:rPr>
        <w:t xml:space="preserve"> </w:t>
      </w:r>
      <w:r w:rsidRPr="007114AF">
        <w:rPr>
          <w:rFonts w:ascii="Garamond" w:hAnsi="Garamond"/>
          <w:sz w:val="24"/>
          <w:szCs w:val="24"/>
        </w:rPr>
        <w:t>(objektivi</w:t>
      </w:r>
      <w:r w:rsidR="00467273" w:rsidRPr="007114AF">
        <w:rPr>
          <w:rFonts w:ascii="Garamond" w:hAnsi="Garamond"/>
          <w:sz w:val="24"/>
          <w:szCs w:val="24"/>
        </w:rPr>
        <w:t xml:space="preserve"> </w:t>
      </w:r>
      <w:r w:rsidRPr="007114AF">
        <w:rPr>
          <w:rFonts w:ascii="Garamond" w:hAnsi="Garamond"/>
          <w:sz w:val="24"/>
          <w:szCs w:val="24"/>
        </w:rPr>
        <w:t>tematik 4). Për t</w:t>
      </w:r>
      <w:r w:rsidR="00D10DAB" w:rsidRPr="007114AF">
        <w:rPr>
          <w:rFonts w:ascii="Garamond" w:hAnsi="Garamond"/>
          <w:sz w:val="24"/>
          <w:szCs w:val="24"/>
        </w:rPr>
        <w:t>’</w:t>
      </w:r>
      <w:r w:rsidRPr="007114AF">
        <w:rPr>
          <w:rFonts w:ascii="Garamond" w:hAnsi="Garamond"/>
          <w:sz w:val="24"/>
          <w:szCs w:val="24"/>
        </w:rPr>
        <w:t>u siguruar që këto investime të kenë ndikimin maksimal, vëmendje e veçantë i kushtohet, gjatë periudhës 2014</w:t>
      </w:r>
      <w:r w:rsidR="00A055E5">
        <w:rPr>
          <w:rFonts w:ascii="Garamond" w:hAnsi="Garamond"/>
          <w:sz w:val="24"/>
          <w:szCs w:val="24"/>
        </w:rPr>
        <w:t>–</w:t>
      </w:r>
      <w:r w:rsidRPr="007114AF">
        <w:rPr>
          <w:rFonts w:ascii="Garamond" w:hAnsi="Garamond"/>
          <w:sz w:val="24"/>
          <w:szCs w:val="24"/>
        </w:rPr>
        <w:t>2020,</w:t>
      </w:r>
      <w:r w:rsidR="00467273" w:rsidRPr="007114AF">
        <w:rPr>
          <w:rFonts w:ascii="Garamond" w:hAnsi="Garamond"/>
          <w:sz w:val="24"/>
          <w:szCs w:val="24"/>
        </w:rPr>
        <w:t xml:space="preserve"> </w:t>
      </w:r>
      <w:r w:rsidRPr="007114AF">
        <w:rPr>
          <w:rFonts w:ascii="Garamond" w:hAnsi="Garamond"/>
          <w:sz w:val="24"/>
          <w:szCs w:val="24"/>
        </w:rPr>
        <w:t xml:space="preserve">nevojës për të siguruar një mjedis të </w:t>
      </w:r>
      <w:r w:rsidR="00A055E5" w:rsidRPr="007114AF">
        <w:rPr>
          <w:rFonts w:ascii="Garamond" w:hAnsi="Garamond"/>
          <w:sz w:val="24"/>
          <w:szCs w:val="24"/>
        </w:rPr>
        <w:t>shënd</w:t>
      </w:r>
      <w:r w:rsidR="00A055E5">
        <w:rPr>
          <w:rFonts w:ascii="Garamond" w:hAnsi="Garamond"/>
          <w:sz w:val="24"/>
          <w:szCs w:val="24"/>
        </w:rPr>
        <w:t>etsh</w:t>
      </w:r>
      <w:r w:rsidR="00A055E5" w:rsidRPr="007114AF">
        <w:rPr>
          <w:rFonts w:ascii="Garamond" w:hAnsi="Garamond"/>
          <w:sz w:val="24"/>
          <w:szCs w:val="24"/>
        </w:rPr>
        <w:t xml:space="preserve">ëm </w:t>
      </w:r>
      <w:r w:rsidRPr="007114AF">
        <w:rPr>
          <w:rFonts w:ascii="Garamond" w:hAnsi="Garamond"/>
          <w:sz w:val="24"/>
          <w:szCs w:val="24"/>
        </w:rPr>
        <w:t>strategjik.</w:t>
      </w:r>
    </w:p>
    <w:p w14:paraId="6EDCF46D" w14:textId="3232177E"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Një Komunikatë Evropiane e kohëve të fundit (501/2016) i qaset në mënyrë specifike, kuadrit të Lëvizjes me Shkarkime të Ulëta, përmes objektivave kyç</w:t>
      </w:r>
      <w:r w:rsidR="00467273" w:rsidRPr="007114AF">
        <w:rPr>
          <w:rFonts w:ascii="Garamond" w:hAnsi="Garamond"/>
          <w:sz w:val="24"/>
          <w:szCs w:val="24"/>
        </w:rPr>
        <w:t>,</w:t>
      </w:r>
      <w:r w:rsidRPr="007114AF">
        <w:rPr>
          <w:rFonts w:ascii="Garamond" w:hAnsi="Garamond"/>
          <w:sz w:val="24"/>
          <w:szCs w:val="24"/>
        </w:rPr>
        <w:t xml:space="preserve"> si</w:t>
      </w:r>
      <w:r w:rsidR="00467273" w:rsidRPr="007114AF">
        <w:rPr>
          <w:rFonts w:ascii="Garamond" w:hAnsi="Garamond"/>
          <w:sz w:val="24"/>
          <w:szCs w:val="24"/>
        </w:rPr>
        <w:t>:</w:t>
      </w:r>
      <w:r w:rsidRPr="007114AF">
        <w:rPr>
          <w:rFonts w:ascii="Garamond" w:hAnsi="Garamond"/>
          <w:sz w:val="24"/>
          <w:szCs w:val="24"/>
        </w:rPr>
        <w:t xml:space="preserve"> (I) efikasitet më i lartë i sistemit të transportit, (II) energji me alternative shkarkimesh të ulëta për transportin</w:t>
      </w:r>
      <w:r w:rsidR="0082368C">
        <w:rPr>
          <w:rFonts w:ascii="Garamond" w:hAnsi="Garamond"/>
          <w:sz w:val="24"/>
          <w:szCs w:val="24"/>
        </w:rPr>
        <w:t>,</w:t>
      </w:r>
      <w:r w:rsidRPr="007114AF">
        <w:rPr>
          <w:rFonts w:ascii="Garamond" w:hAnsi="Garamond"/>
          <w:sz w:val="24"/>
          <w:szCs w:val="24"/>
        </w:rPr>
        <w:t xml:space="preserve"> dhe (III) mjete me shkarkime të ulëta deri në zero.</w:t>
      </w:r>
    </w:p>
    <w:p w14:paraId="6EDCF46E" w14:textId="4CAA6A42" w:rsidR="00E20D71" w:rsidRPr="007114AF" w:rsidRDefault="001259F3" w:rsidP="00E20D71">
      <w:pPr>
        <w:spacing w:after="0" w:line="240" w:lineRule="auto"/>
        <w:ind w:firstLine="284"/>
        <w:rPr>
          <w:rFonts w:ascii="Garamond" w:hAnsi="Garamond"/>
          <w:b/>
          <w:sz w:val="24"/>
          <w:szCs w:val="24"/>
        </w:rPr>
      </w:pPr>
      <w:bookmarkStart w:id="31" w:name="_Toc439676905"/>
      <w:bookmarkStart w:id="32" w:name="_Toc439677425"/>
      <w:bookmarkStart w:id="33" w:name="_Toc449535220"/>
      <w:bookmarkStart w:id="34" w:name="_Toc484424478"/>
      <w:r w:rsidRPr="007114AF">
        <w:rPr>
          <w:rFonts w:ascii="Garamond" w:hAnsi="Garamond"/>
          <w:b/>
          <w:sz w:val="24"/>
          <w:szCs w:val="24"/>
        </w:rPr>
        <w:t xml:space="preserve">2.4 </w:t>
      </w:r>
      <w:r w:rsidR="00E20D71" w:rsidRPr="007114AF">
        <w:rPr>
          <w:rFonts w:ascii="Garamond" w:hAnsi="Garamond"/>
          <w:b/>
          <w:sz w:val="24"/>
          <w:szCs w:val="24"/>
        </w:rPr>
        <w:t>Monitorimi dhe raportimi i detyrimeve</w:t>
      </w:r>
      <w:r w:rsidR="00467273" w:rsidRPr="007114AF">
        <w:rPr>
          <w:rFonts w:ascii="Garamond" w:hAnsi="Garamond"/>
          <w:b/>
          <w:sz w:val="24"/>
          <w:szCs w:val="24"/>
        </w:rPr>
        <w:t xml:space="preserve"> </w:t>
      </w:r>
      <w:r w:rsidR="00E20D71" w:rsidRPr="007114AF">
        <w:rPr>
          <w:rFonts w:ascii="Garamond" w:hAnsi="Garamond"/>
          <w:b/>
          <w:sz w:val="24"/>
          <w:szCs w:val="24"/>
        </w:rPr>
        <w:t xml:space="preserve">në kuadrin e </w:t>
      </w:r>
      <w:bookmarkEnd w:id="31"/>
      <w:bookmarkEnd w:id="32"/>
      <w:bookmarkEnd w:id="33"/>
      <w:r w:rsidR="00E20D71" w:rsidRPr="007114AF">
        <w:rPr>
          <w:rFonts w:ascii="Garamond" w:hAnsi="Garamond"/>
          <w:b/>
          <w:sz w:val="24"/>
          <w:szCs w:val="24"/>
        </w:rPr>
        <w:t>UNFCCC-së dhe BE-së</w:t>
      </w:r>
      <w:bookmarkEnd w:id="34"/>
    </w:p>
    <w:p w14:paraId="6EDCF46F" w14:textId="2032D579"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Shqipëria si vend kandidat për anëtarësim në BE, do ta ndryshojë statusin nga jopalë e </w:t>
      </w:r>
      <w:r w:rsidR="00467273" w:rsidRPr="007114AF">
        <w:rPr>
          <w:rFonts w:ascii="Garamond" w:hAnsi="Garamond"/>
          <w:sz w:val="24"/>
          <w:szCs w:val="24"/>
        </w:rPr>
        <w:t>a</w:t>
      </w:r>
      <w:r w:rsidRPr="007114AF">
        <w:rPr>
          <w:rFonts w:ascii="Garamond" w:hAnsi="Garamond"/>
          <w:sz w:val="24"/>
          <w:szCs w:val="24"/>
        </w:rPr>
        <w:t>neksit I të UNFCCC-ës</w:t>
      </w:r>
      <w:r w:rsidR="00467273" w:rsidRPr="007114AF">
        <w:rPr>
          <w:rFonts w:ascii="Garamond" w:hAnsi="Garamond"/>
          <w:sz w:val="24"/>
          <w:szCs w:val="24"/>
        </w:rPr>
        <w:t xml:space="preserve"> </w:t>
      </w:r>
      <w:r w:rsidRPr="007114AF">
        <w:rPr>
          <w:rFonts w:ascii="Garamond" w:hAnsi="Garamond"/>
          <w:sz w:val="24"/>
          <w:szCs w:val="24"/>
        </w:rPr>
        <w:t xml:space="preserve">në </w:t>
      </w:r>
      <w:r w:rsidR="00467273" w:rsidRPr="007114AF">
        <w:rPr>
          <w:rFonts w:ascii="Garamond" w:hAnsi="Garamond"/>
          <w:sz w:val="24"/>
          <w:szCs w:val="24"/>
        </w:rPr>
        <w:t>a</w:t>
      </w:r>
      <w:r w:rsidRPr="007114AF">
        <w:rPr>
          <w:rFonts w:ascii="Garamond" w:hAnsi="Garamond"/>
          <w:sz w:val="24"/>
          <w:szCs w:val="24"/>
        </w:rPr>
        <w:t>neks</w:t>
      </w:r>
      <w:r w:rsidR="00467273" w:rsidRPr="007114AF">
        <w:rPr>
          <w:rFonts w:ascii="Garamond" w:hAnsi="Garamond"/>
          <w:sz w:val="24"/>
          <w:szCs w:val="24"/>
        </w:rPr>
        <w:t>in</w:t>
      </w:r>
      <w:r w:rsidRPr="007114AF">
        <w:rPr>
          <w:rFonts w:ascii="Garamond" w:hAnsi="Garamond"/>
          <w:sz w:val="24"/>
          <w:szCs w:val="24"/>
        </w:rPr>
        <w:t xml:space="preserve"> I, me BE-në. Si palë e </w:t>
      </w:r>
      <w:r w:rsidR="00D8298D" w:rsidRPr="007114AF">
        <w:rPr>
          <w:rFonts w:ascii="Garamond" w:hAnsi="Garamond"/>
          <w:sz w:val="24"/>
          <w:szCs w:val="24"/>
        </w:rPr>
        <w:t>a</w:t>
      </w:r>
      <w:r w:rsidRPr="007114AF">
        <w:rPr>
          <w:rFonts w:ascii="Garamond" w:hAnsi="Garamond"/>
          <w:sz w:val="24"/>
          <w:szCs w:val="24"/>
        </w:rPr>
        <w:t xml:space="preserve">neksit I e </w:t>
      </w:r>
      <w:r w:rsidRPr="007114AF">
        <w:rPr>
          <w:rFonts w:ascii="Garamond" w:hAnsi="Garamond" w:cs="Times New Roman"/>
          <w:sz w:val="24"/>
          <w:szCs w:val="24"/>
        </w:rPr>
        <w:t>UNFCCC</w:t>
      </w:r>
      <w:r w:rsidRPr="007114AF">
        <w:rPr>
          <w:rFonts w:ascii="Garamond" w:hAnsi="Garamond"/>
          <w:sz w:val="24"/>
          <w:szCs w:val="24"/>
        </w:rPr>
        <w:t xml:space="preserve">-ës dhe </w:t>
      </w:r>
      <w:r w:rsidR="00D8298D" w:rsidRPr="007114AF">
        <w:rPr>
          <w:rFonts w:ascii="Garamond" w:hAnsi="Garamond"/>
          <w:sz w:val="24"/>
          <w:szCs w:val="24"/>
        </w:rPr>
        <w:t>a</w:t>
      </w:r>
      <w:r w:rsidRPr="007114AF">
        <w:rPr>
          <w:rFonts w:ascii="Garamond" w:hAnsi="Garamond"/>
          <w:sz w:val="24"/>
          <w:szCs w:val="24"/>
        </w:rPr>
        <w:t>neksit B të Protokollit të</w:t>
      </w:r>
      <w:r w:rsidR="00467273" w:rsidRPr="007114AF">
        <w:rPr>
          <w:rFonts w:ascii="Garamond" w:hAnsi="Garamond"/>
          <w:sz w:val="24"/>
          <w:szCs w:val="24"/>
        </w:rPr>
        <w:t xml:space="preserve"> </w:t>
      </w:r>
      <w:r w:rsidRPr="007114AF">
        <w:rPr>
          <w:rFonts w:ascii="Garamond" w:hAnsi="Garamond" w:cs="Times New Roman"/>
          <w:sz w:val="24"/>
          <w:szCs w:val="24"/>
        </w:rPr>
        <w:t>Kioto</w:t>
      </w:r>
      <w:r w:rsidRPr="007114AF">
        <w:rPr>
          <w:rFonts w:ascii="Garamond" w:hAnsi="Garamond"/>
          <w:sz w:val="24"/>
          <w:szCs w:val="24"/>
        </w:rPr>
        <w:t xml:space="preserve">s, BE-së dhe shteteve anëtare u kërkohet të raportojnë: </w:t>
      </w:r>
    </w:p>
    <w:p w14:paraId="6EDCF470" w14:textId="59344E55"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çdo vit</w:t>
      </w:r>
      <w:r w:rsidR="00D8298D" w:rsidRPr="007114AF">
        <w:rPr>
          <w:rFonts w:ascii="Garamond" w:hAnsi="Garamond"/>
          <w:sz w:val="24"/>
          <w:szCs w:val="24"/>
        </w:rPr>
        <w:t xml:space="preserve"> </w:t>
      </w:r>
      <w:r w:rsidR="00E20D71" w:rsidRPr="007114AF">
        <w:rPr>
          <w:rFonts w:ascii="Garamond" w:hAnsi="Garamond"/>
          <w:sz w:val="24"/>
          <w:szCs w:val="24"/>
        </w:rPr>
        <w:t>- për shkarkimet e gazeve serrë përmes inventarëve të gazeve serrë,</w:t>
      </w:r>
    </w:p>
    <w:p w14:paraId="6EDCF471" w14:textId="61C4459D"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rregullisht</w:t>
      </w:r>
      <w:r w:rsidR="00D8298D" w:rsidRPr="007114AF">
        <w:rPr>
          <w:rFonts w:ascii="Garamond" w:hAnsi="Garamond"/>
          <w:sz w:val="24"/>
          <w:szCs w:val="24"/>
        </w:rPr>
        <w:t xml:space="preserve"> </w:t>
      </w:r>
      <w:r w:rsidR="00E20D71" w:rsidRPr="007114AF">
        <w:rPr>
          <w:rFonts w:ascii="Garamond" w:hAnsi="Garamond"/>
          <w:sz w:val="24"/>
          <w:szCs w:val="24"/>
        </w:rPr>
        <w:t xml:space="preserve">- për politikat e ndryshimit të klimës, masat dhe progresin drejt objektivave, përmes </w:t>
      </w:r>
      <w:r w:rsidR="00D8298D" w:rsidRPr="007114AF">
        <w:rPr>
          <w:rFonts w:ascii="Garamond" w:hAnsi="Garamond"/>
          <w:sz w:val="24"/>
          <w:szCs w:val="24"/>
        </w:rPr>
        <w:t>“</w:t>
      </w:r>
      <w:r w:rsidR="00E20D71" w:rsidRPr="007114AF">
        <w:rPr>
          <w:rFonts w:ascii="Garamond" w:hAnsi="Garamond"/>
          <w:sz w:val="24"/>
          <w:szCs w:val="24"/>
        </w:rPr>
        <w:t>raporteve dyvjeçare</w:t>
      </w:r>
      <w:r w:rsidR="00D8298D" w:rsidRPr="007114AF">
        <w:rPr>
          <w:rFonts w:ascii="Garamond" w:hAnsi="Garamond"/>
          <w:sz w:val="24"/>
          <w:szCs w:val="24"/>
        </w:rPr>
        <w:t>”</w:t>
      </w:r>
      <w:r w:rsidR="00E20D71" w:rsidRPr="007114AF">
        <w:rPr>
          <w:rFonts w:ascii="Garamond" w:hAnsi="Garamond"/>
          <w:sz w:val="24"/>
          <w:szCs w:val="24"/>
        </w:rPr>
        <w:t>, për të nxitur raportimin për objektivat e zbutjes dhe sigurimin e mbështetjes</w:t>
      </w:r>
      <w:r w:rsidR="003F649E" w:rsidRPr="007114AF">
        <w:rPr>
          <w:rFonts w:ascii="Garamond" w:hAnsi="Garamond"/>
          <w:sz w:val="24"/>
          <w:szCs w:val="24"/>
        </w:rPr>
        <w:t>,</w:t>
      </w:r>
      <w:r w:rsidR="00E20D71" w:rsidRPr="007114AF">
        <w:rPr>
          <w:rFonts w:ascii="Garamond" w:hAnsi="Garamond"/>
          <w:sz w:val="24"/>
          <w:szCs w:val="24"/>
        </w:rPr>
        <w:t xml:space="preserve"> si dhe </w:t>
      </w:r>
      <w:r w:rsidR="00D10DAB" w:rsidRPr="007114AF">
        <w:rPr>
          <w:rFonts w:ascii="Garamond" w:hAnsi="Garamond"/>
          <w:sz w:val="24"/>
          <w:szCs w:val="24"/>
        </w:rPr>
        <w:t>‘</w:t>
      </w:r>
      <w:r w:rsidR="00E20D71" w:rsidRPr="007114AF">
        <w:rPr>
          <w:rFonts w:ascii="Garamond" w:hAnsi="Garamond"/>
          <w:sz w:val="24"/>
          <w:szCs w:val="24"/>
        </w:rPr>
        <w:t>komunikimeve kombëtare</w:t>
      </w:r>
      <w:r w:rsidR="00D10DAB" w:rsidRPr="007114AF">
        <w:rPr>
          <w:rFonts w:ascii="Garamond" w:hAnsi="Garamond"/>
          <w:sz w:val="24"/>
          <w:szCs w:val="24"/>
        </w:rPr>
        <w:t>’</w:t>
      </w:r>
      <w:r w:rsidR="00E20D71" w:rsidRPr="007114AF">
        <w:rPr>
          <w:rFonts w:ascii="Garamond" w:hAnsi="Garamond"/>
          <w:sz w:val="24"/>
          <w:szCs w:val="24"/>
        </w:rPr>
        <w:t xml:space="preserve"> çdo katër vjet, me të dhëna për shkarkimet dhe përthithjet; politikat dhe masat për reduktimin e shkarkimeve; sigurimin e mbështetjes financiare, teknologjike dhe për ndërtim kapaciteti; aktivitete të tjera të ndërmarra për zbatimin e Konventës. </w:t>
      </w:r>
    </w:p>
    <w:p w14:paraId="6EDCF472" w14:textId="77777777"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Raportimi mbulon:</w:t>
      </w:r>
    </w:p>
    <w:p w14:paraId="6EDCF473" w14:textId="5CAF89D1"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Shkarkimet e gjithë gazeve serrë nga gjithë sektorët: energjia; proceset industriale; përdorimi i tokës, ndryshimi i përdorimit të tokës dhe pylltaria (LULUCF); mbetjet; bujqësia etj.</w:t>
      </w:r>
    </w:p>
    <w:p w14:paraId="6EDCF474"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Parashikimet, politikat dhe masat për reduktimin e shkarkimeve të gazeve serrë.</w:t>
      </w:r>
    </w:p>
    <w:p w14:paraId="6EDCF475" w14:textId="06EEFF2A"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Masat kombëtare për t</w:t>
      </w:r>
      <w:r w:rsidR="00D10DAB" w:rsidRPr="007114AF">
        <w:rPr>
          <w:rFonts w:ascii="Garamond" w:hAnsi="Garamond"/>
          <w:sz w:val="24"/>
          <w:szCs w:val="24"/>
        </w:rPr>
        <w:t>’</w:t>
      </w:r>
      <w:r w:rsidR="00E20D71" w:rsidRPr="007114AF">
        <w:rPr>
          <w:rFonts w:ascii="Garamond" w:hAnsi="Garamond"/>
          <w:sz w:val="24"/>
          <w:szCs w:val="24"/>
        </w:rPr>
        <w:t>iu përshtatur ndryshimeve klimatike.</w:t>
      </w:r>
    </w:p>
    <w:p w14:paraId="6EDCF476"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Strategjitë për karbon të ulët.</w:t>
      </w:r>
    </w:p>
    <w:p w14:paraId="6EDCF477"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Mbështetje financiare dhe teknike për vendet në zhvillim dhe angazhime të ngjashme në kuadrin e Marrëveshjes së Kopenhagës 2009 dhe Marrëveshjes së Kankunit 2010.</w:t>
      </w:r>
    </w:p>
    <w:p w14:paraId="6EDCF478"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Përdorimi nga qeveritë kombëtare i të ardhurave nga tenderimi i lejeve në sistemin e BE-së për shkëmbimin e shkarkimeve (ato janë angazhuar të shpenzojnë të paktën gjysmën e këtyre të ardhura për masa për klimën në BE dhe jashtë).</w:t>
      </w:r>
    </w:p>
    <w:p w14:paraId="6EDCF479" w14:textId="0E6A9052"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Zbatimi i regjistrit kombëtar kërkohet të marrë pjesë në mekanizmat e Kiotos. Çdo regjistër vlerësohet për të përcaktuar, nëse plotësohen kërkesat e duhura, dhe rezultatet kalohen në formën e një Raporti</w:t>
      </w:r>
      <w:r w:rsidR="00451076" w:rsidRPr="007114AF">
        <w:rPr>
          <w:rFonts w:ascii="Garamond" w:hAnsi="Garamond"/>
          <w:sz w:val="24"/>
          <w:szCs w:val="24"/>
        </w:rPr>
        <w:t xml:space="preserve"> </w:t>
      </w:r>
      <w:r w:rsidRPr="007114AF">
        <w:rPr>
          <w:rFonts w:ascii="Garamond" w:hAnsi="Garamond"/>
          <w:sz w:val="24"/>
          <w:szCs w:val="24"/>
        </w:rPr>
        <w:t>të Pavarur Fillestar Vlerësimi (IAR) dhe Raporteve të Tjera të Pavarura Standarde të Vlerësimit (SIARs), që vlerësojnë plotësinë e informacionit të raportuar, përmbajtjen dhe thelbin e informacionit që vënë palët në dispozicion për vlerësim. </w:t>
      </w:r>
    </w:p>
    <w:p w14:paraId="6EDCF47A" w14:textId="4403B124"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Për momentin, si jopalë e </w:t>
      </w:r>
      <w:r w:rsidR="00467273" w:rsidRPr="007114AF">
        <w:rPr>
          <w:rFonts w:ascii="Garamond" w:hAnsi="Garamond"/>
          <w:sz w:val="24"/>
          <w:szCs w:val="24"/>
        </w:rPr>
        <w:t>a</w:t>
      </w:r>
      <w:r w:rsidRPr="007114AF">
        <w:rPr>
          <w:rFonts w:ascii="Garamond" w:hAnsi="Garamond"/>
          <w:sz w:val="24"/>
          <w:szCs w:val="24"/>
        </w:rPr>
        <w:t>neksit I, Shqipërisë i kërkohet të paraqesë komunikata kombëtare (NCs) dhe raporte dyvjeçare të përditësuara (BURs). Verifikimi i raporteve trajtohet në nivel ndërkombëtar, përmes procesit të konsultimit ndërkombëtar dhe analizave (ICA) të BURs. Kjo për të rritur transparencën e veprimeve zbutëse dhe efektet e tyre, si dhe mbështetjen e kërkuar dhe të marrë.</w:t>
      </w:r>
    </w:p>
    <w:p w14:paraId="6EDCF47B" w14:textId="5EF6FDC5"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Për më tepër, gjithë vendeve të BE-së u kërkohet të monitorojnë shkarkimet e tyre në kuadrin e mekanizmit të BE-së për monitorimin e gazeve serrë, që përcakton rregullat e brendshme raportuese të BE-së, bazuar në detyrimet e vendosura në mënyrë ndërkombëtare (</w:t>
      </w:r>
      <w:r w:rsidR="00451076" w:rsidRPr="007114AF">
        <w:rPr>
          <w:rFonts w:ascii="Garamond" w:hAnsi="Garamond"/>
          <w:sz w:val="24"/>
          <w:szCs w:val="24"/>
        </w:rPr>
        <w:t>v</w:t>
      </w:r>
      <w:r w:rsidRPr="007114AF">
        <w:rPr>
          <w:rFonts w:ascii="Garamond" w:hAnsi="Garamond"/>
          <w:sz w:val="24"/>
          <w:szCs w:val="24"/>
        </w:rPr>
        <w:t xml:space="preserve">endimi 525/2013/EU). Sipas </w:t>
      </w:r>
      <w:r w:rsidR="00451076" w:rsidRPr="007114AF">
        <w:rPr>
          <w:rFonts w:ascii="Garamond" w:hAnsi="Garamond"/>
          <w:sz w:val="24"/>
          <w:szCs w:val="24"/>
        </w:rPr>
        <w:t>v</w:t>
      </w:r>
      <w:r w:rsidRPr="007114AF">
        <w:rPr>
          <w:rFonts w:ascii="Garamond" w:hAnsi="Garamond"/>
          <w:sz w:val="24"/>
          <w:szCs w:val="24"/>
        </w:rPr>
        <w:t xml:space="preserve">endimit 525/2013/EU dhe </w:t>
      </w:r>
      <w:r w:rsidR="00451076" w:rsidRPr="007114AF">
        <w:rPr>
          <w:rFonts w:ascii="Garamond" w:hAnsi="Garamond"/>
          <w:sz w:val="24"/>
          <w:szCs w:val="24"/>
        </w:rPr>
        <w:t>r</w:t>
      </w:r>
      <w:r w:rsidRPr="007114AF">
        <w:rPr>
          <w:rFonts w:ascii="Garamond" w:hAnsi="Garamond"/>
          <w:sz w:val="24"/>
          <w:szCs w:val="24"/>
        </w:rPr>
        <w:t>regullores së tij zbatuese (749/2014), kërkesat kryesore të mekanizmit monitorues për raportimin e shkarkimeve GES</w:t>
      </w:r>
      <w:r w:rsidR="00451076" w:rsidRPr="007114AF">
        <w:rPr>
          <w:rFonts w:ascii="Garamond" w:hAnsi="Garamond"/>
          <w:sz w:val="24"/>
          <w:szCs w:val="24"/>
        </w:rPr>
        <w:t xml:space="preserve"> </w:t>
      </w:r>
      <w:r w:rsidRPr="007114AF">
        <w:rPr>
          <w:rFonts w:ascii="Garamond" w:hAnsi="Garamond"/>
          <w:sz w:val="24"/>
          <w:szCs w:val="24"/>
        </w:rPr>
        <w:t>dhe informacionit lidhur me ndryshimet klimatike janë:</w:t>
      </w:r>
    </w:p>
    <w:p w14:paraId="6EDCF47C" w14:textId="13FAC7B2"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Raporti i parë (9 janar 2015) mbi zbatimin e strategjive të zhvillimit me karbon të ulët (LDCS)</w:t>
      </w:r>
      <w:r w:rsidR="000A2A01" w:rsidRPr="007114AF">
        <w:rPr>
          <w:rFonts w:ascii="Garamond" w:hAnsi="Garamond"/>
          <w:sz w:val="24"/>
          <w:szCs w:val="24"/>
        </w:rPr>
        <w:t xml:space="preserve"> </w:t>
      </w:r>
      <w:r w:rsidR="00E20D71" w:rsidRPr="007114AF">
        <w:rPr>
          <w:rFonts w:ascii="Garamond" w:hAnsi="Garamond"/>
          <w:sz w:val="24"/>
          <w:szCs w:val="24"/>
        </w:rPr>
        <w:t>dhe përditësime çdo vit (15 mars) për zbatimin e LDCS-ë.</w:t>
      </w:r>
    </w:p>
    <w:p w14:paraId="6EDCF47D" w14:textId="37D3A5B3"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Inventari vjetor i GES-it (çdo vit më 15</w:t>
      </w:r>
      <w:r w:rsidR="00451076" w:rsidRPr="007114AF">
        <w:rPr>
          <w:rFonts w:ascii="Garamond" w:hAnsi="Garamond"/>
          <w:sz w:val="24"/>
          <w:szCs w:val="24"/>
        </w:rPr>
        <w:t xml:space="preserve"> </w:t>
      </w:r>
      <w:r w:rsidR="00E20D71" w:rsidRPr="007114AF">
        <w:rPr>
          <w:rFonts w:ascii="Garamond" w:hAnsi="Garamond"/>
          <w:sz w:val="24"/>
          <w:szCs w:val="24"/>
        </w:rPr>
        <w:t>janar).</w:t>
      </w:r>
    </w:p>
    <w:p w14:paraId="6EDCF47E" w14:textId="158EB13A"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 xml:space="preserve">Raport vjetor (çdo vit më 15 janar) për sistemin kombëtar inventarizues përfshirë modifikime të mundshme, sipas </w:t>
      </w:r>
      <w:r w:rsidR="008E3602" w:rsidRPr="007114AF">
        <w:rPr>
          <w:rFonts w:ascii="Garamond" w:hAnsi="Garamond"/>
          <w:sz w:val="24"/>
          <w:szCs w:val="24"/>
        </w:rPr>
        <w:t>rregullores së zbatimit</w:t>
      </w:r>
      <w:r w:rsidR="00242009" w:rsidRPr="007114AF">
        <w:rPr>
          <w:rFonts w:ascii="Garamond" w:hAnsi="Garamond"/>
          <w:sz w:val="24"/>
          <w:szCs w:val="24"/>
        </w:rPr>
        <w:t xml:space="preserve"> nr. </w:t>
      </w:r>
      <w:r w:rsidR="00E20D71" w:rsidRPr="007114AF">
        <w:rPr>
          <w:rFonts w:ascii="Garamond" w:hAnsi="Garamond"/>
          <w:sz w:val="24"/>
          <w:szCs w:val="24"/>
        </w:rPr>
        <w:t>749/2014 (</w:t>
      </w:r>
      <w:r w:rsidR="008E3602" w:rsidRPr="007114AF">
        <w:rPr>
          <w:rFonts w:ascii="Garamond" w:hAnsi="Garamond"/>
          <w:sz w:val="24"/>
          <w:szCs w:val="24"/>
        </w:rPr>
        <w:t xml:space="preserve">neni </w:t>
      </w:r>
      <w:r w:rsidR="00E20D71" w:rsidRPr="007114AF">
        <w:rPr>
          <w:rFonts w:ascii="Garamond" w:hAnsi="Garamond"/>
          <w:sz w:val="24"/>
          <w:szCs w:val="24"/>
        </w:rPr>
        <w:t>5).</w:t>
      </w:r>
    </w:p>
    <w:p w14:paraId="6EDCF47F" w14:textId="79FB5846"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Raport vjetor për inventarin e vlerësuar dhe të përafërt të GES-it (çdo vit më 31</w:t>
      </w:r>
      <w:r w:rsidR="008E3602" w:rsidRPr="007114AF">
        <w:rPr>
          <w:rFonts w:ascii="Garamond" w:hAnsi="Garamond"/>
          <w:sz w:val="24"/>
          <w:szCs w:val="24"/>
        </w:rPr>
        <w:t xml:space="preserve"> </w:t>
      </w:r>
      <w:r w:rsidR="00E20D71" w:rsidRPr="007114AF">
        <w:rPr>
          <w:rFonts w:ascii="Garamond" w:hAnsi="Garamond"/>
          <w:sz w:val="24"/>
          <w:szCs w:val="24"/>
        </w:rPr>
        <w:t>korrik).</w:t>
      </w:r>
    </w:p>
    <w:p w14:paraId="6EDCF480" w14:textId="06163275"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Krijimi dhe administrimi i regjistrave të shkarkimeve GES (</w:t>
      </w:r>
      <w:r w:rsidR="008E3602" w:rsidRPr="007114AF">
        <w:rPr>
          <w:rFonts w:ascii="Garamond" w:hAnsi="Garamond"/>
          <w:sz w:val="24"/>
          <w:szCs w:val="24"/>
        </w:rPr>
        <w:t>n</w:t>
      </w:r>
      <w:r w:rsidR="00E20D71" w:rsidRPr="007114AF">
        <w:rPr>
          <w:rFonts w:ascii="Garamond" w:hAnsi="Garamond"/>
          <w:sz w:val="24"/>
          <w:szCs w:val="24"/>
        </w:rPr>
        <w:t>eni 10).</w:t>
      </w:r>
    </w:p>
    <w:p w14:paraId="6EDCF481"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Komunikimi dhe raportimi mbi politikat dhe masat (çdo dy vjet, duke nisur nga 15 marsi 2015).</w:t>
      </w:r>
    </w:p>
    <w:p w14:paraId="6EDCF482" w14:textId="7A08F609"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Komunikimi dhe raportimi mbi parashikimet për shkarkimet GES</w:t>
      </w:r>
      <w:r w:rsidR="008E3602" w:rsidRPr="007114AF">
        <w:rPr>
          <w:rFonts w:ascii="Garamond" w:hAnsi="Garamond"/>
          <w:sz w:val="24"/>
          <w:szCs w:val="24"/>
        </w:rPr>
        <w:t xml:space="preserve"> </w:t>
      </w:r>
      <w:r w:rsidR="00E20D71" w:rsidRPr="007114AF">
        <w:rPr>
          <w:rFonts w:ascii="Garamond" w:hAnsi="Garamond"/>
          <w:sz w:val="24"/>
          <w:szCs w:val="24"/>
        </w:rPr>
        <w:t>(çdo dy vjet, duke nisur nga 15 marsi 2015).</w:t>
      </w:r>
    </w:p>
    <w:p w14:paraId="6EDCF483"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Raport dhe komunikatë mbi masat për adaptimin ndaj ndryshimeve klimatike (strategjitë dheplanet) (çdo katër vjet, duke nisur nga 15 marsi 2015).</w:t>
      </w:r>
    </w:p>
    <w:p w14:paraId="6EDCF484"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Raport vjetor dhe komunikatë mbi mbështetjen financiare dhe teknologjikë për vendet në zhvillim (çdo vit më 30 shtator).</w:t>
      </w:r>
    </w:p>
    <w:p w14:paraId="6EDCF485" w14:textId="77777777" w:rsidR="00E20D71" w:rsidRPr="007114AF" w:rsidRDefault="00164B6B" w:rsidP="00E20D71">
      <w:pPr>
        <w:spacing w:after="0" w:line="240" w:lineRule="auto"/>
        <w:ind w:firstLine="284"/>
        <w:rPr>
          <w:rFonts w:ascii="Garamond" w:hAnsi="Garamond"/>
          <w:sz w:val="24"/>
          <w:szCs w:val="24"/>
        </w:rPr>
      </w:pPr>
      <w:r w:rsidRPr="007114AF">
        <w:rPr>
          <w:rFonts w:ascii="Garamond" w:hAnsi="Garamond"/>
          <w:sz w:val="24"/>
          <w:szCs w:val="24"/>
        </w:rPr>
        <w:t xml:space="preserve">- </w:t>
      </w:r>
      <w:r w:rsidR="00E20D71" w:rsidRPr="007114AF">
        <w:rPr>
          <w:rFonts w:ascii="Garamond" w:hAnsi="Garamond"/>
          <w:sz w:val="24"/>
          <w:szCs w:val="24"/>
        </w:rPr>
        <w:t>Ngritja e sistemeve kombëtare për politikat, masat dhe parashikimet (9 korrik 2016).</w:t>
      </w:r>
    </w:p>
    <w:p w14:paraId="6EDCF486" w14:textId="74DC695D"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Në veçanti për sektorin LULUCF-ës, sipas kërkesave të </w:t>
      </w:r>
      <w:r w:rsidR="008E3602" w:rsidRPr="007114AF">
        <w:rPr>
          <w:rFonts w:ascii="Garamond" w:hAnsi="Garamond"/>
          <w:sz w:val="24"/>
          <w:szCs w:val="24"/>
        </w:rPr>
        <w:t>vendimit</w:t>
      </w:r>
      <w:r w:rsidR="00242009" w:rsidRPr="007114AF">
        <w:rPr>
          <w:rFonts w:ascii="Garamond" w:hAnsi="Garamond"/>
          <w:sz w:val="24"/>
          <w:szCs w:val="24"/>
        </w:rPr>
        <w:t xml:space="preserve"> nr. </w:t>
      </w:r>
      <w:r w:rsidRPr="007114AF">
        <w:rPr>
          <w:rFonts w:ascii="Garamond" w:hAnsi="Garamond"/>
          <w:sz w:val="24"/>
          <w:szCs w:val="24"/>
        </w:rPr>
        <w:t>529/2013/EU, shtetet anëtare do të përgatisin dhe mbajnë raporte</w:t>
      </w:r>
      <w:r w:rsidR="008E3602" w:rsidRPr="007114AF">
        <w:rPr>
          <w:rFonts w:ascii="Garamond" w:hAnsi="Garamond"/>
          <w:sz w:val="24"/>
          <w:szCs w:val="24"/>
        </w:rPr>
        <w:t xml:space="preserve"> </w:t>
      </w:r>
      <w:r w:rsidRPr="007114AF">
        <w:rPr>
          <w:rFonts w:ascii="Garamond" w:hAnsi="Garamond"/>
          <w:sz w:val="24"/>
          <w:szCs w:val="24"/>
        </w:rPr>
        <w:t>për gjithë shkarkimet dhe përthithjen</w:t>
      </w:r>
      <w:r w:rsidR="008E3602" w:rsidRPr="007114AF">
        <w:rPr>
          <w:rFonts w:ascii="Garamond" w:hAnsi="Garamond"/>
          <w:sz w:val="24"/>
          <w:szCs w:val="24"/>
        </w:rPr>
        <w:t xml:space="preserve"> </w:t>
      </w:r>
      <w:r w:rsidRPr="007114AF">
        <w:rPr>
          <w:rFonts w:ascii="Garamond" w:hAnsi="Garamond"/>
          <w:sz w:val="24"/>
          <w:szCs w:val="24"/>
        </w:rPr>
        <w:t>e tyre, që rezultojnë nga aktivitetet e mëposhtme: pyllëzimi/ripyllëzimi, shpyllëzimi, menaxhimi i pyjeve. Veç kësaj, Shtetet Anëtare, para 1 janarit 2022, do t</w:t>
      </w:r>
      <w:r w:rsidR="00D10DAB" w:rsidRPr="007114AF">
        <w:rPr>
          <w:rFonts w:ascii="Garamond" w:hAnsi="Garamond"/>
          <w:sz w:val="24"/>
          <w:szCs w:val="24"/>
        </w:rPr>
        <w:t>’</w:t>
      </w:r>
      <w:r w:rsidRPr="007114AF">
        <w:rPr>
          <w:rFonts w:ascii="Garamond" w:hAnsi="Garamond"/>
          <w:sz w:val="24"/>
          <w:szCs w:val="24"/>
        </w:rPr>
        <w:t>i sigurojnë dhe paraqesin komisionit deri më 15 mars, çdo vit, vlerësime fillestare, paraprake dhe jodetyruese vjetore të shkarkimeve dhe përthithjes së tyre nga: menaxhimi i tokave bujqësore dhe menaxhimi i kullotave. Për çdo periudhë raportimi, shtetet anëtare mund të përgatisin dhe të mbajnë raportet e shkarkimeve dhe të përthithjes së tyre, që rezultojnë nga: ribimësimi, drenazhi</w:t>
      </w:r>
      <w:r w:rsidR="001620F5" w:rsidRPr="007114AF">
        <w:rPr>
          <w:rFonts w:ascii="Garamond" w:hAnsi="Garamond"/>
          <w:sz w:val="24"/>
          <w:szCs w:val="24"/>
        </w:rPr>
        <w:t xml:space="preserve"> </w:t>
      </w:r>
      <w:r w:rsidRPr="007114AF">
        <w:rPr>
          <w:rFonts w:ascii="Garamond" w:hAnsi="Garamond"/>
          <w:sz w:val="24"/>
          <w:szCs w:val="24"/>
        </w:rPr>
        <w:t xml:space="preserve">i ligatinave dhe rikthimi i ujit në ligatina. </w:t>
      </w:r>
    </w:p>
    <w:p w14:paraId="6EDCF487" w14:textId="4DD14E0A"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Gjatë përgatitjes dhe mbajtjes së raporteve të tyre, shtetet anëtare do të sigurojnë transparencë, saktësi, qëndrueshmëri, krahasueshm</w:t>
      </w:r>
      <w:r w:rsidR="001620F5" w:rsidRPr="007114AF">
        <w:rPr>
          <w:rFonts w:ascii="Garamond" w:hAnsi="Garamond"/>
          <w:sz w:val="24"/>
          <w:szCs w:val="24"/>
        </w:rPr>
        <w:t>ë</w:t>
      </w:r>
      <w:r w:rsidRPr="007114AF">
        <w:rPr>
          <w:rFonts w:ascii="Garamond" w:hAnsi="Garamond"/>
          <w:sz w:val="24"/>
          <w:szCs w:val="24"/>
        </w:rPr>
        <w:t>ri dhe plotësi (TACCC), kur vlerësojnë shkarkimet dhe përthithjen e tyre që lidhen me këto aktivitete.</w:t>
      </w:r>
    </w:p>
    <w:p w14:paraId="6EDCF488" w14:textId="77777777" w:rsidR="00E20D71" w:rsidRPr="007114AF" w:rsidRDefault="001259F3" w:rsidP="00E20D71">
      <w:pPr>
        <w:spacing w:after="0" w:line="240" w:lineRule="auto"/>
        <w:ind w:firstLine="284"/>
        <w:rPr>
          <w:rFonts w:ascii="Garamond" w:hAnsi="Garamond"/>
          <w:b/>
          <w:sz w:val="24"/>
          <w:szCs w:val="24"/>
        </w:rPr>
      </w:pPr>
      <w:bookmarkStart w:id="35" w:name="_Toc450135229"/>
      <w:bookmarkStart w:id="36" w:name="_Toc450151832"/>
      <w:bookmarkStart w:id="37" w:name="_Toc484424479"/>
      <w:r w:rsidRPr="007114AF">
        <w:rPr>
          <w:rFonts w:ascii="Garamond" w:hAnsi="Garamond"/>
          <w:b/>
          <w:sz w:val="24"/>
          <w:szCs w:val="24"/>
        </w:rPr>
        <w:t xml:space="preserve">2.5 </w:t>
      </w:r>
      <w:r w:rsidR="00E20D71" w:rsidRPr="007114AF">
        <w:rPr>
          <w:rFonts w:ascii="Garamond" w:hAnsi="Garamond"/>
          <w:b/>
          <w:sz w:val="24"/>
          <w:szCs w:val="24"/>
        </w:rPr>
        <w:t xml:space="preserve">Politika shqiptare për ndryshimet </w:t>
      </w:r>
      <w:bookmarkEnd w:id="35"/>
      <w:bookmarkEnd w:id="36"/>
      <w:r w:rsidR="00E20D71" w:rsidRPr="007114AF">
        <w:rPr>
          <w:rFonts w:ascii="Garamond" w:hAnsi="Garamond"/>
          <w:b/>
          <w:sz w:val="24"/>
          <w:szCs w:val="24"/>
        </w:rPr>
        <w:t>klimatike</w:t>
      </w:r>
      <w:bookmarkEnd w:id="37"/>
    </w:p>
    <w:p w14:paraId="6EDCF489" w14:textId="31A7AC04"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Parlamenti Shqiptar ka ratifikuar Marrëveshjen e Parisit më 14 </w:t>
      </w:r>
      <w:r w:rsidR="001620F5" w:rsidRPr="007114AF">
        <w:rPr>
          <w:rFonts w:ascii="Garamond" w:hAnsi="Garamond"/>
          <w:sz w:val="24"/>
          <w:szCs w:val="24"/>
        </w:rPr>
        <w:t>k</w:t>
      </w:r>
      <w:r w:rsidRPr="007114AF">
        <w:rPr>
          <w:rFonts w:ascii="Garamond" w:hAnsi="Garamond"/>
          <w:sz w:val="24"/>
          <w:szCs w:val="24"/>
        </w:rPr>
        <w:t>orrik 2016, duke hyrë në epokën e re të procesit të politikave ndërkombëtare për klimën. Shqipëria iu bashkua Konventës Kuadër të Kombeve të Bashkuara mbi Ndryshimin e Klimës (UNFCCC) në vitin 1995, dhe Protokollit të Kiotos</w:t>
      </w:r>
      <w:r w:rsidR="001620F5" w:rsidRPr="007114AF">
        <w:rPr>
          <w:rFonts w:ascii="Garamond" w:hAnsi="Garamond"/>
          <w:sz w:val="24"/>
          <w:szCs w:val="24"/>
        </w:rPr>
        <w:t xml:space="preserve"> </w:t>
      </w:r>
      <w:r w:rsidRPr="007114AF">
        <w:rPr>
          <w:rFonts w:ascii="Garamond" w:hAnsi="Garamond"/>
          <w:sz w:val="24"/>
          <w:szCs w:val="24"/>
        </w:rPr>
        <w:t xml:space="preserve">në vitin 2005. Si jovend i </w:t>
      </w:r>
      <w:r w:rsidR="001620F5" w:rsidRPr="007114AF">
        <w:rPr>
          <w:rFonts w:ascii="Garamond" w:hAnsi="Garamond"/>
          <w:sz w:val="24"/>
          <w:szCs w:val="24"/>
        </w:rPr>
        <w:t>a</w:t>
      </w:r>
      <w:r w:rsidRPr="007114AF">
        <w:rPr>
          <w:rFonts w:ascii="Garamond" w:hAnsi="Garamond"/>
          <w:sz w:val="24"/>
          <w:szCs w:val="24"/>
        </w:rPr>
        <w:t>neksit I, të UNFCCC-ës, Shqipëria nuk ka detyrime të përcaktuara për reduktimin e shkarkimeve të gazeve serrë; megjithatë, Shqipëria ka detyrimi</w:t>
      </w:r>
      <w:r w:rsidRPr="00E132F0">
        <w:rPr>
          <w:rFonts w:ascii="Garamond" w:hAnsi="Garamond"/>
          <w:sz w:val="24"/>
          <w:szCs w:val="24"/>
          <w:vertAlign w:val="superscript"/>
        </w:rPr>
        <w:footnoteReference w:id="22"/>
      </w:r>
      <w:r w:rsidRPr="007114AF">
        <w:rPr>
          <w:rFonts w:ascii="Garamond" w:hAnsi="Garamond"/>
          <w:sz w:val="24"/>
          <w:szCs w:val="24"/>
        </w:rPr>
        <w:t xml:space="preserve"> t</w:t>
      </w:r>
      <w:r w:rsidR="00D10DAB" w:rsidRPr="007114AF">
        <w:rPr>
          <w:rFonts w:ascii="Garamond" w:hAnsi="Garamond"/>
          <w:sz w:val="24"/>
          <w:szCs w:val="24"/>
        </w:rPr>
        <w:t>’</w:t>
      </w:r>
      <w:r w:rsidRPr="007114AF">
        <w:rPr>
          <w:rFonts w:ascii="Garamond" w:hAnsi="Garamond"/>
          <w:sz w:val="24"/>
          <w:szCs w:val="24"/>
        </w:rPr>
        <w:t>i komunikojë KeP-it, informacionin përkatës për zbatimin e Konventës, në lidhje me shkarkimet dhe përthithjen. Qeveria e Shqipërisë ka bërë hapa të mëdha përpara drejt zbatimit të UNFCCC-ës, me përgatitjen e tri komunikatave kombëtare (2002, 2009, 2016).</w:t>
      </w:r>
    </w:p>
    <w:p w14:paraId="6EDCF48A" w14:textId="7E0BA588"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Shqipëria ka nisur procesin e ndryshimit të statusit, nga vend në zhvillim</w:t>
      </w:r>
      <w:r w:rsidR="005E4EDF" w:rsidRPr="007114AF">
        <w:rPr>
          <w:rFonts w:ascii="Garamond" w:hAnsi="Garamond"/>
          <w:sz w:val="24"/>
          <w:szCs w:val="24"/>
        </w:rPr>
        <w:t xml:space="preserve"> </w:t>
      </w:r>
      <w:r w:rsidRPr="007114AF">
        <w:rPr>
          <w:rFonts w:ascii="Garamond" w:hAnsi="Garamond"/>
          <w:sz w:val="24"/>
          <w:szCs w:val="24"/>
        </w:rPr>
        <w:t>- në vend i zhvilluar, në kontekstin e UNFCCC-ës. Ky proces është pjesë përbërëse e procesit të integrimit në Bashkimin Evropian, dhe përfshin zhvillimin e kapaciteteve në nivel kombëtar për monitorimin dhe raportimin vjetor të GES-it, formulimin dhe zbatimin e politikave për reduktimin e GES-it</w:t>
      </w:r>
      <w:r w:rsidR="005E4EDF" w:rsidRPr="007114AF">
        <w:rPr>
          <w:rFonts w:ascii="Garamond" w:hAnsi="Garamond"/>
          <w:sz w:val="24"/>
          <w:szCs w:val="24"/>
        </w:rPr>
        <w:t xml:space="preserve"> </w:t>
      </w:r>
      <w:r w:rsidRPr="007114AF">
        <w:rPr>
          <w:rFonts w:ascii="Garamond" w:hAnsi="Garamond"/>
          <w:sz w:val="24"/>
          <w:szCs w:val="24"/>
        </w:rPr>
        <w:t>dhe përshtatjen ndaj ndryshimeve klimatike, përafrimin dhe zbatimin e legjislacionit të Bashkimit Evropian</w:t>
      </w:r>
      <w:r w:rsidR="005E4EDF" w:rsidRPr="007114AF">
        <w:rPr>
          <w:rFonts w:ascii="Garamond" w:hAnsi="Garamond"/>
          <w:sz w:val="24"/>
          <w:szCs w:val="24"/>
        </w:rPr>
        <w:t xml:space="preserve"> </w:t>
      </w:r>
      <w:r w:rsidRPr="007114AF">
        <w:rPr>
          <w:rFonts w:ascii="Garamond" w:hAnsi="Garamond"/>
          <w:sz w:val="24"/>
          <w:szCs w:val="24"/>
        </w:rPr>
        <w:t>për ndryshimin e klimës.</w:t>
      </w:r>
    </w:p>
    <w:p w14:paraId="6EDCF48B" w14:textId="1AC5B12C"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 xml:space="preserve">Në përputhje me objektivat e BE-së, </w:t>
      </w:r>
      <w:r w:rsidR="000A2A01" w:rsidRPr="007114AF">
        <w:rPr>
          <w:rFonts w:ascii="Garamond" w:hAnsi="Garamond"/>
          <w:sz w:val="24"/>
          <w:szCs w:val="24"/>
        </w:rPr>
        <w:t>“</w:t>
      </w:r>
      <w:r w:rsidRPr="007114AF">
        <w:rPr>
          <w:rFonts w:ascii="Garamond" w:hAnsi="Garamond"/>
          <w:sz w:val="24"/>
          <w:szCs w:val="24"/>
        </w:rPr>
        <w:t>Paketa e Klimës dhe Energjisë 2020</w:t>
      </w:r>
      <w:r w:rsidR="000A2A01" w:rsidRPr="007114AF">
        <w:rPr>
          <w:rFonts w:ascii="Garamond" w:hAnsi="Garamond"/>
          <w:sz w:val="24"/>
          <w:szCs w:val="24"/>
        </w:rPr>
        <w:t>”</w:t>
      </w:r>
      <w:r w:rsidRPr="007114AF">
        <w:rPr>
          <w:rFonts w:ascii="Garamond" w:hAnsi="Garamond"/>
          <w:sz w:val="24"/>
          <w:szCs w:val="24"/>
        </w:rPr>
        <w:t>, Shqipëria ka përcaktuar objektiva sasior</w:t>
      </w:r>
      <w:r w:rsidR="0082368C">
        <w:rPr>
          <w:rFonts w:ascii="Garamond" w:hAnsi="Garamond"/>
          <w:sz w:val="24"/>
          <w:szCs w:val="24"/>
        </w:rPr>
        <w:t>ë</w:t>
      </w:r>
      <w:r w:rsidRPr="007114AF">
        <w:rPr>
          <w:rFonts w:ascii="Garamond" w:hAnsi="Garamond"/>
          <w:sz w:val="24"/>
          <w:szCs w:val="24"/>
        </w:rPr>
        <w:t xml:space="preserve"> lidhur me eficiencën e energjisë (rritje me 9%) dhe burimet e energjisë së rinovueshme (rritje deri 38%), në kuadrin e Traktatit të Komunitetit të Energjisë. Kët</w:t>
      </w:r>
      <w:r w:rsidR="0082368C">
        <w:rPr>
          <w:rFonts w:ascii="Garamond" w:hAnsi="Garamond"/>
          <w:sz w:val="24"/>
          <w:szCs w:val="24"/>
        </w:rPr>
        <w:t>a</w:t>
      </w:r>
      <w:r w:rsidRPr="007114AF">
        <w:rPr>
          <w:rFonts w:ascii="Garamond" w:hAnsi="Garamond"/>
          <w:sz w:val="24"/>
          <w:szCs w:val="24"/>
        </w:rPr>
        <w:t xml:space="preserve"> objektiva aktualisht po rishikohen në kuadrin e rishikimeve 2dhe 3 të Planeve Kombëtare të Veprimit të Eficiencës së Energjisë.</w:t>
      </w:r>
    </w:p>
    <w:p w14:paraId="6EDCF48C" w14:textId="42823CAE"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Në vitin 2014,</w:t>
      </w:r>
      <w:r w:rsidR="00F945A3" w:rsidRPr="007114AF">
        <w:rPr>
          <w:rFonts w:ascii="Garamond" w:hAnsi="Garamond"/>
          <w:sz w:val="24"/>
          <w:szCs w:val="24"/>
        </w:rPr>
        <w:t xml:space="preserve"> </w:t>
      </w:r>
      <w:r w:rsidRPr="007114AF">
        <w:rPr>
          <w:rFonts w:ascii="Garamond" w:hAnsi="Garamond"/>
          <w:sz w:val="24"/>
          <w:szCs w:val="24"/>
        </w:rPr>
        <w:t xml:space="preserve">me </w:t>
      </w:r>
      <w:r w:rsidR="00F945A3" w:rsidRPr="007114AF">
        <w:rPr>
          <w:rFonts w:ascii="Garamond" w:hAnsi="Garamond"/>
          <w:sz w:val="24"/>
          <w:szCs w:val="24"/>
        </w:rPr>
        <w:t xml:space="preserve">urdhrin </w:t>
      </w:r>
      <w:r w:rsidRPr="007114AF">
        <w:rPr>
          <w:rFonts w:ascii="Garamond" w:hAnsi="Garamond"/>
          <w:sz w:val="24"/>
          <w:szCs w:val="24"/>
        </w:rPr>
        <w:t>e Kryeministrit</w:t>
      </w:r>
      <w:r w:rsidR="00242009" w:rsidRPr="007114AF">
        <w:rPr>
          <w:rFonts w:ascii="Garamond" w:hAnsi="Garamond"/>
          <w:sz w:val="24"/>
          <w:szCs w:val="24"/>
        </w:rPr>
        <w:t xml:space="preserve"> nr. </w:t>
      </w:r>
      <w:r w:rsidR="00F945A3" w:rsidRPr="007114AF">
        <w:rPr>
          <w:rFonts w:ascii="Garamond" w:hAnsi="Garamond"/>
          <w:sz w:val="24"/>
          <w:szCs w:val="24"/>
        </w:rPr>
        <w:t>155, datë 25.</w:t>
      </w:r>
      <w:r w:rsidRPr="007114AF">
        <w:rPr>
          <w:rFonts w:ascii="Garamond" w:hAnsi="Garamond"/>
          <w:sz w:val="24"/>
          <w:szCs w:val="24"/>
        </w:rPr>
        <w:t>4.2014, u ngrit një grup ndërministror pune, për koordinimin e detyrave të ministrive, sipas detyrimeve të vendit në kuadrin e UNFCCC-ës. Grupi</w:t>
      </w:r>
      <w:r w:rsidR="00F945A3" w:rsidRPr="007114AF">
        <w:rPr>
          <w:rFonts w:ascii="Garamond" w:hAnsi="Garamond"/>
          <w:sz w:val="24"/>
          <w:szCs w:val="24"/>
        </w:rPr>
        <w:t xml:space="preserve"> </w:t>
      </w:r>
      <w:r w:rsidRPr="007114AF">
        <w:rPr>
          <w:rFonts w:ascii="Garamond" w:hAnsi="Garamond"/>
          <w:sz w:val="24"/>
          <w:szCs w:val="24"/>
        </w:rPr>
        <w:t>i kryesuar nga zëvendësministri i Mjedisit, përfshin përfaqësuesit e 12 ministrive</w:t>
      </w:r>
      <w:r w:rsidR="00F945A3" w:rsidRPr="007114AF">
        <w:rPr>
          <w:rFonts w:ascii="Garamond" w:hAnsi="Garamond"/>
          <w:sz w:val="24"/>
          <w:szCs w:val="24"/>
        </w:rPr>
        <w:t xml:space="preserve"> </w:t>
      </w:r>
      <w:r w:rsidRPr="007114AF">
        <w:rPr>
          <w:rFonts w:ascii="Garamond" w:hAnsi="Garamond"/>
          <w:sz w:val="24"/>
          <w:szCs w:val="24"/>
        </w:rPr>
        <w:t>shqiptare, dhe ka mandat, ndër të tjera, për hartimin e politikave dhe strategjive, si dhe koordinimin në nivel ndërinstitucional të zbatimit të veprimeve që lidhen me ndryshimin e klimës.</w:t>
      </w:r>
    </w:p>
    <w:p w14:paraId="6EDCF48D" w14:textId="26158E33"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Shqipëria ka paraqitur INDC-në, në kuadrin e procesit të Marrëveshjes së Parisit, në shtator 2015, duke u angazhuar për reduktimin e shkarkimeve CO</w:t>
      </w:r>
      <w:r w:rsidRPr="007114AF">
        <w:rPr>
          <w:rFonts w:ascii="Garamond" w:hAnsi="Garamond"/>
          <w:sz w:val="24"/>
          <w:szCs w:val="24"/>
          <w:vertAlign w:val="subscript"/>
        </w:rPr>
        <w:t>2</w:t>
      </w:r>
      <w:r w:rsidRPr="007114AF">
        <w:rPr>
          <w:rFonts w:ascii="Garamond" w:hAnsi="Garamond"/>
          <w:sz w:val="24"/>
          <w:szCs w:val="24"/>
        </w:rPr>
        <w:t>, krahasuar me skenarin bazë deri n</w:t>
      </w:r>
      <w:r w:rsidR="0000517F">
        <w:rPr>
          <w:rFonts w:ascii="Garamond" w:hAnsi="Garamond"/>
          <w:sz w:val="24"/>
          <w:szCs w:val="24"/>
        </w:rPr>
        <w:t>ë</w:t>
      </w:r>
      <w:r w:rsidRPr="007114AF">
        <w:rPr>
          <w:rFonts w:ascii="Garamond" w:hAnsi="Garamond"/>
          <w:sz w:val="24"/>
          <w:szCs w:val="24"/>
        </w:rPr>
        <w:t xml:space="preserve"> vitin 2030 me 11.5%. Ky reduktim nënkupton reduktim të shkarkimeve të d</w:t>
      </w:r>
      <w:r w:rsidR="00F945A3" w:rsidRPr="007114AF">
        <w:rPr>
          <w:rFonts w:ascii="Garamond" w:hAnsi="Garamond"/>
          <w:sz w:val="24"/>
          <w:szCs w:val="24"/>
        </w:rPr>
        <w:t>y</w:t>
      </w:r>
      <w:r w:rsidRPr="007114AF">
        <w:rPr>
          <w:rFonts w:ascii="Garamond" w:hAnsi="Garamond"/>
          <w:sz w:val="24"/>
          <w:szCs w:val="24"/>
        </w:rPr>
        <w:t>oksidit të karbonit me 708 kt deri në vitin 2030.</w:t>
      </w:r>
    </w:p>
    <w:p w14:paraId="6EDCF48E" w14:textId="77777777" w:rsidR="00E20D71" w:rsidRPr="007114AF" w:rsidRDefault="001259F3" w:rsidP="00E20D71">
      <w:pPr>
        <w:spacing w:after="0" w:line="240" w:lineRule="auto"/>
        <w:ind w:firstLine="284"/>
        <w:rPr>
          <w:rFonts w:ascii="Garamond" w:hAnsi="Garamond"/>
          <w:b/>
          <w:sz w:val="24"/>
          <w:szCs w:val="24"/>
        </w:rPr>
      </w:pPr>
      <w:bookmarkStart w:id="38" w:name="_Toc449537121"/>
      <w:bookmarkStart w:id="39" w:name="_Toc450135230"/>
      <w:bookmarkStart w:id="40" w:name="_Toc450151833"/>
      <w:bookmarkStart w:id="41" w:name="_Toc484424480"/>
      <w:r w:rsidRPr="007114AF">
        <w:rPr>
          <w:rFonts w:ascii="Garamond" w:hAnsi="Garamond"/>
          <w:b/>
          <w:sz w:val="24"/>
          <w:szCs w:val="24"/>
        </w:rPr>
        <w:t xml:space="preserve">2.6 </w:t>
      </w:r>
      <w:r w:rsidR="00E20D71" w:rsidRPr="007114AF">
        <w:rPr>
          <w:rFonts w:ascii="Garamond" w:hAnsi="Garamond"/>
          <w:b/>
          <w:sz w:val="24"/>
          <w:szCs w:val="24"/>
        </w:rPr>
        <w:t>Gjendja e ekonom</w:t>
      </w:r>
      <w:bookmarkEnd w:id="38"/>
      <w:bookmarkEnd w:id="39"/>
      <w:bookmarkEnd w:id="40"/>
      <w:r w:rsidR="00E20D71" w:rsidRPr="007114AF">
        <w:rPr>
          <w:rFonts w:ascii="Garamond" w:hAnsi="Garamond"/>
          <w:b/>
          <w:sz w:val="24"/>
          <w:szCs w:val="24"/>
        </w:rPr>
        <w:t>isë shqiptare</w:t>
      </w:r>
      <w:bookmarkEnd w:id="41"/>
    </w:p>
    <w:p w14:paraId="6EDCF48F" w14:textId="5C4A454F"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Gjatë dekadës së kaluar ekonomia shqiptare ka përjetuar modele të ndryshme zhvillimi. Siç raportohet në KTK-në, pas vitit 2002, ekonomia shqiptare iu nënshtrua një periudhe zhvillimi ekonomik në rritje, duke arritur nivelin më të lartë në vitin 2008 (7.5%). Pas këtij viti, ekonomia iu nënshtrua një zhvillimi në rënie, përkatësisht 2.8% në</w:t>
      </w:r>
      <w:r w:rsidR="00F945A3" w:rsidRPr="007114AF">
        <w:rPr>
          <w:rFonts w:ascii="Garamond" w:hAnsi="Garamond"/>
          <w:sz w:val="24"/>
          <w:szCs w:val="24"/>
        </w:rPr>
        <w:t xml:space="preserve"> </w:t>
      </w:r>
      <w:r w:rsidRPr="007114AF">
        <w:rPr>
          <w:rFonts w:ascii="Garamond" w:hAnsi="Garamond"/>
          <w:sz w:val="24"/>
          <w:szCs w:val="24"/>
        </w:rPr>
        <w:t>vitin 2011, 1.3% në vitin 2012, duke regjistruar nivelin më të ulët në vitin 2013 (0.4%). Shkaqet i janë atribuuar jo vetëm krizave ekonomike globale, por edhe politikave të brendshme dhe një rruge zhvillimi të karakterizuar gjithashtu, nga një performancë e dobët e investimeve dhe konsumit privat. Ky model nuk parashikohet të vazhdojë. Megjithatë, sipas Perspektivës Ekonomike Botërore të Fondit Ndërkombëtar Monetar(IMF), pritet që ekonomia të rritet me një normë rritjeje prej 3.4% në vitin 2019</w:t>
      </w:r>
      <w:r w:rsidRPr="007114AF">
        <w:rPr>
          <w:rFonts w:ascii="Garamond" w:hAnsi="Garamond"/>
          <w:sz w:val="24"/>
          <w:szCs w:val="24"/>
        </w:rPr>
        <w:footnoteReference w:id="23"/>
      </w:r>
      <w:r w:rsidRPr="007114AF">
        <w:rPr>
          <w:rFonts w:ascii="Garamond" w:hAnsi="Garamond"/>
          <w:sz w:val="24"/>
          <w:szCs w:val="24"/>
        </w:rPr>
        <w:t xml:space="preserve">. </w:t>
      </w:r>
    </w:p>
    <w:p w14:paraId="6EDCF490" w14:textId="2242A9C8"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Në terma sektorialë, zhvillimi i ekonomisë shqiptare u nxit nga rritja</w:t>
      </w:r>
      <w:r w:rsidR="000A2A01" w:rsidRPr="007114AF">
        <w:rPr>
          <w:rFonts w:ascii="Garamond" w:hAnsi="Garamond"/>
          <w:sz w:val="24"/>
          <w:szCs w:val="24"/>
        </w:rPr>
        <w:t xml:space="preserve"> </w:t>
      </w:r>
      <w:r w:rsidRPr="007114AF">
        <w:rPr>
          <w:rFonts w:ascii="Garamond" w:hAnsi="Garamond"/>
          <w:sz w:val="24"/>
          <w:szCs w:val="24"/>
        </w:rPr>
        <w:t>e sektorit të shërbimeve dhe sektorëve të industrisë.</w:t>
      </w:r>
    </w:p>
    <w:p w14:paraId="6EDCF491" w14:textId="77777777"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Sektori i shërbimit, si publik ashtu dhe privat, është një ndër sektorët më të rëndësishëm dhe më dinamikë të ekonomisë shqiptare, që zë më shumë se 60% të vlerës së shtuar totale. Fokusi kryesor ekonomik i këtij sektori është aktiviteti tregtar. Sipas Bankës Kombëtare Shqiptare, pjesa më e madhe e rritjes ekonomike gjatë viteve i është atribuuar zhvillimit të këtij sektorit dhe vlerësohet përmes indeksit të transaksioneve të korporatave, që mbulojnë kompanitë tregtare, hotelet dhe restorantet, transportin, shërbimet e telekomunikacionit dhe shërbime të tjera. Në vitin 2010, vlera e shtuar e gjeneruar nga sektori, kontribuoi me 3.2 pikë përqindje, në rritjen mesatare vjetore të PBB-ës.</w:t>
      </w:r>
    </w:p>
    <w:p w14:paraId="6EDCF492" w14:textId="77777777"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Po ashtu sektori i industrisë–përfshirë nënsektorët e tij: metalurgjinë, industrinë kimike, materialet e ndërtimit, minierat, ushqimin/pijet/duhanin, tekstilet/lëkurët/këpucët, pyjet/letrën/shtypshkrimin</w:t>
      </w:r>
      <w:r w:rsidR="001259F3" w:rsidRPr="007114AF">
        <w:rPr>
          <w:rFonts w:ascii="Garamond" w:hAnsi="Garamond"/>
          <w:sz w:val="24"/>
          <w:szCs w:val="24"/>
        </w:rPr>
        <w:t>/</w:t>
      </w:r>
      <w:r w:rsidRPr="007114AF">
        <w:rPr>
          <w:rFonts w:ascii="Garamond" w:hAnsi="Garamond"/>
          <w:sz w:val="24"/>
          <w:szCs w:val="24"/>
        </w:rPr>
        <w:t xml:space="preserve">industrinë mekanike–ka regjistruar zhvillime shumë pozitive gjatë dekadës së fundit, duke e bërë sektorin industrial të renditet i dyti nga rëndësia, pas sektorit të shërbimit. Kontributi pozitiv i prodhimit industrial në rritjen ekonomike, reflektohet në numrin e shtuar të punonjësve në ketë sektor. </w:t>
      </w:r>
    </w:p>
    <w:p w14:paraId="6EDCF493" w14:textId="65444453"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Po ashtu sektori i transportit</w:t>
      </w:r>
      <w:r w:rsidR="00F945A3" w:rsidRPr="007114AF">
        <w:rPr>
          <w:rFonts w:ascii="Garamond" w:hAnsi="Garamond"/>
          <w:sz w:val="24"/>
          <w:szCs w:val="24"/>
        </w:rPr>
        <w:t xml:space="preserve"> </w:t>
      </w:r>
      <w:r w:rsidRPr="007114AF">
        <w:rPr>
          <w:rFonts w:ascii="Garamond" w:hAnsi="Garamond"/>
          <w:sz w:val="24"/>
          <w:szCs w:val="24"/>
        </w:rPr>
        <w:t xml:space="preserve">është rritur me shpejtësi që prej vitit 2000. Numri i mjeteve në rrugë është rritur, ndërsa infrastrukturat e transportit janë përmirësuar. Rrjedhimisht, ngarkesa totale e trafikut për transportin e mallrave dhe pasagjerëve është rritur më shumë. </w:t>
      </w:r>
    </w:p>
    <w:p w14:paraId="6EDCF494" w14:textId="06FE13CD"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Sektori i bujqësisë</w:t>
      </w:r>
      <w:r w:rsidR="00F945A3" w:rsidRPr="007114AF">
        <w:rPr>
          <w:rFonts w:ascii="Garamond" w:hAnsi="Garamond"/>
          <w:sz w:val="24"/>
          <w:szCs w:val="24"/>
        </w:rPr>
        <w:t xml:space="preserve"> </w:t>
      </w:r>
      <w:r w:rsidRPr="007114AF">
        <w:rPr>
          <w:rFonts w:ascii="Garamond" w:hAnsi="Garamond"/>
          <w:sz w:val="24"/>
          <w:szCs w:val="24"/>
        </w:rPr>
        <w:t>luan një rol me rëndësi në ekonominë shqiptare, duke kontribuuar përafërsisht me 20% të vlerës së shtuar në ekonomi. Ndonëse emigrimi dhe urbanizimi i dekadës së fundit ka sjellë një zhvendosje strukturore nga bujqësia drejt industrisë dhe shërbimit, bujqësia mbetet një nga sektorët më të mëdhenj dhe më të rëndësishëm në Shqipëri. Bujqësia është burimi kryesor i punësimit dhe të ardhurave – sidomos në zonat rurale të fshatit – dhe përfaqëson 22.6% të PBB</w:t>
      </w:r>
      <w:r w:rsidRPr="007114AF">
        <w:rPr>
          <w:rFonts w:ascii="Garamond" w:hAnsi="Garamond"/>
          <w:sz w:val="24"/>
          <w:szCs w:val="24"/>
          <w:vertAlign w:val="superscript"/>
        </w:rPr>
        <w:footnoteReference w:id="24"/>
      </w:r>
      <w:r w:rsidRPr="007114AF">
        <w:rPr>
          <w:rFonts w:ascii="Garamond" w:hAnsi="Garamond"/>
          <w:sz w:val="24"/>
          <w:szCs w:val="24"/>
        </w:rPr>
        <w:t>-ës</w:t>
      </w:r>
      <w:r w:rsidR="00F945A3" w:rsidRPr="007114AF">
        <w:rPr>
          <w:rFonts w:ascii="Garamond" w:hAnsi="Garamond"/>
          <w:sz w:val="24"/>
          <w:szCs w:val="24"/>
        </w:rPr>
        <w:t xml:space="preserve"> </w:t>
      </w:r>
      <w:r w:rsidRPr="007114AF">
        <w:rPr>
          <w:rFonts w:ascii="Garamond" w:hAnsi="Garamond"/>
          <w:sz w:val="24"/>
          <w:szCs w:val="24"/>
        </w:rPr>
        <w:t>totale në vitin 2014,</w:t>
      </w:r>
      <w:r w:rsidR="00F945A3" w:rsidRPr="007114AF">
        <w:rPr>
          <w:rFonts w:ascii="Garamond" w:hAnsi="Garamond"/>
          <w:sz w:val="24"/>
          <w:szCs w:val="24"/>
        </w:rPr>
        <w:t xml:space="preserve"> </w:t>
      </w:r>
      <w:r w:rsidRPr="007114AF">
        <w:rPr>
          <w:rFonts w:ascii="Garamond" w:hAnsi="Garamond"/>
          <w:sz w:val="24"/>
          <w:szCs w:val="24"/>
        </w:rPr>
        <w:t xml:space="preserve">ndërsa zë rreth gjysmën e punësimit total (INSTAT 2013). Megjithatë, zhvillimi i sektorit ende ndikohet nga disa probleme strukturore, si teknologjia e dobët, investimet e ulëta dhe të lidhura, si dhe produktiviteti total i ulët krahasuar me mesataret e BE-së. </w:t>
      </w:r>
    </w:p>
    <w:p w14:paraId="6EDCF495" w14:textId="069DF9B8"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Zhvendosja në strukturën ekonomike të vendit nga bujqësia dhe sektori primar në përgjithësi, te sektori i shërbimit më pak intensiv nga ana e energjisë, si dhe prodhimi i produkteve me vlera më të larta, reflektohet në evolucionin e intensitetit të energjisë në Shqipëri që ishte më shumë se dyfishi i mesatares së BE-së në vitin 2000, por që atëherë ka rënë. Në një shkallë më të ulët, rënia e intensitetit të energjisë mund t</w:t>
      </w:r>
      <w:r w:rsidR="00D10DAB" w:rsidRPr="007114AF">
        <w:rPr>
          <w:rFonts w:ascii="Garamond" w:hAnsi="Garamond"/>
          <w:sz w:val="24"/>
          <w:szCs w:val="24"/>
        </w:rPr>
        <w:t>’</w:t>
      </w:r>
      <w:r w:rsidRPr="007114AF">
        <w:rPr>
          <w:rFonts w:ascii="Garamond" w:hAnsi="Garamond"/>
          <w:sz w:val="24"/>
          <w:szCs w:val="24"/>
        </w:rPr>
        <w:t>i atribuohet përmirësimit të eficiencës së energjisë (EE) dhe zbatimit të masave përkatëse për izolimin termik të stokut të banesave, ndriçimin efikas dhe masat e tjera EE.</w:t>
      </w:r>
    </w:p>
    <w:p w14:paraId="6EDCF496" w14:textId="77777777" w:rsidR="00E20D71" w:rsidRPr="007114AF" w:rsidRDefault="00E20D71" w:rsidP="00E20D71">
      <w:pPr>
        <w:spacing w:after="0" w:line="240" w:lineRule="auto"/>
        <w:ind w:firstLine="284"/>
        <w:rPr>
          <w:rFonts w:ascii="Garamond" w:hAnsi="Garamond"/>
          <w:sz w:val="24"/>
          <w:szCs w:val="24"/>
        </w:rPr>
      </w:pPr>
      <w:r w:rsidRPr="007114AF">
        <w:rPr>
          <w:rFonts w:ascii="Garamond" w:hAnsi="Garamond"/>
          <w:sz w:val="24"/>
          <w:szCs w:val="24"/>
        </w:rPr>
        <w:t>Në tabelën 2</w:t>
      </w:r>
      <w:r w:rsidR="00164B6B" w:rsidRPr="007114AF">
        <w:rPr>
          <w:rFonts w:ascii="Garamond" w:hAnsi="Garamond"/>
          <w:sz w:val="24"/>
          <w:szCs w:val="24"/>
        </w:rPr>
        <w:t xml:space="preserve"> </w:t>
      </w:r>
      <w:r w:rsidRPr="007114AF">
        <w:rPr>
          <w:rFonts w:ascii="Garamond" w:hAnsi="Garamond"/>
          <w:sz w:val="24"/>
          <w:szCs w:val="24"/>
        </w:rPr>
        <w:t xml:space="preserve">paraqitet një përmbledhje e të dhënave për modelet e PBB-ës gjatë dy dekadave të fundit. </w:t>
      </w:r>
    </w:p>
    <w:p w14:paraId="07CAB6D5" w14:textId="77777777" w:rsidR="00F945A3" w:rsidRPr="007114AF" w:rsidRDefault="00F945A3" w:rsidP="00E20D71">
      <w:pPr>
        <w:spacing w:after="0" w:line="240" w:lineRule="auto"/>
        <w:ind w:firstLine="284"/>
        <w:rPr>
          <w:rFonts w:ascii="Garamond" w:hAnsi="Garamond"/>
          <w:sz w:val="24"/>
          <w:szCs w:val="24"/>
        </w:rPr>
      </w:pPr>
    </w:p>
    <w:p w14:paraId="6EDCF497" w14:textId="754FD928" w:rsidR="00E20D71" w:rsidRPr="00527188" w:rsidRDefault="00E20D71" w:rsidP="00E20D71">
      <w:pPr>
        <w:spacing w:after="0" w:line="240" w:lineRule="auto"/>
        <w:ind w:firstLine="284"/>
        <w:rPr>
          <w:rFonts w:ascii="Garamond" w:hAnsi="Garamond"/>
          <w:b/>
          <w:sz w:val="24"/>
          <w:szCs w:val="24"/>
        </w:rPr>
      </w:pPr>
      <w:r w:rsidRPr="00527188">
        <w:rPr>
          <w:rFonts w:ascii="Garamond" w:hAnsi="Garamond"/>
          <w:b/>
          <w:sz w:val="24"/>
          <w:szCs w:val="24"/>
        </w:rPr>
        <w:t>Tabela</w:t>
      </w:r>
      <w:r w:rsidR="001259F3" w:rsidRPr="00527188">
        <w:rPr>
          <w:rFonts w:ascii="Garamond" w:hAnsi="Garamond"/>
          <w:b/>
          <w:sz w:val="24"/>
          <w:szCs w:val="24"/>
        </w:rPr>
        <w:t xml:space="preserve"> 2</w:t>
      </w:r>
      <w:r w:rsidR="00F945A3" w:rsidRPr="00527188">
        <w:rPr>
          <w:rFonts w:ascii="Garamond" w:hAnsi="Garamond"/>
          <w:b/>
          <w:sz w:val="24"/>
          <w:szCs w:val="24"/>
        </w:rPr>
        <w:t xml:space="preserve"> </w:t>
      </w:r>
      <w:r w:rsidRPr="00527188">
        <w:rPr>
          <w:rFonts w:ascii="Garamond" w:hAnsi="Garamond"/>
          <w:b/>
          <w:sz w:val="24"/>
          <w:szCs w:val="24"/>
        </w:rPr>
        <w:t>–</w:t>
      </w:r>
      <w:r w:rsidR="00F945A3" w:rsidRPr="00527188">
        <w:rPr>
          <w:rFonts w:ascii="Garamond" w:hAnsi="Garamond"/>
          <w:b/>
          <w:sz w:val="24"/>
          <w:szCs w:val="24"/>
        </w:rPr>
        <w:t xml:space="preserve"> </w:t>
      </w:r>
      <w:r w:rsidRPr="00527188">
        <w:rPr>
          <w:rFonts w:ascii="Garamond" w:hAnsi="Garamond"/>
          <w:b/>
          <w:sz w:val="24"/>
          <w:szCs w:val="24"/>
        </w:rPr>
        <w:t>Përmbledhje e modeleve</w:t>
      </w:r>
      <w:r w:rsidR="00F945A3" w:rsidRPr="00527188">
        <w:rPr>
          <w:rFonts w:ascii="Garamond" w:hAnsi="Garamond"/>
          <w:b/>
          <w:sz w:val="24"/>
          <w:szCs w:val="24"/>
        </w:rPr>
        <w:t xml:space="preserve"> të PBB-së për Shqipërinë, 1996–</w:t>
      </w:r>
      <w:r w:rsidRPr="00527188">
        <w:rPr>
          <w:rFonts w:ascii="Garamond" w:hAnsi="Garamond"/>
          <w:b/>
          <w:sz w:val="24"/>
          <w:szCs w:val="24"/>
        </w:rPr>
        <w:t>2013</w:t>
      </w:r>
    </w:p>
    <w:p w14:paraId="6EDCF498" w14:textId="77777777" w:rsidR="001259F3" w:rsidRPr="007114AF" w:rsidRDefault="001259F3" w:rsidP="00E20D71">
      <w:pPr>
        <w:spacing w:after="0" w:line="240" w:lineRule="auto"/>
        <w:ind w:firstLine="284"/>
        <w:rPr>
          <w:rFonts w:ascii="Garamond" w:hAnsi="Garamond"/>
          <w:sz w:val="24"/>
          <w:szCs w:val="24"/>
        </w:rPr>
      </w:pPr>
    </w:p>
    <w:tbl>
      <w:tblPr>
        <w:tblStyle w:val="GridTable6Colorful-Accent11"/>
        <w:tblW w:w="0" w:type="auto"/>
        <w:jc w:val="center"/>
        <w:tblLook w:val="04A0" w:firstRow="1" w:lastRow="0" w:firstColumn="1" w:lastColumn="0" w:noHBand="0" w:noVBand="1"/>
      </w:tblPr>
      <w:tblGrid>
        <w:gridCol w:w="2516"/>
        <w:gridCol w:w="960"/>
        <w:gridCol w:w="960"/>
        <w:gridCol w:w="960"/>
        <w:gridCol w:w="1098"/>
        <w:gridCol w:w="1098"/>
        <w:gridCol w:w="1183"/>
      </w:tblGrid>
      <w:tr w:rsidR="005C50A5" w:rsidRPr="007114AF" w14:paraId="6EDCF4A0" w14:textId="77777777" w:rsidTr="005C50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DCF499" w14:textId="77777777" w:rsidR="005C50A5" w:rsidRPr="007114AF" w:rsidRDefault="005C50A5" w:rsidP="005C50A5">
            <w:pPr>
              <w:spacing w:after="0"/>
              <w:rPr>
                <w:rFonts w:ascii="Garamond" w:hAnsi="Garamond" w:cs="Calibri"/>
                <w:sz w:val="20"/>
                <w:szCs w:val="20"/>
              </w:rPr>
            </w:pPr>
          </w:p>
        </w:tc>
        <w:tc>
          <w:tcPr>
            <w:tcW w:w="0" w:type="auto"/>
            <w:vAlign w:val="center"/>
          </w:tcPr>
          <w:p w14:paraId="6EDCF49A" w14:textId="77777777" w:rsidR="005C50A5" w:rsidRPr="007114AF" w:rsidRDefault="005C50A5" w:rsidP="005C50A5">
            <w:pPr>
              <w:spacing w:after="0"/>
              <w:cnfStyle w:val="100000000000" w:firstRow="1"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1996</w:t>
            </w:r>
          </w:p>
        </w:tc>
        <w:tc>
          <w:tcPr>
            <w:tcW w:w="0" w:type="auto"/>
            <w:vAlign w:val="center"/>
          </w:tcPr>
          <w:p w14:paraId="6EDCF49B" w14:textId="77777777" w:rsidR="005C50A5" w:rsidRPr="007114AF" w:rsidRDefault="005C50A5" w:rsidP="005C50A5">
            <w:pPr>
              <w:spacing w:after="0"/>
              <w:cnfStyle w:val="100000000000" w:firstRow="1"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2002</w:t>
            </w:r>
          </w:p>
        </w:tc>
        <w:tc>
          <w:tcPr>
            <w:tcW w:w="0" w:type="auto"/>
            <w:vAlign w:val="center"/>
          </w:tcPr>
          <w:p w14:paraId="6EDCF49C" w14:textId="77777777" w:rsidR="005C50A5" w:rsidRPr="007114AF" w:rsidRDefault="005C50A5" w:rsidP="005C50A5">
            <w:pPr>
              <w:spacing w:after="0"/>
              <w:cnfStyle w:val="100000000000" w:firstRow="1"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2006</w:t>
            </w:r>
          </w:p>
        </w:tc>
        <w:tc>
          <w:tcPr>
            <w:tcW w:w="0" w:type="auto"/>
            <w:vAlign w:val="center"/>
          </w:tcPr>
          <w:p w14:paraId="6EDCF49D" w14:textId="77777777" w:rsidR="005C50A5" w:rsidRPr="007114AF" w:rsidRDefault="005C50A5" w:rsidP="005C50A5">
            <w:pPr>
              <w:spacing w:after="0"/>
              <w:cnfStyle w:val="100000000000" w:firstRow="1"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2008</w:t>
            </w:r>
          </w:p>
        </w:tc>
        <w:tc>
          <w:tcPr>
            <w:tcW w:w="0" w:type="auto"/>
            <w:vAlign w:val="center"/>
          </w:tcPr>
          <w:p w14:paraId="6EDCF49E" w14:textId="77777777" w:rsidR="005C50A5" w:rsidRPr="007114AF" w:rsidRDefault="005C50A5" w:rsidP="005C50A5">
            <w:pPr>
              <w:spacing w:after="0"/>
              <w:cnfStyle w:val="100000000000" w:firstRow="1"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2010</w:t>
            </w:r>
          </w:p>
        </w:tc>
        <w:tc>
          <w:tcPr>
            <w:tcW w:w="0" w:type="auto"/>
            <w:vAlign w:val="center"/>
          </w:tcPr>
          <w:p w14:paraId="6EDCF49F" w14:textId="77777777" w:rsidR="005C50A5" w:rsidRPr="007114AF" w:rsidRDefault="005C50A5" w:rsidP="005C50A5">
            <w:pPr>
              <w:spacing w:after="0"/>
              <w:cnfStyle w:val="100000000000" w:firstRow="1"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2013</w:t>
            </w:r>
          </w:p>
        </w:tc>
      </w:tr>
      <w:tr w:rsidR="005C50A5" w:rsidRPr="007114AF" w14:paraId="6EDCF4A8" w14:textId="77777777" w:rsidTr="005C50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DCF4A1" w14:textId="57C6DEF7" w:rsidR="005C50A5" w:rsidRPr="007114AF" w:rsidRDefault="005C50A5" w:rsidP="005C50A5">
            <w:pPr>
              <w:spacing w:after="0"/>
              <w:rPr>
                <w:rFonts w:ascii="Garamond" w:hAnsi="Garamond" w:cs="Calibri"/>
                <w:sz w:val="20"/>
                <w:szCs w:val="20"/>
              </w:rPr>
            </w:pPr>
            <w:r w:rsidRPr="007114AF">
              <w:rPr>
                <w:rFonts w:ascii="Garamond" w:hAnsi="Garamond" w:cs="Calibri"/>
                <w:sz w:val="20"/>
                <w:szCs w:val="20"/>
              </w:rPr>
              <w:t>PBB (</w:t>
            </w:r>
            <w:r w:rsidR="00F945A3" w:rsidRPr="007114AF">
              <w:rPr>
                <w:rFonts w:ascii="Garamond" w:hAnsi="Garamond" w:cs="Calibri"/>
                <w:sz w:val="20"/>
                <w:szCs w:val="20"/>
              </w:rPr>
              <w:t>milionë lekë</w:t>
            </w:r>
            <w:r w:rsidRPr="007114AF">
              <w:rPr>
                <w:rFonts w:ascii="Garamond" w:hAnsi="Garamond" w:cs="Calibri"/>
                <w:sz w:val="20"/>
                <w:szCs w:val="20"/>
              </w:rPr>
              <w:t>)</w:t>
            </w:r>
          </w:p>
        </w:tc>
        <w:tc>
          <w:tcPr>
            <w:tcW w:w="0" w:type="auto"/>
            <w:vAlign w:val="center"/>
          </w:tcPr>
          <w:p w14:paraId="6EDCF4A2"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346,403.2</w:t>
            </w:r>
          </w:p>
        </w:tc>
        <w:tc>
          <w:tcPr>
            <w:tcW w:w="0" w:type="auto"/>
            <w:vAlign w:val="center"/>
          </w:tcPr>
          <w:p w14:paraId="6EDCF4A3"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622,710.8</w:t>
            </w:r>
          </w:p>
        </w:tc>
        <w:tc>
          <w:tcPr>
            <w:tcW w:w="0" w:type="auto"/>
            <w:vAlign w:val="center"/>
          </w:tcPr>
          <w:p w14:paraId="6EDCF4A4"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882,208.8</w:t>
            </w:r>
          </w:p>
        </w:tc>
        <w:tc>
          <w:tcPr>
            <w:tcW w:w="0" w:type="auto"/>
            <w:vAlign w:val="center"/>
          </w:tcPr>
          <w:p w14:paraId="6EDCF4A5"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1,089,293.1</w:t>
            </w:r>
          </w:p>
        </w:tc>
        <w:tc>
          <w:tcPr>
            <w:tcW w:w="0" w:type="auto"/>
            <w:vAlign w:val="center"/>
          </w:tcPr>
          <w:p w14:paraId="6EDCF4A6"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1,222,462.1</w:t>
            </w:r>
          </w:p>
        </w:tc>
        <w:tc>
          <w:tcPr>
            <w:tcW w:w="0" w:type="auto"/>
            <w:vAlign w:val="center"/>
          </w:tcPr>
          <w:p w14:paraId="6EDCF4A7"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1,445,765.5*</w:t>
            </w:r>
          </w:p>
        </w:tc>
      </w:tr>
      <w:tr w:rsidR="005C50A5" w:rsidRPr="007114AF" w14:paraId="6EDCF4B0" w14:textId="77777777" w:rsidTr="005C50A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DCF4A9" w14:textId="1BEE9FB7" w:rsidR="005C50A5" w:rsidRPr="007114AF" w:rsidRDefault="005C50A5" w:rsidP="005C50A5">
            <w:pPr>
              <w:spacing w:after="0"/>
              <w:rPr>
                <w:rFonts w:ascii="Garamond" w:hAnsi="Garamond" w:cs="Calibri"/>
                <w:sz w:val="20"/>
                <w:szCs w:val="20"/>
              </w:rPr>
            </w:pPr>
            <w:r w:rsidRPr="007114AF">
              <w:rPr>
                <w:rFonts w:ascii="Garamond" w:hAnsi="Garamond" w:cs="Calibri"/>
                <w:sz w:val="20"/>
                <w:szCs w:val="20"/>
              </w:rPr>
              <w:t>PBB për kokë (</w:t>
            </w:r>
            <w:r w:rsidR="00F945A3" w:rsidRPr="007114AF">
              <w:rPr>
                <w:rFonts w:ascii="Garamond" w:hAnsi="Garamond" w:cs="Calibri"/>
                <w:sz w:val="20"/>
                <w:szCs w:val="20"/>
              </w:rPr>
              <w:t>mijëra lekë</w:t>
            </w:r>
            <w:r w:rsidRPr="007114AF">
              <w:rPr>
                <w:rFonts w:ascii="Garamond" w:hAnsi="Garamond" w:cs="Calibri"/>
                <w:sz w:val="20"/>
                <w:szCs w:val="20"/>
              </w:rPr>
              <w:t>)</w:t>
            </w:r>
          </w:p>
        </w:tc>
        <w:tc>
          <w:tcPr>
            <w:tcW w:w="0" w:type="auto"/>
            <w:vAlign w:val="center"/>
          </w:tcPr>
          <w:p w14:paraId="6EDCF4AA" w14:textId="77777777" w:rsidR="005C50A5" w:rsidRPr="007114AF" w:rsidRDefault="005C50A5" w:rsidP="005C50A5">
            <w:pPr>
              <w:spacing w:after="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103.6</w:t>
            </w:r>
          </w:p>
        </w:tc>
        <w:tc>
          <w:tcPr>
            <w:tcW w:w="0" w:type="auto"/>
            <w:vAlign w:val="center"/>
          </w:tcPr>
          <w:p w14:paraId="6EDCF4AB" w14:textId="77777777" w:rsidR="005C50A5" w:rsidRPr="007114AF" w:rsidRDefault="005C50A5" w:rsidP="005C50A5">
            <w:pPr>
              <w:spacing w:after="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190.8</w:t>
            </w:r>
          </w:p>
        </w:tc>
        <w:tc>
          <w:tcPr>
            <w:tcW w:w="0" w:type="auto"/>
            <w:vAlign w:val="center"/>
          </w:tcPr>
          <w:p w14:paraId="6EDCF4AC" w14:textId="77777777" w:rsidR="005C50A5" w:rsidRPr="007114AF" w:rsidRDefault="005C50A5" w:rsidP="005C50A5">
            <w:pPr>
              <w:spacing w:after="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280</w:t>
            </w:r>
          </w:p>
        </w:tc>
        <w:tc>
          <w:tcPr>
            <w:tcW w:w="0" w:type="auto"/>
            <w:vAlign w:val="center"/>
          </w:tcPr>
          <w:p w14:paraId="6EDCF4AD" w14:textId="77777777" w:rsidR="005C50A5" w:rsidRPr="007114AF" w:rsidRDefault="005C50A5" w:rsidP="005C50A5">
            <w:pPr>
              <w:spacing w:after="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342.3</w:t>
            </w:r>
          </w:p>
        </w:tc>
        <w:tc>
          <w:tcPr>
            <w:tcW w:w="0" w:type="auto"/>
            <w:vAlign w:val="center"/>
          </w:tcPr>
          <w:p w14:paraId="6EDCF4AE" w14:textId="77777777" w:rsidR="005C50A5" w:rsidRPr="007114AF" w:rsidRDefault="005C50A5" w:rsidP="005C50A5">
            <w:pPr>
              <w:spacing w:after="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387.5</w:t>
            </w:r>
          </w:p>
        </w:tc>
        <w:tc>
          <w:tcPr>
            <w:tcW w:w="0" w:type="auto"/>
            <w:vAlign w:val="center"/>
          </w:tcPr>
          <w:p w14:paraId="6EDCF4AF" w14:textId="77777777" w:rsidR="005C50A5" w:rsidRPr="007114AF" w:rsidRDefault="005C50A5" w:rsidP="005C50A5">
            <w:pPr>
              <w:spacing w:after="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480*</w:t>
            </w:r>
          </w:p>
        </w:tc>
      </w:tr>
      <w:tr w:rsidR="005C50A5" w:rsidRPr="007114AF" w14:paraId="6EDCF4B8" w14:textId="77777777" w:rsidTr="005C50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DCF4B1" w14:textId="77777777" w:rsidR="005C50A5" w:rsidRPr="007114AF" w:rsidRDefault="005C50A5" w:rsidP="005C50A5">
            <w:pPr>
              <w:spacing w:after="0"/>
              <w:rPr>
                <w:rFonts w:ascii="Garamond" w:hAnsi="Garamond" w:cs="Calibri"/>
                <w:sz w:val="20"/>
                <w:szCs w:val="20"/>
              </w:rPr>
            </w:pPr>
            <w:r w:rsidRPr="007114AF">
              <w:rPr>
                <w:rFonts w:ascii="Garamond" w:hAnsi="Garamond" w:cs="Calibri"/>
                <w:sz w:val="20"/>
                <w:szCs w:val="20"/>
              </w:rPr>
              <w:t>Rritja e PBB-së (%)</w:t>
            </w:r>
          </w:p>
        </w:tc>
        <w:tc>
          <w:tcPr>
            <w:tcW w:w="0" w:type="auto"/>
            <w:vAlign w:val="center"/>
          </w:tcPr>
          <w:p w14:paraId="6EDCF4B2"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9.1</w:t>
            </w:r>
          </w:p>
        </w:tc>
        <w:tc>
          <w:tcPr>
            <w:tcW w:w="0" w:type="auto"/>
            <w:vAlign w:val="center"/>
          </w:tcPr>
          <w:p w14:paraId="6EDCF4B3"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4.2</w:t>
            </w:r>
          </w:p>
        </w:tc>
        <w:tc>
          <w:tcPr>
            <w:tcW w:w="0" w:type="auto"/>
            <w:vAlign w:val="center"/>
          </w:tcPr>
          <w:p w14:paraId="6EDCF4B4"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5</w:t>
            </w:r>
          </w:p>
        </w:tc>
        <w:tc>
          <w:tcPr>
            <w:tcW w:w="0" w:type="auto"/>
            <w:vAlign w:val="center"/>
          </w:tcPr>
          <w:p w14:paraId="6EDCF4B5"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7.5</w:t>
            </w:r>
          </w:p>
        </w:tc>
        <w:tc>
          <w:tcPr>
            <w:tcW w:w="0" w:type="auto"/>
            <w:vAlign w:val="center"/>
          </w:tcPr>
          <w:p w14:paraId="6EDCF4B6"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3.8</w:t>
            </w:r>
          </w:p>
        </w:tc>
        <w:tc>
          <w:tcPr>
            <w:tcW w:w="0" w:type="auto"/>
            <w:vAlign w:val="center"/>
          </w:tcPr>
          <w:p w14:paraId="6EDCF4B7" w14:textId="77777777" w:rsidR="005C50A5" w:rsidRPr="007114AF" w:rsidRDefault="005C50A5" w:rsidP="005C50A5">
            <w:pPr>
              <w:spacing w:after="0"/>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0.4</w:t>
            </w:r>
          </w:p>
        </w:tc>
      </w:tr>
      <w:tr w:rsidR="005C50A5" w:rsidRPr="007114AF" w14:paraId="6EDCF4C0" w14:textId="77777777" w:rsidTr="005C50A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DCF4B9" w14:textId="1981944D" w:rsidR="005C50A5" w:rsidRPr="007114AF" w:rsidRDefault="005C50A5" w:rsidP="005C50A5">
            <w:pPr>
              <w:spacing w:after="0"/>
              <w:rPr>
                <w:rFonts w:ascii="Garamond" w:hAnsi="Garamond" w:cs="Calibri"/>
                <w:sz w:val="20"/>
                <w:szCs w:val="20"/>
              </w:rPr>
            </w:pPr>
            <w:r w:rsidRPr="007114AF">
              <w:rPr>
                <w:rFonts w:ascii="Garamond" w:hAnsi="Garamond" w:cs="Calibri"/>
                <w:sz w:val="20"/>
                <w:szCs w:val="20"/>
              </w:rPr>
              <w:t xml:space="preserve">Norma e </w:t>
            </w:r>
            <w:r w:rsidR="00F945A3" w:rsidRPr="007114AF">
              <w:rPr>
                <w:rFonts w:ascii="Garamond" w:hAnsi="Garamond" w:cs="Calibri"/>
                <w:sz w:val="20"/>
                <w:szCs w:val="20"/>
              </w:rPr>
              <w:t xml:space="preserve">inflacionit </w:t>
            </w:r>
            <w:r w:rsidRPr="007114AF">
              <w:rPr>
                <w:rFonts w:ascii="Garamond" w:hAnsi="Garamond" w:cs="Calibri"/>
                <w:sz w:val="20"/>
                <w:szCs w:val="20"/>
              </w:rPr>
              <w:t>(%)</w:t>
            </w:r>
          </w:p>
        </w:tc>
        <w:tc>
          <w:tcPr>
            <w:tcW w:w="0" w:type="auto"/>
            <w:vAlign w:val="center"/>
          </w:tcPr>
          <w:p w14:paraId="6EDCF4BA" w14:textId="77777777" w:rsidR="005C50A5" w:rsidRPr="007114AF" w:rsidRDefault="005C50A5" w:rsidP="0059155A">
            <w:pPr>
              <w:pStyle w:val="ListParagraph"/>
              <w:numPr>
                <w:ilvl w:val="0"/>
                <w:numId w:val="3"/>
              </w:numPr>
              <w:spacing w:before="0" w:after="0"/>
              <w:ind w:left="0" w:firstLine="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p>
        </w:tc>
        <w:tc>
          <w:tcPr>
            <w:tcW w:w="0" w:type="auto"/>
            <w:vAlign w:val="center"/>
          </w:tcPr>
          <w:p w14:paraId="6EDCF4BB" w14:textId="77777777" w:rsidR="005C50A5" w:rsidRPr="007114AF" w:rsidRDefault="005C50A5" w:rsidP="0059155A">
            <w:pPr>
              <w:pStyle w:val="ListParagraph"/>
              <w:numPr>
                <w:ilvl w:val="0"/>
                <w:numId w:val="3"/>
              </w:numPr>
              <w:spacing w:before="0" w:after="0"/>
              <w:ind w:left="0" w:firstLine="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p>
        </w:tc>
        <w:tc>
          <w:tcPr>
            <w:tcW w:w="0" w:type="auto"/>
            <w:vAlign w:val="center"/>
          </w:tcPr>
          <w:p w14:paraId="6EDCF4BC" w14:textId="77777777" w:rsidR="005C50A5" w:rsidRPr="007114AF" w:rsidRDefault="005C50A5" w:rsidP="005C50A5">
            <w:pPr>
              <w:spacing w:after="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2.4</w:t>
            </w:r>
          </w:p>
        </w:tc>
        <w:tc>
          <w:tcPr>
            <w:tcW w:w="0" w:type="auto"/>
            <w:vAlign w:val="center"/>
          </w:tcPr>
          <w:p w14:paraId="6EDCF4BD" w14:textId="77777777" w:rsidR="005C50A5" w:rsidRPr="007114AF" w:rsidRDefault="005C50A5" w:rsidP="005C50A5">
            <w:pPr>
              <w:spacing w:after="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3.4</w:t>
            </w:r>
          </w:p>
        </w:tc>
        <w:tc>
          <w:tcPr>
            <w:tcW w:w="0" w:type="auto"/>
            <w:vAlign w:val="center"/>
          </w:tcPr>
          <w:p w14:paraId="6EDCF4BE" w14:textId="77777777" w:rsidR="005C50A5" w:rsidRPr="007114AF" w:rsidRDefault="005C50A5" w:rsidP="005C50A5">
            <w:pPr>
              <w:spacing w:after="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3.6</w:t>
            </w:r>
          </w:p>
        </w:tc>
        <w:tc>
          <w:tcPr>
            <w:tcW w:w="0" w:type="auto"/>
            <w:vAlign w:val="center"/>
          </w:tcPr>
          <w:p w14:paraId="6EDCF4BF" w14:textId="77777777" w:rsidR="005C50A5" w:rsidRPr="007114AF" w:rsidRDefault="005C50A5" w:rsidP="005C50A5">
            <w:pPr>
              <w:spacing w:after="0"/>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7114AF">
              <w:rPr>
                <w:rFonts w:ascii="Garamond" w:hAnsi="Garamond" w:cs="Calibri"/>
                <w:sz w:val="20"/>
                <w:szCs w:val="20"/>
              </w:rPr>
              <w:t>1.9</w:t>
            </w:r>
          </w:p>
        </w:tc>
      </w:tr>
    </w:tbl>
    <w:p w14:paraId="6EDCF4C1" w14:textId="77777777" w:rsidR="007A451F" w:rsidRPr="007114AF" w:rsidRDefault="007A451F" w:rsidP="007A451F">
      <w:pPr>
        <w:spacing w:after="0" w:line="240" w:lineRule="auto"/>
        <w:ind w:firstLine="284"/>
        <w:jc w:val="left"/>
        <w:rPr>
          <w:rFonts w:ascii="Garamond" w:hAnsi="Garamond"/>
          <w:sz w:val="24"/>
          <w:szCs w:val="24"/>
        </w:rPr>
      </w:pPr>
    </w:p>
    <w:p w14:paraId="6EDCF4C2" w14:textId="77777777" w:rsidR="00145BD0" w:rsidRPr="007114AF" w:rsidRDefault="00145BD0" w:rsidP="00145BD0">
      <w:pPr>
        <w:spacing w:after="0" w:line="240" w:lineRule="auto"/>
        <w:ind w:firstLine="284"/>
        <w:rPr>
          <w:rFonts w:ascii="Garamond" w:hAnsi="Garamond"/>
          <w:sz w:val="24"/>
          <w:szCs w:val="24"/>
        </w:rPr>
      </w:pPr>
      <w:r w:rsidRPr="007114AF">
        <w:rPr>
          <w:rFonts w:ascii="Garamond" w:hAnsi="Garamond"/>
          <w:b/>
          <w:sz w:val="24"/>
          <w:szCs w:val="24"/>
        </w:rPr>
        <w:t>Burimi</w:t>
      </w:r>
      <w:r w:rsidRPr="007114AF">
        <w:rPr>
          <w:rFonts w:ascii="Garamond" w:hAnsi="Garamond"/>
          <w:sz w:val="24"/>
          <w:szCs w:val="24"/>
        </w:rPr>
        <w:t xml:space="preserve">: Tabela në KTN – Përshtatur nga Banka e Shqipërisë (2006, 2008, 2010, 2013) dhe Baza e të Dhënave Statistikore e Bankës së Shqipërisë (2014) </w:t>
      </w:r>
    </w:p>
    <w:p w14:paraId="6EDCF4C3" w14:textId="2A95063A" w:rsidR="00145BD0" w:rsidRPr="007114AF" w:rsidRDefault="00145BD0" w:rsidP="00145BD0">
      <w:pPr>
        <w:spacing w:after="0" w:line="240" w:lineRule="auto"/>
        <w:ind w:firstLine="284"/>
        <w:rPr>
          <w:rFonts w:ascii="Garamond" w:hAnsi="Garamond"/>
          <w:sz w:val="24"/>
          <w:szCs w:val="24"/>
        </w:rPr>
      </w:pPr>
      <w:r w:rsidRPr="007114AF">
        <w:rPr>
          <w:rFonts w:ascii="Garamond" w:hAnsi="Garamond"/>
          <w:b/>
          <w:sz w:val="24"/>
          <w:szCs w:val="24"/>
        </w:rPr>
        <w:t>*</w:t>
      </w:r>
      <w:r w:rsidR="00F945A3" w:rsidRPr="007114AF">
        <w:rPr>
          <w:rFonts w:ascii="Garamond" w:hAnsi="Garamond"/>
          <w:b/>
          <w:sz w:val="24"/>
          <w:szCs w:val="24"/>
        </w:rPr>
        <w:t xml:space="preserve"> </w:t>
      </w:r>
      <w:r w:rsidRPr="007114AF">
        <w:rPr>
          <w:rFonts w:ascii="Garamond" w:hAnsi="Garamond"/>
          <w:b/>
          <w:sz w:val="24"/>
          <w:szCs w:val="24"/>
        </w:rPr>
        <w:t>Burimi</w:t>
      </w:r>
      <w:r w:rsidRPr="007114AF">
        <w:rPr>
          <w:rFonts w:ascii="Garamond" w:hAnsi="Garamond"/>
          <w:sz w:val="24"/>
          <w:szCs w:val="24"/>
        </w:rPr>
        <w:t>: Banka Botërore</w:t>
      </w:r>
      <w:bookmarkStart w:id="42" w:name="_Toc471987572"/>
      <w:bookmarkStart w:id="43" w:name="_Toc449537123"/>
      <w:bookmarkStart w:id="44" w:name="_Toc450135231"/>
      <w:bookmarkStart w:id="45" w:name="_Toc450151834"/>
      <w:bookmarkStart w:id="46" w:name="_Toc446403342"/>
      <w:bookmarkEnd w:id="42"/>
    </w:p>
    <w:p w14:paraId="2C71F371" w14:textId="77777777" w:rsidR="00F945A3" w:rsidRPr="007114AF" w:rsidRDefault="00F945A3" w:rsidP="00145BD0">
      <w:pPr>
        <w:pStyle w:val="Heading3"/>
        <w:spacing w:before="0" w:line="240" w:lineRule="auto"/>
        <w:ind w:firstLine="284"/>
        <w:rPr>
          <w:rFonts w:ascii="Garamond" w:hAnsi="Garamond"/>
          <w:b w:val="0"/>
          <w:color w:val="000000" w:themeColor="text1"/>
          <w:sz w:val="24"/>
          <w:szCs w:val="24"/>
        </w:rPr>
      </w:pPr>
      <w:bookmarkStart w:id="47" w:name="_Toc484424481"/>
    </w:p>
    <w:p w14:paraId="6EDCF4C4" w14:textId="77777777" w:rsidR="00145BD0" w:rsidRPr="007114AF" w:rsidRDefault="00145BD0" w:rsidP="00145BD0">
      <w:pPr>
        <w:pStyle w:val="Heading3"/>
        <w:spacing w:before="0" w:line="240" w:lineRule="auto"/>
        <w:ind w:firstLine="284"/>
        <w:rPr>
          <w:rFonts w:ascii="Garamond" w:hAnsi="Garamond"/>
          <w:b w:val="0"/>
          <w:color w:val="000000" w:themeColor="text1"/>
          <w:sz w:val="24"/>
          <w:szCs w:val="24"/>
        </w:rPr>
      </w:pPr>
      <w:r w:rsidRPr="007114AF">
        <w:rPr>
          <w:rFonts w:ascii="Garamond" w:hAnsi="Garamond"/>
          <w:b w:val="0"/>
          <w:color w:val="000000" w:themeColor="text1"/>
          <w:sz w:val="24"/>
          <w:szCs w:val="24"/>
        </w:rPr>
        <w:t>2.6.1 Sektor</w:t>
      </w:r>
      <w:bookmarkEnd w:id="43"/>
      <w:bookmarkEnd w:id="44"/>
      <w:bookmarkEnd w:id="45"/>
      <w:r w:rsidRPr="007114AF">
        <w:rPr>
          <w:rFonts w:ascii="Garamond" w:hAnsi="Garamond"/>
          <w:b w:val="0"/>
          <w:color w:val="000000" w:themeColor="text1"/>
          <w:sz w:val="24"/>
          <w:szCs w:val="24"/>
        </w:rPr>
        <w:t xml:space="preserve">i i </w:t>
      </w:r>
      <w:bookmarkEnd w:id="46"/>
      <w:r w:rsidRPr="007114AF">
        <w:rPr>
          <w:rFonts w:ascii="Garamond" w:hAnsi="Garamond"/>
          <w:b w:val="0"/>
          <w:color w:val="000000" w:themeColor="text1"/>
          <w:sz w:val="24"/>
          <w:szCs w:val="24"/>
        </w:rPr>
        <w:t>energjisë</w:t>
      </w:r>
      <w:bookmarkEnd w:id="47"/>
    </w:p>
    <w:p w14:paraId="6EDCF4C5" w14:textId="77777777" w:rsidR="00145BD0" w:rsidRPr="007114AF" w:rsidRDefault="00145BD0" w:rsidP="00145BD0">
      <w:pPr>
        <w:spacing w:after="0" w:line="240" w:lineRule="auto"/>
        <w:ind w:firstLine="284"/>
        <w:rPr>
          <w:rFonts w:ascii="Garamond" w:hAnsi="Garamond"/>
          <w:sz w:val="24"/>
          <w:szCs w:val="24"/>
        </w:rPr>
      </w:pPr>
      <w:r w:rsidRPr="007114AF">
        <w:rPr>
          <w:rFonts w:ascii="Garamond" w:hAnsi="Garamond"/>
          <w:sz w:val="24"/>
          <w:szCs w:val="24"/>
        </w:rPr>
        <w:t xml:space="preserve">Furnizimi kryesor i Shqipërisë me energji, që arrin në rreth 83.27 PJ (1989 Ktoe) në vitin 2012 (Burimi: IEA), dominohet nga nafta, hidrocentralet dhe biomasa, siç tregohet në figurën 3. Sektori energjetik i vendit mbështetet shumë në importet e naftës, qymyrit dhe energjisë elektrike (totali rreth 57 PJ). </w:t>
      </w:r>
    </w:p>
    <w:p w14:paraId="6EDCF4C6" w14:textId="77777777" w:rsidR="00145BD0" w:rsidRPr="007114AF" w:rsidRDefault="00145BD0" w:rsidP="00145BD0">
      <w:pPr>
        <w:spacing w:after="0" w:line="240" w:lineRule="auto"/>
        <w:ind w:firstLine="284"/>
        <w:rPr>
          <w:rFonts w:ascii="Garamond" w:hAnsi="Garamond"/>
          <w:sz w:val="24"/>
          <w:szCs w:val="24"/>
        </w:rPr>
      </w:pPr>
    </w:p>
    <w:p w14:paraId="6EDCF4C7" w14:textId="77777777" w:rsidR="005C50A5" w:rsidRPr="007114AF" w:rsidRDefault="002E065A" w:rsidP="002E065A">
      <w:pPr>
        <w:spacing w:after="0" w:line="240" w:lineRule="auto"/>
        <w:ind w:firstLine="284"/>
        <w:jc w:val="center"/>
        <w:rPr>
          <w:rFonts w:ascii="Garamond" w:hAnsi="Garamond"/>
          <w:sz w:val="24"/>
          <w:szCs w:val="24"/>
        </w:rPr>
      </w:pPr>
      <w:r w:rsidRPr="007114AF">
        <w:rPr>
          <w:rFonts w:ascii="Garamond" w:hAnsi="Garamond"/>
          <w:noProof/>
          <w:lang w:val="en-US" w:eastAsia="en-US"/>
        </w:rPr>
        <w:drawing>
          <wp:inline distT="0" distB="0" distL="0" distR="0" wp14:anchorId="6EDD1784" wp14:editId="6EDD1785">
            <wp:extent cx="4484536" cy="2552369"/>
            <wp:effectExtent l="0" t="0" r="0" b="63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83995" cy="2552061"/>
                    </a:xfrm>
                    <a:prstGeom prst="rect">
                      <a:avLst/>
                    </a:prstGeom>
                    <a:noFill/>
                  </pic:spPr>
                </pic:pic>
              </a:graphicData>
            </a:graphic>
          </wp:inline>
        </w:drawing>
      </w:r>
    </w:p>
    <w:p w14:paraId="6EDCF4C8" w14:textId="77777777" w:rsidR="002E065A" w:rsidRPr="007114AF" w:rsidRDefault="002E065A" w:rsidP="002E065A">
      <w:pPr>
        <w:spacing w:after="0" w:line="240" w:lineRule="auto"/>
        <w:ind w:firstLine="284"/>
        <w:jc w:val="center"/>
        <w:rPr>
          <w:rFonts w:ascii="Garamond" w:hAnsi="Garamond"/>
          <w:sz w:val="24"/>
          <w:szCs w:val="24"/>
        </w:rPr>
      </w:pPr>
    </w:p>
    <w:p w14:paraId="6EDCF4C9" w14:textId="71D8738E" w:rsidR="002B7452" w:rsidRPr="007114AF" w:rsidRDefault="002B7452" w:rsidP="00164B6B">
      <w:pPr>
        <w:pStyle w:val="FIGURA"/>
        <w:rPr>
          <w:sz w:val="20"/>
          <w:szCs w:val="20"/>
        </w:rPr>
      </w:pPr>
      <w:r w:rsidRPr="007114AF">
        <w:rPr>
          <w:sz w:val="20"/>
          <w:szCs w:val="20"/>
        </w:rPr>
        <w:t>Figura</w:t>
      </w:r>
      <w:r w:rsidR="00164B6B"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3</w:t>
      </w:r>
      <w:r w:rsidRPr="007114AF">
        <w:rPr>
          <w:sz w:val="20"/>
          <w:szCs w:val="20"/>
        </w:rPr>
        <w:fldChar w:fldCharType="end"/>
      </w:r>
      <w:r w:rsidR="00F945A3" w:rsidRPr="007114AF">
        <w:rPr>
          <w:sz w:val="20"/>
          <w:szCs w:val="20"/>
        </w:rPr>
        <w:t xml:space="preserve"> </w:t>
      </w:r>
      <w:r w:rsidRPr="007114AF">
        <w:rPr>
          <w:sz w:val="20"/>
          <w:szCs w:val="20"/>
        </w:rPr>
        <w:t>–</w:t>
      </w:r>
      <w:r w:rsidR="00F945A3" w:rsidRPr="007114AF">
        <w:rPr>
          <w:sz w:val="20"/>
          <w:szCs w:val="20"/>
        </w:rPr>
        <w:t xml:space="preserve"> </w:t>
      </w:r>
      <w:r w:rsidRPr="007114AF">
        <w:rPr>
          <w:sz w:val="20"/>
          <w:szCs w:val="20"/>
        </w:rPr>
        <w:t xml:space="preserve">Furnizimi kryesor me energji në Shqipëri nga burimet vendore (ktoe) </w:t>
      </w:r>
    </w:p>
    <w:p w14:paraId="6EDCF4CA" w14:textId="528093E9" w:rsidR="002B7452" w:rsidRPr="007114AF" w:rsidRDefault="002B7452" w:rsidP="00164B6B">
      <w:pPr>
        <w:pStyle w:val="FIGURA"/>
        <w:rPr>
          <w:sz w:val="20"/>
          <w:szCs w:val="20"/>
        </w:rPr>
      </w:pPr>
      <w:r w:rsidRPr="007114AF">
        <w:rPr>
          <w:sz w:val="20"/>
          <w:szCs w:val="20"/>
        </w:rPr>
        <w:t>(Burimi: AKBN Bilanci</w:t>
      </w:r>
      <w:r w:rsidR="00F945A3" w:rsidRPr="007114AF">
        <w:rPr>
          <w:sz w:val="20"/>
          <w:szCs w:val="20"/>
        </w:rPr>
        <w:t xml:space="preserve"> e</w:t>
      </w:r>
      <w:r w:rsidRPr="007114AF">
        <w:rPr>
          <w:sz w:val="20"/>
          <w:szCs w:val="20"/>
        </w:rPr>
        <w:t>nergjetik 2010</w:t>
      </w:r>
      <w:r w:rsidR="00F945A3" w:rsidRPr="007114AF">
        <w:rPr>
          <w:sz w:val="20"/>
          <w:szCs w:val="20"/>
        </w:rPr>
        <w:t>–</w:t>
      </w:r>
      <w:r w:rsidRPr="007114AF">
        <w:rPr>
          <w:sz w:val="20"/>
          <w:szCs w:val="20"/>
        </w:rPr>
        <w:t>2014)</w:t>
      </w:r>
    </w:p>
    <w:p w14:paraId="6EDCF4CB" w14:textId="77777777" w:rsidR="002B7452" w:rsidRPr="007114AF" w:rsidRDefault="002B7452" w:rsidP="002B7452">
      <w:pPr>
        <w:spacing w:after="0" w:line="240" w:lineRule="auto"/>
        <w:ind w:firstLine="284"/>
        <w:rPr>
          <w:rFonts w:ascii="Garamond" w:hAnsi="Garamond"/>
          <w:sz w:val="24"/>
          <w:szCs w:val="24"/>
        </w:rPr>
      </w:pPr>
    </w:p>
    <w:p w14:paraId="6EDCF4CC" w14:textId="77777777" w:rsidR="002B7452" w:rsidRPr="007114AF" w:rsidRDefault="002B7452" w:rsidP="002B7452">
      <w:pPr>
        <w:spacing w:after="0" w:line="240" w:lineRule="auto"/>
        <w:ind w:firstLine="284"/>
        <w:rPr>
          <w:rFonts w:ascii="Garamond" w:hAnsi="Garamond"/>
          <w:sz w:val="24"/>
          <w:szCs w:val="24"/>
          <w:lang w:eastAsia="en-US"/>
        </w:rPr>
      </w:pPr>
      <w:r w:rsidRPr="007114AF">
        <w:rPr>
          <w:rFonts w:ascii="Garamond" w:hAnsi="Garamond"/>
          <w:sz w:val="24"/>
          <w:szCs w:val="24"/>
          <w:lang w:eastAsia="en-US"/>
        </w:rPr>
        <w:t>Vitet e fundit evolucioni ka qenë drejt një rritje të moderuar të furnizimit primar me energji që prej vitit 2012, pa ndryshime të mëdha në terma të pjesëve relative të vektorëve të ndryshëm të energjisë. Variacioni në hidrocentrale duket se kompensohet kryesisht nga importet e shtuara të naftës dhe produkteve të saj.</w:t>
      </w:r>
    </w:p>
    <w:p w14:paraId="6EDCF4CD" w14:textId="597E4156" w:rsidR="002B7452" w:rsidRPr="007114AF" w:rsidRDefault="002B7452" w:rsidP="002B7452">
      <w:pPr>
        <w:spacing w:after="0" w:line="240" w:lineRule="auto"/>
        <w:ind w:firstLine="284"/>
        <w:rPr>
          <w:rFonts w:ascii="Garamond" w:hAnsi="Garamond"/>
          <w:sz w:val="24"/>
          <w:szCs w:val="24"/>
        </w:rPr>
      </w:pPr>
      <w:r w:rsidRPr="007114AF">
        <w:rPr>
          <w:rFonts w:ascii="Garamond" w:hAnsi="Garamond"/>
          <w:sz w:val="24"/>
          <w:szCs w:val="24"/>
        </w:rPr>
        <w:t>Një përmbledhje e mirë e fluksit energjetik të vendit mund të nxirret nga diagram</w:t>
      </w:r>
      <w:r w:rsidR="00F945A3" w:rsidRPr="007114AF">
        <w:rPr>
          <w:rFonts w:ascii="Garamond" w:hAnsi="Garamond"/>
          <w:sz w:val="24"/>
          <w:szCs w:val="24"/>
        </w:rPr>
        <w:t>i</w:t>
      </w:r>
      <w:r w:rsidRPr="007114AF">
        <w:rPr>
          <w:rFonts w:ascii="Garamond" w:hAnsi="Garamond"/>
          <w:sz w:val="24"/>
          <w:szCs w:val="24"/>
        </w:rPr>
        <w:t xml:space="preserve"> </w:t>
      </w:r>
      <w:r w:rsidR="00F945A3" w:rsidRPr="007114AF">
        <w:rPr>
          <w:rFonts w:ascii="Garamond" w:hAnsi="Garamond"/>
          <w:sz w:val="24"/>
          <w:szCs w:val="24"/>
        </w:rPr>
        <w:t>i</w:t>
      </w:r>
      <w:r w:rsidRPr="007114AF">
        <w:rPr>
          <w:rFonts w:ascii="Garamond" w:hAnsi="Garamond"/>
          <w:sz w:val="24"/>
          <w:szCs w:val="24"/>
        </w:rPr>
        <w:t xml:space="preserve"> fluksit të energjisë që tregohet më poshtë (figura 4).</w:t>
      </w:r>
    </w:p>
    <w:p w14:paraId="6EDCF4CE" w14:textId="77777777" w:rsidR="002B7452" w:rsidRPr="007114AF" w:rsidRDefault="004504DC" w:rsidP="004504DC">
      <w:pPr>
        <w:spacing w:after="0" w:line="240" w:lineRule="auto"/>
        <w:ind w:firstLine="284"/>
        <w:jc w:val="center"/>
        <w:rPr>
          <w:rFonts w:ascii="Garamond" w:hAnsi="Garamond"/>
          <w:sz w:val="24"/>
          <w:szCs w:val="24"/>
        </w:rPr>
      </w:pPr>
      <w:r w:rsidRPr="007114AF">
        <w:rPr>
          <w:rFonts w:ascii="Garamond" w:hAnsi="Garamond"/>
          <w:noProof/>
          <w:lang w:val="en-US" w:eastAsia="en-US"/>
        </w:rPr>
        <w:drawing>
          <wp:inline distT="0" distB="0" distL="0" distR="0" wp14:anchorId="6EDD1786" wp14:editId="6EDD1787">
            <wp:extent cx="5748793" cy="3291840"/>
            <wp:effectExtent l="0" t="0" r="4445" b="381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0952" cy="3293076"/>
                    </a:xfrm>
                    <a:prstGeom prst="rect">
                      <a:avLst/>
                    </a:prstGeom>
                    <a:noFill/>
                    <a:ln>
                      <a:noFill/>
                    </a:ln>
                  </pic:spPr>
                </pic:pic>
              </a:graphicData>
            </a:graphic>
          </wp:inline>
        </w:drawing>
      </w:r>
    </w:p>
    <w:p w14:paraId="6EDCF4CF" w14:textId="77777777" w:rsidR="002E065A" w:rsidRPr="007114AF" w:rsidRDefault="002E065A" w:rsidP="002E065A">
      <w:pPr>
        <w:spacing w:after="0" w:line="240" w:lineRule="auto"/>
        <w:ind w:firstLine="284"/>
        <w:jc w:val="left"/>
        <w:rPr>
          <w:rFonts w:ascii="Garamond" w:hAnsi="Garamond"/>
          <w:sz w:val="24"/>
          <w:szCs w:val="24"/>
        </w:rPr>
      </w:pPr>
    </w:p>
    <w:p w14:paraId="6EDCF4D0" w14:textId="5B990732" w:rsidR="004504DC" w:rsidRPr="007114AF" w:rsidRDefault="004504DC" w:rsidP="00164B6B">
      <w:pPr>
        <w:pStyle w:val="FIGURA"/>
        <w:rPr>
          <w:rFonts w:eastAsia="Calibri"/>
          <w:sz w:val="20"/>
          <w:szCs w:val="20"/>
          <w:lang w:eastAsia="en-US"/>
        </w:rPr>
      </w:pPr>
      <w:r w:rsidRPr="007114AF">
        <w:rPr>
          <w:rFonts w:eastAsia="Calibri"/>
          <w:sz w:val="20"/>
          <w:szCs w:val="20"/>
          <w:lang w:eastAsia="en-US"/>
        </w:rPr>
        <w:t>Figura</w:t>
      </w:r>
      <w:r w:rsidR="00164B6B" w:rsidRPr="007114AF">
        <w:rPr>
          <w:rFonts w:eastAsia="Calibri"/>
          <w:sz w:val="20"/>
          <w:szCs w:val="20"/>
          <w:lang w:eastAsia="en-US"/>
        </w:rPr>
        <w:t xml:space="preserve"> </w:t>
      </w:r>
      <w:r w:rsidRPr="007114AF">
        <w:rPr>
          <w:rFonts w:eastAsia="Calibri"/>
          <w:sz w:val="20"/>
          <w:szCs w:val="20"/>
          <w:lang w:eastAsia="en-US"/>
        </w:rPr>
        <w:fldChar w:fldCharType="begin"/>
      </w:r>
      <w:r w:rsidRPr="007114AF">
        <w:rPr>
          <w:rFonts w:eastAsia="Calibri"/>
          <w:sz w:val="20"/>
          <w:szCs w:val="20"/>
          <w:lang w:eastAsia="en-US"/>
        </w:rPr>
        <w:instrText xml:space="preserve"> SEQ Figure \* ARABIC </w:instrText>
      </w:r>
      <w:r w:rsidRPr="007114AF">
        <w:rPr>
          <w:rFonts w:eastAsia="Calibri"/>
          <w:sz w:val="20"/>
          <w:szCs w:val="20"/>
          <w:lang w:eastAsia="en-US"/>
        </w:rPr>
        <w:fldChar w:fldCharType="separate"/>
      </w:r>
      <w:r w:rsidRPr="007114AF">
        <w:rPr>
          <w:rFonts w:eastAsia="Calibri"/>
          <w:sz w:val="20"/>
          <w:szCs w:val="20"/>
          <w:lang w:eastAsia="en-US"/>
        </w:rPr>
        <w:t>4</w:t>
      </w:r>
      <w:r w:rsidRPr="007114AF">
        <w:rPr>
          <w:rFonts w:eastAsia="Calibri"/>
          <w:sz w:val="20"/>
          <w:szCs w:val="20"/>
          <w:lang w:eastAsia="en-US"/>
        </w:rPr>
        <w:fldChar w:fldCharType="end"/>
      </w:r>
      <w:r w:rsidR="00F945A3" w:rsidRPr="007114AF">
        <w:rPr>
          <w:rFonts w:eastAsia="Calibri"/>
          <w:sz w:val="20"/>
          <w:szCs w:val="20"/>
          <w:lang w:eastAsia="en-US"/>
        </w:rPr>
        <w:t xml:space="preserve"> </w:t>
      </w:r>
      <w:r w:rsidRPr="007114AF">
        <w:rPr>
          <w:rFonts w:eastAsia="Calibri"/>
          <w:sz w:val="20"/>
          <w:szCs w:val="20"/>
          <w:lang w:eastAsia="en-US"/>
        </w:rPr>
        <w:t>–</w:t>
      </w:r>
      <w:r w:rsidR="00F945A3" w:rsidRPr="007114AF">
        <w:rPr>
          <w:rFonts w:eastAsia="Calibri"/>
          <w:sz w:val="20"/>
          <w:szCs w:val="20"/>
          <w:lang w:eastAsia="en-US"/>
        </w:rPr>
        <w:t xml:space="preserve"> </w:t>
      </w:r>
      <w:r w:rsidRPr="007114AF">
        <w:rPr>
          <w:rFonts w:eastAsia="Calibri"/>
          <w:sz w:val="20"/>
          <w:szCs w:val="20"/>
          <w:lang w:eastAsia="en-US"/>
        </w:rPr>
        <w:t xml:space="preserve">Fluksi i </w:t>
      </w:r>
      <w:r w:rsidR="00F945A3" w:rsidRPr="007114AF">
        <w:rPr>
          <w:rFonts w:eastAsia="Calibri"/>
          <w:sz w:val="20"/>
          <w:szCs w:val="20"/>
          <w:lang w:eastAsia="en-US"/>
        </w:rPr>
        <w:t>e</w:t>
      </w:r>
      <w:r w:rsidRPr="007114AF">
        <w:rPr>
          <w:rFonts w:eastAsia="Calibri"/>
          <w:sz w:val="20"/>
          <w:szCs w:val="20"/>
          <w:lang w:eastAsia="en-US"/>
        </w:rPr>
        <w:t>nergjisë në Shqipëri (</w:t>
      </w:r>
      <w:r w:rsidR="00F945A3" w:rsidRPr="007114AF">
        <w:rPr>
          <w:rFonts w:eastAsia="Calibri"/>
          <w:sz w:val="20"/>
          <w:szCs w:val="20"/>
          <w:lang w:eastAsia="en-US"/>
        </w:rPr>
        <w:t>b</w:t>
      </w:r>
      <w:r w:rsidRPr="007114AF">
        <w:rPr>
          <w:rFonts w:eastAsia="Calibri"/>
          <w:sz w:val="20"/>
          <w:szCs w:val="20"/>
          <w:lang w:eastAsia="en-US"/>
        </w:rPr>
        <w:t>urimi: IEA në bazë të të dhënave të AKBN</w:t>
      </w:r>
      <w:r w:rsidR="00F945A3" w:rsidRPr="007114AF">
        <w:rPr>
          <w:rFonts w:eastAsia="Calibri"/>
          <w:sz w:val="20"/>
          <w:szCs w:val="20"/>
          <w:lang w:eastAsia="en-US"/>
        </w:rPr>
        <w:t>-së</w:t>
      </w:r>
      <w:r w:rsidRPr="007114AF">
        <w:rPr>
          <w:rFonts w:eastAsia="Calibri"/>
          <w:sz w:val="20"/>
          <w:szCs w:val="20"/>
          <w:lang w:eastAsia="en-US"/>
        </w:rPr>
        <w:t>)</w:t>
      </w:r>
    </w:p>
    <w:p w14:paraId="6EDCF4D1" w14:textId="77777777" w:rsidR="00164B6B" w:rsidRPr="007114AF" w:rsidRDefault="00164B6B" w:rsidP="004504DC">
      <w:pPr>
        <w:spacing w:after="0" w:line="240" w:lineRule="auto"/>
        <w:ind w:firstLine="284"/>
        <w:rPr>
          <w:rFonts w:ascii="Garamond" w:hAnsi="Garamond"/>
          <w:sz w:val="24"/>
          <w:szCs w:val="24"/>
        </w:rPr>
      </w:pPr>
    </w:p>
    <w:p w14:paraId="6EDCF4D2" w14:textId="77777777" w:rsidR="004504DC" w:rsidRPr="007114AF" w:rsidRDefault="004504DC" w:rsidP="004504DC">
      <w:pPr>
        <w:spacing w:after="0" w:line="240" w:lineRule="auto"/>
        <w:ind w:firstLine="284"/>
        <w:rPr>
          <w:rFonts w:ascii="Garamond" w:hAnsi="Garamond"/>
          <w:sz w:val="24"/>
          <w:szCs w:val="24"/>
        </w:rPr>
      </w:pPr>
      <w:r w:rsidRPr="007114AF">
        <w:rPr>
          <w:rFonts w:ascii="Garamond" w:hAnsi="Garamond"/>
          <w:sz w:val="24"/>
          <w:szCs w:val="24"/>
        </w:rPr>
        <w:t>Karakteristikat kryesore të sektorëve energjetikë shqiptarë janë si më poshtë:</w:t>
      </w:r>
    </w:p>
    <w:p w14:paraId="6EDCF4D3" w14:textId="18B5E208" w:rsidR="004504DC" w:rsidRPr="007114AF" w:rsidRDefault="004504DC" w:rsidP="004504DC">
      <w:pPr>
        <w:pStyle w:val="Paragrafoelenco1"/>
        <w:numPr>
          <w:ilvl w:val="0"/>
          <w:numId w:val="0"/>
        </w:numPr>
        <w:spacing w:before="0" w:after="0"/>
        <w:ind w:left="284"/>
        <w:rPr>
          <w:rFonts w:ascii="Garamond" w:hAnsi="Garamond"/>
          <w:sz w:val="24"/>
          <w:szCs w:val="24"/>
          <w:lang w:val="sq-AL"/>
        </w:rPr>
      </w:pPr>
      <w:r w:rsidRPr="007114AF">
        <w:rPr>
          <w:rFonts w:ascii="Garamond" w:hAnsi="Garamond"/>
          <w:sz w:val="24"/>
          <w:szCs w:val="24"/>
          <w:lang w:val="sq-AL"/>
        </w:rPr>
        <w:t>- Varësia e madhe nga importet e naftës</w:t>
      </w:r>
      <w:r w:rsidR="00F945A3" w:rsidRPr="007114AF">
        <w:rPr>
          <w:rFonts w:ascii="Garamond" w:hAnsi="Garamond"/>
          <w:sz w:val="24"/>
          <w:szCs w:val="24"/>
          <w:lang w:val="sq-AL"/>
        </w:rPr>
        <w:t>;</w:t>
      </w:r>
    </w:p>
    <w:p w14:paraId="6EDCF4D4" w14:textId="14AD10B8" w:rsidR="004504DC" w:rsidRPr="007114AF" w:rsidRDefault="004504DC" w:rsidP="004504DC">
      <w:pPr>
        <w:pStyle w:val="Paragrafoelenco1"/>
        <w:numPr>
          <w:ilvl w:val="0"/>
          <w:numId w:val="0"/>
        </w:numPr>
        <w:spacing w:before="0" w:after="0"/>
        <w:ind w:left="284"/>
        <w:rPr>
          <w:rFonts w:ascii="Garamond" w:hAnsi="Garamond"/>
          <w:sz w:val="24"/>
          <w:szCs w:val="24"/>
          <w:lang w:val="sq-AL"/>
        </w:rPr>
      </w:pPr>
      <w:r w:rsidRPr="007114AF">
        <w:rPr>
          <w:rFonts w:ascii="Garamond" w:hAnsi="Garamond"/>
          <w:sz w:val="24"/>
          <w:szCs w:val="24"/>
          <w:lang w:val="sq-AL"/>
        </w:rPr>
        <w:t>- Fokusi i madh te hidrocentralet</w:t>
      </w:r>
      <w:r w:rsidR="00F945A3" w:rsidRPr="007114AF">
        <w:rPr>
          <w:rFonts w:ascii="Garamond" w:hAnsi="Garamond"/>
          <w:sz w:val="24"/>
          <w:szCs w:val="24"/>
          <w:lang w:val="sq-AL"/>
        </w:rPr>
        <w:t>;</w:t>
      </w:r>
    </w:p>
    <w:p w14:paraId="6EDCF4D5" w14:textId="4E672514" w:rsidR="004504DC" w:rsidRPr="007114AF" w:rsidRDefault="004504DC" w:rsidP="004504DC">
      <w:pPr>
        <w:pStyle w:val="Paragrafoelenco1"/>
        <w:numPr>
          <w:ilvl w:val="0"/>
          <w:numId w:val="0"/>
        </w:numPr>
        <w:spacing w:before="0" w:after="0"/>
        <w:ind w:left="284"/>
        <w:rPr>
          <w:rFonts w:ascii="Garamond" w:hAnsi="Garamond"/>
          <w:sz w:val="24"/>
          <w:szCs w:val="24"/>
          <w:lang w:val="sq-AL"/>
        </w:rPr>
      </w:pPr>
      <w:r w:rsidRPr="007114AF">
        <w:rPr>
          <w:rFonts w:ascii="Garamond" w:hAnsi="Garamond"/>
          <w:sz w:val="24"/>
          <w:szCs w:val="24"/>
          <w:lang w:val="sq-AL"/>
        </w:rPr>
        <w:t>- Pjesa e madhe e sektorit të transportit</w:t>
      </w:r>
      <w:r w:rsidR="00F945A3" w:rsidRPr="007114AF">
        <w:rPr>
          <w:rFonts w:ascii="Garamond" w:hAnsi="Garamond"/>
          <w:sz w:val="24"/>
          <w:szCs w:val="24"/>
          <w:lang w:val="sq-AL"/>
        </w:rPr>
        <w:t>;</w:t>
      </w:r>
    </w:p>
    <w:p w14:paraId="6EDCF4D6" w14:textId="77777777" w:rsidR="004504DC" w:rsidRPr="007114AF" w:rsidRDefault="004504DC" w:rsidP="004504DC">
      <w:pPr>
        <w:pStyle w:val="Paragrafoelenco1"/>
        <w:numPr>
          <w:ilvl w:val="0"/>
          <w:numId w:val="0"/>
        </w:numPr>
        <w:spacing w:before="0" w:after="0"/>
        <w:ind w:left="284"/>
        <w:rPr>
          <w:rFonts w:ascii="Garamond" w:hAnsi="Garamond"/>
          <w:sz w:val="24"/>
          <w:szCs w:val="24"/>
          <w:lang w:val="sq-AL"/>
        </w:rPr>
      </w:pPr>
      <w:r w:rsidRPr="007114AF">
        <w:rPr>
          <w:rFonts w:ascii="Garamond" w:hAnsi="Garamond"/>
          <w:sz w:val="24"/>
          <w:szCs w:val="24"/>
          <w:lang w:val="sq-AL"/>
        </w:rPr>
        <w:t xml:space="preserve">- Mosekzistenca </w:t>
      </w:r>
      <w:r w:rsidRPr="007114AF">
        <w:rPr>
          <w:rFonts w:ascii="Garamond" w:hAnsi="Garamond"/>
          <w:i/>
          <w:sz w:val="24"/>
          <w:szCs w:val="24"/>
          <w:lang w:val="sq-AL"/>
        </w:rPr>
        <w:t>defakto</w:t>
      </w:r>
      <w:r w:rsidRPr="007114AF">
        <w:rPr>
          <w:rFonts w:ascii="Garamond" w:hAnsi="Garamond"/>
          <w:sz w:val="24"/>
          <w:szCs w:val="24"/>
          <w:lang w:val="sq-AL"/>
        </w:rPr>
        <w:t xml:space="preserve"> e burimeve të gazit natyror.</w:t>
      </w:r>
    </w:p>
    <w:p w14:paraId="6EDCF4D7" w14:textId="75ADECA0" w:rsidR="004504DC" w:rsidRPr="007114AF" w:rsidRDefault="004504DC" w:rsidP="004504DC">
      <w:pPr>
        <w:spacing w:after="0" w:line="240" w:lineRule="auto"/>
        <w:ind w:firstLine="284"/>
        <w:rPr>
          <w:rFonts w:ascii="Garamond" w:hAnsi="Garamond"/>
          <w:sz w:val="24"/>
          <w:szCs w:val="24"/>
        </w:rPr>
      </w:pPr>
      <w:r w:rsidRPr="007114AF">
        <w:rPr>
          <w:rFonts w:ascii="Garamond" w:hAnsi="Garamond"/>
          <w:sz w:val="24"/>
          <w:szCs w:val="24"/>
        </w:rPr>
        <w:t xml:space="preserve">Lidhur me nevojat për </w:t>
      </w:r>
      <w:r w:rsidRPr="007114AF">
        <w:rPr>
          <w:rFonts w:ascii="Garamond" w:hAnsi="Garamond"/>
          <w:b/>
          <w:sz w:val="24"/>
          <w:szCs w:val="24"/>
        </w:rPr>
        <w:t xml:space="preserve">energji elektrike, </w:t>
      </w:r>
      <w:r w:rsidRPr="007114AF">
        <w:rPr>
          <w:rFonts w:ascii="Garamond" w:hAnsi="Garamond"/>
          <w:sz w:val="24"/>
          <w:szCs w:val="24"/>
        </w:rPr>
        <w:t>historikisht ato janë plotësuar pothuaj ekskluzivisht nga hidrocentralet (</w:t>
      </w:r>
      <w:r w:rsidR="00353D0E" w:rsidRPr="007114AF">
        <w:rPr>
          <w:rFonts w:ascii="Garamond" w:hAnsi="Garamond"/>
          <w:sz w:val="24"/>
          <w:szCs w:val="24"/>
        </w:rPr>
        <w:t>f</w:t>
      </w:r>
      <w:r w:rsidRPr="007114AF">
        <w:rPr>
          <w:rFonts w:ascii="Garamond" w:hAnsi="Garamond"/>
          <w:sz w:val="24"/>
          <w:szCs w:val="24"/>
        </w:rPr>
        <w:t>igura 4). Kapaciteti total i instaluar i energjisë në Shqipëri, arrin në 1</w:t>
      </w:r>
      <w:r w:rsidR="00D10DAB" w:rsidRPr="007114AF">
        <w:rPr>
          <w:rFonts w:ascii="Garamond" w:hAnsi="Garamond"/>
          <w:sz w:val="24"/>
          <w:szCs w:val="24"/>
        </w:rPr>
        <w:t>’</w:t>
      </w:r>
      <w:r w:rsidRPr="007114AF">
        <w:rPr>
          <w:rFonts w:ascii="Garamond" w:hAnsi="Garamond"/>
          <w:sz w:val="24"/>
          <w:szCs w:val="24"/>
        </w:rPr>
        <w:t>895</w:t>
      </w:r>
      <w:r w:rsidR="00D10DAB" w:rsidRPr="007114AF">
        <w:rPr>
          <w:rFonts w:ascii="Garamond" w:hAnsi="Garamond"/>
          <w:sz w:val="24"/>
          <w:szCs w:val="24"/>
        </w:rPr>
        <w:t>’</w:t>
      </w:r>
      <w:r w:rsidRPr="007114AF">
        <w:rPr>
          <w:rFonts w:ascii="Garamond" w:hAnsi="Garamond"/>
          <w:sz w:val="24"/>
          <w:szCs w:val="24"/>
        </w:rPr>
        <w:t xml:space="preserve">000 </w:t>
      </w:r>
      <w:r w:rsidR="005460C5" w:rsidRPr="007114AF">
        <w:rPr>
          <w:rFonts w:ascii="Garamond" w:hAnsi="Garamond"/>
          <w:sz w:val="24"/>
          <w:szCs w:val="24"/>
        </w:rPr>
        <w:t xml:space="preserve">mw </w:t>
      </w:r>
      <w:r w:rsidRPr="007114AF">
        <w:rPr>
          <w:rFonts w:ascii="Garamond" w:hAnsi="Garamond"/>
          <w:sz w:val="24"/>
          <w:szCs w:val="24"/>
        </w:rPr>
        <w:t xml:space="preserve">(në fund të vitit 2015), i dominuar nga hidrocentralet. Kjo vlerë konfirmohet edhe nga raporti i Entit Rregullator të Energjisë Elektrike (ERE) për vitin 2015, që jep të dhëna për sektorin energjetik shqiptar, me kapacitetin total të instaluar të gjenerimit të energjisë në Shqipëri në vitin 2009 në vlerën 1659 </w:t>
      </w:r>
      <w:r w:rsidR="005460C5" w:rsidRPr="007114AF">
        <w:rPr>
          <w:rFonts w:ascii="Garamond" w:hAnsi="Garamond"/>
          <w:sz w:val="24"/>
          <w:szCs w:val="24"/>
        </w:rPr>
        <w:t>mw</w:t>
      </w:r>
      <w:r w:rsidRPr="007114AF">
        <w:rPr>
          <w:rFonts w:ascii="Garamond" w:hAnsi="Garamond"/>
          <w:sz w:val="24"/>
          <w:szCs w:val="24"/>
        </w:rPr>
        <w:t xml:space="preserve">, nga e cila 86% është hidroelektrike. Hidroelektriciteti prodhohet nga tre centrale të mëdha në veri të vendit, në lumin Drin: Komani (600 </w:t>
      </w:r>
      <w:r w:rsidR="00527188" w:rsidRPr="007114AF">
        <w:rPr>
          <w:rFonts w:ascii="Garamond" w:hAnsi="Garamond"/>
          <w:sz w:val="24"/>
          <w:szCs w:val="24"/>
        </w:rPr>
        <w:t>mw</w:t>
      </w:r>
      <w:r w:rsidRPr="007114AF">
        <w:rPr>
          <w:rFonts w:ascii="Garamond" w:hAnsi="Garamond"/>
          <w:sz w:val="24"/>
          <w:szCs w:val="24"/>
        </w:rPr>
        <w:t xml:space="preserve">), Fierza (500 </w:t>
      </w:r>
      <w:r w:rsidR="005460C5" w:rsidRPr="007114AF">
        <w:rPr>
          <w:rFonts w:ascii="Garamond" w:hAnsi="Garamond"/>
          <w:sz w:val="24"/>
          <w:szCs w:val="24"/>
        </w:rPr>
        <w:t>mw</w:t>
      </w:r>
      <w:r w:rsidRPr="007114AF">
        <w:rPr>
          <w:rFonts w:ascii="Garamond" w:hAnsi="Garamond"/>
          <w:sz w:val="24"/>
          <w:szCs w:val="24"/>
        </w:rPr>
        <w:t xml:space="preserve">) dhe Vau i Dejës (250 </w:t>
      </w:r>
      <w:r w:rsidR="005460C5" w:rsidRPr="007114AF">
        <w:rPr>
          <w:rFonts w:ascii="Garamond" w:hAnsi="Garamond"/>
          <w:sz w:val="24"/>
          <w:szCs w:val="24"/>
        </w:rPr>
        <w:t>mw</w:t>
      </w:r>
      <w:r w:rsidRPr="007114AF">
        <w:rPr>
          <w:rFonts w:ascii="Garamond" w:hAnsi="Garamond"/>
          <w:sz w:val="24"/>
          <w:szCs w:val="24"/>
        </w:rPr>
        <w:t xml:space="preserve">). </w:t>
      </w:r>
    </w:p>
    <w:p w14:paraId="6EDCF4D8" w14:textId="3D109C9D" w:rsidR="004504DC" w:rsidRPr="007114AF" w:rsidRDefault="004504DC" w:rsidP="004504DC">
      <w:pPr>
        <w:spacing w:after="0" w:line="240" w:lineRule="auto"/>
        <w:ind w:firstLine="284"/>
        <w:rPr>
          <w:rFonts w:ascii="Garamond" w:hAnsi="Garamond" w:cs="Segoe UI"/>
          <w:sz w:val="24"/>
          <w:szCs w:val="24"/>
        </w:rPr>
      </w:pPr>
      <w:r w:rsidRPr="007114AF">
        <w:rPr>
          <w:rFonts w:ascii="Garamond" w:hAnsi="Garamond"/>
          <w:sz w:val="24"/>
          <w:szCs w:val="24"/>
        </w:rPr>
        <w:t>Për këtë arsye, burimet ujore luajnë rol vendimtar në sektorin e energjisë në Shqipëri, dhe periudhat e thatësirës mund të çojnë në rënie të menjëhershme të prodhimit, siç ndodhi mes vitit 2000 dhe 2002, si</w:t>
      </w:r>
      <w:r w:rsidR="005460C5" w:rsidRPr="007114AF">
        <w:rPr>
          <w:rFonts w:ascii="Garamond" w:hAnsi="Garamond"/>
          <w:sz w:val="24"/>
          <w:szCs w:val="24"/>
        </w:rPr>
        <w:t xml:space="preserve"> </w:t>
      </w:r>
      <w:r w:rsidRPr="007114AF">
        <w:rPr>
          <w:rFonts w:ascii="Garamond" w:hAnsi="Garamond"/>
          <w:sz w:val="24"/>
          <w:szCs w:val="24"/>
        </w:rPr>
        <w:t xml:space="preserve">dhe sërish në vitin 2007. Po ashtu, duhet vënë në dukje roli pozitiv në gjenerimin e energjisë elektrike gjatë viteve me reshje, që jo vetëm plotëson kërkesën e brendshme për energji elektrike, por gjithashtu mund të eksportohet (për shembull, në vitin 2010). Potencial total i hidroenergjisë vlerësohet në 4500 </w:t>
      </w:r>
      <w:r w:rsidR="00527188" w:rsidRPr="007114AF">
        <w:rPr>
          <w:rFonts w:ascii="Garamond" w:hAnsi="Garamond"/>
          <w:sz w:val="24"/>
          <w:szCs w:val="24"/>
        </w:rPr>
        <w:t xml:space="preserve">mw </w:t>
      </w:r>
      <w:r w:rsidRPr="007114AF">
        <w:rPr>
          <w:rFonts w:ascii="Garamond" w:hAnsi="Garamond"/>
          <w:sz w:val="24"/>
          <w:szCs w:val="24"/>
        </w:rPr>
        <w:t>(me gjenerim total të energjisë elektrike të barabartë me 50-58 PJ/vit). Aktualisht vendi ka shfrytëzuar vetëm 35% të potencialit të tij hidroenergjetik. Hidrocentralet të vendosura dhe të lidhura në kaskadën e lumit Drin, përfaqësojnë rreth 90% të gjenerimit total të energjisë elektrike në vend. Në vitin 2015, 75.9% e energjisë elektrike u prodhua në vend nga tre hidrocentrale publike të kaskadës së lumit Drin dhe diferenca prej 24.1% u prodhua nga hidrocentrale private dhe me koncesion(të dhëna të ERE-s).</w:t>
      </w:r>
    </w:p>
    <w:p w14:paraId="6EDCF4D9" w14:textId="77777777" w:rsidR="004504DC" w:rsidRPr="007114AF" w:rsidRDefault="004504DC" w:rsidP="002E065A">
      <w:pPr>
        <w:spacing w:after="0" w:line="240" w:lineRule="auto"/>
        <w:ind w:firstLine="284"/>
        <w:jc w:val="left"/>
        <w:rPr>
          <w:rFonts w:ascii="Garamond" w:hAnsi="Garamond"/>
          <w:sz w:val="24"/>
          <w:szCs w:val="24"/>
        </w:rPr>
      </w:pPr>
    </w:p>
    <w:p w14:paraId="6EDCF4DA" w14:textId="77777777" w:rsidR="00701834" w:rsidRPr="007114AF" w:rsidRDefault="00701834" w:rsidP="00701834">
      <w:pPr>
        <w:spacing w:after="0" w:line="240" w:lineRule="auto"/>
        <w:ind w:firstLine="284"/>
        <w:jc w:val="center"/>
        <w:rPr>
          <w:rFonts w:ascii="Garamond" w:hAnsi="Garamond"/>
          <w:sz w:val="24"/>
          <w:szCs w:val="24"/>
        </w:rPr>
      </w:pPr>
    </w:p>
    <w:p w14:paraId="6EDCF4DB" w14:textId="77777777" w:rsidR="00701834" w:rsidRPr="007114AF" w:rsidRDefault="00701834" w:rsidP="00701834">
      <w:pPr>
        <w:spacing w:after="0" w:line="240" w:lineRule="auto"/>
        <w:ind w:firstLine="284"/>
        <w:jc w:val="center"/>
        <w:rPr>
          <w:rFonts w:ascii="Garamond" w:hAnsi="Garamond"/>
          <w:sz w:val="24"/>
          <w:szCs w:val="24"/>
        </w:rPr>
      </w:pPr>
      <w:r w:rsidRPr="007114AF">
        <w:rPr>
          <w:rFonts w:ascii="Garamond" w:hAnsi="Garamond"/>
          <w:noProof/>
          <w:lang w:val="en-US" w:eastAsia="en-US"/>
        </w:rPr>
        <w:drawing>
          <wp:inline distT="0" distB="0" distL="0" distR="0" wp14:anchorId="6EDD1788" wp14:editId="6EDD1789">
            <wp:extent cx="5440725" cy="3130550"/>
            <wp:effectExtent l="0" t="0" r="762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40725" cy="3130550"/>
                    </a:xfrm>
                    <a:prstGeom prst="rect">
                      <a:avLst/>
                    </a:prstGeom>
                    <a:noFill/>
                    <a:ln>
                      <a:noFill/>
                    </a:ln>
                  </pic:spPr>
                </pic:pic>
              </a:graphicData>
            </a:graphic>
          </wp:inline>
        </w:drawing>
      </w:r>
    </w:p>
    <w:p w14:paraId="6EDCF4DC" w14:textId="77777777" w:rsidR="00701834" w:rsidRPr="007114AF" w:rsidRDefault="00701834" w:rsidP="00701834">
      <w:pPr>
        <w:spacing w:after="0" w:line="240" w:lineRule="auto"/>
        <w:ind w:firstLine="284"/>
        <w:jc w:val="center"/>
        <w:rPr>
          <w:rFonts w:ascii="Garamond" w:hAnsi="Garamond"/>
          <w:sz w:val="24"/>
          <w:szCs w:val="24"/>
        </w:rPr>
      </w:pPr>
    </w:p>
    <w:p w14:paraId="6EDCF4DD" w14:textId="3945DA1F" w:rsidR="00D83CDA" w:rsidRPr="007114AF" w:rsidRDefault="00D83CDA" w:rsidP="00164B6B">
      <w:pPr>
        <w:pStyle w:val="FIGURA"/>
        <w:rPr>
          <w:rFonts w:eastAsia="Calibri"/>
          <w:sz w:val="20"/>
          <w:szCs w:val="20"/>
          <w:lang w:eastAsia="en-US"/>
        </w:rPr>
      </w:pPr>
      <w:r w:rsidRPr="007114AF">
        <w:rPr>
          <w:rFonts w:eastAsia="Calibri"/>
          <w:sz w:val="20"/>
          <w:szCs w:val="20"/>
          <w:lang w:eastAsia="en-US"/>
        </w:rPr>
        <w:t>Figura 5</w:t>
      </w:r>
      <w:r w:rsidR="005460C5" w:rsidRPr="007114AF">
        <w:rPr>
          <w:rFonts w:eastAsia="Calibri"/>
          <w:sz w:val="20"/>
          <w:szCs w:val="20"/>
          <w:lang w:eastAsia="en-US"/>
        </w:rPr>
        <w:t xml:space="preserve"> </w:t>
      </w:r>
      <w:r w:rsidRPr="007114AF">
        <w:rPr>
          <w:rFonts w:eastAsia="Calibri"/>
          <w:sz w:val="20"/>
          <w:szCs w:val="20"/>
          <w:lang w:eastAsia="en-US"/>
        </w:rPr>
        <w:t>–</w:t>
      </w:r>
      <w:r w:rsidR="005460C5" w:rsidRPr="007114AF">
        <w:rPr>
          <w:rFonts w:eastAsia="Calibri"/>
          <w:sz w:val="20"/>
          <w:szCs w:val="20"/>
          <w:lang w:eastAsia="en-US"/>
        </w:rPr>
        <w:t xml:space="preserve"> </w:t>
      </w:r>
      <w:r w:rsidRPr="007114AF">
        <w:rPr>
          <w:rFonts w:eastAsia="Calibri"/>
          <w:sz w:val="20"/>
          <w:szCs w:val="20"/>
          <w:lang w:eastAsia="en-US"/>
        </w:rPr>
        <w:t xml:space="preserve">Furnizimi </w:t>
      </w:r>
      <w:r w:rsidR="005460C5" w:rsidRPr="007114AF">
        <w:rPr>
          <w:rFonts w:eastAsia="Calibri"/>
          <w:sz w:val="20"/>
          <w:szCs w:val="20"/>
          <w:lang w:eastAsia="en-US"/>
        </w:rPr>
        <w:t>total me energji elektrike në</w:t>
      </w:r>
      <w:r w:rsidRPr="007114AF">
        <w:rPr>
          <w:rFonts w:eastAsia="Calibri"/>
          <w:sz w:val="20"/>
          <w:szCs w:val="20"/>
          <w:lang w:eastAsia="en-US"/>
        </w:rPr>
        <w:t xml:space="preserve"> Shqipëri (GWh/vit) (Burimi: AKBN, 2013)</w:t>
      </w:r>
    </w:p>
    <w:p w14:paraId="48C9913F" w14:textId="77777777" w:rsidR="005460C5" w:rsidRPr="007114AF" w:rsidRDefault="005460C5" w:rsidP="00D83CDA">
      <w:pPr>
        <w:spacing w:after="0" w:line="240" w:lineRule="auto"/>
        <w:ind w:firstLine="284"/>
        <w:rPr>
          <w:rFonts w:ascii="Garamond" w:hAnsi="Garamond"/>
          <w:sz w:val="24"/>
          <w:szCs w:val="24"/>
        </w:rPr>
      </w:pPr>
    </w:p>
    <w:p w14:paraId="6EDCF4DE" w14:textId="6D6DA9B4" w:rsidR="00D83CDA" w:rsidRPr="007114AF" w:rsidRDefault="00D83CDA" w:rsidP="00D83CDA">
      <w:pPr>
        <w:spacing w:after="0" w:line="240" w:lineRule="auto"/>
        <w:ind w:firstLine="284"/>
        <w:rPr>
          <w:rFonts w:ascii="Garamond" w:hAnsi="Garamond"/>
          <w:sz w:val="24"/>
          <w:szCs w:val="24"/>
        </w:rPr>
      </w:pPr>
      <w:r w:rsidRPr="007114AF">
        <w:rPr>
          <w:rFonts w:ascii="Garamond" w:hAnsi="Garamond"/>
          <w:sz w:val="24"/>
          <w:szCs w:val="24"/>
        </w:rPr>
        <w:t>Figura 5, më lart, tregon furnizimin e Shqipërisë me energji elektrike në periudhën 1985-2013. Ndryshimi në prodhimin e energjisë elektrike mund t</w:t>
      </w:r>
      <w:r w:rsidR="00D10DAB" w:rsidRPr="007114AF">
        <w:rPr>
          <w:rFonts w:ascii="Garamond" w:hAnsi="Garamond"/>
          <w:sz w:val="24"/>
          <w:szCs w:val="24"/>
        </w:rPr>
        <w:t>’</w:t>
      </w:r>
      <w:r w:rsidRPr="007114AF">
        <w:rPr>
          <w:rFonts w:ascii="Garamond" w:hAnsi="Garamond"/>
          <w:sz w:val="24"/>
          <w:szCs w:val="24"/>
        </w:rPr>
        <w:t>i atribuohet prodhimit të luhatur hidroenergjetik. Termocentralet me naftë kanë kontribuuar shumë në prodhimin e energjisë në vend deri në vitin 1990, por më pas prodhimi i tyre u reduktua shumë dhe shumica e tyre aktualisht janë jashtë përdorimit. Gjatë vitit 2015, nuk u prodhua energji elektrike nga termocentrali i Vlorës (TEC). Ky TEC</w:t>
      </w:r>
      <w:r w:rsidR="005460C5" w:rsidRPr="007114AF">
        <w:rPr>
          <w:rFonts w:ascii="Garamond" w:hAnsi="Garamond"/>
          <w:sz w:val="24"/>
          <w:szCs w:val="24"/>
        </w:rPr>
        <w:t xml:space="preserve"> </w:t>
      </w:r>
      <w:r w:rsidRPr="007114AF">
        <w:rPr>
          <w:rFonts w:ascii="Garamond" w:hAnsi="Garamond"/>
          <w:sz w:val="24"/>
          <w:szCs w:val="24"/>
        </w:rPr>
        <w:t>pritej të vihej në punë në vitin 2011, por për shkak të problemeve teknike të gjetura gjatë fazës së testimit, Vlora TEC</w:t>
      </w:r>
      <w:r w:rsidR="005460C5" w:rsidRPr="007114AF">
        <w:rPr>
          <w:rFonts w:ascii="Garamond" w:hAnsi="Garamond"/>
          <w:sz w:val="24"/>
          <w:szCs w:val="24"/>
        </w:rPr>
        <w:t xml:space="preserve"> </w:t>
      </w:r>
      <w:r w:rsidRPr="007114AF">
        <w:rPr>
          <w:rFonts w:ascii="Garamond" w:hAnsi="Garamond"/>
          <w:sz w:val="24"/>
          <w:szCs w:val="24"/>
        </w:rPr>
        <w:t>ende nuk është vënë në punë. Konvertimi i Vlorës (TEC) në gaz natyror pritet në planet aktuale për centralin, duke pasur parasysh ndërtimin e TAP-it (Gazsjellësit Trans-Adriatik), që mund të sjellë diversifikimin e burimeve të energjisë, duke reduktuar varësinë nga kushtet hidrologjike.</w:t>
      </w:r>
    </w:p>
    <w:p w14:paraId="6EDCF4DF" w14:textId="77777777" w:rsidR="00D83CDA" w:rsidRPr="007114AF" w:rsidRDefault="00D83CDA" w:rsidP="00D83CDA">
      <w:pPr>
        <w:spacing w:after="0" w:line="240" w:lineRule="auto"/>
        <w:ind w:firstLine="284"/>
        <w:rPr>
          <w:rFonts w:ascii="Garamond" w:hAnsi="Garamond"/>
          <w:sz w:val="24"/>
          <w:szCs w:val="24"/>
        </w:rPr>
      </w:pPr>
      <w:r w:rsidRPr="007114AF">
        <w:rPr>
          <w:rFonts w:ascii="Garamond" w:hAnsi="Garamond"/>
          <w:sz w:val="24"/>
          <w:szCs w:val="24"/>
        </w:rPr>
        <w:t xml:space="preserve">Zgjerimi i ardhshëm i kapacitetit hidroenergjetik planifikohet kryesisht, përgjatë lumenjve Mat, Vjosë, Devoll dhe Bistricë. Veç kësaj, Qeveria shqiptare po fokusohet në diversifikimin e furnizimit me energji dhe promovimin e burimeve të tjera të rinovueshme të energjisë, si biomasa, energjia diellore dhe ajo e erës. </w:t>
      </w:r>
    </w:p>
    <w:p w14:paraId="6EDCF4E0" w14:textId="1F6812B9" w:rsidR="00D83CDA" w:rsidRPr="007114AF" w:rsidRDefault="00D83CDA" w:rsidP="00D83CDA">
      <w:pPr>
        <w:spacing w:after="0" w:line="240" w:lineRule="auto"/>
        <w:ind w:firstLine="284"/>
        <w:rPr>
          <w:rFonts w:ascii="Garamond" w:hAnsi="Garamond"/>
          <w:sz w:val="24"/>
          <w:szCs w:val="24"/>
        </w:rPr>
      </w:pPr>
      <w:r w:rsidRPr="007114AF">
        <w:rPr>
          <w:rFonts w:ascii="Garamond" w:hAnsi="Garamond"/>
          <w:sz w:val="24"/>
          <w:szCs w:val="24"/>
        </w:rPr>
        <w:t xml:space="preserve">Për të mbuluar nevojat, Shqipëria importon energji elektrike nga vendet fqinje, ndonëse importet kanë rënë në mënyrë progresive gjatë dhjetë viteve të fundit, duke ndjekur rritjen e gjenerimit vendas të energjisë dhe reduktimin e humbjeve të energjisë elektrike (nga 45.04% në vitin 2013 në 31.34% në fund të vitit 2015), pas disa masave të marra nga qeveria për lehtësimin e zbatimit të projektit </w:t>
      </w:r>
      <w:r w:rsidR="000A2A01" w:rsidRPr="007114AF">
        <w:rPr>
          <w:rFonts w:ascii="Garamond" w:hAnsi="Garamond"/>
          <w:sz w:val="24"/>
          <w:szCs w:val="24"/>
        </w:rPr>
        <w:t>“</w:t>
      </w:r>
      <w:r w:rsidRPr="007114AF">
        <w:rPr>
          <w:rFonts w:ascii="Garamond" w:hAnsi="Garamond"/>
          <w:sz w:val="24"/>
          <w:szCs w:val="24"/>
        </w:rPr>
        <w:t>Rimëkëmbja e Sektorit Energjetik</w:t>
      </w:r>
      <w:r w:rsidR="000A2A01" w:rsidRPr="007114AF">
        <w:rPr>
          <w:rFonts w:ascii="Garamond" w:hAnsi="Garamond"/>
          <w:sz w:val="24"/>
          <w:szCs w:val="24"/>
        </w:rPr>
        <w:t>”</w:t>
      </w:r>
      <w:r w:rsidRPr="007114AF">
        <w:rPr>
          <w:rFonts w:ascii="Garamond" w:hAnsi="Garamond"/>
          <w:sz w:val="24"/>
          <w:szCs w:val="24"/>
        </w:rPr>
        <w:t xml:space="preserve"> dhe punës riorganizuese të kohëve të fundit të kryer në rrjetet transmetim-shpërndarjes,</w:t>
      </w:r>
      <w:r w:rsidR="000A2A01" w:rsidRPr="007114AF">
        <w:rPr>
          <w:rFonts w:ascii="Garamond" w:hAnsi="Garamond"/>
          <w:sz w:val="24"/>
          <w:szCs w:val="24"/>
        </w:rPr>
        <w:t xml:space="preserve"> </w:t>
      </w:r>
      <w:r w:rsidRPr="007114AF">
        <w:rPr>
          <w:rFonts w:ascii="Garamond" w:hAnsi="Garamond"/>
          <w:sz w:val="24"/>
          <w:szCs w:val="24"/>
        </w:rPr>
        <w:t>gjatë viteve 2014-2015.</w:t>
      </w:r>
    </w:p>
    <w:p w14:paraId="6EDCF4E1" w14:textId="5364CB21" w:rsidR="00D83CDA" w:rsidRPr="007114AF" w:rsidRDefault="00D83CDA" w:rsidP="00D83CDA">
      <w:pPr>
        <w:spacing w:after="0" w:line="240" w:lineRule="auto"/>
        <w:ind w:firstLine="284"/>
        <w:rPr>
          <w:rFonts w:ascii="Garamond" w:hAnsi="Garamond"/>
          <w:sz w:val="24"/>
          <w:szCs w:val="24"/>
        </w:rPr>
      </w:pPr>
      <w:r w:rsidRPr="007114AF">
        <w:rPr>
          <w:rFonts w:ascii="Garamond" w:hAnsi="Garamond"/>
          <w:sz w:val="24"/>
          <w:szCs w:val="24"/>
        </w:rPr>
        <w:t>Në vitin 2012, konsumi total final me energji në Shqipëri arriti 79.7 PJ (Figura 4), ku energjia elektrike dhe produktet e naftës zunë afërsisht 80%. Analiza e konsumit final të energjisë nga lëndët djegëse zbulon mbizotërimin</w:t>
      </w:r>
      <w:r w:rsidR="005460C5" w:rsidRPr="007114AF">
        <w:rPr>
          <w:rFonts w:ascii="Garamond" w:hAnsi="Garamond"/>
          <w:sz w:val="24"/>
          <w:szCs w:val="24"/>
        </w:rPr>
        <w:t xml:space="preserve"> </w:t>
      </w:r>
      <w:r w:rsidRPr="007114AF">
        <w:rPr>
          <w:rFonts w:ascii="Garamond" w:hAnsi="Garamond"/>
          <w:sz w:val="24"/>
          <w:szCs w:val="24"/>
        </w:rPr>
        <w:t>e produkteve të naftës. Nga vitit 1990 deri në 1995, mund të vërehet një rënie e mprehtë në kontributin e lëndëve djegëse të ngurta, pra qymyrit dhe gazit natyror. Qymyri u përdor për të mbuluar një pjesë të madhe të konsumit total final të vendit, por pjesa e tij u reduktua në fillim të vitit 1990. Biomasa,</w:t>
      </w:r>
      <w:r w:rsidR="005460C5" w:rsidRPr="007114AF">
        <w:rPr>
          <w:rFonts w:ascii="Garamond" w:hAnsi="Garamond"/>
          <w:sz w:val="24"/>
          <w:szCs w:val="24"/>
        </w:rPr>
        <w:t xml:space="preserve"> </w:t>
      </w:r>
      <w:r w:rsidRPr="007114AF">
        <w:rPr>
          <w:rFonts w:ascii="Garamond" w:hAnsi="Garamond"/>
          <w:sz w:val="24"/>
          <w:szCs w:val="24"/>
        </w:rPr>
        <w:t xml:space="preserve">kryesisht dru zjarri – ka luajtur një rol me rëndësi ndër vite, duke qenë burimi kryesor i energjisë së përdorur për ngrohje mjedisi dhe gatim, kryesisht në banesat rurale. </w:t>
      </w:r>
    </w:p>
    <w:p w14:paraId="6EDCF4E2" w14:textId="77777777" w:rsidR="00220111" w:rsidRPr="007114AF" w:rsidRDefault="00220111" w:rsidP="00D83CDA">
      <w:pPr>
        <w:spacing w:after="0" w:line="240" w:lineRule="auto"/>
        <w:ind w:firstLine="284"/>
        <w:rPr>
          <w:rFonts w:ascii="Garamond" w:hAnsi="Garamond"/>
          <w:sz w:val="24"/>
          <w:szCs w:val="24"/>
        </w:rPr>
      </w:pPr>
    </w:p>
    <w:p w14:paraId="6EDCF4E3" w14:textId="77777777" w:rsidR="00220111" w:rsidRPr="007114AF" w:rsidRDefault="00220111" w:rsidP="00D83CDA">
      <w:pPr>
        <w:spacing w:after="0" w:line="240" w:lineRule="auto"/>
        <w:ind w:firstLine="284"/>
        <w:rPr>
          <w:rFonts w:ascii="Garamond" w:hAnsi="Garamond"/>
          <w:sz w:val="24"/>
          <w:szCs w:val="24"/>
        </w:rPr>
      </w:pPr>
    </w:p>
    <w:p w14:paraId="6EDCF4E4" w14:textId="77777777" w:rsidR="00220111" w:rsidRPr="007114AF" w:rsidRDefault="00220111" w:rsidP="00D83CDA">
      <w:pPr>
        <w:spacing w:after="0" w:line="240" w:lineRule="auto"/>
        <w:ind w:firstLine="284"/>
        <w:rPr>
          <w:rFonts w:ascii="Garamond" w:hAnsi="Garamond"/>
          <w:sz w:val="24"/>
          <w:szCs w:val="24"/>
        </w:rPr>
      </w:pPr>
    </w:p>
    <w:p w14:paraId="6EDCF4E5" w14:textId="77777777" w:rsidR="00220111" w:rsidRPr="007114AF" w:rsidRDefault="00220111" w:rsidP="00220111">
      <w:pPr>
        <w:spacing w:after="200"/>
        <w:rPr>
          <w:rFonts w:ascii="Garamond" w:hAnsi="Garamond"/>
        </w:rPr>
      </w:pPr>
    </w:p>
    <w:tbl>
      <w:tblPr>
        <w:tblpPr w:leftFromText="180" w:rightFromText="180" w:vertAnchor="text" w:horzAnchor="margin" w:tblpY="-74"/>
        <w:tblW w:w="9498" w:type="dxa"/>
        <w:tblLayout w:type="fixed"/>
        <w:tblLook w:val="00A0" w:firstRow="1" w:lastRow="0" w:firstColumn="1" w:lastColumn="0" w:noHBand="0" w:noVBand="0"/>
      </w:tblPr>
      <w:tblGrid>
        <w:gridCol w:w="4750"/>
        <w:gridCol w:w="4748"/>
      </w:tblGrid>
      <w:tr w:rsidR="00220111" w:rsidRPr="007114AF" w14:paraId="6EDCF4EA" w14:textId="77777777" w:rsidTr="008F17E8">
        <w:trPr>
          <w:trHeight w:val="3937"/>
        </w:trPr>
        <w:tc>
          <w:tcPr>
            <w:tcW w:w="4750" w:type="dxa"/>
            <w:hideMark/>
          </w:tcPr>
          <w:p w14:paraId="6EDCF4E6" w14:textId="77777777" w:rsidR="00220111" w:rsidRPr="007114AF" w:rsidRDefault="00220111" w:rsidP="008F17E8">
            <w:pPr>
              <w:rPr>
                <w:rFonts w:ascii="Garamond" w:hAnsi="Garamond"/>
              </w:rPr>
            </w:pPr>
            <w:r w:rsidRPr="007114AF">
              <w:rPr>
                <w:rFonts w:ascii="Garamond" w:hAnsi="Garamond"/>
                <w:noProof/>
                <w:lang w:val="en-US" w:eastAsia="en-US"/>
              </w:rPr>
              <w:drawing>
                <wp:inline distT="0" distB="0" distL="0" distR="0" wp14:anchorId="6EDD178A" wp14:editId="6EDD178B">
                  <wp:extent cx="2846567" cy="2560320"/>
                  <wp:effectExtent l="0" t="0" r="0" b="0"/>
                  <wp:docPr id="1"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1150" cy="2564442"/>
                          </a:xfrm>
                          <a:prstGeom prst="rect">
                            <a:avLst/>
                          </a:prstGeom>
                          <a:noFill/>
                          <a:ln>
                            <a:noFill/>
                          </a:ln>
                        </pic:spPr>
                      </pic:pic>
                    </a:graphicData>
                  </a:graphic>
                </wp:inline>
              </w:drawing>
            </w:r>
          </w:p>
          <w:p w14:paraId="6EDCF4E7" w14:textId="513896AF" w:rsidR="00220111" w:rsidRPr="007114AF" w:rsidRDefault="00220111" w:rsidP="000327A8">
            <w:pPr>
              <w:pStyle w:val="FIGURA"/>
              <w:rPr>
                <w:sz w:val="20"/>
                <w:szCs w:val="20"/>
              </w:rPr>
            </w:pPr>
            <w:r w:rsidRPr="007114AF">
              <w:rPr>
                <w:sz w:val="20"/>
                <w:szCs w:val="20"/>
              </w:rPr>
              <w:t>Figura</w:t>
            </w:r>
            <w:r w:rsidR="00164B6B"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6</w:t>
            </w:r>
            <w:r w:rsidRPr="007114AF">
              <w:rPr>
                <w:sz w:val="20"/>
                <w:szCs w:val="20"/>
              </w:rPr>
              <w:fldChar w:fldCharType="end"/>
            </w:r>
            <w:r w:rsidR="00527188">
              <w:rPr>
                <w:sz w:val="20"/>
                <w:szCs w:val="20"/>
              </w:rPr>
              <w:t xml:space="preserve"> </w:t>
            </w:r>
            <w:r w:rsidRPr="007114AF">
              <w:rPr>
                <w:sz w:val="20"/>
                <w:szCs w:val="20"/>
              </w:rPr>
              <w:t>–</w:t>
            </w:r>
            <w:r w:rsidR="00527188">
              <w:rPr>
                <w:sz w:val="20"/>
                <w:szCs w:val="20"/>
              </w:rPr>
              <w:t xml:space="preserve"> </w:t>
            </w:r>
            <w:r w:rsidRPr="007114AF">
              <w:rPr>
                <w:sz w:val="20"/>
                <w:szCs w:val="20"/>
              </w:rPr>
              <w:t xml:space="preserve">Konsumi </w:t>
            </w:r>
            <w:r w:rsidRPr="007114AF">
              <w:rPr>
                <w:rFonts w:eastAsia="Calibri"/>
                <w:sz w:val="20"/>
                <w:szCs w:val="20"/>
                <w:lang w:eastAsia="en-US"/>
              </w:rPr>
              <w:t>Final i Energjisë nga Lëndët Djegëse (Burimi: AKBN, 2012)</w:t>
            </w:r>
          </w:p>
        </w:tc>
        <w:tc>
          <w:tcPr>
            <w:tcW w:w="4748" w:type="dxa"/>
            <w:hideMark/>
          </w:tcPr>
          <w:p w14:paraId="6EDCF4E8" w14:textId="77777777" w:rsidR="00220111" w:rsidRPr="007114AF" w:rsidRDefault="00220111" w:rsidP="008F17E8">
            <w:pPr>
              <w:rPr>
                <w:rFonts w:ascii="Garamond" w:hAnsi="Garamond"/>
              </w:rPr>
            </w:pPr>
            <w:r w:rsidRPr="007114AF">
              <w:rPr>
                <w:rFonts w:ascii="Garamond" w:hAnsi="Garamond"/>
                <w:noProof/>
                <w:lang w:val="en-US" w:eastAsia="en-US"/>
              </w:rPr>
              <w:drawing>
                <wp:inline distT="0" distB="0" distL="0" distR="0" wp14:anchorId="6EDD178C" wp14:editId="6EDD178D">
                  <wp:extent cx="2876550" cy="2565400"/>
                  <wp:effectExtent l="0" t="0" r="0" b="6350"/>
                  <wp:docPr id="3"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6550" cy="2565400"/>
                          </a:xfrm>
                          <a:prstGeom prst="rect">
                            <a:avLst/>
                          </a:prstGeom>
                          <a:noFill/>
                          <a:ln>
                            <a:noFill/>
                          </a:ln>
                        </pic:spPr>
                      </pic:pic>
                    </a:graphicData>
                  </a:graphic>
                </wp:inline>
              </w:drawing>
            </w:r>
          </w:p>
          <w:p w14:paraId="6EDCF4E9" w14:textId="3CDBEF34" w:rsidR="00220111" w:rsidRPr="007114AF" w:rsidRDefault="00220111" w:rsidP="000327A8">
            <w:pPr>
              <w:pStyle w:val="FIGURA"/>
              <w:rPr>
                <w:sz w:val="20"/>
                <w:szCs w:val="20"/>
              </w:rPr>
            </w:pPr>
            <w:r w:rsidRPr="007114AF">
              <w:rPr>
                <w:sz w:val="20"/>
                <w:szCs w:val="20"/>
              </w:rPr>
              <w:t>Figura</w:t>
            </w:r>
            <w:r w:rsidR="00164B6B"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7</w:t>
            </w:r>
            <w:r w:rsidRPr="007114AF">
              <w:rPr>
                <w:sz w:val="20"/>
                <w:szCs w:val="20"/>
              </w:rPr>
              <w:fldChar w:fldCharType="end"/>
            </w:r>
            <w:r w:rsidR="00527188">
              <w:rPr>
                <w:sz w:val="20"/>
                <w:szCs w:val="20"/>
              </w:rPr>
              <w:t xml:space="preserve"> </w:t>
            </w:r>
            <w:r w:rsidRPr="007114AF">
              <w:rPr>
                <w:sz w:val="20"/>
                <w:szCs w:val="20"/>
              </w:rPr>
              <w:t>–</w:t>
            </w:r>
            <w:r w:rsidR="00527188">
              <w:rPr>
                <w:sz w:val="20"/>
                <w:szCs w:val="20"/>
              </w:rPr>
              <w:t xml:space="preserve"> </w:t>
            </w:r>
            <w:r w:rsidRPr="007114AF">
              <w:rPr>
                <w:sz w:val="20"/>
                <w:szCs w:val="20"/>
              </w:rPr>
              <w:t xml:space="preserve">Konsumi </w:t>
            </w:r>
            <w:r w:rsidRPr="007114AF">
              <w:rPr>
                <w:rFonts w:eastAsia="Calibri"/>
                <w:sz w:val="20"/>
                <w:szCs w:val="20"/>
                <w:lang w:eastAsia="en-US"/>
              </w:rPr>
              <w:t>Final i Energjisë sipas Sektorëve (Burimi: AKBN, 2012)</w:t>
            </w:r>
          </w:p>
        </w:tc>
      </w:tr>
      <w:tr w:rsidR="00220111" w:rsidRPr="007114AF" w14:paraId="6EDCF4ED" w14:textId="77777777" w:rsidTr="008F17E8">
        <w:trPr>
          <w:trHeight w:val="643"/>
        </w:trPr>
        <w:tc>
          <w:tcPr>
            <w:tcW w:w="4750" w:type="dxa"/>
            <w:vAlign w:val="center"/>
          </w:tcPr>
          <w:p w14:paraId="6EDCF4EB" w14:textId="77777777" w:rsidR="00220111" w:rsidRPr="007114AF" w:rsidRDefault="00220111" w:rsidP="008F17E8">
            <w:pPr>
              <w:pStyle w:val="Caption"/>
              <w:rPr>
                <w:rFonts w:ascii="Garamond" w:eastAsia="Calibri" w:hAnsi="Garamond"/>
                <w:lang w:eastAsia="en-US"/>
              </w:rPr>
            </w:pPr>
          </w:p>
        </w:tc>
        <w:tc>
          <w:tcPr>
            <w:tcW w:w="4748" w:type="dxa"/>
          </w:tcPr>
          <w:p w14:paraId="6EDCF4EC" w14:textId="77777777" w:rsidR="00220111" w:rsidRPr="007114AF" w:rsidRDefault="00220111" w:rsidP="008F17E8">
            <w:pPr>
              <w:pStyle w:val="Caption"/>
              <w:rPr>
                <w:rFonts w:ascii="Garamond" w:eastAsia="Calibri" w:hAnsi="Garamond"/>
                <w:lang w:eastAsia="en-US"/>
              </w:rPr>
            </w:pPr>
          </w:p>
        </w:tc>
      </w:tr>
      <w:tr w:rsidR="00220111" w:rsidRPr="007114AF" w14:paraId="6EDCF4F2" w14:textId="77777777" w:rsidTr="008F17E8">
        <w:trPr>
          <w:trHeight w:val="3937"/>
        </w:trPr>
        <w:tc>
          <w:tcPr>
            <w:tcW w:w="4750" w:type="dxa"/>
            <w:hideMark/>
          </w:tcPr>
          <w:p w14:paraId="6EDCF4EE" w14:textId="77777777" w:rsidR="00220111" w:rsidRPr="007114AF" w:rsidRDefault="00220111" w:rsidP="008F17E8">
            <w:pPr>
              <w:spacing w:after="200"/>
              <w:rPr>
                <w:rFonts w:ascii="Garamond" w:hAnsi="Garamond"/>
              </w:rPr>
            </w:pPr>
            <w:r w:rsidRPr="007114AF">
              <w:rPr>
                <w:rFonts w:ascii="Garamond" w:hAnsi="Garamond"/>
                <w:noProof/>
                <w:lang w:val="en-US" w:eastAsia="en-US"/>
              </w:rPr>
              <w:drawing>
                <wp:inline distT="0" distB="0" distL="0" distR="0" wp14:anchorId="6EDD178E" wp14:editId="6EDD178F">
                  <wp:extent cx="2943225" cy="3101340"/>
                  <wp:effectExtent l="0" t="0" r="952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43225" cy="3101340"/>
                          </a:xfrm>
                          <a:prstGeom prst="rect">
                            <a:avLst/>
                          </a:prstGeom>
                          <a:noFill/>
                        </pic:spPr>
                      </pic:pic>
                    </a:graphicData>
                  </a:graphic>
                </wp:inline>
              </w:drawing>
            </w:r>
          </w:p>
          <w:p w14:paraId="6EDCF4EF" w14:textId="7B7585DB" w:rsidR="00220111" w:rsidRPr="007114AF" w:rsidRDefault="00220111" w:rsidP="00164B6B">
            <w:pPr>
              <w:pStyle w:val="FIGURA"/>
              <w:rPr>
                <w:sz w:val="20"/>
                <w:szCs w:val="20"/>
              </w:rPr>
            </w:pPr>
            <w:r w:rsidRPr="007114AF">
              <w:rPr>
                <w:sz w:val="20"/>
                <w:szCs w:val="20"/>
              </w:rPr>
              <w:t>Figura</w:t>
            </w:r>
            <w:r w:rsidR="00164B6B"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8</w:t>
            </w:r>
            <w:r w:rsidRPr="007114AF">
              <w:rPr>
                <w:sz w:val="20"/>
                <w:szCs w:val="20"/>
              </w:rPr>
              <w:fldChar w:fldCharType="end"/>
            </w:r>
            <w:r w:rsidR="00527188">
              <w:rPr>
                <w:sz w:val="20"/>
                <w:szCs w:val="20"/>
              </w:rPr>
              <w:t xml:space="preserve"> </w:t>
            </w:r>
            <w:r w:rsidRPr="007114AF">
              <w:rPr>
                <w:sz w:val="20"/>
                <w:szCs w:val="20"/>
              </w:rPr>
              <w:t>–</w:t>
            </w:r>
            <w:r w:rsidR="00527188">
              <w:rPr>
                <w:sz w:val="20"/>
                <w:szCs w:val="20"/>
              </w:rPr>
              <w:t xml:space="preserve"> </w:t>
            </w:r>
            <w:r w:rsidRPr="007114AF">
              <w:rPr>
                <w:sz w:val="20"/>
                <w:szCs w:val="20"/>
              </w:rPr>
              <w:t xml:space="preserve">Konsumi </w:t>
            </w:r>
            <w:r w:rsidRPr="007114AF">
              <w:rPr>
                <w:rFonts w:eastAsia="Calibri"/>
                <w:sz w:val="20"/>
                <w:szCs w:val="20"/>
                <w:lang w:eastAsia="en-US"/>
              </w:rPr>
              <w:t xml:space="preserve">Final i Energjisë sipas Lëndës Djegëse (Burimi: AKBN – Balancat Vjetore të Energjisë –përfshirë gjithë produktet e naftës) </w:t>
            </w:r>
          </w:p>
        </w:tc>
        <w:tc>
          <w:tcPr>
            <w:tcW w:w="4748" w:type="dxa"/>
            <w:hideMark/>
          </w:tcPr>
          <w:p w14:paraId="6EDCF4F0" w14:textId="77777777" w:rsidR="00220111" w:rsidRPr="007114AF" w:rsidRDefault="00220111" w:rsidP="008F17E8">
            <w:pPr>
              <w:spacing w:after="200"/>
              <w:rPr>
                <w:rFonts w:ascii="Garamond" w:hAnsi="Garamond"/>
              </w:rPr>
            </w:pPr>
            <w:r w:rsidRPr="007114AF">
              <w:rPr>
                <w:rFonts w:ascii="Garamond" w:hAnsi="Garamond"/>
                <w:noProof/>
                <w:lang w:val="en-US" w:eastAsia="en-US"/>
              </w:rPr>
              <w:drawing>
                <wp:inline distT="0" distB="0" distL="0" distR="0" wp14:anchorId="6EDD1790" wp14:editId="6EDD1791">
                  <wp:extent cx="3032760" cy="3124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32760" cy="3124200"/>
                          </a:xfrm>
                          <a:prstGeom prst="rect">
                            <a:avLst/>
                          </a:prstGeom>
                          <a:noFill/>
                        </pic:spPr>
                      </pic:pic>
                    </a:graphicData>
                  </a:graphic>
                </wp:inline>
              </w:drawing>
            </w:r>
          </w:p>
          <w:p w14:paraId="6EDCF4F1" w14:textId="53E9FA77" w:rsidR="00220111" w:rsidRPr="007114AF" w:rsidRDefault="00220111" w:rsidP="000327A8">
            <w:pPr>
              <w:pStyle w:val="FIGURA"/>
              <w:rPr>
                <w:sz w:val="20"/>
                <w:szCs w:val="20"/>
              </w:rPr>
            </w:pPr>
            <w:r w:rsidRPr="007114AF">
              <w:rPr>
                <w:sz w:val="20"/>
                <w:szCs w:val="20"/>
              </w:rPr>
              <w:t>Figura</w:t>
            </w:r>
            <w:r w:rsidR="00164B6B"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9</w:t>
            </w:r>
            <w:r w:rsidRPr="007114AF">
              <w:rPr>
                <w:sz w:val="20"/>
                <w:szCs w:val="20"/>
              </w:rPr>
              <w:fldChar w:fldCharType="end"/>
            </w:r>
            <w:r w:rsidRPr="007114AF">
              <w:rPr>
                <w:sz w:val="20"/>
                <w:szCs w:val="20"/>
              </w:rPr>
              <w:t xml:space="preserve"> </w:t>
            </w:r>
            <w:r w:rsidR="00527188">
              <w:rPr>
                <w:sz w:val="20"/>
                <w:szCs w:val="20"/>
              </w:rPr>
              <w:t>–</w:t>
            </w:r>
            <w:r w:rsidR="000A2A01" w:rsidRPr="007114AF">
              <w:rPr>
                <w:sz w:val="20"/>
                <w:szCs w:val="20"/>
              </w:rPr>
              <w:t xml:space="preserve"> </w:t>
            </w:r>
            <w:r w:rsidRPr="007114AF">
              <w:rPr>
                <w:sz w:val="20"/>
                <w:szCs w:val="20"/>
              </w:rPr>
              <w:t xml:space="preserve">Konsumi </w:t>
            </w:r>
            <w:r w:rsidRPr="007114AF">
              <w:rPr>
                <w:rFonts w:eastAsia="Calibri"/>
                <w:sz w:val="20"/>
                <w:szCs w:val="20"/>
                <w:lang w:eastAsia="en-US"/>
              </w:rPr>
              <w:t>Final i Energjisë sipas Lëndës Djegëse (Burimi: AKBN – Balancat Vjetore të Energjisë –</w:t>
            </w:r>
            <w:r w:rsidR="00527188">
              <w:rPr>
                <w:rFonts w:eastAsia="Calibri"/>
                <w:sz w:val="20"/>
                <w:szCs w:val="20"/>
                <w:lang w:eastAsia="en-US"/>
              </w:rPr>
              <w:t xml:space="preserve"> </w:t>
            </w:r>
            <w:r w:rsidRPr="007114AF">
              <w:rPr>
                <w:rFonts w:eastAsia="Calibri"/>
                <w:sz w:val="20"/>
                <w:szCs w:val="20"/>
                <w:lang w:eastAsia="en-US"/>
              </w:rPr>
              <w:t>përfshirë vetëm produktet e naftës të përdorura për qëllime të energjisë)</w:t>
            </w:r>
          </w:p>
        </w:tc>
      </w:tr>
      <w:tr w:rsidR="00220111" w:rsidRPr="007114AF" w14:paraId="6EDCF4F7" w14:textId="77777777" w:rsidTr="008F17E8">
        <w:trPr>
          <w:trHeight w:val="643"/>
        </w:trPr>
        <w:tc>
          <w:tcPr>
            <w:tcW w:w="4750" w:type="dxa"/>
            <w:vAlign w:val="center"/>
            <w:hideMark/>
          </w:tcPr>
          <w:p w14:paraId="6EDCF4F3" w14:textId="77777777" w:rsidR="00220111" w:rsidRPr="007114AF" w:rsidRDefault="00220111" w:rsidP="008F17E8">
            <w:pPr>
              <w:pStyle w:val="Caption"/>
              <w:rPr>
                <w:rFonts w:ascii="Garamond" w:hAnsi="Garamond"/>
              </w:rPr>
            </w:pPr>
            <w:r w:rsidRPr="007114AF">
              <w:rPr>
                <w:rFonts w:ascii="Garamond" w:hAnsi="Garamond"/>
                <w:noProof/>
                <w:lang w:val="en-US" w:eastAsia="en-US"/>
              </w:rPr>
              <w:drawing>
                <wp:inline distT="0" distB="0" distL="0" distR="0" wp14:anchorId="6EDD1792" wp14:editId="6EDD1793">
                  <wp:extent cx="2827020" cy="275082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7020" cy="2750820"/>
                          </a:xfrm>
                          <a:prstGeom prst="rect">
                            <a:avLst/>
                          </a:prstGeom>
                          <a:noFill/>
                        </pic:spPr>
                      </pic:pic>
                    </a:graphicData>
                  </a:graphic>
                </wp:inline>
              </w:drawing>
            </w:r>
          </w:p>
          <w:p w14:paraId="6EDCF4F4" w14:textId="10978D6A" w:rsidR="00220111" w:rsidRPr="007114AF" w:rsidRDefault="00220111" w:rsidP="00E8339F">
            <w:pPr>
              <w:pStyle w:val="FIGURA"/>
              <w:rPr>
                <w:sz w:val="20"/>
                <w:szCs w:val="20"/>
              </w:rPr>
            </w:pPr>
            <w:r w:rsidRPr="007114AF">
              <w:rPr>
                <w:sz w:val="20"/>
                <w:szCs w:val="20"/>
              </w:rPr>
              <w:t>Figura</w:t>
            </w:r>
            <w:r w:rsidR="00164B6B"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10</w:t>
            </w:r>
            <w:r w:rsidRPr="007114AF">
              <w:rPr>
                <w:sz w:val="20"/>
                <w:szCs w:val="20"/>
              </w:rPr>
              <w:fldChar w:fldCharType="end"/>
            </w:r>
            <w:r w:rsidRPr="007114AF">
              <w:rPr>
                <w:sz w:val="20"/>
                <w:szCs w:val="20"/>
              </w:rPr>
              <w:t xml:space="preserve"> </w:t>
            </w:r>
            <w:r w:rsidR="00E8339F" w:rsidRPr="007114AF">
              <w:rPr>
                <w:sz w:val="20"/>
                <w:szCs w:val="20"/>
              </w:rPr>
              <w:t>–</w:t>
            </w:r>
            <w:r w:rsidR="000A2A01" w:rsidRPr="007114AF">
              <w:rPr>
                <w:sz w:val="20"/>
                <w:szCs w:val="20"/>
              </w:rPr>
              <w:t xml:space="preserve"> </w:t>
            </w:r>
            <w:r w:rsidRPr="007114AF">
              <w:rPr>
                <w:sz w:val="20"/>
                <w:szCs w:val="20"/>
              </w:rPr>
              <w:t>Konsumi</w:t>
            </w:r>
            <w:r w:rsidR="00E8339F" w:rsidRPr="007114AF">
              <w:rPr>
                <w:sz w:val="20"/>
                <w:szCs w:val="20"/>
              </w:rPr>
              <w:t xml:space="preserve"> </w:t>
            </w:r>
            <w:r w:rsidRPr="007114AF">
              <w:rPr>
                <w:sz w:val="20"/>
                <w:szCs w:val="20"/>
              </w:rPr>
              <w:t>Final i Energjisë sipas Lëndës Djegëse (Burimi: AKBN – Balancat Vjetore të Energjisë)</w:t>
            </w:r>
          </w:p>
        </w:tc>
        <w:tc>
          <w:tcPr>
            <w:tcW w:w="4748" w:type="dxa"/>
            <w:hideMark/>
          </w:tcPr>
          <w:p w14:paraId="6EDCF4F5" w14:textId="77777777" w:rsidR="00220111" w:rsidRPr="007114AF" w:rsidRDefault="00220111" w:rsidP="008F17E8">
            <w:pPr>
              <w:pStyle w:val="Caption"/>
              <w:rPr>
                <w:rFonts w:ascii="Garamond" w:hAnsi="Garamond"/>
              </w:rPr>
            </w:pPr>
            <w:r w:rsidRPr="007114AF">
              <w:rPr>
                <w:rFonts w:ascii="Garamond" w:hAnsi="Garamond"/>
                <w:noProof/>
                <w:lang w:val="en-US" w:eastAsia="en-US"/>
              </w:rPr>
              <w:drawing>
                <wp:inline distT="0" distB="0" distL="0" distR="0" wp14:anchorId="6EDD1794" wp14:editId="6EDD1795">
                  <wp:extent cx="2819400" cy="2743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19400" cy="2743200"/>
                          </a:xfrm>
                          <a:prstGeom prst="rect">
                            <a:avLst/>
                          </a:prstGeom>
                          <a:noFill/>
                        </pic:spPr>
                      </pic:pic>
                    </a:graphicData>
                  </a:graphic>
                </wp:inline>
              </w:drawing>
            </w:r>
          </w:p>
          <w:p w14:paraId="6EDCF4F6" w14:textId="52223030" w:rsidR="00220111" w:rsidRPr="007114AF" w:rsidRDefault="00220111" w:rsidP="000327A8">
            <w:pPr>
              <w:pStyle w:val="FIGURA"/>
              <w:rPr>
                <w:sz w:val="20"/>
                <w:szCs w:val="20"/>
              </w:rPr>
            </w:pPr>
            <w:r w:rsidRPr="007114AF">
              <w:rPr>
                <w:sz w:val="20"/>
                <w:szCs w:val="20"/>
              </w:rPr>
              <w:t>Figura</w:t>
            </w:r>
            <w:r w:rsidR="00164B6B"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11</w:t>
            </w:r>
            <w:r w:rsidRPr="007114AF">
              <w:rPr>
                <w:sz w:val="20"/>
                <w:szCs w:val="20"/>
              </w:rPr>
              <w:fldChar w:fldCharType="end"/>
            </w:r>
            <w:r w:rsidR="00E8339F" w:rsidRPr="007114AF">
              <w:rPr>
                <w:sz w:val="20"/>
                <w:szCs w:val="20"/>
              </w:rPr>
              <w:t xml:space="preserve"> </w:t>
            </w:r>
            <w:r w:rsidRPr="007114AF">
              <w:rPr>
                <w:sz w:val="20"/>
                <w:szCs w:val="20"/>
              </w:rPr>
              <w:t>–</w:t>
            </w:r>
            <w:r w:rsidR="00E8339F" w:rsidRPr="007114AF">
              <w:rPr>
                <w:sz w:val="20"/>
                <w:szCs w:val="20"/>
              </w:rPr>
              <w:t xml:space="preserve"> </w:t>
            </w:r>
            <w:r w:rsidRPr="007114AF">
              <w:rPr>
                <w:sz w:val="20"/>
                <w:szCs w:val="20"/>
              </w:rPr>
              <w:t>Pjesët e Konsumit Final të Energjisë sipas Sektorëve (Burimi: AKBN – 2014 -</w:t>
            </w:r>
            <w:r w:rsidR="000A2A01" w:rsidRPr="007114AF">
              <w:rPr>
                <w:sz w:val="20"/>
                <w:szCs w:val="20"/>
              </w:rPr>
              <w:t xml:space="preserve"> </w:t>
            </w:r>
            <w:r w:rsidRPr="007114AF">
              <w:rPr>
                <w:sz w:val="20"/>
                <w:szCs w:val="20"/>
              </w:rPr>
              <w:t>Balancat Vjetore të Energjisë)</w:t>
            </w:r>
          </w:p>
        </w:tc>
      </w:tr>
    </w:tbl>
    <w:p w14:paraId="6EDCF4F8" w14:textId="77777777" w:rsidR="000327A8" w:rsidRPr="007114AF" w:rsidRDefault="000327A8" w:rsidP="00936091">
      <w:pPr>
        <w:spacing w:after="0" w:line="240" w:lineRule="auto"/>
        <w:ind w:firstLine="284"/>
        <w:rPr>
          <w:rFonts w:ascii="Garamond" w:hAnsi="Garamond"/>
          <w:sz w:val="24"/>
          <w:szCs w:val="24"/>
        </w:rPr>
      </w:pPr>
    </w:p>
    <w:p w14:paraId="6EDCF4F9" w14:textId="77777777" w:rsidR="00220111" w:rsidRPr="007114AF" w:rsidRDefault="00220111" w:rsidP="00936091">
      <w:pPr>
        <w:spacing w:after="0" w:line="240" w:lineRule="auto"/>
        <w:ind w:firstLine="284"/>
        <w:rPr>
          <w:rFonts w:ascii="Garamond" w:hAnsi="Garamond"/>
          <w:sz w:val="24"/>
          <w:szCs w:val="24"/>
        </w:rPr>
      </w:pPr>
      <w:r w:rsidRPr="007114AF">
        <w:rPr>
          <w:rFonts w:ascii="Garamond" w:hAnsi="Garamond"/>
          <w:sz w:val="24"/>
          <w:szCs w:val="24"/>
        </w:rPr>
        <w:t>Prirjet e fundit të konsumit final të energjisë konfirmojnë atë çka është vërejtur në terma të FTPE-ës: një rritje të moderuar, pa ndryshim të madh, në pjesët relative të vektorëve të ndryshëm të energjisë.</w:t>
      </w:r>
    </w:p>
    <w:p w14:paraId="6EDCF4FA" w14:textId="64907407" w:rsidR="00936091" w:rsidRPr="007114AF" w:rsidRDefault="00936091" w:rsidP="00936091">
      <w:pPr>
        <w:spacing w:after="0" w:line="240" w:lineRule="auto"/>
        <w:ind w:firstLine="284"/>
        <w:rPr>
          <w:rFonts w:ascii="Garamond" w:hAnsi="Garamond"/>
          <w:sz w:val="24"/>
          <w:szCs w:val="24"/>
        </w:rPr>
      </w:pPr>
      <w:r w:rsidRPr="007114AF">
        <w:rPr>
          <w:rFonts w:ascii="Garamond" w:hAnsi="Garamond"/>
          <w:sz w:val="24"/>
          <w:szCs w:val="24"/>
        </w:rPr>
        <w:t>Figura 7 sugjeron se sektori industrial u tkurr shumë pas vitit 1990, dhe rrjedhimisht, konsumi i energjisë nga sektori u tkurr, ndërsa sektori i transportit u rrit gradualisht. Sektori i banesave</w:t>
      </w:r>
      <w:r w:rsidR="008D3B85" w:rsidRPr="007114AF">
        <w:rPr>
          <w:rFonts w:ascii="Garamond" w:hAnsi="Garamond"/>
          <w:sz w:val="24"/>
          <w:szCs w:val="24"/>
        </w:rPr>
        <w:t xml:space="preserve"> </w:t>
      </w:r>
      <w:r w:rsidRPr="007114AF">
        <w:rPr>
          <w:rFonts w:ascii="Garamond" w:hAnsi="Garamond"/>
          <w:sz w:val="24"/>
          <w:szCs w:val="24"/>
        </w:rPr>
        <w:t>ka qenë po ashtu konsumator me rëndësi i energjisë. Në vitin 2014 (figura 11), sektori i transportit ishte konsumatori më i madh i energjisë, duke zënë 39.15% të konsumit total final, pasuar nga sektori i banesave(25.82%), sektori industrial (19.71%), sektori i shërbimit (8.33%), dhe sektori bujqësor (5.38%).</w:t>
      </w:r>
    </w:p>
    <w:p w14:paraId="6EDCF4FB" w14:textId="77777777" w:rsidR="00936091" w:rsidRPr="007114AF" w:rsidRDefault="000327A8" w:rsidP="00936091">
      <w:pPr>
        <w:spacing w:after="0" w:line="240" w:lineRule="auto"/>
        <w:ind w:firstLine="284"/>
        <w:rPr>
          <w:rFonts w:ascii="Garamond" w:hAnsi="Garamond"/>
          <w:b/>
          <w:sz w:val="24"/>
          <w:szCs w:val="24"/>
        </w:rPr>
      </w:pPr>
      <w:bookmarkStart w:id="48" w:name="_Toc471987574"/>
      <w:bookmarkStart w:id="49" w:name="_Toc484424482"/>
      <w:bookmarkStart w:id="50" w:name="_Toc449537124"/>
      <w:bookmarkStart w:id="51" w:name="_Toc450135232"/>
      <w:bookmarkStart w:id="52" w:name="_Toc450151835"/>
      <w:bookmarkStart w:id="53" w:name="_Toc446403343"/>
      <w:bookmarkEnd w:id="48"/>
      <w:r w:rsidRPr="007114AF">
        <w:rPr>
          <w:rFonts w:ascii="Garamond" w:hAnsi="Garamond"/>
          <w:b/>
          <w:sz w:val="24"/>
          <w:szCs w:val="24"/>
        </w:rPr>
        <w:t xml:space="preserve">2.6.2 </w:t>
      </w:r>
      <w:r w:rsidR="00936091" w:rsidRPr="007114AF">
        <w:rPr>
          <w:rFonts w:ascii="Garamond" w:hAnsi="Garamond"/>
          <w:b/>
          <w:sz w:val="24"/>
          <w:szCs w:val="24"/>
        </w:rPr>
        <w:t>Sektori i transportit</w:t>
      </w:r>
      <w:bookmarkEnd w:id="49"/>
      <w:bookmarkEnd w:id="50"/>
      <w:bookmarkEnd w:id="51"/>
      <w:bookmarkEnd w:id="52"/>
      <w:bookmarkEnd w:id="53"/>
    </w:p>
    <w:p w14:paraId="6EDCF4FC" w14:textId="5FABBCE5" w:rsidR="00936091" w:rsidRPr="007114AF" w:rsidRDefault="00936091" w:rsidP="00936091">
      <w:pPr>
        <w:spacing w:after="0" w:line="240" w:lineRule="auto"/>
        <w:ind w:firstLine="284"/>
        <w:rPr>
          <w:rFonts w:ascii="Garamond" w:hAnsi="Garamond"/>
          <w:sz w:val="24"/>
          <w:szCs w:val="24"/>
        </w:rPr>
      </w:pPr>
      <w:r w:rsidRPr="007114AF">
        <w:rPr>
          <w:rFonts w:ascii="Garamond" w:hAnsi="Garamond"/>
          <w:sz w:val="24"/>
          <w:szCs w:val="24"/>
        </w:rPr>
        <w:t>Sektori i</w:t>
      </w:r>
      <w:r w:rsidR="008D3B85" w:rsidRPr="007114AF">
        <w:rPr>
          <w:rFonts w:ascii="Garamond" w:hAnsi="Garamond"/>
          <w:sz w:val="24"/>
          <w:szCs w:val="24"/>
        </w:rPr>
        <w:t xml:space="preserve"> </w:t>
      </w:r>
      <w:r w:rsidRPr="007114AF">
        <w:rPr>
          <w:rFonts w:ascii="Garamond" w:hAnsi="Garamond"/>
          <w:sz w:val="24"/>
          <w:szCs w:val="24"/>
        </w:rPr>
        <w:t xml:space="preserve">transportit në Shqipëri nisi të zhvillohet me ritme të shpejta rritjeje sidomos pas viteve </w:t>
      </w:r>
      <w:r w:rsidR="00D10DAB" w:rsidRPr="007114AF">
        <w:rPr>
          <w:rFonts w:ascii="Garamond" w:hAnsi="Garamond"/>
          <w:sz w:val="24"/>
          <w:szCs w:val="24"/>
        </w:rPr>
        <w:t>‘</w:t>
      </w:r>
      <w:r w:rsidRPr="007114AF">
        <w:rPr>
          <w:rFonts w:ascii="Garamond" w:hAnsi="Garamond"/>
          <w:sz w:val="24"/>
          <w:szCs w:val="24"/>
        </w:rPr>
        <w:t xml:space="preserve">60, kur përveç rritjes sasiore të mjeteve të transportit rrugor, u zhvillua infrastruktura dhe kapacitetet transportuese të rrugëve, hekurudhave dhe mjeteve detare, duke krijuar strukturën e transportit. Sektori i transportit luan një rol me rëndësi në konsumin e burimeve të energjisë. </w:t>
      </w:r>
    </w:p>
    <w:p w14:paraId="6EDCF4FD" w14:textId="78254F0A" w:rsidR="00936091" w:rsidRPr="007114AF" w:rsidRDefault="00936091" w:rsidP="00936091">
      <w:pPr>
        <w:spacing w:after="0" w:line="240" w:lineRule="auto"/>
        <w:ind w:firstLine="284"/>
        <w:rPr>
          <w:rFonts w:ascii="Garamond" w:hAnsi="Garamond"/>
          <w:sz w:val="24"/>
          <w:szCs w:val="24"/>
        </w:rPr>
      </w:pPr>
      <w:r w:rsidRPr="007114AF">
        <w:rPr>
          <w:rFonts w:ascii="Garamond" w:hAnsi="Garamond"/>
          <w:sz w:val="24"/>
          <w:szCs w:val="24"/>
        </w:rPr>
        <w:t>Rrugët dhe autostradat përbëjnë mënyrën mbizotëruese të transportit tokësor dhe sigurojnë lidhje thelbësore për lëvizjen e mallrave dhe pasagjerëve. Shqipëria duhet të përfundojë një rrjet infrastrukture rrugore efikas dhe modern,</w:t>
      </w:r>
      <w:r w:rsidR="008D3B85" w:rsidRPr="007114AF">
        <w:rPr>
          <w:rFonts w:ascii="Garamond" w:hAnsi="Garamond"/>
          <w:sz w:val="24"/>
          <w:szCs w:val="24"/>
        </w:rPr>
        <w:t xml:space="preserve"> </w:t>
      </w:r>
      <w:r w:rsidRPr="007114AF">
        <w:rPr>
          <w:rFonts w:ascii="Garamond" w:hAnsi="Garamond"/>
          <w:sz w:val="24"/>
          <w:szCs w:val="24"/>
        </w:rPr>
        <w:t>si hap i parë për një sistem transporti të integruar. Me gjithë disa investime së fundmi, cilësia e transportit rrugor mbetet e ulët dhe ka ndryshim të konsiderueshëm rajonal lidhur me qasjen në tregje dhe shërbimet bazë. Rrjeti mban rreth 4.5 milionë mjete*km/y. Gjatë periudhës 2010</w:t>
      </w:r>
      <w:r w:rsidR="008D3B85" w:rsidRPr="007114AF">
        <w:rPr>
          <w:rFonts w:ascii="Garamond" w:hAnsi="Garamond"/>
          <w:sz w:val="24"/>
          <w:szCs w:val="24"/>
        </w:rPr>
        <w:t>–</w:t>
      </w:r>
      <w:r w:rsidRPr="007114AF">
        <w:rPr>
          <w:rFonts w:ascii="Garamond" w:hAnsi="Garamond"/>
          <w:sz w:val="24"/>
          <w:szCs w:val="24"/>
        </w:rPr>
        <w:t>2013 rritja vjetore e pasagjerëve ishte rreth +0.5% dhe 3.4% për mallrat</w:t>
      </w:r>
      <w:r w:rsidRPr="007114AF">
        <w:rPr>
          <w:rFonts w:ascii="Garamond" w:hAnsi="Garamond"/>
          <w:sz w:val="24"/>
          <w:szCs w:val="24"/>
          <w:vertAlign w:val="superscript"/>
        </w:rPr>
        <w:footnoteReference w:id="25"/>
      </w:r>
      <w:r w:rsidRPr="007114AF">
        <w:rPr>
          <w:rFonts w:ascii="Garamond" w:hAnsi="Garamond"/>
          <w:sz w:val="24"/>
          <w:szCs w:val="24"/>
        </w:rPr>
        <w:t xml:space="preserve">. </w:t>
      </w:r>
    </w:p>
    <w:p w14:paraId="6EDCF4FE" w14:textId="05D35CE2" w:rsidR="00936091" w:rsidRPr="007114AF" w:rsidRDefault="00936091" w:rsidP="00936091">
      <w:pPr>
        <w:spacing w:after="0" w:line="240" w:lineRule="auto"/>
        <w:ind w:firstLine="284"/>
        <w:rPr>
          <w:rFonts w:ascii="Garamond" w:hAnsi="Garamond"/>
          <w:sz w:val="24"/>
          <w:szCs w:val="24"/>
        </w:rPr>
      </w:pPr>
      <w:r w:rsidRPr="007114AF">
        <w:rPr>
          <w:rFonts w:ascii="Garamond" w:hAnsi="Garamond"/>
          <w:sz w:val="24"/>
          <w:szCs w:val="24"/>
        </w:rPr>
        <w:t>Rrjeti hekurudhor shqiptar është ndërtuar në periudhën nga viti 1946 deri në vitin 1986,</w:t>
      </w:r>
      <w:r w:rsidR="008D3B85" w:rsidRPr="007114AF">
        <w:rPr>
          <w:rFonts w:ascii="Garamond" w:hAnsi="Garamond"/>
          <w:sz w:val="24"/>
          <w:szCs w:val="24"/>
        </w:rPr>
        <w:t xml:space="preserve"> </w:t>
      </w:r>
      <w:r w:rsidRPr="007114AF">
        <w:rPr>
          <w:rFonts w:ascii="Garamond" w:hAnsi="Garamond"/>
          <w:sz w:val="24"/>
          <w:szCs w:val="24"/>
        </w:rPr>
        <w:t>për t</w:t>
      </w:r>
      <w:r w:rsidR="00D10DAB" w:rsidRPr="007114AF">
        <w:rPr>
          <w:rFonts w:ascii="Garamond" w:hAnsi="Garamond"/>
          <w:sz w:val="24"/>
          <w:szCs w:val="24"/>
        </w:rPr>
        <w:t>’</w:t>
      </w:r>
      <w:r w:rsidRPr="007114AF">
        <w:rPr>
          <w:rFonts w:ascii="Garamond" w:hAnsi="Garamond"/>
          <w:sz w:val="24"/>
          <w:szCs w:val="24"/>
        </w:rPr>
        <w:t>i shërbyer industrisë kombëtare. Pas vitit 1991,shumica e industrive u mbyllën. Pa të ardhura direkte nga sektori hekurudhor, mbështetja e qeverisë u kthye nga programet e investimeve për rrugët. Vonesa në miratimin e Direktivës 2012/34 për sektorin hekurudhor, i ngadalësoi investimet e mëtejshme. Nuk ka lidhje fizike hekurudhore mes Shqipërisë dhe vendeve fqinje Kosovës, Republik</w:t>
      </w:r>
      <w:r w:rsidR="008771B6">
        <w:rPr>
          <w:rFonts w:ascii="Garamond" w:hAnsi="Garamond"/>
          <w:sz w:val="24"/>
          <w:szCs w:val="24"/>
        </w:rPr>
        <w:t>ë</w:t>
      </w:r>
      <w:r w:rsidRPr="007114AF">
        <w:rPr>
          <w:rFonts w:ascii="Garamond" w:hAnsi="Garamond"/>
          <w:sz w:val="24"/>
          <w:szCs w:val="24"/>
        </w:rPr>
        <w:t>s s</w:t>
      </w:r>
      <w:r w:rsidR="008771B6">
        <w:rPr>
          <w:rFonts w:ascii="Garamond" w:hAnsi="Garamond"/>
          <w:sz w:val="24"/>
          <w:szCs w:val="24"/>
        </w:rPr>
        <w:t>ë</w:t>
      </w:r>
      <w:r w:rsidRPr="007114AF">
        <w:rPr>
          <w:rFonts w:ascii="Garamond" w:hAnsi="Garamond"/>
          <w:sz w:val="24"/>
          <w:szCs w:val="24"/>
        </w:rPr>
        <w:t xml:space="preserve"> Maqedonis</w:t>
      </w:r>
      <w:r w:rsidR="008771B6">
        <w:rPr>
          <w:rFonts w:ascii="Garamond" w:hAnsi="Garamond"/>
          <w:sz w:val="24"/>
          <w:szCs w:val="24"/>
        </w:rPr>
        <w:t>ë</w:t>
      </w:r>
      <w:r w:rsidRPr="007114AF">
        <w:rPr>
          <w:rFonts w:ascii="Garamond" w:hAnsi="Garamond"/>
          <w:sz w:val="24"/>
          <w:szCs w:val="24"/>
        </w:rPr>
        <w:t xml:space="preserve"> s</w:t>
      </w:r>
      <w:r w:rsidR="008771B6">
        <w:rPr>
          <w:rFonts w:ascii="Garamond" w:hAnsi="Garamond"/>
          <w:sz w:val="24"/>
          <w:szCs w:val="24"/>
        </w:rPr>
        <w:t>ë</w:t>
      </w:r>
      <w:r w:rsidRPr="007114AF">
        <w:rPr>
          <w:rFonts w:ascii="Garamond" w:hAnsi="Garamond"/>
          <w:sz w:val="24"/>
          <w:szCs w:val="24"/>
        </w:rPr>
        <w:t xml:space="preserve"> Veriut apo Greqisë; hekurudha nuk është e elektrifikuar, është me një binar dhe me</w:t>
      </w:r>
      <w:r w:rsidR="008771B6">
        <w:rPr>
          <w:rFonts w:ascii="Garamond" w:hAnsi="Garamond"/>
          <w:sz w:val="24"/>
          <w:szCs w:val="24"/>
        </w:rPr>
        <w:t xml:space="preserve"> </w:t>
      </w:r>
      <w:r w:rsidRPr="007114AF">
        <w:rPr>
          <w:rFonts w:ascii="Garamond" w:hAnsi="Garamond"/>
          <w:sz w:val="24"/>
          <w:szCs w:val="24"/>
        </w:rPr>
        <w:t xml:space="preserve">bajpase. </w:t>
      </w:r>
    </w:p>
    <w:p w14:paraId="6EDCF4FF" w14:textId="77777777" w:rsidR="00936091" w:rsidRPr="007114AF" w:rsidRDefault="00936091" w:rsidP="00936091">
      <w:pPr>
        <w:spacing w:after="0" w:line="240" w:lineRule="auto"/>
        <w:ind w:firstLine="284"/>
        <w:rPr>
          <w:rFonts w:ascii="Garamond" w:hAnsi="Garamond"/>
          <w:sz w:val="24"/>
          <w:szCs w:val="24"/>
        </w:rPr>
      </w:pPr>
      <w:r w:rsidRPr="007114AF">
        <w:rPr>
          <w:rFonts w:ascii="Garamond" w:hAnsi="Garamond"/>
          <w:sz w:val="24"/>
          <w:szCs w:val="24"/>
        </w:rPr>
        <w:t>Prirjet e transportit (burimi i të dhënave INSTAT) tregohen në figurën 12: numri i mjeteve rrugore po rritet në mënyrë të qëndrueshme, ndërsa transporti publik ka humbur më shumë se 50% të pasagjerëve gjatë dy dekadave të fundit. Rritja e dukshme në numrin e mjeteve rrugore u shoqërua me rritjen e aktivitetit të transportit dhe një rritje evidente e konsumit të lëndëve djegëse, kryesisht naftë dhe benzinë.</w:t>
      </w:r>
    </w:p>
    <w:p w14:paraId="6EDCF500" w14:textId="77777777" w:rsidR="00220111" w:rsidRPr="007114AF" w:rsidRDefault="00220111" w:rsidP="00936091">
      <w:pPr>
        <w:spacing w:after="0" w:line="240" w:lineRule="auto"/>
        <w:ind w:firstLine="284"/>
        <w:rPr>
          <w:rFonts w:ascii="Garamond" w:hAnsi="Garamond"/>
          <w:sz w:val="24"/>
          <w:szCs w:val="24"/>
        </w:rPr>
      </w:pPr>
    </w:p>
    <w:p w14:paraId="6EDCF501" w14:textId="77777777" w:rsidR="008F17E8" w:rsidRPr="007114AF" w:rsidRDefault="008F17E8" w:rsidP="008F17E8">
      <w:pPr>
        <w:rPr>
          <w:rFonts w:ascii="Garamond" w:hAnsi="Garamond"/>
        </w:rPr>
      </w:pPr>
      <w:r w:rsidRPr="007114AF">
        <w:rPr>
          <w:rFonts w:ascii="Garamond" w:hAnsi="Garamond"/>
          <w:noProof/>
          <w:lang w:val="en-US" w:eastAsia="en-US"/>
        </w:rPr>
        <w:drawing>
          <wp:inline distT="0" distB="0" distL="0" distR="0" wp14:anchorId="6EDD1796" wp14:editId="6EDD1797">
            <wp:extent cx="5781675" cy="3781425"/>
            <wp:effectExtent l="19050" t="0" r="9525"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5781675" cy="3781425"/>
                    </a:xfrm>
                    <a:prstGeom prst="rect">
                      <a:avLst/>
                    </a:prstGeom>
                    <a:noFill/>
                    <a:ln w="9525">
                      <a:noFill/>
                      <a:miter lim="800000"/>
                      <a:headEnd/>
                      <a:tailEnd/>
                    </a:ln>
                  </pic:spPr>
                </pic:pic>
              </a:graphicData>
            </a:graphic>
          </wp:inline>
        </w:drawing>
      </w:r>
    </w:p>
    <w:p w14:paraId="6EDCF502" w14:textId="69EC8543" w:rsidR="008F17E8" w:rsidRPr="007114AF" w:rsidRDefault="008F17E8" w:rsidP="000327A8">
      <w:pPr>
        <w:pStyle w:val="FIGURA"/>
        <w:rPr>
          <w:rFonts w:eastAsia="MS Mincho"/>
          <w:sz w:val="20"/>
          <w:szCs w:val="20"/>
        </w:rPr>
      </w:pPr>
      <w:r w:rsidRPr="007114AF">
        <w:rPr>
          <w:sz w:val="20"/>
          <w:szCs w:val="20"/>
        </w:rPr>
        <w:t>Figura</w:t>
      </w:r>
      <w:r w:rsidR="000327A8"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12</w:t>
      </w:r>
      <w:r w:rsidRPr="007114AF">
        <w:rPr>
          <w:sz w:val="20"/>
          <w:szCs w:val="20"/>
        </w:rPr>
        <w:fldChar w:fldCharType="end"/>
      </w:r>
      <w:r w:rsidRPr="007114AF">
        <w:rPr>
          <w:sz w:val="20"/>
          <w:szCs w:val="20"/>
        </w:rPr>
        <w:t xml:space="preserve">–Prirja e </w:t>
      </w:r>
      <w:r w:rsidRPr="007114AF">
        <w:rPr>
          <w:rFonts w:eastAsia="Calibri"/>
          <w:sz w:val="20"/>
          <w:szCs w:val="20"/>
          <w:lang w:eastAsia="en-US"/>
        </w:rPr>
        <w:t>indeksuar (baza 1993 = 100) e pasagjerëve*km për transporturban, pasagjerë *km</w:t>
      </w:r>
      <w:r w:rsidR="00236635" w:rsidRPr="007114AF">
        <w:rPr>
          <w:rFonts w:eastAsia="Calibri"/>
          <w:sz w:val="20"/>
          <w:szCs w:val="20"/>
          <w:lang w:eastAsia="en-US"/>
        </w:rPr>
        <w:t xml:space="preserve"> </w:t>
      </w:r>
      <w:r w:rsidRPr="007114AF">
        <w:rPr>
          <w:rFonts w:eastAsia="Calibri"/>
          <w:sz w:val="20"/>
          <w:szCs w:val="20"/>
          <w:lang w:eastAsia="en-US"/>
        </w:rPr>
        <w:t>për hekurudhë dhe numri i mjeteve rrugore (përpunim i të dhënave nga INSTAT)</w:t>
      </w:r>
    </w:p>
    <w:p w14:paraId="6EDCF503" w14:textId="77777777" w:rsidR="000327A8" w:rsidRPr="007114AF" w:rsidRDefault="000327A8" w:rsidP="008F17E8">
      <w:pPr>
        <w:spacing w:after="0" w:line="240" w:lineRule="auto"/>
        <w:ind w:firstLine="284"/>
        <w:rPr>
          <w:rFonts w:ascii="Garamond" w:hAnsi="Garamond"/>
          <w:sz w:val="24"/>
          <w:szCs w:val="24"/>
        </w:rPr>
      </w:pPr>
    </w:p>
    <w:p w14:paraId="6EDCF504" w14:textId="3D042D99" w:rsidR="008F17E8" w:rsidRPr="007114AF" w:rsidRDefault="008F17E8" w:rsidP="008F17E8">
      <w:pPr>
        <w:spacing w:after="0" w:line="240" w:lineRule="auto"/>
        <w:ind w:firstLine="284"/>
        <w:rPr>
          <w:rFonts w:ascii="Garamond" w:hAnsi="Garamond"/>
          <w:sz w:val="24"/>
          <w:szCs w:val="24"/>
        </w:rPr>
      </w:pPr>
      <w:r w:rsidRPr="007114AF">
        <w:rPr>
          <w:rFonts w:ascii="Garamond" w:hAnsi="Garamond"/>
          <w:sz w:val="24"/>
          <w:szCs w:val="24"/>
        </w:rPr>
        <w:t>Transporti detar</w:t>
      </w:r>
      <w:r w:rsidR="00236635" w:rsidRPr="007114AF">
        <w:rPr>
          <w:rFonts w:ascii="Garamond" w:hAnsi="Garamond"/>
          <w:sz w:val="24"/>
          <w:szCs w:val="24"/>
        </w:rPr>
        <w:t xml:space="preserve"> </w:t>
      </w:r>
      <w:r w:rsidRPr="007114AF">
        <w:rPr>
          <w:rFonts w:ascii="Garamond" w:hAnsi="Garamond"/>
          <w:sz w:val="24"/>
          <w:szCs w:val="24"/>
        </w:rPr>
        <w:t>është mënyra më e rëndësishme për transportin e mallrave, nga një vend në tjetrin. Afërsia e Shqipërisë dhe ndërlidhja e transportit me vendet fqinje, si</w:t>
      </w:r>
      <w:r w:rsidR="00236635" w:rsidRPr="007114AF">
        <w:rPr>
          <w:rFonts w:ascii="Garamond" w:hAnsi="Garamond"/>
          <w:sz w:val="24"/>
          <w:szCs w:val="24"/>
        </w:rPr>
        <w:t>:</w:t>
      </w:r>
      <w:r w:rsidRPr="007114AF">
        <w:rPr>
          <w:rFonts w:ascii="Garamond" w:hAnsi="Garamond"/>
          <w:sz w:val="24"/>
          <w:szCs w:val="24"/>
        </w:rPr>
        <w:t xml:space="preserve"> Italia, Greqia dhe Kroacia,</w:t>
      </w:r>
      <w:r w:rsidR="00236635" w:rsidRPr="007114AF">
        <w:rPr>
          <w:rFonts w:ascii="Garamond" w:hAnsi="Garamond"/>
          <w:sz w:val="24"/>
          <w:szCs w:val="24"/>
        </w:rPr>
        <w:t xml:space="preserve"> </w:t>
      </w:r>
      <w:r w:rsidRPr="007114AF">
        <w:rPr>
          <w:rFonts w:ascii="Garamond" w:hAnsi="Garamond"/>
          <w:sz w:val="24"/>
          <w:szCs w:val="24"/>
        </w:rPr>
        <w:t xml:space="preserve">përveç mundësisë për vendet pa dalje në det, si Republika e </w:t>
      </w:r>
      <w:r w:rsidR="00236635" w:rsidRPr="007114AF">
        <w:rPr>
          <w:rFonts w:ascii="Garamond" w:hAnsi="Garamond"/>
          <w:sz w:val="24"/>
          <w:szCs w:val="24"/>
        </w:rPr>
        <w:t>Maqedonisë</w:t>
      </w:r>
      <w:r w:rsidRPr="007114AF">
        <w:rPr>
          <w:rFonts w:ascii="Garamond" w:hAnsi="Garamond"/>
          <w:sz w:val="24"/>
          <w:szCs w:val="24"/>
        </w:rPr>
        <w:t xml:space="preserve"> s</w:t>
      </w:r>
      <w:r w:rsidR="00236635" w:rsidRPr="007114AF">
        <w:rPr>
          <w:rFonts w:ascii="Garamond" w:hAnsi="Garamond"/>
          <w:sz w:val="24"/>
          <w:szCs w:val="24"/>
        </w:rPr>
        <w:t>ë</w:t>
      </w:r>
      <w:r w:rsidRPr="007114AF">
        <w:rPr>
          <w:rFonts w:ascii="Garamond" w:hAnsi="Garamond"/>
          <w:sz w:val="24"/>
          <w:szCs w:val="24"/>
        </w:rPr>
        <w:t xml:space="preserve"> Veriut dhe Kosova, i japin transportit detar shqiptar një përfitim të madh potencial. Për më tepër, portet shqiptare janë pjesë e rrugëve të korridoreve detare në Evropën Juglindore. Për fat të keq, kapaciteti dhe strukturat operative nuk janë sa duhet efikase dhe të integruara për t</w:t>
      </w:r>
      <w:r w:rsidR="00D10DAB" w:rsidRPr="007114AF">
        <w:rPr>
          <w:rFonts w:ascii="Garamond" w:hAnsi="Garamond"/>
          <w:sz w:val="24"/>
          <w:szCs w:val="24"/>
        </w:rPr>
        <w:t>’</w:t>
      </w:r>
      <w:r w:rsidRPr="007114AF">
        <w:rPr>
          <w:rFonts w:ascii="Garamond" w:hAnsi="Garamond"/>
          <w:sz w:val="24"/>
          <w:szCs w:val="24"/>
        </w:rPr>
        <w:t>i kaluar standardet.</w:t>
      </w:r>
    </w:p>
    <w:p w14:paraId="6EDCF505" w14:textId="15021E6F" w:rsidR="008F17E8" w:rsidRPr="007114AF" w:rsidRDefault="008F17E8" w:rsidP="008F17E8">
      <w:pPr>
        <w:spacing w:after="0" w:line="240" w:lineRule="auto"/>
        <w:ind w:firstLine="284"/>
        <w:rPr>
          <w:rFonts w:ascii="Garamond" w:hAnsi="Garamond"/>
          <w:sz w:val="24"/>
          <w:szCs w:val="24"/>
        </w:rPr>
      </w:pPr>
      <w:r w:rsidRPr="007114AF">
        <w:rPr>
          <w:rFonts w:ascii="Garamond" w:hAnsi="Garamond"/>
          <w:sz w:val="24"/>
          <w:szCs w:val="24"/>
        </w:rPr>
        <w:t>Shqipëria ka bërë progres të madh në kryerjen e reformave ligjore dhe rregullatore në sektorin e transportit ajror. Fluturimet dhe trafiku i pasagjerëve në aeroportin e</w:t>
      </w:r>
      <w:r w:rsidR="00236635" w:rsidRPr="007114AF">
        <w:rPr>
          <w:rFonts w:ascii="Garamond" w:hAnsi="Garamond"/>
          <w:sz w:val="24"/>
          <w:szCs w:val="24"/>
        </w:rPr>
        <w:t xml:space="preserve"> </w:t>
      </w:r>
      <w:r w:rsidRPr="007114AF">
        <w:rPr>
          <w:rFonts w:ascii="Garamond" w:hAnsi="Garamond"/>
          <w:sz w:val="24"/>
          <w:szCs w:val="24"/>
        </w:rPr>
        <w:t>Tiranës u rrit në mënyrë të qëndrueshme deri në vitin 2011, kur kriza ekonomike rajonale e ngadalësoi zhvillimin e sektorit ajror.</w:t>
      </w:r>
    </w:p>
    <w:p w14:paraId="6EDCF506" w14:textId="77777777" w:rsidR="008F17E8" w:rsidRPr="007114AF" w:rsidRDefault="008F17E8" w:rsidP="008F17E8">
      <w:pPr>
        <w:spacing w:after="0" w:line="240" w:lineRule="auto"/>
        <w:ind w:firstLine="284"/>
        <w:rPr>
          <w:rFonts w:ascii="Garamond" w:hAnsi="Garamond"/>
          <w:sz w:val="24"/>
          <w:szCs w:val="24"/>
        </w:rPr>
      </w:pPr>
      <w:r w:rsidRPr="007114AF">
        <w:rPr>
          <w:rFonts w:ascii="Garamond" w:hAnsi="Garamond"/>
          <w:sz w:val="24"/>
          <w:szCs w:val="24"/>
        </w:rPr>
        <w:t>Analizat e dokumenteve të sektorit të transportit tregojnë se ka mungesë të serive të plota dhe të besueshme të të dhënave statistikore që të lejojnë parashikime të strukturuara. Me gjithë ketë kufizim, është bërë një vlerësim cilësor i sektorit në bazë të parametrave të vëzhguar dhe të shqyrtuar, duke mundësuar konsideratat e mëposhtme:</w:t>
      </w:r>
    </w:p>
    <w:p w14:paraId="6EDCF507" w14:textId="77777777" w:rsidR="008F17E8" w:rsidRPr="007114AF" w:rsidRDefault="000327A8" w:rsidP="008F17E8">
      <w:pPr>
        <w:spacing w:after="0" w:line="240" w:lineRule="auto"/>
        <w:ind w:firstLine="284"/>
        <w:rPr>
          <w:rFonts w:ascii="Garamond" w:hAnsi="Garamond"/>
          <w:sz w:val="24"/>
          <w:szCs w:val="24"/>
        </w:rPr>
      </w:pPr>
      <w:r w:rsidRPr="007114AF">
        <w:rPr>
          <w:rFonts w:ascii="Garamond" w:hAnsi="Garamond"/>
          <w:sz w:val="24"/>
          <w:szCs w:val="24"/>
        </w:rPr>
        <w:t xml:space="preserve">- </w:t>
      </w:r>
      <w:r w:rsidR="008F17E8" w:rsidRPr="007114AF">
        <w:rPr>
          <w:rFonts w:ascii="Garamond" w:hAnsi="Garamond"/>
          <w:sz w:val="24"/>
          <w:szCs w:val="24"/>
        </w:rPr>
        <w:t>Ka një mungesë të përgjithshme të burimeve ekonomike, për të mbështetur mirëmbajtjen e duhur dhe zhvillimin sistematik të sistemit të lëvizjes;</w:t>
      </w:r>
    </w:p>
    <w:p w14:paraId="6EDCF508" w14:textId="77777777" w:rsidR="008F17E8" w:rsidRPr="007114AF" w:rsidRDefault="000327A8" w:rsidP="008F17E8">
      <w:pPr>
        <w:spacing w:after="0" w:line="240" w:lineRule="auto"/>
        <w:ind w:firstLine="284"/>
        <w:rPr>
          <w:rFonts w:ascii="Garamond" w:hAnsi="Garamond"/>
          <w:sz w:val="24"/>
          <w:szCs w:val="24"/>
        </w:rPr>
      </w:pPr>
      <w:r w:rsidRPr="007114AF">
        <w:rPr>
          <w:rFonts w:ascii="Garamond" w:hAnsi="Garamond"/>
          <w:sz w:val="24"/>
          <w:szCs w:val="24"/>
        </w:rPr>
        <w:t xml:space="preserve">- </w:t>
      </w:r>
      <w:r w:rsidR="008F17E8" w:rsidRPr="007114AF">
        <w:rPr>
          <w:rFonts w:ascii="Garamond" w:hAnsi="Garamond"/>
          <w:sz w:val="24"/>
          <w:szCs w:val="24"/>
        </w:rPr>
        <w:t>Mirëmbajtja e keqe e rrugëve ndikon në eficiencën e transportit rrugor (koha e udhëtimit, konsumi i lëndës djegëse, shkarkimet dhe siguria);</w:t>
      </w:r>
    </w:p>
    <w:p w14:paraId="6EDCF509" w14:textId="77777777" w:rsidR="008F17E8" w:rsidRPr="007114AF" w:rsidRDefault="000327A8" w:rsidP="008F17E8">
      <w:pPr>
        <w:spacing w:after="0" w:line="240" w:lineRule="auto"/>
        <w:ind w:firstLine="284"/>
        <w:rPr>
          <w:rFonts w:ascii="Garamond" w:hAnsi="Garamond"/>
          <w:sz w:val="24"/>
          <w:szCs w:val="24"/>
        </w:rPr>
      </w:pPr>
      <w:r w:rsidRPr="007114AF">
        <w:rPr>
          <w:rFonts w:ascii="Garamond" w:hAnsi="Garamond"/>
          <w:sz w:val="24"/>
          <w:szCs w:val="24"/>
        </w:rPr>
        <w:t xml:space="preserve">- </w:t>
      </w:r>
      <w:r w:rsidR="008F17E8" w:rsidRPr="007114AF">
        <w:rPr>
          <w:rFonts w:ascii="Garamond" w:hAnsi="Garamond"/>
          <w:sz w:val="24"/>
          <w:szCs w:val="24"/>
        </w:rPr>
        <w:t>Mungesa e zhvillimit të rrjetit rrugor;</w:t>
      </w:r>
    </w:p>
    <w:p w14:paraId="6EDCF50A" w14:textId="77777777" w:rsidR="008F17E8" w:rsidRPr="007114AF" w:rsidRDefault="000327A8" w:rsidP="008F17E8">
      <w:pPr>
        <w:spacing w:after="0" w:line="240" w:lineRule="auto"/>
        <w:ind w:firstLine="284"/>
        <w:rPr>
          <w:rFonts w:ascii="Garamond" w:hAnsi="Garamond"/>
          <w:sz w:val="24"/>
          <w:szCs w:val="24"/>
        </w:rPr>
      </w:pPr>
      <w:r w:rsidRPr="007114AF">
        <w:rPr>
          <w:rFonts w:ascii="Garamond" w:hAnsi="Garamond"/>
          <w:sz w:val="24"/>
          <w:szCs w:val="24"/>
        </w:rPr>
        <w:t xml:space="preserve">- </w:t>
      </w:r>
      <w:r w:rsidR="008F17E8" w:rsidRPr="007114AF">
        <w:rPr>
          <w:rFonts w:ascii="Garamond" w:hAnsi="Garamond"/>
          <w:sz w:val="24"/>
          <w:szCs w:val="24"/>
        </w:rPr>
        <w:t>Roli i vogël i sistemit hekurudhor;</w:t>
      </w:r>
    </w:p>
    <w:p w14:paraId="6EDCF50B" w14:textId="77777777" w:rsidR="008F17E8" w:rsidRPr="007114AF" w:rsidRDefault="000327A8" w:rsidP="008F17E8">
      <w:pPr>
        <w:spacing w:after="0" w:line="240" w:lineRule="auto"/>
        <w:ind w:firstLine="284"/>
        <w:rPr>
          <w:rFonts w:ascii="Garamond" w:hAnsi="Garamond"/>
          <w:sz w:val="24"/>
          <w:szCs w:val="24"/>
        </w:rPr>
      </w:pPr>
      <w:r w:rsidRPr="007114AF">
        <w:rPr>
          <w:rFonts w:ascii="Garamond" w:hAnsi="Garamond"/>
          <w:sz w:val="24"/>
          <w:szCs w:val="24"/>
        </w:rPr>
        <w:t xml:space="preserve">- </w:t>
      </w:r>
      <w:r w:rsidR="008F17E8" w:rsidRPr="007114AF">
        <w:rPr>
          <w:rFonts w:ascii="Garamond" w:hAnsi="Garamond"/>
          <w:sz w:val="24"/>
          <w:szCs w:val="24"/>
        </w:rPr>
        <w:t>Dobësia e transportit intermodal;</w:t>
      </w:r>
    </w:p>
    <w:p w14:paraId="6EDCF50C" w14:textId="77777777" w:rsidR="008F17E8" w:rsidRPr="007114AF" w:rsidRDefault="000327A8" w:rsidP="008F17E8">
      <w:pPr>
        <w:spacing w:after="0" w:line="240" w:lineRule="auto"/>
        <w:ind w:firstLine="284"/>
        <w:rPr>
          <w:rFonts w:ascii="Garamond" w:hAnsi="Garamond"/>
          <w:sz w:val="24"/>
          <w:szCs w:val="24"/>
        </w:rPr>
      </w:pPr>
      <w:r w:rsidRPr="007114AF">
        <w:rPr>
          <w:rFonts w:ascii="Garamond" w:hAnsi="Garamond"/>
          <w:sz w:val="24"/>
          <w:szCs w:val="24"/>
        </w:rPr>
        <w:t xml:space="preserve">- </w:t>
      </w:r>
      <w:r w:rsidR="008F17E8" w:rsidRPr="007114AF">
        <w:rPr>
          <w:rFonts w:ascii="Garamond" w:hAnsi="Garamond"/>
          <w:sz w:val="24"/>
          <w:szCs w:val="24"/>
        </w:rPr>
        <w:t>Një rënie e përgjithshme e popullsisë dhe rritja e përqendrimit në zonat e mëdha urbane (Tirana dhe pak zona të tjera urbane);</w:t>
      </w:r>
    </w:p>
    <w:p w14:paraId="6EDCF50D" w14:textId="77777777" w:rsidR="008F17E8" w:rsidRPr="007114AF" w:rsidRDefault="000327A8" w:rsidP="008F17E8">
      <w:pPr>
        <w:spacing w:after="0" w:line="240" w:lineRule="auto"/>
        <w:ind w:firstLine="284"/>
        <w:rPr>
          <w:rFonts w:ascii="Garamond" w:hAnsi="Garamond"/>
          <w:sz w:val="24"/>
          <w:szCs w:val="24"/>
        </w:rPr>
      </w:pPr>
      <w:r w:rsidRPr="007114AF">
        <w:rPr>
          <w:rFonts w:ascii="Garamond" w:hAnsi="Garamond"/>
          <w:sz w:val="24"/>
          <w:szCs w:val="24"/>
        </w:rPr>
        <w:t xml:space="preserve">- </w:t>
      </w:r>
      <w:r w:rsidR="008F17E8" w:rsidRPr="007114AF">
        <w:rPr>
          <w:rFonts w:ascii="Garamond" w:hAnsi="Garamond"/>
          <w:sz w:val="24"/>
          <w:szCs w:val="24"/>
        </w:rPr>
        <w:t>Ekzistenca e mjeteve rrugore të vjetra, të patestuara plotësisht.</w:t>
      </w:r>
    </w:p>
    <w:p w14:paraId="6EDCF50E" w14:textId="77777777" w:rsidR="008F17E8" w:rsidRPr="007114AF" w:rsidRDefault="00860664" w:rsidP="008F17E8">
      <w:pPr>
        <w:spacing w:after="0" w:line="240" w:lineRule="auto"/>
        <w:ind w:firstLine="284"/>
        <w:rPr>
          <w:rFonts w:ascii="Garamond" w:hAnsi="Garamond"/>
          <w:b/>
          <w:sz w:val="24"/>
          <w:szCs w:val="24"/>
        </w:rPr>
      </w:pPr>
      <w:bookmarkStart w:id="54" w:name="_Toc484424483"/>
      <w:bookmarkStart w:id="55" w:name="_Toc449537125"/>
      <w:bookmarkStart w:id="56" w:name="_Toc450135233"/>
      <w:bookmarkStart w:id="57" w:name="_Toc450151836"/>
      <w:bookmarkStart w:id="58" w:name="_Toc446403344"/>
      <w:r w:rsidRPr="007114AF">
        <w:rPr>
          <w:rFonts w:ascii="Garamond" w:hAnsi="Garamond"/>
          <w:b/>
          <w:sz w:val="24"/>
          <w:szCs w:val="24"/>
        </w:rPr>
        <w:t>2.6.3</w:t>
      </w:r>
      <w:r w:rsidR="008F17E8" w:rsidRPr="007114AF">
        <w:rPr>
          <w:rFonts w:ascii="Garamond" w:hAnsi="Garamond"/>
          <w:b/>
          <w:sz w:val="24"/>
          <w:szCs w:val="24"/>
        </w:rPr>
        <w:t xml:space="preserve"> Sektori bujqësor</w:t>
      </w:r>
      <w:bookmarkEnd w:id="54"/>
      <w:bookmarkEnd w:id="55"/>
      <w:bookmarkEnd w:id="56"/>
      <w:bookmarkEnd w:id="57"/>
      <w:bookmarkEnd w:id="58"/>
    </w:p>
    <w:p w14:paraId="6EDCF50F" w14:textId="23DDC62F" w:rsidR="008F17E8" w:rsidRPr="007114AF" w:rsidRDefault="008F17E8" w:rsidP="008F17E8">
      <w:pPr>
        <w:spacing w:after="0" w:line="240" w:lineRule="auto"/>
        <w:ind w:firstLine="284"/>
        <w:rPr>
          <w:rFonts w:ascii="Garamond" w:hAnsi="Garamond"/>
          <w:sz w:val="24"/>
          <w:szCs w:val="24"/>
        </w:rPr>
      </w:pPr>
      <w:r w:rsidRPr="007114AF">
        <w:rPr>
          <w:rFonts w:ascii="Garamond" w:hAnsi="Garamond"/>
          <w:sz w:val="24"/>
          <w:szCs w:val="24"/>
        </w:rPr>
        <w:t>Përdorimi i tokës në Shqipëri në një sipërfaqe totale prej 28,750 km</w:t>
      </w:r>
      <w:r w:rsidRPr="008771B6">
        <w:rPr>
          <w:rFonts w:ascii="Garamond" w:hAnsi="Garamond"/>
          <w:sz w:val="24"/>
          <w:szCs w:val="24"/>
          <w:vertAlign w:val="superscript"/>
        </w:rPr>
        <w:t>2</w:t>
      </w:r>
      <w:r w:rsidRPr="007114AF">
        <w:rPr>
          <w:rFonts w:ascii="Garamond" w:hAnsi="Garamond"/>
          <w:sz w:val="24"/>
          <w:szCs w:val="24"/>
        </w:rPr>
        <w:t>,</w:t>
      </w:r>
      <w:r w:rsidR="008771B6">
        <w:rPr>
          <w:rFonts w:ascii="Garamond" w:hAnsi="Garamond"/>
          <w:sz w:val="24"/>
          <w:szCs w:val="24"/>
        </w:rPr>
        <w:t xml:space="preserve"> </w:t>
      </w:r>
      <w:r w:rsidRPr="007114AF">
        <w:rPr>
          <w:rFonts w:ascii="Garamond" w:hAnsi="Garamond"/>
          <w:sz w:val="24"/>
          <w:szCs w:val="24"/>
        </w:rPr>
        <w:t>ndahet mes tokës bujqësore (24%),pyjeve (37%), kullotave dhe livadheve (15%), si</w:t>
      </w:r>
      <w:r w:rsidR="008771B6">
        <w:rPr>
          <w:rFonts w:ascii="Garamond" w:hAnsi="Garamond"/>
          <w:sz w:val="24"/>
          <w:szCs w:val="24"/>
        </w:rPr>
        <w:t xml:space="preserve"> </w:t>
      </w:r>
      <w:r w:rsidRPr="007114AF">
        <w:rPr>
          <w:rFonts w:ascii="Garamond" w:hAnsi="Garamond"/>
          <w:sz w:val="24"/>
          <w:szCs w:val="24"/>
        </w:rPr>
        <w:t>dhe tokave të tjera përfshirë zonat urbane, rreth 135,000 hektar liqene dhe tokë e papërdorur shkëmbore dhe malore (FAO, 2006</w:t>
      </w:r>
      <w:r w:rsidRPr="007114AF">
        <w:rPr>
          <w:rFonts w:ascii="Garamond" w:hAnsi="Garamond"/>
          <w:sz w:val="24"/>
          <w:szCs w:val="24"/>
          <w:vertAlign w:val="superscript"/>
        </w:rPr>
        <w:footnoteReference w:id="26"/>
      </w:r>
      <w:r w:rsidRPr="007114AF">
        <w:rPr>
          <w:rFonts w:ascii="Garamond" w:hAnsi="Garamond"/>
          <w:sz w:val="24"/>
          <w:szCs w:val="24"/>
        </w:rPr>
        <w:t>).</w:t>
      </w:r>
    </w:p>
    <w:p w14:paraId="6EDCF510" w14:textId="6005B6CF" w:rsidR="008F17E8" w:rsidRPr="007114AF" w:rsidRDefault="008F17E8" w:rsidP="008F17E8">
      <w:pPr>
        <w:spacing w:after="0" w:line="240" w:lineRule="auto"/>
        <w:ind w:firstLine="284"/>
        <w:rPr>
          <w:rFonts w:ascii="Garamond" w:hAnsi="Garamond"/>
          <w:sz w:val="24"/>
          <w:szCs w:val="24"/>
        </w:rPr>
      </w:pPr>
      <w:r w:rsidRPr="007114AF">
        <w:rPr>
          <w:rFonts w:ascii="Garamond" w:hAnsi="Garamond"/>
          <w:sz w:val="24"/>
          <w:szCs w:val="24"/>
        </w:rPr>
        <w:t>Sektori bujqësor luan një rol me rëndësi në ekonominë kombëtare, megjithëse pjesa e tokës bujqësore në totalin e tokës në Shqipëri është vetëm 24 % (krahasuar me rreth 40% në EU28), dhe përmasat e vogla mesatare të fermave bujqësore (1.21 ha) dhe rrjedhimisht, shkallë e lartë e copëzimit të tokës. Shkaku kryesor për përqindjen e ulët të tokës bujqësore është fakti që bujqësia shqiptare nuk është konkurruese,</w:t>
      </w:r>
      <w:r w:rsidR="000A2A01" w:rsidRPr="007114AF">
        <w:rPr>
          <w:rFonts w:ascii="Garamond" w:hAnsi="Garamond"/>
          <w:sz w:val="24"/>
          <w:szCs w:val="24"/>
        </w:rPr>
        <w:t xml:space="preserve"> </w:t>
      </w:r>
      <w:r w:rsidRPr="007114AF">
        <w:rPr>
          <w:rFonts w:ascii="Garamond" w:hAnsi="Garamond"/>
          <w:sz w:val="24"/>
          <w:szCs w:val="24"/>
        </w:rPr>
        <w:t>krahasuar me vendet fqinje. Zona e ujitur është e kufizuar për shkak të dëmeve në infrastrukturat e ujitjes.</w:t>
      </w:r>
      <w:r w:rsidR="008419C6">
        <w:rPr>
          <w:rFonts w:ascii="Garamond" w:hAnsi="Garamond"/>
          <w:sz w:val="24"/>
          <w:szCs w:val="24"/>
        </w:rPr>
        <w:t xml:space="preserve"> </w:t>
      </w:r>
      <w:r w:rsidRPr="007114AF">
        <w:rPr>
          <w:rFonts w:ascii="Garamond" w:hAnsi="Garamond"/>
          <w:sz w:val="24"/>
          <w:szCs w:val="24"/>
        </w:rPr>
        <w:t>Toka e kultivuar shtrihet nga 55% deri në 60% të sipërfaqes totale të tokës bujqësore, me një përdorim mesatar të plehrave kimike prej rreth 87.5 kg/ha (të dhëna 2011-2015 burimi FAO), kundrejt mesatares së EU-27 prej 76 kg/ha (të dhëna 2010 burimi EUROSTAT</w:t>
      </w:r>
      <w:r w:rsidRPr="007114AF">
        <w:rPr>
          <w:rFonts w:ascii="Garamond" w:hAnsi="Garamond"/>
          <w:sz w:val="24"/>
          <w:szCs w:val="24"/>
          <w:vertAlign w:val="superscript"/>
        </w:rPr>
        <w:footnoteReference w:id="27"/>
      </w:r>
      <w:r w:rsidRPr="007114AF">
        <w:rPr>
          <w:rFonts w:ascii="Garamond" w:hAnsi="Garamond"/>
          <w:sz w:val="24"/>
          <w:szCs w:val="24"/>
        </w:rPr>
        <w:t>).</w:t>
      </w:r>
    </w:p>
    <w:p w14:paraId="6EDCF511" w14:textId="6E201655" w:rsidR="008F17E8" w:rsidRPr="007114AF" w:rsidRDefault="008F17E8" w:rsidP="008F17E8">
      <w:pPr>
        <w:spacing w:after="0" w:line="240" w:lineRule="auto"/>
        <w:ind w:firstLine="284"/>
        <w:rPr>
          <w:rFonts w:ascii="Garamond" w:hAnsi="Garamond"/>
          <w:sz w:val="24"/>
          <w:szCs w:val="24"/>
        </w:rPr>
      </w:pPr>
      <w:r w:rsidRPr="007114AF">
        <w:rPr>
          <w:rFonts w:ascii="Garamond" w:hAnsi="Garamond"/>
          <w:sz w:val="24"/>
          <w:szCs w:val="24"/>
        </w:rPr>
        <w:t>Infrastruktura relativisht e pazhvilluar në zonat rurale, i pengon produktet bujqësore shqiptare të shkojnë në treg. Ky fenomen, së bashku me probleme të tjera strukturore, si teknologjia e prapambetur, nivelet e ulëta të mekanizimit, qasja e kufizuar në lehtësitë e kreditimit dhe produktiviteti i ulët krahasuar me mesataret e BE-së, për shkak të aplikimit</w:t>
      </w:r>
      <w:r w:rsidR="008419C6">
        <w:rPr>
          <w:rFonts w:ascii="Garamond" w:hAnsi="Garamond"/>
          <w:sz w:val="24"/>
          <w:szCs w:val="24"/>
        </w:rPr>
        <w:t xml:space="preserve"> </w:t>
      </w:r>
      <w:r w:rsidRPr="007114AF">
        <w:rPr>
          <w:rFonts w:ascii="Garamond" w:hAnsi="Garamond"/>
          <w:sz w:val="24"/>
          <w:szCs w:val="24"/>
        </w:rPr>
        <w:t xml:space="preserve">jo gjithnjë të praktikave të duhuraagronomike, e ka kufizuar investimin e vazhdueshëm në sektorin bujqësor. </w:t>
      </w:r>
    </w:p>
    <w:p w14:paraId="6EDCF512" w14:textId="77777777" w:rsidR="008F17E8" w:rsidRPr="007114AF" w:rsidRDefault="008F17E8" w:rsidP="008F17E8">
      <w:pPr>
        <w:spacing w:after="0" w:line="240" w:lineRule="auto"/>
        <w:ind w:firstLine="284"/>
        <w:rPr>
          <w:rFonts w:ascii="Garamond" w:hAnsi="Garamond"/>
          <w:sz w:val="24"/>
          <w:szCs w:val="24"/>
        </w:rPr>
      </w:pPr>
      <w:r w:rsidRPr="007114AF">
        <w:rPr>
          <w:rFonts w:ascii="Garamond" w:hAnsi="Garamond"/>
          <w:sz w:val="24"/>
          <w:szCs w:val="24"/>
        </w:rPr>
        <w:t>Për përmirësimin e situatës së sektorit dhe për ta bërë zhvillimin më të qëndrueshëm, zhvillimet dhe reformat strukturore duhet të jenë përparësi në politikat e ardhshme ekonomike</w:t>
      </w:r>
      <w:r w:rsidRPr="007114AF">
        <w:rPr>
          <w:rFonts w:ascii="Garamond" w:hAnsi="Garamond"/>
          <w:sz w:val="24"/>
          <w:szCs w:val="24"/>
          <w:vertAlign w:val="superscript"/>
        </w:rPr>
        <w:footnoteReference w:id="28"/>
      </w:r>
      <w:r w:rsidRPr="007114AF">
        <w:rPr>
          <w:rFonts w:ascii="Garamond" w:hAnsi="Garamond"/>
          <w:sz w:val="24"/>
          <w:szCs w:val="24"/>
        </w:rPr>
        <w:t xml:space="preserve">, me synim rritjen e efikasitetit në prodhimin bujqësor, lehtësimin e qasjes së produkteve bujqësore vendore në tregjet e vendit dhe të huaja, si dhe mbështetjen financiare të bizneseve dhe fermave. </w:t>
      </w:r>
    </w:p>
    <w:p w14:paraId="6EDCF513" w14:textId="77777777" w:rsidR="008F17E8" w:rsidRPr="007114AF" w:rsidRDefault="00860664" w:rsidP="008F17E8">
      <w:pPr>
        <w:spacing w:after="0" w:line="240" w:lineRule="auto"/>
        <w:ind w:firstLine="284"/>
        <w:rPr>
          <w:rFonts w:ascii="Garamond" w:hAnsi="Garamond"/>
          <w:b/>
          <w:sz w:val="24"/>
          <w:szCs w:val="24"/>
        </w:rPr>
      </w:pPr>
      <w:bookmarkStart w:id="59" w:name="_Toc449537126"/>
      <w:bookmarkStart w:id="60" w:name="_Toc450135234"/>
      <w:bookmarkStart w:id="61" w:name="_Toc450151837"/>
      <w:bookmarkStart w:id="62" w:name="_Toc484424484"/>
      <w:bookmarkStart w:id="63" w:name="_Toc446403345"/>
      <w:r w:rsidRPr="007114AF">
        <w:rPr>
          <w:rFonts w:ascii="Garamond" w:hAnsi="Garamond"/>
          <w:b/>
          <w:sz w:val="24"/>
          <w:szCs w:val="24"/>
        </w:rPr>
        <w:t xml:space="preserve">2.6.4 </w:t>
      </w:r>
      <w:r w:rsidR="008F17E8" w:rsidRPr="007114AF">
        <w:rPr>
          <w:rFonts w:ascii="Garamond" w:hAnsi="Garamond"/>
          <w:b/>
          <w:sz w:val="24"/>
          <w:szCs w:val="24"/>
        </w:rPr>
        <w:t>Sektor</w:t>
      </w:r>
      <w:bookmarkEnd w:id="59"/>
      <w:bookmarkEnd w:id="60"/>
      <w:bookmarkEnd w:id="61"/>
      <w:r w:rsidR="008F17E8" w:rsidRPr="007114AF">
        <w:rPr>
          <w:rFonts w:ascii="Garamond" w:hAnsi="Garamond"/>
          <w:b/>
          <w:sz w:val="24"/>
          <w:szCs w:val="24"/>
        </w:rPr>
        <w:t>i pyjor</w:t>
      </w:r>
      <w:bookmarkEnd w:id="62"/>
      <w:bookmarkEnd w:id="63"/>
    </w:p>
    <w:p w14:paraId="6EDCF514" w14:textId="65705D98" w:rsidR="008F17E8" w:rsidRPr="007114AF" w:rsidRDefault="008F17E8" w:rsidP="008F17E8">
      <w:pPr>
        <w:spacing w:after="0" w:line="240" w:lineRule="auto"/>
        <w:ind w:firstLine="284"/>
        <w:rPr>
          <w:rFonts w:ascii="Garamond" w:hAnsi="Garamond"/>
          <w:sz w:val="24"/>
          <w:szCs w:val="24"/>
        </w:rPr>
      </w:pPr>
      <w:r w:rsidRPr="007114AF">
        <w:rPr>
          <w:rFonts w:ascii="Garamond" w:hAnsi="Garamond"/>
          <w:sz w:val="24"/>
          <w:szCs w:val="24"/>
        </w:rPr>
        <w:t>Pjesa më e madhe e sipërfaqes totale të vendit është e mbuluar me pyje</w:t>
      </w:r>
      <w:r w:rsidRPr="007114AF">
        <w:rPr>
          <w:rFonts w:ascii="Garamond" w:hAnsi="Garamond"/>
          <w:sz w:val="24"/>
          <w:szCs w:val="24"/>
          <w:vertAlign w:val="superscript"/>
        </w:rPr>
        <w:footnoteReference w:id="29"/>
      </w:r>
      <w:r w:rsidRPr="007114AF">
        <w:rPr>
          <w:rFonts w:ascii="Garamond" w:hAnsi="Garamond"/>
          <w:sz w:val="24"/>
          <w:szCs w:val="24"/>
        </w:rPr>
        <w:t>, rreth 1,040,881 ha të klasifikuara sipas formës së qeverisjes në pyje të lartë (45.7%) dhe pyje të ulët (cungishte) dhe shkurre (54.3%), ndarë në pyje të thjeshtë 72.3% dhe të përzierë 27.7%. Sipas kadastrës pyjore, pronësia e pyjeve shqiptare është rreth 96% shtetërore dhe pjesa tjetër private. Sektori pyjor shqiptar në përgjithësi ka pësuar një mbi</w:t>
      </w:r>
      <w:r w:rsidR="00236635" w:rsidRPr="007114AF">
        <w:rPr>
          <w:rFonts w:ascii="Garamond" w:hAnsi="Garamond"/>
          <w:sz w:val="24"/>
          <w:szCs w:val="24"/>
        </w:rPr>
        <w:t xml:space="preserve"> </w:t>
      </w:r>
      <w:r w:rsidRPr="007114AF">
        <w:rPr>
          <w:rFonts w:ascii="Garamond" w:hAnsi="Garamond"/>
          <w:sz w:val="24"/>
          <w:szCs w:val="24"/>
        </w:rPr>
        <w:t>shfrytëzim vitet e fundit, me rënie të madhe të sipërfaqes dhe volumit (figurat 11</w:t>
      </w:r>
      <w:r w:rsidR="008419C6">
        <w:t>–</w:t>
      </w:r>
      <w:r w:rsidRPr="007114AF">
        <w:rPr>
          <w:rFonts w:ascii="Garamond" w:hAnsi="Garamond"/>
          <w:sz w:val="24"/>
          <w:szCs w:val="24"/>
        </w:rPr>
        <w:t>12), me një reduktim vjetor mesatar prej rreth 540,000 m</w:t>
      </w:r>
      <w:r w:rsidRPr="008419C6">
        <w:rPr>
          <w:rFonts w:ascii="Garamond" w:hAnsi="Garamond"/>
          <w:sz w:val="24"/>
          <w:szCs w:val="24"/>
          <w:vertAlign w:val="superscript"/>
        </w:rPr>
        <w:t>3</w:t>
      </w:r>
      <w:r w:rsidRPr="007114AF">
        <w:rPr>
          <w:rFonts w:ascii="Garamond" w:hAnsi="Garamond"/>
          <w:sz w:val="24"/>
          <w:szCs w:val="24"/>
        </w:rPr>
        <w:t>/vit, si për pyjet halore, ashtu dhe për ato gjethegjera, e përdorur si lëndë drusore për industrinë e ndërtimit, industrinë e minierave, industrinë e përpunimit të drurit dhe për bioenergji.</w:t>
      </w:r>
    </w:p>
    <w:p w14:paraId="6EDCF515" w14:textId="77777777" w:rsidR="008F17E8" w:rsidRPr="007114AF" w:rsidRDefault="008F17E8" w:rsidP="00281778">
      <w:pPr>
        <w:jc w:val="center"/>
        <w:rPr>
          <w:rFonts w:ascii="Garamond" w:hAnsi="Garamond"/>
        </w:rPr>
      </w:pPr>
      <w:r w:rsidRPr="007114AF">
        <w:rPr>
          <w:rFonts w:ascii="Garamond" w:hAnsi="Garamond"/>
          <w:noProof/>
          <w:lang w:val="en-US" w:eastAsia="en-US"/>
        </w:rPr>
        <w:drawing>
          <wp:inline distT="0" distB="0" distL="0" distR="0" wp14:anchorId="6EDD1798" wp14:editId="6EDD1799">
            <wp:extent cx="4723075" cy="2520564"/>
            <wp:effectExtent l="0" t="0" r="20955" b="13335"/>
            <wp:docPr id="26" name="Grafico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EDCF516" w14:textId="77777777" w:rsidR="008F17E8" w:rsidRPr="007114AF" w:rsidRDefault="008F17E8" w:rsidP="000327A8">
      <w:pPr>
        <w:pStyle w:val="FIGURA"/>
        <w:rPr>
          <w:sz w:val="20"/>
          <w:szCs w:val="20"/>
        </w:rPr>
      </w:pPr>
      <w:r w:rsidRPr="007114AF">
        <w:rPr>
          <w:sz w:val="20"/>
          <w:szCs w:val="20"/>
        </w:rPr>
        <w:t>Figura</w:t>
      </w:r>
      <w:r w:rsidR="000327A8"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13</w:t>
      </w:r>
      <w:r w:rsidRPr="007114AF">
        <w:rPr>
          <w:sz w:val="20"/>
          <w:szCs w:val="20"/>
        </w:rPr>
        <w:fldChar w:fldCharType="end"/>
      </w:r>
      <w:r w:rsidRPr="007114AF">
        <w:rPr>
          <w:sz w:val="20"/>
          <w:szCs w:val="20"/>
        </w:rPr>
        <w:t>–Sipërfaqja pyjore gjatë 2000-2013</w:t>
      </w:r>
    </w:p>
    <w:p w14:paraId="6EDCF517" w14:textId="77777777" w:rsidR="000327A8" w:rsidRPr="007114AF" w:rsidRDefault="000327A8" w:rsidP="008F17E8">
      <w:pPr>
        <w:spacing w:after="0" w:line="240" w:lineRule="auto"/>
        <w:ind w:firstLine="284"/>
        <w:rPr>
          <w:rFonts w:ascii="Garamond" w:hAnsi="Garamond"/>
          <w:sz w:val="24"/>
          <w:szCs w:val="24"/>
        </w:rPr>
      </w:pPr>
    </w:p>
    <w:p w14:paraId="6EDCF518" w14:textId="77777777" w:rsidR="008F17E8" w:rsidRPr="007114AF" w:rsidRDefault="008F17E8" w:rsidP="00281778">
      <w:pPr>
        <w:jc w:val="center"/>
        <w:rPr>
          <w:rFonts w:ascii="Garamond" w:hAnsi="Garamond"/>
        </w:rPr>
      </w:pPr>
      <w:r w:rsidRPr="007114AF">
        <w:rPr>
          <w:rFonts w:ascii="Garamond" w:hAnsi="Garamond"/>
          <w:noProof/>
          <w:lang w:val="en-US" w:eastAsia="en-US"/>
        </w:rPr>
        <w:drawing>
          <wp:inline distT="0" distB="0" distL="0" distR="0" wp14:anchorId="6EDD179A" wp14:editId="6EDD179B">
            <wp:extent cx="4723075" cy="1987826"/>
            <wp:effectExtent l="0" t="0" r="20955" b="12700"/>
            <wp:docPr id="25" name="Grafico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DCF519" w14:textId="5413D841" w:rsidR="008F17E8" w:rsidRPr="007114AF" w:rsidRDefault="008F17E8" w:rsidP="000327A8">
      <w:pPr>
        <w:pStyle w:val="FIGURA"/>
        <w:rPr>
          <w:sz w:val="20"/>
          <w:szCs w:val="20"/>
        </w:rPr>
      </w:pPr>
      <w:r w:rsidRPr="007114AF">
        <w:rPr>
          <w:sz w:val="20"/>
          <w:szCs w:val="20"/>
        </w:rPr>
        <w:t>Figura</w:t>
      </w:r>
      <w:r w:rsidR="000327A8"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14</w:t>
      </w:r>
      <w:r w:rsidRPr="007114AF">
        <w:rPr>
          <w:sz w:val="20"/>
          <w:szCs w:val="20"/>
        </w:rPr>
        <w:fldChar w:fldCharType="end"/>
      </w:r>
      <w:r w:rsidR="00236635" w:rsidRPr="007114AF">
        <w:rPr>
          <w:sz w:val="20"/>
          <w:szCs w:val="20"/>
        </w:rPr>
        <w:t xml:space="preserve"> </w:t>
      </w:r>
      <w:r w:rsidRPr="007114AF">
        <w:rPr>
          <w:sz w:val="20"/>
          <w:szCs w:val="20"/>
        </w:rPr>
        <w:t>– Volumi stok gjatë periudhës 2000-2013</w:t>
      </w:r>
    </w:p>
    <w:p w14:paraId="6EDCF51A" w14:textId="77777777" w:rsidR="008F17E8" w:rsidRPr="007114AF" w:rsidRDefault="008F17E8" w:rsidP="008F17E8">
      <w:pPr>
        <w:spacing w:after="0" w:line="240" w:lineRule="auto"/>
        <w:ind w:firstLine="284"/>
        <w:rPr>
          <w:rFonts w:ascii="Garamond" w:hAnsi="Garamond"/>
          <w:sz w:val="14"/>
          <w:szCs w:val="24"/>
        </w:rPr>
      </w:pPr>
    </w:p>
    <w:p w14:paraId="6EDCF51B" w14:textId="3E9789CF" w:rsidR="008F17E8" w:rsidRPr="007114AF" w:rsidRDefault="008F17E8" w:rsidP="008F17E8">
      <w:pPr>
        <w:spacing w:after="0" w:line="240" w:lineRule="auto"/>
        <w:ind w:firstLine="284"/>
        <w:rPr>
          <w:rFonts w:ascii="Garamond" w:hAnsi="Garamond"/>
          <w:sz w:val="24"/>
          <w:szCs w:val="24"/>
        </w:rPr>
      </w:pPr>
      <w:r w:rsidRPr="007114AF">
        <w:rPr>
          <w:rFonts w:ascii="Garamond" w:hAnsi="Garamond"/>
          <w:sz w:val="24"/>
          <w:szCs w:val="24"/>
        </w:rPr>
        <w:t>Për të siguruar një menaxhim të qëndrueshëm të pyjeve është shumë e rëndësishme të ruhet një raport pozitiv mes rritjes natyrore të pyjeve shqiptare që është shumë e ulët (1.2</w:t>
      </w:r>
      <w:r w:rsidR="008419C6">
        <w:t>–</w:t>
      </w:r>
      <w:r w:rsidRPr="007114AF">
        <w:rPr>
          <w:rFonts w:ascii="Garamond" w:hAnsi="Garamond"/>
          <w:sz w:val="24"/>
          <w:szCs w:val="24"/>
        </w:rPr>
        <w:t>1.7 milion</w:t>
      </w:r>
      <w:r w:rsidR="00236635" w:rsidRPr="007114AF">
        <w:rPr>
          <w:rFonts w:ascii="Garamond" w:hAnsi="Garamond"/>
          <w:sz w:val="24"/>
          <w:szCs w:val="24"/>
        </w:rPr>
        <w:t>ë</w:t>
      </w:r>
      <w:r w:rsidRPr="007114AF">
        <w:rPr>
          <w:rFonts w:ascii="Garamond" w:hAnsi="Garamond"/>
          <w:sz w:val="24"/>
          <w:szCs w:val="24"/>
        </w:rPr>
        <w:t xml:space="preserve"> m</w:t>
      </w:r>
      <w:r w:rsidRPr="007114AF">
        <w:rPr>
          <w:rFonts w:ascii="Garamond" w:hAnsi="Garamond"/>
          <w:sz w:val="24"/>
          <w:szCs w:val="24"/>
          <w:vertAlign w:val="superscript"/>
        </w:rPr>
        <w:t>3</w:t>
      </w:r>
      <w:r w:rsidRPr="007114AF">
        <w:rPr>
          <w:rFonts w:ascii="Garamond" w:hAnsi="Garamond"/>
          <w:sz w:val="24"/>
          <w:szCs w:val="24"/>
        </w:rPr>
        <w:t>/vit</w:t>
      </w:r>
      <w:r w:rsidRPr="007114AF">
        <w:rPr>
          <w:rFonts w:ascii="Garamond" w:hAnsi="Garamond"/>
          <w:sz w:val="24"/>
          <w:szCs w:val="24"/>
          <w:vertAlign w:val="superscript"/>
        </w:rPr>
        <w:footnoteReference w:id="30"/>
      </w:r>
      <w:r w:rsidRPr="007114AF">
        <w:rPr>
          <w:rFonts w:ascii="Garamond" w:hAnsi="Garamond"/>
          <w:sz w:val="24"/>
          <w:szCs w:val="24"/>
        </w:rPr>
        <w:t xml:space="preserve">) dhe prerjes së tyre. </w:t>
      </w:r>
    </w:p>
    <w:p w14:paraId="6EDCF51C" w14:textId="77777777" w:rsidR="008F17E8" w:rsidRPr="007114AF" w:rsidRDefault="008F17E8" w:rsidP="008F17E8">
      <w:pPr>
        <w:spacing w:after="0" w:line="240" w:lineRule="auto"/>
        <w:ind w:firstLine="284"/>
        <w:rPr>
          <w:rFonts w:ascii="Garamond" w:hAnsi="Garamond"/>
          <w:sz w:val="24"/>
          <w:szCs w:val="24"/>
        </w:rPr>
      </w:pPr>
    </w:p>
    <w:p w14:paraId="6EDCF51D" w14:textId="77777777" w:rsidR="008F17E8" w:rsidRPr="007114AF" w:rsidRDefault="008F17E8" w:rsidP="00281778">
      <w:pPr>
        <w:jc w:val="center"/>
        <w:rPr>
          <w:rFonts w:ascii="Garamond" w:hAnsi="Garamond"/>
        </w:rPr>
      </w:pPr>
      <w:r w:rsidRPr="007114AF">
        <w:rPr>
          <w:rFonts w:ascii="Garamond" w:hAnsi="Garamond"/>
          <w:noProof/>
          <w:lang w:val="en-US" w:eastAsia="en-US"/>
        </w:rPr>
        <w:drawing>
          <wp:inline distT="0" distB="0" distL="0" distR="0" wp14:anchorId="6EDD179C" wp14:editId="6EDD179D">
            <wp:extent cx="5343277" cy="2234317"/>
            <wp:effectExtent l="0" t="0" r="10160" b="13970"/>
            <wp:docPr id="24" name="Gra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EDCF51E" w14:textId="4F01A553" w:rsidR="00281778" w:rsidRPr="007114AF" w:rsidRDefault="00281778" w:rsidP="000327A8">
      <w:pPr>
        <w:pStyle w:val="FIGURA"/>
        <w:rPr>
          <w:sz w:val="20"/>
          <w:szCs w:val="20"/>
        </w:rPr>
      </w:pPr>
      <w:r w:rsidRPr="007114AF">
        <w:rPr>
          <w:sz w:val="20"/>
          <w:szCs w:val="20"/>
        </w:rPr>
        <w:t>Figura</w:t>
      </w:r>
      <w:r w:rsidR="00862C8C"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15</w:t>
      </w:r>
      <w:r w:rsidRPr="007114AF">
        <w:rPr>
          <w:sz w:val="20"/>
          <w:szCs w:val="20"/>
        </w:rPr>
        <w:fldChar w:fldCharType="end"/>
      </w:r>
      <w:r w:rsidR="00862C8C" w:rsidRPr="007114AF">
        <w:rPr>
          <w:sz w:val="20"/>
          <w:szCs w:val="20"/>
        </w:rPr>
        <w:t xml:space="preserve"> </w:t>
      </w:r>
      <w:r w:rsidRPr="007114AF">
        <w:rPr>
          <w:sz w:val="20"/>
          <w:szCs w:val="20"/>
        </w:rPr>
        <w:t>–</w:t>
      </w:r>
      <w:r w:rsidR="00862C8C" w:rsidRPr="007114AF">
        <w:rPr>
          <w:sz w:val="20"/>
          <w:szCs w:val="20"/>
        </w:rPr>
        <w:t xml:space="preserve"> </w:t>
      </w:r>
      <w:r w:rsidRPr="007114AF">
        <w:rPr>
          <w:sz w:val="20"/>
          <w:szCs w:val="20"/>
        </w:rPr>
        <w:t>Rritja e pyjeve dhe konsumi i druve gjatë periudhës 2000-2013</w:t>
      </w:r>
    </w:p>
    <w:p w14:paraId="0D302DE2" w14:textId="77777777" w:rsidR="00862C8C" w:rsidRPr="007114AF" w:rsidRDefault="00862C8C" w:rsidP="00281778">
      <w:pPr>
        <w:spacing w:after="0" w:line="240" w:lineRule="auto"/>
        <w:ind w:firstLine="284"/>
        <w:rPr>
          <w:rFonts w:ascii="Garamond" w:hAnsi="Garamond"/>
          <w:sz w:val="24"/>
          <w:szCs w:val="24"/>
        </w:rPr>
      </w:pPr>
    </w:p>
    <w:p w14:paraId="6EDCF51F" w14:textId="6B9A2908"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Rritja natyrore e pyjeve është mesatarisht 27% më e ulët se konsumi i druve dhe lëndës drusore (figura 17) në Shqipëri. Kjo do të thotë se stoku kombëtar pyjor është menaxhuar dhe ende menaxhohet në mënyrë jo të qëndrueshme. Një tjetër çështje me rëndësi lidhur me këtë proces, është që pjesa më e madhe e rënies së volumit vjen si pasojë e prerjeve të paligjshme: vetëm 10% e volumit total të biomasës pyjore që pritet është e ligjshme, ndërsa pjesa tjetër merret në mënyrë ilegale. Kjo shifër është shumë e lartë dhe përbën shkakun kryesor të degradimit të pyjeve shqiptare. Nga perspektiva globale, efektet e degradimit të pyjeve dhe humbja e biodiversitetit të mbulesës pyjore</w:t>
      </w:r>
      <w:r w:rsidR="005B6402">
        <w:rPr>
          <w:rFonts w:ascii="Garamond" w:hAnsi="Garamond"/>
          <w:sz w:val="24"/>
          <w:szCs w:val="24"/>
        </w:rPr>
        <w:t xml:space="preserve"> </w:t>
      </w:r>
      <w:r w:rsidRPr="007114AF">
        <w:rPr>
          <w:rFonts w:ascii="Garamond" w:hAnsi="Garamond"/>
          <w:sz w:val="24"/>
          <w:szCs w:val="24"/>
        </w:rPr>
        <w:t>mund të jetë e madhe, duke qenë se Shqipëria ndodhet në pellgun e Mesdheut, që njihet si pikë e nxehtë globale e biodiversitetit lidhur me florën endemike dhe speciet e faunës (Myers et al. 2000</w:t>
      </w:r>
      <w:r w:rsidRPr="007114AF">
        <w:rPr>
          <w:rFonts w:ascii="Garamond" w:hAnsi="Garamond"/>
          <w:sz w:val="24"/>
          <w:szCs w:val="24"/>
        </w:rPr>
        <w:footnoteReference w:id="31"/>
      </w:r>
      <w:r w:rsidRPr="007114AF">
        <w:rPr>
          <w:rFonts w:ascii="Garamond" w:hAnsi="Garamond"/>
          <w:sz w:val="24"/>
          <w:szCs w:val="24"/>
        </w:rPr>
        <w:t>).</w:t>
      </w:r>
    </w:p>
    <w:p w14:paraId="6EDCF520" w14:textId="1C1AF8A5"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Për më tepër, cilësia e të dhënave ekzistuese për përdorimin e tokës, zonave pyjore dhe përdorimin pyjor në Shqipëri është shumë e paqartë, duke e bërë të vështirë çdo vlerësim të saktë të sektorit, me paqartësi të madhe edhe në vlerësimet e prirjeve të GES-it. Historikisht sektori pyjor është organizuar në varësi të Drejtorisë së Përgjithshme të Pyjeve dhe Kullotave. Ky ka qenë një institucion qendror i varur nga Këshilli i Ministrave dhe Ministria e Bujqësisë. Duke filluar nga vitit 2005, shërbimi pyjor u organizua nën Ministrinë e Mjedisit (MM), ndërsa Drejtoria e Përgjithshme e Pyjeve u shkri. Për momentin ka një sektor që merret me pyjet në Shqipëri, pjesë e Drejtorisë së Programeve të Zhvillimit të Mjedisit</w:t>
      </w:r>
      <w:r w:rsidR="00862C8C" w:rsidRPr="007114AF">
        <w:rPr>
          <w:rFonts w:ascii="Garamond" w:hAnsi="Garamond"/>
          <w:sz w:val="24"/>
          <w:szCs w:val="24"/>
        </w:rPr>
        <w:t xml:space="preserve"> </w:t>
      </w:r>
      <w:r w:rsidRPr="007114AF">
        <w:rPr>
          <w:rFonts w:ascii="Garamond" w:hAnsi="Garamond"/>
          <w:sz w:val="24"/>
          <w:szCs w:val="24"/>
        </w:rPr>
        <w:t xml:space="preserve">në Ministrinë e Turizmit dhe Mjedisit. Për më tepër, ngritja e një shërbimi pyjor është parashikuar nga projektligji mbi </w:t>
      </w:r>
      <w:r w:rsidR="000A2A01" w:rsidRPr="007114AF">
        <w:rPr>
          <w:rFonts w:ascii="Garamond" w:hAnsi="Garamond"/>
          <w:sz w:val="24"/>
          <w:szCs w:val="24"/>
        </w:rPr>
        <w:t>“</w:t>
      </w:r>
      <w:r w:rsidRPr="007114AF">
        <w:rPr>
          <w:rFonts w:ascii="Garamond" w:hAnsi="Garamond"/>
          <w:sz w:val="24"/>
          <w:szCs w:val="24"/>
        </w:rPr>
        <w:t>Administrimin e Fondit Kombëtar të Pyjeve dhe Kullotave në Republikën e Shqipërisë</w:t>
      </w:r>
      <w:r w:rsidR="000A2A01" w:rsidRPr="007114AF">
        <w:rPr>
          <w:rFonts w:ascii="Garamond" w:hAnsi="Garamond"/>
          <w:sz w:val="24"/>
          <w:szCs w:val="24"/>
        </w:rPr>
        <w:t>”</w:t>
      </w:r>
      <w:r w:rsidRPr="007114AF">
        <w:rPr>
          <w:rFonts w:ascii="Garamond" w:hAnsi="Garamond"/>
          <w:sz w:val="24"/>
          <w:szCs w:val="24"/>
        </w:rPr>
        <w:t>, që mund të hyjë në fuqi në të ardhmen e afërt.</w:t>
      </w:r>
    </w:p>
    <w:p w14:paraId="6EDCF521" w14:textId="77777777" w:rsidR="00281778" w:rsidRPr="007114AF" w:rsidRDefault="00281778" w:rsidP="00281778">
      <w:pPr>
        <w:spacing w:after="0" w:line="240" w:lineRule="auto"/>
        <w:ind w:firstLine="284"/>
        <w:rPr>
          <w:rFonts w:ascii="Garamond" w:hAnsi="Garamond"/>
          <w:b/>
          <w:sz w:val="24"/>
          <w:szCs w:val="24"/>
        </w:rPr>
      </w:pPr>
      <w:bookmarkStart w:id="64" w:name="_Toc484424485"/>
      <w:bookmarkStart w:id="65" w:name="_Toc450135235"/>
      <w:bookmarkStart w:id="66" w:name="_Toc450151838"/>
      <w:r w:rsidRPr="007114AF">
        <w:rPr>
          <w:rFonts w:ascii="Garamond" w:hAnsi="Garamond"/>
          <w:b/>
          <w:sz w:val="24"/>
          <w:szCs w:val="24"/>
        </w:rPr>
        <w:t>2.7 Përmbledhje e bilancit historik dhe të ardhshëm të GES-it</w:t>
      </w:r>
      <w:bookmarkEnd w:id="64"/>
      <w:bookmarkEnd w:id="65"/>
      <w:bookmarkEnd w:id="66"/>
    </w:p>
    <w:p w14:paraId="6EDCF522" w14:textId="77777777"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 xml:space="preserve">Burimi kryesor i të dhënave të shkarkimeve historike të GES-it, balancës dhe prirjeve të reduktimit paraqitet nga tre Komunikimet Kombëtare Shqiptare: Komunikimi i Parë Kombëtar (KPK) u paraqit në vitin 2002; Komunikimi i Dytë Kombëtar (KDK) në vitin 2009; dhe Komunikimi i Tretë Kombëtar (KTK) që do të paraqitet në vitin 2016 (ende në gjendje hartimi në kohën që po shkruajmë). </w:t>
      </w:r>
    </w:p>
    <w:p w14:paraId="6EDCF523" w14:textId="00AF0CC3"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KPK-ja për Shqipërinë</w:t>
      </w:r>
      <w:r w:rsidR="00862C8C" w:rsidRPr="007114AF">
        <w:rPr>
          <w:rFonts w:ascii="Garamond" w:hAnsi="Garamond"/>
          <w:sz w:val="24"/>
          <w:szCs w:val="24"/>
        </w:rPr>
        <w:t xml:space="preserve"> </w:t>
      </w:r>
      <w:r w:rsidRPr="007114AF">
        <w:rPr>
          <w:rFonts w:ascii="Garamond" w:hAnsi="Garamond"/>
          <w:sz w:val="24"/>
          <w:szCs w:val="24"/>
        </w:rPr>
        <w:t>ishte inventari i parë i zbatuar i shkarkimeve të GES-it,</w:t>
      </w:r>
      <w:r w:rsidR="00862C8C" w:rsidRPr="007114AF">
        <w:rPr>
          <w:rFonts w:ascii="Garamond" w:hAnsi="Garamond"/>
          <w:sz w:val="24"/>
          <w:szCs w:val="24"/>
        </w:rPr>
        <w:t xml:space="preserve"> </w:t>
      </w:r>
      <w:r w:rsidRPr="007114AF">
        <w:rPr>
          <w:rFonts w:ascii="Garamond" w:hAnsi="Garamond"/>
          <w:sz w:val="24"/>
          <w:szCs w:val="24"/>
        </w:rPr>
        <w:t>sipas burimeve dhe përthithësve</w:t>
      </w:r>
      <w:r w:rsidR="00862C8C" w:rsidRPr="007114AF">
        <w:rPr>
          <w:rFonts w:ascii="Garamond" w:hAnsi="Garamond"/>
          <w:sz w:val="24"/>
          <w:szCs w:val="24"/>
        </w:rPr>
        <w:t xml:space="preserve"> </w:t>
      </w:r>
      <w:r w:rsidRPr="007114AF">
        <w:rPr>
          <w:rFonts w:ascii="Garamond" w:hAnsi="Garamond"/>
          <w:sz w:val="24"/>
          <w:szCs w:val="24"/>
        </w:rPr>
        <w:t>për Shqipërinë. Sipas Udhëzimeve</w:t>
      </w:r>
      <w:r w:rsidR="00733D2C">
        <w:rPr>
          <w:rFonts w:ascii="Garamond" w:hAnsi="Garamond"/>
          <w:sz w:val="24"/>
          <w:szCs w:val="24"/>
        </w:rPr>
        <w:t xml:space="preserve"> </w:t>
      </w:r>
      <w:r w:rsidRPr="007114AF">
        <w:rPr>
          <w:rFonts w:ascii="Garamond" w:hAnsi="Garamond"/>
          <w:sz w:val="24"/>
          <w:szCs w:val="24"/>
        </w:rPr>
        <w:t>IPCC-ë të rishikuara në vitin 1996, ajo merrte në konsideratë pesë sektorë kryesorë— energjinë, proceset industriale, bujqësinë, mbetjet dhe LUCF-ja – tre GES-e direkte – CO</w:t>
      </w:r>
      <w:r w:rsidRPr="007114AF">
        <w:rPr>
          <w:rFonts w:ascii="Garamond" w:hAnsi="Garamond"/>
          <w:sz w:val="24"/>
          <w:szCs w:val="24"/>
          <w:vertAlign w:val="subscript"/>
        </w:rPr>
        <w:t>2</w:t>
      </w:r>
      <w:r w:rsidRPr="007114AF">
        <w:rPr>
          <w:rFonts w:ascii="Garamond" w:hAnsi="Garamond"/>
          <w:sz w:val="24"/>
          <w:szCs w:val="24"/>
        </w:rPr>
        <w:t>, CH</w:t>
      </w:r>
      <w:r w:rsidRPr="007114AF">
        <w:rPr>
          <w:rFonts w:ascii="Garamond" w:hAnsi="Garamond"/>
          <w:sz w:val="24"/>
          <w:szCs w:val="24"/>
          <w:vertAlign w:val="subscript"/>
        </w:rPr>
        <w:t>4</w:t>
      </w:r>
      <w:r w:rsidRPr="007114AF">
        <w:rPr>
          <w:rFonts w:ascii="Garamond" w:hAnsi="Garamond"/>
          <w:sz w:val="24"/>
          <w:szCs w:val="24"/>
        </w:rPr>
        <w:t>dhe N</w:t>
      </w:r>
      <w:r w:rsidRPr="007114AF">
        <w:rPr>
          <w:rFonts w:ascii="Garamond" w:hAnsi="Garamond"/>
          <w:sz w:val="24"/>
          <w:szCs w:val="24"/>
          <w:vertAlign w:val="subscript"/>
        </w:rPr>
        <w:t>2</w:t>
      </w:r>
      <w:r w:rsidRPr="007114AF">
        <w:rPr>
          <w:rFonts w:ascii="Garamond" w:hAnsi="Garamond"/>
          <w:sz w:val="24"/>
          <w:szCs w:val="24"/>
        </w:rPr>
        <w:t>O – dhe tre indirekte – CO, NOx, si dhe përbërësit organikë shpërthyes jometan</w:t>
      </w:r>
      <w:r w:rsidR="00862C8C" w:rsidRPr="007114AF">
        <w:rPr>
          <w:rFonts w:ascii="Garamond" w:hAnsi="Garamond"/>
          <w:sz w:val="24"/>
          <w:szCs w:val="24"/>
        </w:rPr>
        <w:t xml:space="preserve"> </w:t>
      </w:r>
      <w:r w:rsidRPr="007114AF">
        <w:rPr>
          <w:rFonts w:ascii="Garamond" w:hAnsi="Garamond"/>
          <w:sz w:val="24"/>
          <w:szCs w:val="24"/>
        </w:rPr>
        <w:t>(NMVOC). Viti referencë ishte 1994, ndërsa seritë kohore 1990-1994 u përdorën vetëm për kategorinë e shkarkimeve CO</w:t>
      </w:r>
      <w:r w:rsidRPr="007114AF">
        <w:rPr>
          <w:rFonts w:ascii="Garamond" w:hAnsi="Garamond"/>
          <w:sz w:val="24"/>
          <w:szCs w:val="24"/>
          <w:vertAlign w:val="subscript"/>
        </w:rPr>
        <w:t>2</w:t>
      </w:r>
      <w:r w:rsidR="00714518" w:rsidRPr="007114AF">
        <w:rPr>
          <w:rFonts w:ascii="Garamond" w:hAnsi="Garamond"/>
          <w:sz w:val="24"/>
          <w:szCs w:val="24"/>
        </w:rPr>
        <w:t xml:space="preserve"> </w:t>
      </w:r>
      <w:r w:rsidRPr="007114AF">
        <w:rPr>
          <w:rFonts w:ascii="Garamond" w:hAnsi="Garamond"/>
          <w:sz w:val="24"/>
          <w:szCs w:val="24"/>
        </w:rPr>
        <w:t>nga djegia e lëndëve djegëse.</w:t>
      </w:r>
    </w:p>
    <w:p w14:paraId="6EDCF524" w14:textId="0BACD406"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KDK-ja për Shqipërinë u publikua në vitin 2009 dhe mbulon periudhën 1990</w:t>
      </w:r>
      <w:r w:rsidR="00733D2C">
        <w:t>–</w:t>
      </w:r>
      <w:r w:rsidRPr="007114AF">
        <w:rPr>
          <w:rFonts w:ascii="Garamond" w:hAnsi="Garamond"/>
          <w:sz w:val="24"/>
          <w:szCs w:val="24"/>
        </w:rPr>
        <w:t xml:space="preserve">2000 për gjashtë kategori kryesore, të rekomanduara nga </w:t>
      </w:r>
      <w:r w:rsidR="00714518" w:rsidRPr="007114AF">
        <w:rPr>
          <w:rFonts w:ascii="Garamond" w:hAnsi="Garamond"/>
          <w:sz w:val="24"/>
          <w:szCs w:val="24"/>
        </w:rPr>
        <w:t>u</w:t>
      </w:r>
      <w:r w:rsidRPr="007114AF">
        <w:rPr>
          <w:rFonts w:ascii="Garamond" w:hAnsi="Garamond"/>
          <w:sz w:val="24"/>
          <w:szCs w:val="24"/>
        </w:rPr>
        <w:t xml:space="preserve">dhëzimet </w:t>
      </w:r>
      <w:r w:rsidR="00714518" w:rsidRPr="007114AF">
        <w:rPr>
          <w:rFonts w:ascii="Garamond" w:hAnsi="Garamond"/>
          <w:sz w:val="24"/>
          <w:szCs w:val="24"/>
        </w:rPr>
        <w:t xml:space="preserve">e </w:t>
      </w:r>
      <w:r w:rsidRPr="007114AF">
        <w:rPr>
          <w:rFonts w:ascii="Garamond" w:hAnsi="Garamond"/>
          <w:sz w:val="24"/>
          <w:szCs w:val="24"/>
        </w:rPr>
        <w:t>IPCC-</w:t>
      </w:r>
      <w:r w:rsidR="00714518" w:rsidRPr="007114AF">
        <w:rPr>
          <w:rFonts w:ascii="Garamond" w:hAnsi="Garamond"/>
          <w:sz w:val="24"/>
          <w:szCs w:val="24"/>
        </w:rPr>
        <w:t>s</w:t>
      </w:r>
      <w:r w:rsidRPr="007114AF">
        <w:rPr>
          <w:rFonts w:ascii="Garamond" w:hAnsi="Garamond"/>
          <w:sz w:val="24"/>
          <w:szCs w:val="24"/>
        </w:rPr>
        <w:t>ë</w:t>
      </w:r>
      <w:r w:rsidR="00862C8C" w:rsidRPr="007114AF">
        <w:rPr>
          <w:rFonts w:ascii="Garamond" w:hAnsi="Garamond"/>
          <w:sz w:val="24"/>
          <w:szCs w:val="24"/>
        </w:rPr>
        <w:t xml:space="preserve"> </w:t>
      </w:r>
      <w:r w:rsidRPr="007114AF">
        <w:rPr>
          <w:rFonts w:ascii="Garamond" w:hAnsi="Garamond"/>
          <w:sz w:val="24"/>
          <w:szCs w:val="24"/>
        </w:rPr>
        <w:t>të rishikuara në 1996: aktivitetet e energjisë (përfshirë gjithë llojet e aktivitetit lidhur me nxjerrjen, transportimin, përpunimin dhe djegien e lëndëve djegëse), proceset industriale,</w:t>
      </w:r>
      <w:r w:rsidR="00862C8C" w:rsidRPr="007114AF">
        <w:rPr>
          <w:rFonts w:ascii="Garamond" w:hAnsi="Garamond"/>
          <w:sz w:val="24"/>
          <w:szCs w:val="24"/>
        </w:rPr>
        <w:t xml:space="preserve"> </w:t>
      </w:r>
      <w:r w:rsidRPr="007114AF">
        <w:rPr>
          <w:rFonts w:ascii="Garamond" w:hAnsi="Garamond"/>
          <w:sz w:val="24"/>
          <w:szCs w:val="24"/>
        </w:rPr>
        <w:t>përdorimi i tretësve dhe produkteve të tjera, bujqësia, ndryshimi i përdorimit të tokës dhe pyjet, si dhe mbetjet. Inventari GES-it</w:t>
      </w:r>
      <w:r w:rsidR="00862C8C" w:rsidRPr="007114AF">
        <w:rPr>
          <w:rFonts w:ascii="Garamond" w:hAnsi="Garamond"/>
          <w:sz w:val="24"/>
          <w:szCs w:val="24"/>
        </w:rPr>
        <w:t xml:space="preserve"> </w:t>
      </w:r>
      <w:r w:rsidRPr="007114AF">
        <w:rPr>
          <w:rFonts w:ascii="Garamond" w:hAnsi="Garamond"/>
          <w:sz w:val="24"/>
          <w:szCs w:val="24"/>
        </w:rPr>
        <w:t>merr në konsideratë tre GES-e direkte (CO</w:t>
      </w:r>
      <w:r w:rsidRPr="007114AF">
        <w:rPr>
          <w:rFonts w:ascii="Garamond" w:hAnsi="Garamond"/>
          <w:sz w:val="24"/>
          <w:szCs w:val="24"/>
          <w:vertAlign w:val="subscript"/>
        </w:rPr>
        <w:t>2</w:t>
      </w:r>
      <w:r w:rsidRPr="007114AF">
        <w:rPr>
          <w:rFonts w:ascii="Garamond" w:hAnsi="Garamond"/>
          <w:sz w:val="24"/>
          <w:szCs w:val="24"/>
        </w:rPr>
        <w:t>, CH</w:t>
      </w:r>
      <w:r w:rsidRPr="007114AF">
        <w:rPr>
          <w:rFonts w:ascii="Garamond" w:hAnsi="Garamond"/>
          <w:sz w:val="24"/>
          <w:szCs w:val="24"/>
          <w:vertAlign w:val="subscript"/>
        </w:rPr>
        <w:t>4</w:t>
      </w:r>
      <w:r w:rsidRPr="007114AF">
        <w:rPr>
          <w:rFonts w:ascii="Garamond" w:hAnsi="Garamond"/>
          <w:sz w:val="24"/>
          <w:szCs w:val="24"/>
        </w:rPr>
        <w:t xml:space="preserve"> dhe N</w:t>
      </w:r>
      <w:r w:rsidRPr="007114AF">
        <w:rPr>
          <w:rFonts w:ascii="Garamond" w:hAnsi="Garamond"/>
          <w:sz w:val="24"/>
          <w:szCs w:val="24"/>
          <w:vertAlign w:val="subscript"/>
        </w:rPr>
        <w:t>2</w:t>
      </w:r>
      <w:r w:rsidRPr="007114AF">
        <w:rPr>
          <w:rFonts w:ascii="Garamond" w:hAnsi="Garamond"/>
          <w:sz w:val="24"/>
          <w:szCs w:val="24"/>
        </w:rPr>
        <w:t>O) dhe shkarkime GES-i</w:t>
      </w:r>
      <w:r w:rsidR="00862C8C" w:rsidRPr="007114AF">
        <w:rPr>
          <w:rFonts w:ascii="Garamond" w:hAnsi="Garamond"/>
          <w:sz w:val="24"/>
          <w:szCs w:val="24"/>
        </w:rPr>
        <w:t xml:space="preserve"> </w:t>
      </w:r>
      <w:r w:rsidRPr="007114AF">
        <w:rPr>
          <w:rFonts w:ascii="Garamond" w:hAnsi="Garamond"/>
          <w:sz w:val="24"/>
          <w:szCs w:val="24"/>
        </w:rPr>
        <w:t>indirekte (CO, NOx, SOx dhe NMVOC). Veç kësaj, lidhur me KPK-në, përfshihen PFCs dhe SF6të vlerësimeve HFCs. Vlerësimi nga KDK-ja i serive kohore GES</w:t>
      </w:r>
      <w:r w:rsidR="00D71436">
        <w:rPr>
          <w:rFonts w:ascii="Garamond" w:hAnsi="Garamond"/>
          <w:sz w:val="24"/>
          <w:szCs w:val="24"/>
        </w:rPr>
        <w:t xml:space="preserve"> </w:t>
      </w:r>
      <w:r w:rsidRPr="007114AF">
        <w:rPr>
          <w:rFonts w:ascii="Garamond" w:hAnsi="Garamond"/>
          <w:sz w:val="24"/>
          <w:szCs w:val="24"/>
        </w:rPr>
        <w:t>të periudhës (1990</w:t>
      </w:r>
      <w:r w:rsidR="00E85488" w:rsidRPr="007114AF">
        <w:rPr>
          <w:rFonts w:ascii="Garamond" w:hAnsi="Garamond"/>
          <w:sz w:val="24"/>
          <w:szCs w:val="24"/>
        </w:rPr>
        <w:t>–</w:t>
      </w:r>
      <w:r w:rsidRPr="007114AF">
        <w:rPr>
          <w:rFonts w:ascii="Garamond" w:hAnsi="Garamond"/>
          <w:sz w:val="24"/>
          <w:szCs w:val="24"/>
        </w:rPr>
        <w:t>2000)</w:t>
      </w:r>
      <w:r w:rsidR="00E85488" w:rsidRPr="007114AF">
        <w:rPr>
          <w:rFonts w:ascii="Garamond" w:hAnsi="Garamond"/>
          <w:sz w:val="24"/>
          <w:szCs w:val="24"/>
        </w:rPr>
        <w:t xml:space="preserve"> </w:t>
      </w:r>
      <w:r w:rsidRPr="007114AF">
        <w:rPr>
          <w:rFonts w:ascii="Garamond" w:hAnsi="Garamond"/>
          <w:sz w:val="24"/>
          <w:szCs w:val="24"/>
        </w:rPr>
        <w:t>përfshin gjithashtu rillogaritjen për vitin 1994.</w:t>
      </w:r>
    </w:p>
    <w:p w14:paraId="6EDCF525" w14:textId="6628BF5C"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KTK-ja për Shqipërinë mbulon seritë kohore të përpunuara për periudhën 2000</w:t>
      </w:r>
      <w:r w:rsidR="00E85488" w:rsidRPr="007114AF">
        <w:rPr>
          <w:rFonts w:ascii="Garamond" w:hAnsi="Garamond"/>
          <w:sz w:val="24"/>
          <w:szCs w:val="24"/>
        </w:rPr>
        <w:t>–</w:t>
      </w:r>
      <w:r w:rsidRPr="007114AF">
        <w:rPr>
          <w:rFonts w:ascii="Garamond" w:hAnsi="Garamond"/>
          <w:sz w:val="24"/>
          <w:szCs w:val="24"/>
        </w:rPr>
        <w:t>2009 dhe siguron një analizë më të ngushtuar dhe më të thellë se inventari i mëparshëm (nivele më të detajuara aktiviteti, nëse e lejojnë të dhënat) me vit bazë 2005, viti i fundit për të cilin ka të dhëna të plota të regjistruara. Që prej KDK-ës, nuk ka pasur studime të mëdha për përmirësimin e faktorëve të shkarkimit apo vlerësime të tjera. Udhëzimet IPCC-ë</w:t>
      </w:r>
      <w:r w:rsidR="00AA3BEF" w:rsidRPr="007114AF">
        <w:rPr>
          <w:rFonts w:ascii="Garamond" w:hAnsi="Garamond"/>
          <w:sz w:val="24"/>
          <w:szCs w:val="24"/>
        </w:rPr>
        <w:t xml:space="preserve"> </w:t>
      </w:r>
      <w:r w:rsidRPr="007114AF">
        <w:rPr>
          <w:rFonts w:ascii="Garamond" w:hAnsi="Garamond"/>
          <w:sz w:val="24"/>
          <w:szCs w:val="24"/>
        </w:rPr>
        <w:t>të rishikuara (1996) aplikohen për gjithë kategoritë. Duke pasur parasysh rolin e aktivitetit të energjisë, inventari ka adoptuar nivelet e larta të metodologjisë IPCC-ë</w:t>
      </w:r>
      <w:r w:rsidR="00AA3BEF" w:rsidRPr="007114AF">
        <w:rPr>
          <w:rFonts w:ascii="Garamond" w:hAnsi="Garamond"/>
          <w:sz w:val="24"/>
          <w:szCs w:val="24"/>
        </w:rPr>
        <w:t xml:space="preserve"> </w:t>
      </w:r>
      <w:r w:rsidRPr="007114AF">
        <w:rPr>
          <w:rFonts w:ascii="Garamond" w:hAnsi="Garamond"/>
          <w:sz w:val="24"/>
          <w:szCs w:val="24"/>
        </w:rPr>
        <w:t>dhe ka ruajtur një fokus të fuqishëm te vlefshmëria e të dhënave për sektorët e energjisë dhe transportit.</w:t>
      </w:r>
    </w:p>
    <w:p w14:paraId="6EDCF526" w14:textId="570CAC5C"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Të dhënat më të fundit historike mbi shkarkimet GES për vitet 2012 dhe 2015, janë gjithashtu të disponueshme në studimin e kryer për Kontributin Kombëtar të Pikësynuar (INDC), paraqitur nga Shqipëria</w:t>
      </w:r>
      <w:r w:rsidR="000A2A01" w:rsidRPr="007114AF">
        <w:rPr>
          <w:rFonts w:ascii="Garamond" w:hAnsi="Garamond"/>
          <w:sz w:val="24"/>
          <w:szCs w:val="24"/>
        </w:rPr>
        <w:t xml:space="preserve"> </w:t>
      </w:r>
      <w:r w:rsidRPr="007114AF">
        <w:rPr>
          <w:rFonts w:ascii="Garamond" w:hAnsi="Garamond"/>
          <w:sz w:val="24"/>
          <w:szCs w:val="24"/>
        </w:rPr>
        <w:t xml:space="preserve">në kuadër të procesit të UNFCCC-ës në vitin 2016, megjithatë, këto të dhëna janë limituar vetëm për sektorët e </w:t>
      </w:r>
      <w:r w:rsidR="00C6608F" w:rsidRPr="007114AF">
        <w:rPr>
          <w:rFonts w:ascii="Garamond" w:hAnsi="Garamond"/>
          <w:sz w:val="24"/>
          <w:szCs w:val="24"/>
        </w:rPr>
        <w:t>e</w:t>
      </w:r>
      <w:r w:rsidRPr="007114AF">
        <w:rPr>
          <w:rFonts w:ascii="Garamond" w:hAnsi="Garamond"/>
          <w:sz w:val="24"/>
          <w:szCs w:val="24"/>
        </w:rPr>
        <w:t xml:space="preserve">nergjisë, të proceseve </w:t>
      </w:r>
      <w:r w:rsidR="00C6608F" w:rsidRPr="007114AF">
        <w:rPr>
          <w:rFonts w:ascii="Garamond" w:hAnsi="Garamond"/>
          <w:sz w:val="24"/>
          <w:szCs w:val="24"/>
        </w:rPr>
        <w:t>i</w:t>
      </w:r>
      <w:r w:rsidRPr="007114AF">
        <w:rPr>
          <w:rFonts w:ascii="Garamond" w:hAnsi="Garamond"/>
          <w:sz w:val="24"/>
          <w:szCs w:val="24"/>
        </w:rPr>
        <w:t>ndustriale dhe p</w:t>
      </w:r>
      <w:r w:rsidR="00AA3BEF" w:rsidRPr="007114AF">
        <w:rPr>
          <w:rFonts w:ascii="Garamond" w:hAnsi="Garamond"/>
          <w:sz w:val="24"/>
          <w:szCs w:val="24"/>
        </w:rPr>
        <w:t>ë</w:t>
      </w:r>
      <w:r w:rsidRPr="007114AF">
        <w:rPr>
          <w:rFonts w:ascii="Garamond" w:hAnsi="Garamond"/>
          <w:sz w:val="24"/>
          <w:szCs w:val="24"/>
        </w:rPr>
        <w:t>r gazin CO</w:t>
      </w:r>
      <w:r w:rsidRPr="007114AF">
        <w:rPr>
          <w:rFonts w:ascii="Garamond" w:hAnsi="Garamond"/>
          <w:sz w:val="24"/>
          <w:szCs w:val="24"/>
          <w:vertAlign w:val="subscript"/>
        </w:rPr>
        <w:t>2</w:t>
      </w:r>
      <w:r w:rsidRPr="007114AF">
        <w:rPr>
          <w:rFonts w:ascii="Garamond" w:hAnsi="Garamond"/>
          <w:sz w:val="24"/>
          <w:szCs w:val="24"/>
        </w:rPr>
        <w:t xml:space="preserve"> (këto të dhëna janë paraqitur në kapitullin 2.7.2).</w:t>
      </w:r>
    </w:p>
    <w:p w14:paraId="6EDCF527" w14:textId="6B394367"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Parashikimet e ardhshme të prirjeve të shkarkimeve sigurohen në</w:t>
      </w:r>
      <w:r w:rsidR="00AA3BEF" w:rsidRPr="007114AF">
        <w:rPr>
          <w:rFonts w:ascii="Garamond" w:hAnsi="Garamond"/>
          <w:sz w:val="24"/>
          <w:szCs w:val="24"/>
        </w:rPr>
        <w:t xml:space="preserve"> </w:t>
      </w:r>
      <w:r w:rsidRPr="007114AF">
        <w:rPr>
          <w:rFonts w:ascii="Garamond" w:hAnsi="Garamond"/>
          <w:sz w:val="24"/>
          <w:szCs w:val="24"/>
        </w:rPr>
        <w:t xml:space="preserve">KTK-ën </w:t>
      </w:r>
      <w:r w:rsidR="000A2A01" w:rsidRPr="007114AF">
        <w:rPr>
          <w:rFonts w:ascii="Garamond" w:hAnsi="Garamond"/>
          <w:sz w:val="24"/>
          <w:szCs w:val="24"/>
        </w:rPr>
        <w:t>“</w:t>
      </w:r>
      <w:r w:rsidRPr="007114AF">
        <w:rPr>
          <w:rFonts w:ascii="Garamond" w:hAnsi="Garamond"/>
          <w:sz w:val="24"/>
          <w:szCs w:val="24"/>
        </w:rPr>
        <w:t>Analiza e masave zbutëse për shkarkimet e GES-it</w:t>
      </w:r>
      <w:r w:rsidR="000A2A01" w:rsidRPr="007114AF">
        <w:rPr>
          <w:rFonts w:ascii="Garamond" w:hAnsi="Garamond"/>
          <w:sz w:val="24"/>
          <w:szCs w:val="24"/>
        </w:rPr>
        <w:t>”</w:t>
      </w:r>
      <w:r w:rsidRPr="007114AF">
        <w:rPr>
          <w:rFonts w:ascii="Garamond" w:hAnsi="Garamond"/>
          <w:sz w:val="24"/>
          <w:szCs w:val="24"/>
        </w:rPr>
        <w:t xml:space="preserve">, seksionet për sektorët e </w:t>
      </w:r>
      <w:r w:rsidR="00C6608F" w:rsidRPr="007114AF">
        <w:rPr>
          <w:rFonts w:ascii="Garamond" w:hAnsi="Garamond"/>
          <w:sz w:val="24"/>
          <w:szCs w:val="24"/>
        </w:rPr>
        <w:t>b</w:t>
      </w:r>
      <w:r w:rsidRPr="007114AF">
        <w:rPr>
          <w:rFonts w:ascii="Garamond" w:hAnsi="Garamond"/>
          <w:sz w:val="24"/>
          <w:szCs w:val="24"/>
        </w:rPr>
        <w:t xml:space="preserve">ujqësisë, LUCF-ës dhe Energjisë dhe në studimin e kryer për INDC-ën, që mbulon sektorët e </w:t>
      </w:r>
      <w:r w:rsidR="00C6608F" w:rsidRPr="007114AF">
        <w:rPr>
          <w:rFonts w:ascii="Garamond" w:hAnsi="Garamond"/>
          <w:sz w:val="24"/>
          <w:szCs w:val="24"/>
        </w:rPr>
        <w:t>e</w:t>
      </w:r>
      <w:r w:rsidRPr="007114AF">
        <w:rPr>
          <w:rFonts w:ascii="Garamond" w:hAnsi="Garamond"/>
          <w:sz w:val="24"/>
          <w:szCs w:val="24"/>
        </w:rPr>
        <w:t>nergjisë dhe të proceseve Industriale të limituara për shkarkimet e CO</w:t>
      </w:r>
      <w:r w:rsidRPr="007114AF">
        <w:rPr>
          <w:rFonts w:ascii="Garamond" w:hAnsi="Garamond"/>
          <w:sz w:val="24"/>
          <w:szCs w:val="24"/>
          <w:vertAlign w:val="subscript"/>
        </w:rPr>
        <w:t>2</w:t>
      </w:r>
      <w:r w:rsidRPr="007114AF">
        <w:rPr>
          <w:rFonts w:ascii="Garamond" w:hAnsi="Garamond"/>
          <w:sz w:val="24"/>
          <w:szCs w:val="24"/>
        </w:rPr>
        <w:t>.</w:t>
      </w:r>
      <w:r w:rsidR="00772BE7" w:rsidRPr="007114AF">
        <w:rPr>
          <w:rFonts w:ascii="Garamond" w:hAnsi="Garamond"/>
          <w:sz w:val="24"/>
          <w:szCs w:val="24"/>
        </w:rPr>
        <w:t xml:space="preserve"> </w:t>
      </w:r>
      <w:r w:rsidRPr="007114AF">
        <w:rPr>
          <w:rFonts w:ascii="Garamond" w:hAnsi="Garamond"/>
          <w:sz w:val="24"/>
          <w:szCs w:val="24"/>
        </w:rPr>
        <w:t>Të dy studimet përmbajnë një bazë dhe parashikime të skenarëve të shkarkimeve në kuadrin e opsioneve të masave zbutëse për periudhën 2020</w:t>
      </w:r>
      <w:r w:rsidR="00C6608F" w:rsidRPr="007114AF">
        <w:rPr>
          <w:rFonts w:ascii="Garamond" w:hAnsi="Garamond"/>
          <w:sz w:val="24"/>
          <w:szCs w:val="24"/>
        </w:rPr>
        <w:t>–</w:t>
      </w:r>
      <w:r w:rsidRPr="007114AF">
        <w:rPr>
          <w:rFonts w:ascii="Garamond" w:hAnsi="Garamond"/>
          <w:sz w:val="24"/>
          <w:szCs w:val="24"/>
        </w:rPr>
        <w:t xml:space="preserve">2030. </w:t>
      </w:r>
    </w:p>
    <w:p w14:paraId="6EDCF528" w14:textId="77777777" w:rsidR="00281778" w:rsidRPr="007114AF" w:rsidRDefault="000327A8" w:rsidP="00281778">
      <w:pPr>
        <w:spacing w:after="0" w:line="240" w:lineRule="auto"/>
        <w:ind w:firstLine="284"/>
        <w:rPr>
          <w:rFonts w:ascii="Garamond" w:hAnsi="Garamond"/>
          <w:b/>
          <w:sz w:val="24"/>
          <w:szCs w:val="24"/>
        </w:rPr>
      </w:pPr>
      <w:bookmarkStart w:id="67" w:name="_Toc484424486"/>
      <w:bookmarkStart w:id="68" w:name="_Toc449537127"/>
      <w:bookmarkStart w:id="69" w:name="_Toc450135236"/>
      <w:bookmarkStart w:id="70" w:name="_Toc450151839"/>
      <w:bookmarkStart w:id="71" w:name="_Toc446403346"/>
      <w:r w:rsidRPr="007114AF">
        <w:rPr>
          <w:rFonts w:ascii="Garamond" w:hAnsi="Garamond"/>
          <w:b/>
          <w:sz w:val="24"/>
          <w:szCs w:val="24"/>
        </w:rPr>
        <w:t xml:space="preserve">2.7.1 </w:t>
      </w:r>
      <w:r w:rsidR="00281778" w:rsidRPr="007114AF">
        <w:rPr>
          <w:rFonts w:ascii="Garamond" w:hAnsi="Garamond"/>
          <w:b/>
          <w:sz w:val="24"/>
          <w:szCs w:val="24"/>
        </w:rPr>
        <w:t>Analiza e prirjeve historike të shkarkimeve GES</w:t>
      </w:r>
      <w:bookmarkEnd w:id="67"/>
      <w:bookmarkEnd w:id="68"/>
      <w:bookmarkEnd w:id="69"/>
      <w:bookmarkEnd w:id="70"/>
      <w:bookmarkEnd w:id="71"/>
    </w:p>
    <w:p w14:paraId="6EDCF529" w14:textId="4925B3E1"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Sipas prirjeve të raportuara në Komunikatat Kombëtare Shqiptare (tabela 3), është bërë e mundur të rindërtohet një seri e plotë e prirjes historike të shkarkimeve GES, për periudhën 1990</w:t>
      </w:r>
      <w:r w:rsidR="00D71436">
        <w:t>–</w:t>
      </w:r>
      <w:r w:rsidRPr="007114AF">
        <w:rPr>
          <w:rFonts w:ascii="Garamond" w:hAnsi="Garamond"/>
          <w:sz w:val="24"/>
          <w:szCs w:val="24"/>
        </w:rPr>
        <w:t xml:space="preserve">2009, siç tregohet në figurën 16. </w:t>
      </w:r>
    </w:p>
    <w:p w14:paraId="6EDCF52A" w14:textId="33B96F9A"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Viti 1994 raportohet në kuadrin e KPK-ës, por rillogaritet në KDK-ë, si dhe për shkarkimet totale GES</w:t>
      </w:r>
      <w:r w:rsidR="00230F9E" w:rsidRPr="007114AF">
        <w:rPr>
          <w:rFonts w:ascii="Garamond" w:hAnsi="Garamond"/>
          <w:sz w:val="24"/>
          <w:szCs w:val="24"/>
        </w:rPr>
        <w:t xml:space="preserve"> </w:t>
      </w:r>
      <w:r w:rsidRPr="007114AF">
        <w:rPr>
          <w:rFonts w:ascii="Garamond" w:hAnsi="Garamond"/>
          <w:sz w:val="24"/>
          <w:szCs w:val="24"/>
        </w:rPr>
        <w:t>në vitin 2000 që zënë një total prej 7619.91 Gg CO</w:t>
      </w:r>
      <w:r w:rsidRPr="007114AF">
        <w:rPr>
          <w:rFonts w:ascii="Garamond" w:hAnsi="Garamond"/>
          <w:sz w:val="24"/>
          <w:szCs w:val="24"/>
          <w:vertAlign w:val="subscript"/>
        </w:rPr>
        <w:t>2</w:t>
      </w:r>
      <w:r w:rsidRPr="007114AF">
        <w:rPr>
          <w:rFonts w:ascii="Garamond" w:hAnsi="Garamond"/>
          <w:sz w:val="24"/>
          <w:szCs w:val="24"/>
        </w:rPr>
        <w:t xml:space="preserve">eq në KDK-ë, dhe rillogariten në një total prej 9075.00 Gg </w:t>
      </w:r>
      <w:r w:rsidRPr="00527EF5">
        <w:rPr>
          <w:rFonts w:ascii="Garamond" w:hAnsi="Garamond"/>
          <w:sz w:val="24"/>
          <w:szCs w:val="24"/>
        </w:rPr>
        <w:t>CO</w:t>
      </w:r>
      <w:r w:rsidRPr="00527EF5">
        <w:rPr>
          <w:rFonts w:ascii="Garamond" w:hAnsi="Garamond"/>
          <w:sz w:val="24"/>
          <w:szCs w:val="24"/>
          <w:vertAlign w:val="subscript"/>
        </w:rPr>
        <w:t>2</w:t>
      </w:r>
      <w:r w:rsidRPr="00527EF5">
        <w:rPr>
          <w:rFonts w:ascii="Garamond" w:hAnsi="Garamond"/>
          <w:sz w:val="24"/>
          <w:szCs w:val="24"/>
        </w:rPr>
        <w:t>eq</w:t>
      </w:r>
      <w:r w:rsidR="00251462" w:rsidRPr="00527EF5">
        <w:rPr>
          <w:rFonts w:ascii="Garamond" w:hAnsi="Garamond"/>
          <w:sz w:val="24"/>
          <w:szCs w:val="24"/>
        </w:rPr>
        <w:t xml:space="preserve"> </w:t>
      </w:r>
      <w:r w:rsidRPr="00527EF5">
        <w:rPr>
          <w:rFonts w:ascii="Garamond" w:hAnsi="Garamond"/>
          <w:sz w:val="24"/>
          <w:szCs w:val="24"/>
        </w:rPr>
        <w:t>në KTK-</w:t>
      </w:r>
      <w:r w:rsidRPr="007114AF">
        <w:rPr>
          <w:rFonts w:ascii="Garamond" w:hAnsi="Garamond"/>
          <w:sz w:val="24"/>
          <w:szCs w:val="24"/>
        </w:rPr>
        <w:t>ë.</w:t>
      </w:r>
    </w:p>
    <w:p w14:paraId="6EDCF52B" w14:textId="5F007CCD"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 xml:space="preserve">Diferenca shkaktohet kryesisht nga sektori pyjor, ku cilësia e të dhënave u përmirësua nga Inventari i Parë Kombëtar i Pyjeve (ANFI 2003, referuar vitit 2000), duke e ndryshuar vlerën nga viti 2000 nga 930 </w:t>
      </w:r>
      <w:r w:rsidRPr="00527EF5">
        <w:rPr>
          <w:rFonts w:ascii="Garamond" w:hAnsi="Garamond"/>
          <w:sz w:val="24"/>
          <w:szCs w:val="24"/>
        </w:rPr>
        <w:t>Gg CO</w:t>
      </w:r>
      <w:r w:rsidRPr="00527EF5">
        <w:rPr>
          <w:rFonts w:ascii="Garamond" w:hAnsi="Garamond"/>
          <w:sz w:val="24"/>
          <w:szCs w:val="24"/>
          <w:vertAlign w:val="subscript"/>
        </w:rPr>
        <w:t>2</w:t>
      </w:r>
      <w:r w:rsidRPr="00527EF5">
        <w:rPr>
          <w:rFonts w:ascii="Garamond" w:hAnsi="Garamond"/>
          <w:sz w:val="24"/>
          <w:szCs w:val="24"/>
        </w:rPr>
        <w:t xml:space="preserve">eq e </w:t>
      </w:r>
      <w:r w:rsidRPr="007114AF">
        <w:rPr>
          <w:rFonts w:ascii="Garamond" w:hAnsi="Garamond"/>
          <w:sz w:val="24"/>
          <w:szCs w:val="24"/>
        </w:rPr>
        <w:t>KDK-së</w:t>
      </w:r>
      <w:r w:rsidR="00C6608F" w:rsidRPr="007114AF">
        <w:rPr>
          <w:rFonts w:ascii="Garamond" w:hAnsi="Garamond"/>
          <w:sz w:val="24"/>
          <w:szCs w:val="24"/>
        </w:rPr>
        <w:t xml:space="preserve"> </w:t>
      </w:r>
      <w:r w:rsidRPr="007114AF">
        <w:rPr>
          <w:rFonts w:ascii="Garamond" w:hAnsi="Garamond"/>
          <w:sz w:val="24"/>
          <w:szCs w:val="24"/>
        </w:rPr>
        <w:t xml:space="preserve">në 2295 Gg </w:t>
      </w:r>
      <w:r w:rsidRPr="00527EF5">
        <w:rPr>
          <w:rFonts w:ascii="Garamond" w:hAnsi="Garamond"/>
          <w:sz w:val="24"/>
          <w:szCs w:val="24"/>
        </w:rPr>
        <w:t>CO</w:t>
      </w:r>
      <w:r w:rsidRPr="00527EF5">
        <w:rPr>
          <w:rFonts w:ascii="Garamond" w:hAnsi="Garamond"/>
          <w:sz w:val="24"/>
          <w:szCs w:val="24"/>
          <w:vertAlign w:val="subscript"/>
        </w:rPr>
        <w:t>2</w:t>
      </w:r>
      <w:r w:rsidRPr="00527EF5">
        <w:rPr>
          <w:rFonts w:ascii="Garamond" w:hAnsi="Garamond"/>
          <w:sz w:val="24"/>
          <w:szCs w:val="24"/>
        </w:rPr>
        <w:t>eq</w:t>
      </w:r>
      <w:r w:rsidRPr="007114AF">
        <w:rPr>
          <w:rFonts w:ascii="Garamond" w:hAnsi="Garamond"/>
          <w:sz w:val="24"/>
          <w:szCs w:val="24"/>
        </w:rPr>
        <w:t xml:space="preserve"> e KTK-ës. Gjithashtu, proceset industriale pësuan një rishikim të madh, duke i dyfishuar shkarkimet e tyre nga 264 Gg CO</w:t>
      </w:r>
      <w:r w:rsidRPr="007114AF">
        <w:rPr>
          <w:rFonts w:ascii="Garamond" w:hAnsi="Garamond"/>
          <w:sz w:val="24"/>
          <w:szCs w:val="24"/>
          <w:vertAlign w:val="subscript"/>
        </w:rPr>
        <w:t>2</w:t>
      </w:r>
      <w:r w:rsidRPr="007114AF">
        <w:rPr>
          <w:rFonts w:ascii="Garamond" w:hAnsi="Garamond"/>
          <w:sz w:val="24"/>
          <w:szCs w:val="24"/>
        </w:rPr>
        <w:t>eq e KDK-ës</w:t>
      </w:r>
      <w:r w:rsidR="00230F9E" w:rsidRPr="007114AF">
        <w:rPr>
          <w:rFonts w:ascii="Garamond" w:hAnsi="Garamond"/>
          <w:sz w:val="24"/>
          <w:szCs w:val="24"/>
        </w:rPr>
        <w:t xml:space="preserve"> </w:t>
      </w:r>
      <w:r w:rsidRPr="007114AF">
        <w:rPr>
          <w:rFonts w:ascii="Garamond" w:hAnsi="Garamond"/>
          <w:sz w:val="24"/>
          <w:szCs w:val="24"/>
        </w:rPr>
        <w:t xml:space="preserve">në 520 Gg </w:t>
      </w:r>
      <w:r w:rsidRPr="00527EF5">
        <w:rPr>
          <w:rFonts w:ascii="Garamond" w:hAnsi="Garamond"/>
          <w:sz w:val="24"/>
          <w:szCs w:val="24"/>
        </w:rPr>
        <w:t>CO</w:t>
      </w:r>
      <w:r w:rsidRPr="00527EF5">
        <w:rPr>
          <w:rFonts w:ascii="Garamond" w:hAnsi="Garamond"/>
          <w:sz w:val="24"/>
          <w:szCs w:val="24"/>
          <w:vertAlign w:val="subscript"/>
        </w:rPr>
        <w:t>2</w:t>
      </w:r>
      <w:r w:rsidRPr="00527EF5">
        <w:rPr>
          <w:rFonts w:ascii="Garamond" w:hAnsi="Garamond"/>
          <w:sz w:val="24"/>
          <w:szCs w:val="24"/>
        </w:rPr>
        <w:t xml:space="preserve">eq </w:t>
      </w:r>
      <w:r w:rsidRPr="007114AF">
        <w:rPr>
          <w:rFonts w:ascii="Garamond" w:hAnsi="Garamond"/>
          <w:sz w:val="24"/>
          <w:szCs w:val="24"/>
        </w:rPr>
        <w:t>e KTK-ës.</w:t>
      </w:r>
    </w:p>
    <w:p w14:paraId="6EDCF52C" w14:textId="77777777" w:rsidR="00281778" w:rsidRPr="007114AF" w:rsidRDefault="00281778" w:rsidP="000327A8">
      <w:pPr>
        <w:jc w:val="center"/>
        <w:rPr>
          <w:rFonts w:ascii="Garamond" w:hAnsi="Garamond"/>
        </w:rPr>
      </w:pPr>
      <w:r w:rsidRPr="007114AF">
        <w:rPr>
          <w:rFonts w:ascii="Garamond" w:hAnsi="Garamond"/>
          <w:noProof/>
          <w:lang w:val="en-US" w:eastAsia="en-US"/>
        </w:rPr>
        <w:drawing>
          <wp:inline distT="0" distB="0" distL="0" distR="0" wp14:anchorId="6EDD179E" wp14:editId="6EDD179F">
            <wp:extent cx="5844209" cy="3466768"/>
            <wp:effectExtent l="0" t="0" r="4445" b="63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ania_NCoverview.jpg"/>
                    <pic:cNvPicPr/>
                  </pic:nvPicPr>
                  <pic:blipFill rotWithShape="1">
                    <a:blip r:embed="rId28" cstate="print">
                      <a:extLst>
                        <a:ext uri="{28A0092B-C50C-407E-A947-70E740481C1C}">
                          <a14:useLocalDpi xmlns:a14="http://schemas.microsoft.com/office/drawing/2010/main" val="0"/>
                        </a:ext>
                      </a:extLst>
                    </a:blip>
                    <a:srcRect l="1430" t="14212" r="2992" b="10198"/>
                    <a:stretch/>
                  </pic:blipFill>
                  <pic:spPr bwMode="auto">
                    <a:xfrm>
                      <a:off x="0" y="0"/>
                      <a:ext cx="5849539" cy="3469930"/>
                    </a:xfrm>
                    <a:prstGeom prst="rect">
                      <a:avLst/>
                    </a:prstGeom>
                    <a:ln>
                      <a:noFill/>
                    </a:ln>
                    <a:extLst>
                      <a:ext uri="{53640926-AAD7-44D8-BBD7-CCE9431645EC}">
                        <a14:shadowObscured xmlns:a14="http://schemas.microsoft.com/office/drawing/2010/main"/>
                      </a:ext>
                    </a:extLst>
                  </pic:spPr>
                </pic:pic>
              </a:graphicData>
            </a:graphic>
          </wp:inline>
        </w:drawing>
      </w:r>
    </w:p>
    <w:p w14:paraId="6EDCF52D" w14:textId="54182BFF" w:rsidR="00281778" w:rsidRPr="007114AF" w:rsidRDefault="00281778" w:rsidP="000327A8">
      <w:pPr>
        <w:pStyle w:val="FIGURA"/>
        <w:rPr>
          <w:sz w:val="20"/>
          <w:szCs w:val="20"/>
        </w:rPr>
      </w:pPr>
      <w:r w:rsidRPr="007114AF">
        <w:rPr>
          <w:sz w:val="20"/>
          <w:szCs w:val="20"/>
        </w:rPr>
        <w:t>Figura</w:t>
      </w:r>
      <w:r w:rsidR="000327A8" w:rsidRPr="007114AF">
        <w:rPr>
          <w:sz w:val="20"/>
          <w:szCs w:val="20"/>
        </w:rPr>
        <w:t xml:space="preserve"> </w:t>
      </w:r>
      <w:r w:rsidRPr="007114AF">
        <w:rPr>
          <w:sz w:val="20"/>
          <w:szCs w:val="20"/>
        </w:rPr>
        <w:t>16–Prirja e shkarkimeve GES</w:t>
      </w:r>
      <w:r w:rsidR="003C603D">
        <w:rPr>
          <w:sz w:val="20"/>
          <w:szCs w:val="20"/>
        </w:rPr>
        <w:t xml:space="preserve"> </w:t>
      </w:r>
      <w:r w:rsidRPr="007114AF">
        <w:rPr>
          <w:sz w:val="20"/>
          <w:szCs w:val="20"/>
        </w:rPr>
        <w:t>nga vitit 1990 në vitin 2009 sipas KPK-ës. KDK-ës dhe KTK-ës</w:t>
      </w:r>
    </w:p>
    <w:p w14:paraId="6EDCF52E" w14:textId="77777777" w:rsidR="000327A8" w:rsidRPr="007114AF" w:rsidRDefault="000327A8" w:rsidP="00281778">
      <w:pPr>
        <w:spacing w:after="0" w:line="240" w:lineRule="auto"/>
        <w:ind w:firstLine="284"/>
        <w:rPr>
          <w:rFonts w:ascii="Garamond" w:hAnsi="Garamond"/>
          <w:sz w:val="24"/>
          <w:szCs w:val="24"/>
        </w:rPr>
      </w:pPr>
    </w:p>
    <w:p w14:paraId="6EDCF52F" w14:textId="6FAA167E" w:rsidR="00281778" w:rsidRPr="007114AF" w:rsidRDefault="00281778" w:rsidP="00281778">
      <w:pPr>
        <w:spacing w:after="0" w:line="240" w:lineRule="auto"/>
        <w:ind w:firstLine="284"/>
        <w:rPr>
          <w:rFonts w:ascii="Garamond" w:hAnsi="Garamond"/>
          <w:sz w:val="24"/>
          <w:szCs w:val="24"/>
        </w:rPr>
      </w:pPr>
      <w:r w:rsidRPr="007114AF">
        <w:rPr>
          <w:rFonts w:ascii="Garamond" w:hAnsi="Garamond"/>
          <w:sz w:val="24"/>
          <w:szCs w:val="24"/>
        </w:rPr>
        <w:t>Tabelat 3 dhe 4 tregojnë kontributin e shkarkimeve direkte GES</w:t>
      </w:r>
      <w:r w:rsidR="00413B91" w:rsidRPr="007114AF">
        <w:rPr>
          <w:rFonts w:ascii="Garamond" w:hAnsi="Garamond"/>
          <w:sz w:val="24"/>
          <w:szCs w:val="24"/>
        </w:rPr>
        <w:t xml:space="preserve"> </w:t>
      </w:r>
      <w:r w:rsidRPr="007114AF">
        <w:rPr>
          <w:rFonts w:ascii="Garamond" w:hAnsi="Garamond"/>
          <w:sz w:val="24"/>
          <w:szCs w:val="24"/>
        </w:rPr>
        <w:t>të shprehura në Gg të ekuivalentit CO</w:t>
      </w:r>
      <w:r w:rsidRPr="007114AF">
        <w:rPr>
          <w:rFonts w:ascii="Garamond" w:hAnsi="Garamond"/>
          <w:sz w:val="24"/>
          <w:szCs w:val="24"/>
          <w:vertAlign w:val="subscript"/>
        </w:rPr>
        <w:t>2</w:t>
      </w:r>
      <w:r w:rsidRPr="007114AF">
        <w:rPr>
          <w:rFonts w:ascii="Garamond" w:hAnsi="Garamond"/>
          <w:sz w:val="24"/>
          <w:szCs w:val="24"/>
        </w:rPr>
        <w:t>, në njësi fizike dhe në përqindje relative, në seritë kohore.</w:t>
      </w:r>
    </w:p>
    <w:p w14:paraId="6EDCF530" w14:textId="77777777" w:rsidR="000327A8" w:rsidRPr="007114AF" w:rsidRDefault="000327A8" w:rsidP="00281778">
      <w:pPr>
        <w:spacing w:after="0" w:line="240" w:lineRule="auto"/>
        <w:ind w:firstLine="284"/>
        <w:rPr>
          <w:rFonts w:ascii="Garamond" w:hAnsi="Garamond"/>
          <w:sz w:val="24"/>
          <w:szCs w:val="24"/>
        </w:rPr>
      </w:pPr>
    </w:p>
    <w:p w14:paraId="6EDCF531" w14:textId="77777777" w:rsidR="000327A8" w:rsidRPr="007114AF" w:rsidRDefault="000327A8" w:rsidP="00281778">
      <w:pPr>
        <w:spacing w:after="0" w:line="240" w:lineRule="auto"/>
        <w:ind w:firstLine="284"/>
        <w:rPr>
          <w:rFonts w:ascii="Garamond" w:hAnsi="Garamond"/>
          <w:sz w:val="24"/>
          <w:szCs w:val="24"/>
        </w:rPr>
      </w:pPr>
    </w:p>
    <w:p w14:paraId="6EDCF532" w14:textId="77777777" w:rsidR="000327A8" w:rsidRPr="007114AF" w:rsidRDefault="000327A8" w:rsidP="00281778">
      <w:pPr>
        <w:spacing w:after="0" w:line="240" w:lineRule="auto"/>
        <w:ind w:firstLine="284"/>
        <w:rPr>
          <w:rFonts w:ascii="Garamond" w:hAnsi="Garamond"/>
          <w:sz w:val="24"/>
          <w:szCs w:val="24"/>
        </w:rPr>
        <w:sectPr w:rsidR="000327A8" w:rsidRPr="007114AF" w:rsidSect="00A816F3">
          <w:pgSz w:w="11907" w:h="16840" w:code="9"/>
          <w:pgMar w:top="1418" w:right="1418" w:bottom="1418" w:left="1418" w:header="1304" w:footer="1134" w:gutter="0"/>
          <w:cols w:space="720"/>
          <w:docGrid w:linePitch="360"/>
        </w:sectPr>
      </w:pPr>
    </w:p>
    <w:p w14:paraId="6EDCF533" w14:textId="3E5CCAAD" w:rsidR="00D71745" w:rsidRPr="007114AF" w:rsidRDefault="00D71745" w:rsidP="00D71745">
      <w:pPr>
        <w:spacing w:after="0" w:line="240" w:lineRule="auto"/>
        <w:ind w:firstLine="284"/>
        <w:rPr>
          <w:rFonts w:ascii="Garamond" w:hAnsi="Garamond"/>
          <w:b/>
          <w:sz w:val="24"/>
          <w:szCs w:val="24"/>
        </w:rPr>
      </w:pPr>
      <w:r w:rsidRPr="007114AF">
        <w:rPr>
          <w:rFonts w:ascii="Garamond" w:hAnsi="Garamond"/>
          <w:b/>
          <w:sz w:val="24"/>
          <w:szCs w:val="24"/>
        </w:rPr>
        <w:t>Tabela</w:t>
      </w:r>
      <w:r w:rsidR="00E32157" w:rsidRPr="007114AF">
        <w:rPr>
          <w:rFonts w:ascii="Garamond" w:hAnsi="Garamond"/>
          <w:b/>
          <w:sz w:val="24"/>
          <w:szCs w:val="24"/>
        </w:rPr>
        <w:t xml:space="preserve"> </w:t>
      </w:r>
      <w:r w:rsidRPr="007114AF">
        <w:rPr>
          <w:rFonts w:ascii="Garamond" w:hAnsi="Garamond"/>
          <w:b/>
          <w:sz w:val="24"/>
          <w:szCs w:val="24"/>
        </w:rPr>
        <w:fldChar w:fldCharType="begin"/>
      </w:r>
      <w:r w:rsidRPr="007114AF">
        <w:rPr>
          <w:rFonts w:ascii="Garamond" w:hAnsi="Garamond"/>
          <w:b/>
          <w:sz w:val="24"/>
          <w:szCs w:val="24"/>
        </w:rPr>
        <w:instrText xml:space="preserve"> SEQ Table \* ARABIC </w:instrText>
      </w:r>
      <w:r w:rsidRPr="007114AF">
        <w:rPr>
          <w:rFonts w:ascii="Garamond" w:hAnsi="Garamond"/>
          <w:b/>
          <w:sz w:val="24"/>
          <w:szCs w:val="24"/>
        </w:rPr>
        <w:fldChar w:fldCharType="separate"/>
      </w:r>
      <w:r w:rsidRPr="007114AF">
        <w:rPr>
          <w:rFonts w:ascii="Garamond" w:hAnsi="Garamond"/>
          <w:b/>
          <w:sz w:val="24"/>
          <w:szCs w:val="24"/>
        </w:rPr>
        <w:t>3</w:t>
      </w:r>
      <w:r w:rsidRPr="007114AF">
        <w:rPr>
          <w:rFonts w:ascii="Garamond" w:hAnsi="Garamond"/>
          <w:b/>
          <w:sz w:val="24"/>
          <w:szCs w:val="24"/>
        </w:rPr>
        <w:fldChar w:fldCharType="end"/>
      </w:r>
      <w:r w:rsidR="00F11685" w:rsidRPr="007114AF">
        <w:rPr>
          <w:rFonts w:ascii="Garamond" w:hAnsi="Garamond"/>
          <w:b/>
          <w:sz w:val="24"/>
          <w:szCs w:val="24"/>
        </w:rPr>
        <w:t xml:space="preserve"> </w:t>
      </w:r>
      <w:r w:rsidRPr="007114AF">
        <w:rPr>
          <w:rFonts w:ascii="Garamond" w:hAnsi="Garamond"/>
          <w:b/>
          <w:sz w:val="24"/>
          <w:szCs w:val="24"/>
        </w:rPr>
        <w:t>–</w:t>
      </w:r>
      <w:r w:rsidR="00F11685" w:rsidRPr="007114AF">
        <w:rPr>
          <w:rFonts w:ascii="Garamond" w:hAnsi="Garamond"/>
          <w:b/>
          <w:sz w:val="24"/>
          <w:szCs w:val="24"/>
        </w:rPr>
        <w:t xml:space="preserve"> </w:t>
      </w:r>
      <w:r w:rsidRPr="007114AF">
        <w:rPr>
          <w:rFonts w:ascii="Garamond" w:hAnsi="Garamond"/>
          <w:b/>
          <w:sz w:val="24"/>
          <w:szCs w:val="24"/>
        </w:rPr>
        <w:t>Prirja e shkarkimeve totale GES</w:t>
      </w:r>
      <w:r w:rsidR="00413B91" w:rsidRPr="007114AF">
        <w:rPr>
          <w:rFonts w:ascii="Garamond" w:hAnsi="Garamond"/>
          <w:b/>
          <w:sz w:val="24"/>
          <w:szCs w:val="24"/>
        </w:rPr>
        <w:t xml:space="preserve"> </w:t>
      </w:r>
      <w:r w:rsidRPr="007114AF">
        <w:rPr>
          <w:rFonts w:ascii="Garamond" w:hAnsi="Garamond"/>
          <w:b/>
          <w:sz w:val="24"/>
          <w:szCs w:val="24"/>
        </w:rPr>
        <w:t>nga vitit 1990 deri në vitin 2009 sipas KPK-ës, KDK-ës</w:t>
      </w:r>
      <w:r w:rsidR="003C603D">
        <w:rPr>
          <w:rFonts w:ascii="Garamond" w:hAnsi="Garamond"/>
          <w:b/>
          <w:sz w:val="24"/>
          <w:szCs w:val="24"/>
        </w:rPr>
        <w:t xml:space="preserve"> </w:t>
      </w:r>
      <w:r w:rsidRPr="007114AF">
        <w:rPr>
          <w:rFonts w:ascii="Garamond" w:hAnsi="Garamond"/>
          <w:b/>
          <w:sz w:val="24"/>
          <w:szCs w:val="24"/>
        </w:rPr>
        <w:t>dhe KTK-ës në gG të CO2 eq</w:t>
      </w:r>
    </w:p>
    <w:tbl>
      <w:tblPr>
        <w:tblW w:w="500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537"/>
        <w:gridCol w:w="1283"/>
        <w:gridCol w:w="574"/>
        <w:gridCol w:w="665"/>
        <w:gridCol w:w="617"/>
        <w:gridCol w:w="617"/>
        <w:gridCol w:w="618"/>
        <w:gridCol w:w="618"/>
        <w:gridCol w:w="618"/>
        <w:gridCol w:w="618"/>
        <w:gridCol w:w="618"/>
        <w:gridCol w:w="618"/>
        <w:gridCol w:w="672"/>
        <w:gridCol w:w="567"/>
        <w:gridCol w:w="618"/>
        <w:gridCol w:w="618"/>
        <w:gridCol w:w="618"/>
        <w:gridCol w:w="618"/>
        <w:gridCol w:w="618"/>
        <w:gridCol w:w="618"/>
        <w:gridCol w:w="618"/>
        <w:gridCol w:w="601"/>
      </w:tblGrid>
      <w:tr w:rsidR="00D71745" w:rsidRPr="007114AF" w14:paraId="6EDCF54A" w14:textId="77777777" w:rsidTr="00A9766F">
        <w:trPr>
          <w:trHeight w:hRule="exact" w:val="301"/>
        </w:trPr>
        <w:tc>
          <w:tcPr>
            <w:tcW w:w="190" w:type="pct"/>
            <w:tcBorders>
              <w:top w:val="single" w:sz="12" w:space="0" w:color="auto"/>
              <w:left w:val="single" w:sz="12" w:space="0" w:color="auto"/>
              <w:bottom w:val="single" w:sz="12" w:space="0" w:color="auto"/>
              <w:right w:val="single" w:sz="4" w:space="0" w:color="auto"/>
            </w:tcBorders>
            <w:shd w:val="clear" w:color="auto" w:fill="FFFFFF" w:themeFill="background1"/>
            <w:noWrap/>
            <w:vAlign w:val="center"/>
            <w:hideMark/>
          </w:tcPr>
          <w:p w14:paraId="6EDCF534" w14:textId="77777777" w:rsidR="00D71745" w:rsidRPr="007114AF" w:rsidRDefault="00D71745" w:rsidP="00D71745">
            <w:pPr>
              <w:spacing w:after="0" w:line="240" w:lineRule="auto"/>
              <w:rPr>
                <w:rFonts w:ascii="Garamond" w:hAnsi="Garamond"/>
                <w:sz w:val="18"/>
                <w:szCs w:val="18"/>
              </w:rPr>
            </w:pPr>
          </w:p>
        </w:tc>
        <w:tc>
          <w:tcPr>
            <w:tcW w:w="453"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5"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Sektori</w:t>
            </w:r>
          </w:p>
        </w:tc>
        <w:tc>
          <w:tcPr>
            <w:tcW w:w="203"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6"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1990</w:t>
            </w:r>
          </w:p>
        </w:tc>
        <w:tc>
          <w:tcPr>
            <w:tcW w:w="235"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7"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1991</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8"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1992</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9"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1993</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A"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1994</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B"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1995</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C"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1996</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D"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1997</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E"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1998</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3F"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1999</w:t>
            </w:r>
          </w:p>
        </w:tc>
        <w:tc>
          <w:tcPr>
            <w:tcW w:w="237"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40"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2000</w:t>
            </w:r>
          </w:p>
        </w:tc>
        <w:tc>
          <w:tcPr>
            <w:tcW w:w="200"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41"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2001</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42"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2002</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43"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2003</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44"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2004</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45"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2005</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46"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2006</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47"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2007</w:t>
            </w:r>
          </w:p>
        </w:tc>
        <w:tc>
          <w:tcPr>
            <w:tcW w:w="218" w:type="pct"/>
            <w:tcBorders>
              <w:top w:val="single" w:sz="12" w:space="0" w:color="auto"/>
              <w:left w:val="single" w:sz="4" w:space="0" w:color="auto"/>
              <w:bottom w:val="single" w:sz="12" w:space="0" w:color="auto"/>
              <w:right w:val="single" w:sz="4" w:space="0" w:color="auto"/>
            </w:tcBorders>
            <w:shd w:val="clear" w:color="auto" w:fill="FFFFFF" w:themeFill="background1"/>
            <w:noWrap/>
            <w:vAlign w:val="center"/>
            <w:hideMark/>
          </w:tcPr>
          <w:p w14:paraId="6EDCF548"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2008</w:t>
            </w:r>
          </w:p>
        </w:tc>
        <w:tc>
          <w:tcPr>
            <w:tcW w:w="212" w:type="pct"/>
            <w:tcBorders>
              <w:top w:val="single" w:sz="12" w:space="0" w:color="auto"/>
              <w:left w:val="single" w:sz="4" w:space="0" w:color="auto"/>
              <w:bottom w:val="single" w:sz="12" w:space="0" w:color="auto"/>
              <w:right w:val="single" w:sz="12" w:space="0" w:color="auto"/>
            </w:tcBorders>
            <w:shd w:val="clear" w:color="auto" w:fill="FFFFFF" w:themeFill="background1"/>
            <w:noWrap/>
            <w:vAlign w:val="center"/>
            <w:hideMark/>
          </w:tcPr>
          <w:p w14:paraId="6EDCF549"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2009</w:t>
            </w:r>
          </w:p>
        </w:tc>
      </w:tr>
      <w:tr w:rsidR="00D71745" w:rsidRPr="007114AF" w14:paraId="6EDCF561" w14:textId="77777777" w:rsidTr="00A9766F">
        <w:trPr>
          <w:trHeight w:hRule="exact" w:val="301"/>
        </w:trPr>
        <w:tc>
          <w:tcPr>
            <w:tcW w:w="190" w:type="pct"/>
            <w:vMerge w:val="restart"/>
            <w:tcBorders>
              <w:top w:val="single" w:sz="12" w:space="0" w:color="auto"/>
              <w:left w:val="single" w:sz="12" w:space="0" w:color="auto"/>
              <w:bottom w:val="single" w:sz="12" w:space="0" w:color="auto"/>
              <w:right w:val="single" w:sz="2" w:space="0" w:color="auto"/>
            </w:tcBorders>
            <w:shd w:val="clear" w:color="auto" w:fill="FFFFFF" w:themeFill="background1"/>
            <w:noWrap/>
            <w:textDirection w:val="btLr"/>
            <w:vAlign w:val="center"/>
            <w:hideMark/>
          </w:tcPr>
          <w:p w14:paraId="6EDCF54B"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KPK</w:t>
            </w:r>
          </w:p>
        </w:tc>
        <w:tc>
          <w:tcPr>
            <w:tcW w:w="453"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4C"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Energji</w:t>
            </w:r>
          </w:p>
        </w:tc>
        <w:tc>
          <w:tcPr>
            <w:tcW w:w="203"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4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4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4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3107</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00"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5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12" w:space="0" w:color="auto"/>
              <w:left w:val="single" w:sz="2" w:space="0" w:color="auto"/>
              <w:bottom w:val="single" w:sz="2" w:space="0" w:color="auto"/>
              <w:right w:val="single" w:sz="12" w:space="0" w:color="auto"/>
            </w:tcBorders>
            <w:shd w:val="clear" w:color="auto" w:fill="FFFFFF" w:themeFill="background1"/>
            <w:noWrap/>
            <w:vAlign w:val="center"/>
            <w:hideMark/>
          </w:tcPr>
          <w:p w14:paraId="6EDCF56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578"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562"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3"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Industrial Processes</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209</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6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57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58F"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579"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A"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Bujqësi </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7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1915</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8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58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5A6"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590"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1"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LULUCF</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1525</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9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5A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5BD"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5A7"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8"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Mbetje </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340</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A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B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5B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5D4"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5BE"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BF"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TOTAL</w:t>
            </w:r>
          </w:p>
        </w:tc>
        <w:tc>
          <w:tcPr>
            <w:tcW w:w="203"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4"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7062</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00"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C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D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D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5D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2" w:space="0" w:color="auto"/>
              <w:left w:val="single" w:sz="2" w:space="0" w:color="auto"/>
              <w:bottom w:val="single" w:sz="12" w:space="0" w:color="auto"/>
              <w:right w:val="single" w:sz="12" w:space="0" w:color="auto"/>
            </w:tcBorders>
            <w:shd w:val="clear" w:color="auto" w:fill="FFFFFF" w:themeFill="background1"/>
            <w:noWrap/>
            <w:vAlign w:val="center"/>
            <w:hideMark/>
          </w:tcPr>
          <w:p w14:paraId="6EDCF5D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5EB" w14:textId="77777777" w:rsidTr="00A9766F">
        <w:trPr>
          <w:trHeight w:hRule="exact" w:val="301"/>
        </w:trPr>
        <w:tc>
          <w:tcPr>
            <w:tcW w:w="190" w:type="pct"/>
            <w:vMerge w:val="restart"/>
            <w:tcBorders>
              <w:top w:val="single" w:sz="12" w:space="0" w:color="auto"/>
              <w:left w:val="single" w:sz="12" w:space="0" w:color="auto"/>
              <w:bottom w:val="single" w:sz="12" w:space="0" w:color="auto"/>
              <w:right w:val="single" w:sz="2" w:space="0" w:color="auto"/>
            </w:tcBorders>
            <w:shd w:val="clear" w:color="auto" w:fill="FFFFFF" w:themeFill="background1"/>
            <w:noWrap/>
            <w:textDirection w:val="btLr"/>
            <w:vAlign w:val="center"/>
            <w:hideMark/>
          </w:tcPr>
          <w:p w14:paraId="6EDCF5D5"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KDK</w:t>
            </w:r>
          </w:p>
        </w:tc>
        <w:tc>
          <w:tcPr>
            <w:tcW w:w="453"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D6"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Energji</w:t>
            </w:r>
          </w:p>
        </w:tc>
        <w:tc>
          <w:tcPr>
            <w:tcW w:w="203"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D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3107</w:t>
            </w:r>
          </w:p>
        </w:tc>
        <w:tc>
          <w:tcPr>
            <w:tcW w:w="235"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D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5064</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D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3350</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D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3240</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D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3390</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D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3248</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D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3247</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D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3406</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D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4126</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4444</w:t>
            </w:r>
          </w:p>
        </w:tc>
        <w:tc>
          <w:tcPr>
            <w:tcW w:w="237"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4528</w:t>
            </w:r>
          </w:p>
        </w:tc>
        <w:tc>
          <w:tcPr>
            <w:tcW w:w="200"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12" w:space="0" w:color="auto"/>
              <w:left w:val="single" w:sz="2" w:space="0" w:color="auto"/>
              <w:bottom w:val="single" w:sz="2" w:space="0" w:color="auto"/>
              <w:right w:val="single" w:sz="12" w:space="0" w:color="auto"/>
            </w:tcBorders>
            <w:shd w:val="clear" w:color="auto" w:fill="FFFFFF" w:themeFill="background1"/>
            <w:noWrap/>
            <w:vAlign w:val="center"/>
            <w:hideMark/>
          </w:tcPr>
          <w:p w14:paraId="6EDCF5E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602"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5EC"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D"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Industrial Processes</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210</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E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423</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253</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269</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296</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304</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250</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158</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143</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151</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265</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5F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60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619"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603"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4"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Bujqësi </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880</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849</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801</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871</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942</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1012</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1082</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1082</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1105</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1175</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0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1363</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61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630"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61A"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B"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LULUCF</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3493</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3534</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2015</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1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1510</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1798</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1517</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1447</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1318</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1096</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910</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903</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2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62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647"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631"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2"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Mbetje </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144</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151</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177</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205</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279</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318</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417</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462</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460</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534</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561</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3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4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4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4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4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4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4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64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65E"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648"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49"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TOTAL</w:t>
            </w:r>
          </w:p>
        </w:tc>
        <w:tc>
          <w:tcPr>
            <w:tcW w:w="203"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4A"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7834</w:t>
            </w:r>
          </w:p>
        </w:tc>
        <w:tc>
          <w:tcPr>
            <w:tcW w:w="235"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4B"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10020</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4C"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6597</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4D"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6096</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4E"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6704</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4F"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6399</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0"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6443</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1"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6426</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2"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6929</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3"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7214</w:t>
            </w:r>
          </w:p>
        </w:tc>
        <w:tc>
          <w:tcPr>
            <w:tcW w:w="237"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4"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7620</w:t>
            </w:r>
          </w:p>
        </w:tc>
        <w:tc>
          <w:tcPr>
            <w:tcW w:w="200"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5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2" w:type="pct"/>
            <w:tcBorders>
              <w:top w:val="single" w:sz="2" w:space="0" w:color="auto"/>
              <w:left w:val="single" w:sz="2" w:space="0" w:color="auto"/>
              <w:bottom w:val="single" w:sz="12" w:space="0" w:color="auto"/>
              <w:right w:val="single" w:sz="12" w:space="0" w:color="auto"/>
            </w:tcBorders>
            <w:shd w:val="clear" w:color="auto" w:fill="FFFFFF" w:themeFill="background1"/>
            <w:noWrap/>
            <w:vAlign w:val="center"/>
            <w:hideMark/>
          </w:tcPr>
          <w:p w14:paraId="6EDCF65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r>
      <w:tr w:rsidR="00D71745" w:rsidRPr="007114AF" w14:paraId="6EDCF675" w14:textId="77777777" w:rsidTr="00A9766F">
        <w:trPr>
          <w:trHeight w:hRule="exact" w:val="301"/>
        </w:trPr>
        <w:tc>
          <w:tcPr>
            <w:tcW w:w="190" w:type="pct"/>
            <w:vMerge w:val="restart"/>
            <w:tcBorders>
              <w:top w:val="single" w:sz="12" w:space="0" w:color="auto"/>
              <w:left w:val="single" w:sz="12" w:space="0" w:color="auto"/>
              <w:bottom w:val="single" w:sz="12" w:space="0" w:color="auto"/>
              <w:right w:val="single" w:sz="2" w:space="0" w:color="auto"/>
            </w:tcBorders>
            <w:shd w:val="clear" w:color="auto" w:fill="FFFFFF" w:themeFill="background1"/>
            <w:noWrap/>
            <w:textDirection w:val="btLr"/>
            <w:vAlign w:val="center"/>
            <w:hideMark/>
          </w:tcPr>
          <w:p w14:paraId="6EDCF65F"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KTK</w:t>
            </w:r>
          </w:p>
        </w:tc>
        <w:tc>
          <w:tcPr>
            <w:tcW w:w="453"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0"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Energji</w:t>
            </w:r>
          </w:p>
        </w:tc>
        <w:tc>
          <w:tcPr>
            <w:tcW w:w="203"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4117</w:t>
            </w:r>
          </w:p>
        </w:tc>
        <w:tc>
          <w:tcPr>
            <w:tcW w:w="200"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4152</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4274</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4447</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6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4698</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4633</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4671</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4722</w:t>
            </w:r>
          </w:p>
        </w:tc>
        <w:tc>
          <w:tcPr>
            <w:tcW w:w="218" w:type="pct"/>
            <w:tcBorders>
              <w:top w:val="single" w:sz="1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4779</w:t>
            </w:r>
          </w:p>
        </w:tc>
        <w:tc>
          <w:tcPr>
            <w:tcW w:w="212" w:type="pct"/>
            <w:tcBorders>
              <w:top w:val="single" w:sz="12" w:space="0" w:color="auto"/>
              <w:left w:val="single" w:sz="2" w:space="0" w:color="auto"/>
              <w:bottom w:val="single" w:sz="2" w:space="0" w:color="auto"/>
              <w:right w:val="single" w:sz="12" w:space="0" w:color="auto"/>
            </w:tcBorders>
            <w:shd w:val="clear" w:color="auto" w:fill="FFFFFF" w:themeFill="background1"/>
            <w:noWrap/>
            <w:vAlign w:val="center"/>
            <w:hideMark/>
          </w:tcPr>
          <w:p w14:paraId="6EDCF67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5116</w:t>
            </w:r>
          </w:p>
        </w:tc>
      </w:tr>
      <w:tr w:rsidR="00D71745" w:rsidRPr="007114AF" w14:paraId="6EDCF68C"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676"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7"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Industrial Processes</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7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520</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852</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806</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966</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1043</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1118</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1195</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1470</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1599</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68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1701</w:t>
            </w:r>
          </w:p>
        </w:tc>
      </w:tr>
      <w:tr w:rsidR="00D71745" w:rsidRPr="007114AF" w14:paraId="6EDCF6A3"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68D"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E"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Bujqësi </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8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1553</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1510</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1464</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1476</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1464</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1403</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9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1375</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1283</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1205</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6A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1131</w:t>
            </w:r>
          </w:p>
        </w:tc>
      </w:tr>
      <w:tr w:rsidR="00D71745" w:rsidRPr="007114AF" w14:paraId="6EDCF6BA"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6A4"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5"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LULUCF</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A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2295</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1855</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1391</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1054</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1123</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1056</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860</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970</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530</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6B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213</w:t>
            </w:r>
          </w:p>
        </w:tc>
      </w:tr>
      <w:tr w:rsidR="00D71745" w:rsidRPr="007114AF" w14:paraId="6EDCF6D1" w14:textId="77777777" w:rsidTr="00A9766F">
        <w:trPr>
          <w:trHeight w:hRule="exact" w:val="301"/>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6BB"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C"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Mbetje </w:t>
            </w:r>
          </w:p>
        </w:tc>
        <w:tc>
          <w:tcPr>
            <w:tcW w:w="203"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B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1"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2"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3"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591</w:t>
            </w:r>
          </w:p>
        </w:tc>
        <w:tc>
          <w:tcPr>
            <w:tcW w:w="200"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593</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592</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601</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647</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653</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723</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E"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731</w:t>
            </w:r>
          </w:p>
        </w:tc>
        <w:tc>
          <w:tcPr>
            <w:tcW w:w="218" w:type="pct"/>
            <w:tcBorders>
              <w:top w:val="single" w:sz="2" w:space="0" w:color="auto"/>
              <w:left w:val="single" w:sz="2" w:space="0" w:color="auto"/>
              <w:bottom w:val="single" w:sz="2" w:space="0" w:color="auto"/>
              <w:right w:val="single" w:sz="2" w:space="0" w:color="auto"/>
            </w:tcBorders>
            <w:shd w:val="clear" w:color="auto" w:fill="FFFFFF" w:themeFill="background1"/>
            <w:noWrap/>
            <w:vAlign w:val="center"/>
            <w:hideMark/>
          </w:tcPr>
          <w:p w14:paraId="6EDCF6CF"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698</w:t>
            </w:r>
          </w:p>
        </w:tc>
        <w:tc>
          <w:tcPr>
            <w:tcW w:w="212" w:type="pct"/>
            <w:tcBorders>
              <w:top w:val="single" w:sz="2" w:space="0" w:color="auto"/>
              <w:left w:val="single" w:sz="2" w:space="0" w:color="auto"/>
              <w:bottom w:val="single" w:sz="2" w:space="0" w:color="auto"/>
              <w:right w:val="single" w:sz="12" w:space="0" w:color="auto"/>
            </w:tcBorders>
            <w:shd w:val="clear" w:color="auto" w:fill="FFFFFF" w:themeFill="background1"/>
            <w:noWrap/>
            <w:vAlign w:val="center"/>
            <w:hideMark/>
          </w:tcPr>
          <w:p w14:paraId="6EDCF6D0"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828</w:t>
            </w:r>
          </w:p>
        </w:tc>
      </w:tr>
      <w:tr w:rsidR="00D71745" w:rsidRPr="007114AF" w14:paraId="6EDCF6E8" w14:textId="77777777" w:rsidTr="00D71745">
        <w:trPr>
          <w:trHeight w:hRule="exact" w:val="303"/>
        </w:trPr>
        <w:tc>
          <w:tcPr>
            <w:tcW w:w="190" w:type="pct"/>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14:paraId="6EDCF6D2" w14:textId="77777777" w:rsidR="00D71745" w:rsidRPr="007114AF" w:rsidRDefault="00D71745" w:rsidP="00D71745">
            <w:pPr>
              <w:spacing w:after="0" w:line="240" w:lineRule="auto"/>
              <w:rPr>
                <w:rFonts w:ascii="Garamond" w:hAnsi="Garamond"/>
                <w:sz w:val="18"/>
                <w:szCs w:val="18"/>
              </w:rPr>
            </w:pPr>
          </w:p>
        </w:tc>
        <w:tc>
          <w:tcPr>
            <w:tcW w:w="453"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3"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TOTAL</w:t>
            </w:r>
          </w:p>
        </w:tc>
        <w:tc>
          <w:tcPr>
            <w:tcW w:w="203"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4"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5"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5"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6"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7"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8"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9"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A"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B"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C"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D" w14:textId="77777777" w:rsidR="00D71745" w:rsidRPr="007114AF" w:rsidRDefault="00D71745" w:rsidP="00D71745">
            <w:pPr>
              <w:spacing w:after="0" w:line="240" w:lineRule="auto"/>
              <w:rPr>
                <w:rFonts w:ascii="Garamond" w:hAnsi="Garamond"/>
                <w:sz w:val="18"/>
                <w:szCs w:val="18"/>
              </w:rPr>
            </w:pPr>
            <w:r w:rsidRPr="007114AF">
              <w:rPr>
                <w:rFonts w:ascii="Garamond" w:hAnsi="Garamond"/>
                <w:color w:val="000000"/>
                <w:sz w:val="18"/>
                <w:szCs w:val="18"/>
              </w:rPr>
              <w:t>-</w:t>
            </w:r>
          </w:p>
        </w:tc>
        <w:tc>
          <w:tcPr>
            <w:tcW w:w="237"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E"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9075</w:t>
            </w:r>
          </w:p>
        </w:tc>
        <w:tc>
          <w:tcPr>
            <w:tcW w:w="200"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DF"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8962</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E0"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8527</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E1"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8544</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E2"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8976</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E3"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8863</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E4"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8824</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E5"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9175</w:t>
            </w:r>
          </w:p>
        </w:tc>
        <w:tc>
          <w:tcPr>
            <w:tcW w:w="218" w:type="pct"/>
            <w:tcBorders>
              <w:top w:val="single" w:sz="2" w:space="0" w:color="auto"/>
              <w:left w:val="single" w:sz="2" w:space="0" w:color="auto"/>
              <w:bottom w:val="single" w:sz="12" w:space="0" w:color="auto"/>
              <w:right w:val="single" w:sz="2" w:space="0" w:color="auto"/>
            </w:tcBorders>
            <w:shd w:val="clear" w:color="auto" w:fill="FFFFFF" w:themeFill="background1"/>
            <w:noWrap/>
            <w:vAlign w:val="center"/>
            <w:hideMark/>
          </w:tcPr>
          <w:p w14:paraId="6EDCF6E6"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8810</w:t>
            </w:r>
          </w:p>
        </w:tc>
        <w:tc>
          <w:tcPr>
            <w:tcW w:w="212" w:type="pct"/>
            <w:tcBorders>
              <w:top w:val="single" w:sz="2" w:space="0" w:color="auto"/>
              <w:left w:val="single" w:sz="2" w:space="0" w:color="auto"/>
              <w:bottom w:val="single" w:sz="12" w:space="0" w:color="auto"/>
              <w:right w:val="single" w:sz="12" w:space="0" w:color="auto"/>
            </w:tcBorders>
            <w:shd w:val="clear" w:color="auto" w:fill="FFFFFF" w:themeFill="background1"/>
            <w:noWrap/>
            <w:vAlign w:val="center"/>
            <w:hideMark/>
          </w:tcPr>
          <w:p w14:paraId="6EDCF6E7" w14:textId="77777777" w:rsidR="00D71745" w:rsidRPr="007114AF" w:rsidRDefault="00D71745" w:rsidP="00D71745">
            <w:pPr>
              <w:spacing w:after="0" w:line="240" w:lineRule="auto"/>
              <w:rPr>
                <w:rFonts w:ascii="Garamond" w:hAnsi="Garamond"/>
                <w:sz w:val="18"/>
                <w:szCs w:val="18"/>
              </w:rPr>
            </w:pPr>
            <w:r w:rsidRPr="007114AF">
              <w:rPr>
                <w:rFonts w:ascii="Garamond" w:hAnsi="Garamond"/>
                <w:iCs/>
                <w:color w:val="000000"/>
                <w:sz w:val="18"/>
                <w:szCs w:val="18"/>
              </w:rPr>
              <w:t>8989</w:t>
            </w:r>
          </w:p>
        </w:tc>
      </w:tr>
    </w:tbl>
    <w:p w14:paraId="6EDCF6E9" w14:textId="77777777" w:rsidR="00D71745" w:rsidRPr="007114AF" w:rsidRDefault="00D71745" w:rsidP="00D71745">
      <w:pPr>
        <w:spacing w:after="0" w:line="240" w:lineRule="auto"/>
        <w:ind w:firstLine="284"/>
        <w:rPr>
          <w:rFonts w:ascii="Garamond" w:hAnsi="Garamond"/>
          <w:sz w:val="24"/>
          <w:szCs w:val="24"/>
        </w:rPr>
      </w:pPr>
    </w:p>
    <w:p w14:paraId="6EDCF6EA" w14:textId="77777777" w:rsidR="00D71745" w:rsidRPr="007114AF" w:rsidRDefault="00D71745" w:rsidP="00D71745">
      <w:pPr>
        <w:spacing w:after="0" w:line="240" w:lineRule="auto"/>
        <w:ind w:firstLine="284"/>
        <w:rPr>
          <w:rFonts w:ascii="Garamond" w:hAnsi="Garamond"/>
          <w:sz w:val="24"/>
          <w:szCs w:val="24"/>
        </w:rPr>
      </w:pPr>
    </w:p>
    <w:p w14:paraId="6EDCF6EB" w14:textId="77777777" w:rsidR="00D71745" w:rsidRPr="007114AF" w:rsidRDefault="00D71745" w:rsidP="00D71745">
      <w:pPr>
        <w:spacing w:after="0" w:line="240" w:lineRule="auto"/>
        <w:ind w:firstLine="284"/>
        <w:rPr>
          <w:rFonts w:ascii="Garamond" w:hAnsi="Garamond"/>
          <w:sz w:val="24"/>
          <w:szCs w:val="24"/>
        </w:rPr>
      </w:pPr>
    </w:p>
    <w:p w14:paraId="6EDCF6EC" w14:textId="77777777" w:rsidR="00D71745" w:rsidRPr="007114AF" w:rsidRDefault="00D71745" w:rsidP="00D71745">
      <w:pPr>
        <w:spacing w:after="0" w:line="240" w:lineRule="auto"/>
        <w:ind w:firstLine="284"/>
        <w:rPr>
          <w:rFonts w:ascii="Garamond" w:hAnsi="Garamond"/>
          <w:sz w:val="24"/>
          <w:szCs w:val="24"/>
        </w:rPr>
      </w:pPr>
    </w:p>
    <w:p w14:paraId="6EDCF6ED" w14:textId="77777777" w:rsidR="00D71745" w:rsidRPr="007114AF" w:rsidRDefault="00D71745" w:rsidP="00D71745">
      <w:pPr>
        <w:spacing w:after="0" w:line="240" w:lineRule="auto"/>
        <w:ind w:firstLine="284"/>
        <w:rPr>
          <w:rFonts w:ascii="Garamond" w:hAnsi="Garamond"/>
          <w:sz w:val="24"/>
          <w:szCs w:val="24"/>
        </w:rPr>
      </w:pPr>
    </w:p>
    <w:p w14:paraId="6EDCF6EE" w14:textId="77777777" w:rsidR="00D71745" w:rsidRPr="007114AF" w:rsidRDefault="00D71745" w:rsidP="00D71745">
      <w:pPr>
        <w:spacing w:after="0" w:line="240" w:lineRule="auto"/>
        <w:ind w:firstLine="284"/>
        <w:rPr>
          <w:rFonts w:ascii="Garamond" w:hAnsi="Garamond"/>
          <w:sz w:val="24"/>
          <w:szCs w:val="24"/>
        </w:rPr>
      </w:pPr>
    </w:p>
    <w:p w14:paraId="6EDCF6EF" w14:textId="77777777" w:rsidR="00D71745" w:rsidRPr="007114AF" w:rsidRDefault="00D71745" w:rsidP="00D71745">
      <w:pPr>
        <w:spacing w:after="0" w:line="240" w:lineRule="auto"/>
        <w:ind w:firstLine="284"/>
        <w:rPr>
          <w:rFonts w:ascii="Garamond" w:hAnsi="Garamond"/>
          <w:sz w:val="24"/>
          <w:szCs w:val="24"/>
        </w:rPr>
      </w:pPr>
    </w:p>
    <w:p w14:paraId="6EDCF6F0" w14:textId="77777777" w:rsidR="00D71745" w:rsidRPr="007114AF" w:rsidRDefault="00D71745" w:rsidP="00D71745">
      <w:pPr>
        <w:spacing w:after="0" w:line="240" w:lineRule="auto"/>
        <w:ind w:firstLine="284"/>
        <w:rPr>
          <w:rFonts w:ascii="Garamond" w:hAnsi="Garamond"/>
          <w:sz w:val="24"/>
          <w:szCs w:val="24"/>
        </w:rPr>
      </w:pPr>
    </w:p>
    <w:p w14:paraId="6EDCF6F1" w14:textId="77777777" w:rsidR="00D71745" w:rsidRPr="007114AF" w:rsidRDefault="00D71745" w:rsidP="00D71745">
      <w:pPr>
        <w:spacing w:after="0" w:line="240" w:lineRule="auto"/>
        <w:ind w:firstLine="284"/>
        <w:rPr>
          <w:rFonts w:ascii="Garamond" w:hAnsi="Garamond"/>
          <w:sz w:val="24"/>
          <w:szCs w:val="24"/>
        </w:rPr>
      </w:pPr>
    </w:p>
    <w:p w14:paraId="6EDCF6F2" w14:textId="77777777" w:rsidR="00D71745" w:rsidRPr="007114AF" w:rsidRDefault="00D71745" w:rsidP="00D71745">
      <w:pPr>
        <w:spacing w:after="0" w:line="240" w:lineRule="auto"/>
        <w:ind w:firstLine="284"/>
        <w:rPr>
          <w:rFonts w:ascii="Garamond" w:hAnsi="Garamond"/>
          <w:sz w:val="24"/>
          <w:szCs w:val="24"/>
        </w:rPr>
      </w:pPr>
    </w:p>
    <w:p w14:paraId="6EDCF6F3" w14:textId="77777777" w:rsidR="00D71745" w:rsidRPr="007114AF" w:rsidRDefault="00D71745" w:rsidP="00D71745">
      <w:pPr>
        <w:spacing w:after="0" w:line="240" w:lineRule="auto"/>
        <w:ind w:firstLine="284"/>
        <w:rPr>
          <w:rFonts w:ascii="Garamond" w:hAnsi="Garamond"/>
          <w:sz w:val="24"/>
          <w:szCs w:val="24"/>
        </w:rPr>
      </w:pPr>
    </w:p>
    <w:p w14:paraId="6EDCF6F4" w14:textId="77777777" w:rsidR="00D71745" w:rsidRPr="007114AF" w:rsidRDefault="00D71745" w:rsidP="00D71745">
      <w:pPr>
        <w:spacing w:after="0" w:line="240" w:lineRule="auto"/>
        <w:ind w:firstLine="284"/>
        <w:rPr>
          <w:rFonts w:ascii="Garamond" w:hAnsi="Garamond"/>
          <w:sz w:val="24"/>
          <w:szCs w:val="24"/>
        </w:rPr>
      </w:pPr>
    </w:p>
    <w:p w14:paraId="6EDCF6F5" w14:textId="66058BF9" w:rsidR="00D71745" w:rsidRPr="007114AF" w:rsidRDefault="00D71745" w:rsidP="00D71745">
      <w:pPr>
        <w:spacing w:after="0" w:line="240" w:lineRule="auto"/>
        <w:ind w:firstLine="284"/>
        <w:rPr>
          <w:rFonts w:ascii="Garamond" w:hAnsi="Garamond"/>
          <w:b/>
          <w:sz w:val="24"/>
          <w:szCs w:val="24"/>
        </w:rPr>
      </w:pPr>
      <w:r w:rsidRPr="007114AF">
        <w:rPr>
          <w:rFonts w:ascii="Garamond" w:hAnsi="Garamond"/>
          <w:b/>
          <w:sz w:val="24"/>
          <w:szCs w:val="24"/>
        </w:rPr>
        <w:t>Tabela</w:t>
      </w:r>
      <w:r w:rsidR="00E32157" w:rsidRPr="007114AF">
        <w:rPr>
          <w:rFonts w:ascii="Garamond" w:hAnsi="Garamond"/>
          <w:b/>
          <w:sz w:val="24"/>
          <w:szCs w:val="24"/>
        </w:rPr>
        <w:t xml:space="preserve"> </w:t>
      </w:r>
      <w:r w:rsidRPr="007114AF">
        <w:rPr>
          <w:rFonts w:ascii="Garamond" w:hAnsi="Garamond"/>
          <w:b/>
          <w:sz w:val="24"/>
          <w:szCs w:val="24"/>
        </w:rPr>
        <w:fldChar w:fldCharType="begin"/>
      </w:r>
      <w:r w:rsidRPr="007114AF">
        <w:rPr>
          <w:rFonts w:ascii="Garamond" w:hAnsi="Garamond"/>
          <w:b/>
          <w:sz w:val="24"/>
          <w:szCs w:val="24"/>
        </w:rPr>
        <w:instrText xml:space="preserve"> SEQ Table \* ARABIC </w:instrText>
      </w:r>
      <w:r w:rsidRPr="007114AF">
        <w:rPr>
          <w:rFonts w:ascii="Garamond" w:hAnsi="Garamond"/>
          <w:b/>
          <w:sz w:val="24"/>
          <w:szCs w:val="24"/>
        </w:rPr>
        <w:fldChar w:fldCharType="separate"/>
      </w:r>
      <w:r w:rsidRPr="007114AF">
        <w:rPr>
          <w:rFonts w:ascii="Garamond" w:hAnsi="Garamond"/>
          <w:b/>
          <w:sz w:val="24"/>
          <w:szCs w:val="24"/>
        </w:rPr>
        <w:t>4</w:t>
      </w:r>
      <w:r w:rsidRPr="007114AF">
        <w:rPr>
          <w:rFonts w:ascii="Garamond" w:hAnsi="Garamond"/>
          <w:b/>
          <w:sz w:val="24"/>
          <w:szCs w:val="24"/>
        </w:rPr>
        <w:fldChar w:fldCharType="end"/>
      </w:r>
      <w:r w:rsidR="00F11685" w:rsidRPr="007114AF">
        <w:rPr>
          <w:rFonts w:ascii="Garamond" w:hAnsi="Garamond"/>
          <w:b/>
          <w:sz w:val="24"/>
          <w:szCs w:val="24"/>
        </w:rPr>
        <w:t xml:space="preserve"> </w:t>
      </w:r>
      <w:r w:rsidRPr="007114AF">
        <w:rPr>
          <w:rFonts w:ascii="Garamond" w:hAnsi="Garamond"/>
          <w:b/>
          <w:sz w:val="24"/>
          <w:szCs w:val="24"/>
        </w:rPr>
        <w:t>–</w:t>
      </w:r>
      <w:r w:rsidR="00F11685" w:rsidRPr="007114AF">
        <w:rPr>
          <w:rFonts w:ascii="Garamond" w:hAnsi="Garamond"/>
          <w:b/>
          <w:sz w:val="24"/>
          <w:szCs w:val="24"/>
        </w:rPr>
        <w:t xml:space="preserve"> </w:t>
      </w:r>
      <w:r w:rsidRPr="007114AF">
        <w:rPr>
          <w:rFonts w:ascii="Garamond" w:hAnsi="Garamond"/>
          <w:b/>
          <w:sz w:val="24"/>
          <w:szCs w:val="24"/>
        </w:rPr>
        <w:t>Pjesa e shkarkimeve totale GES për sektor nga viti 1990 deri në vitin 2009 sipas KPK-ës, KDK-ës dhe</w:t>
      </w:r>
      <w:r w:rsidR="003C603D">
        <w:rPr>
          <w:rFonts w:ascii="Garamond" w:hAnsi="Garamond"/>
          <w:b/>
          <w:sz w:val="24"/>
          <w:szCs w:val="24"/>
        </w:rPr>
        <w:t xml:space="preserve"> </w:t>
      </w:r>
      <w:r w:rsidRPr="007114AF">
        <w:rPr>
          <w:rFonts w:ascii="Garamond" w:hAnsi="Garamond"/>
          <w:b/>
          <w:sz w:val="24"/>
          <w:szCs w:val="24"/>
        </w:rPr>
        <w:t>KTK-ës</w:t>
      </w:r>
      <w:r w:rsidR="003C603D">
        <w:rPr>
          <w:rFonts w:ascii="Garamond" w:hAnsi="Garamond"/>
          <w:b/>
          <w:sz w:val="24"/>
          <w:szCs w:val="24"/>
        </w:rPr>
        <w:t xml:space="preserve"> </w:t>
      </w:r>
      <w:r w:rsidRPr="007114AF">
        <w:rPr>
          <w:rFonts w:ascii="Garamond" w:hAnsi="Garamond"/>
          <w:b/>
          <w:sz w:val="24"/>
          <w:szCs w:val="24"/>
        </w:rPr>
        <w:t>në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7"/>
        <w:gridCol w:w="1718"/>
        <w:gridCol w:w="589"/>
        <w:gridCol w:w="589"/>
        <w:gridCol w:w="589"/>
        <w:gridCol w:w="589"/>
        <w:gridCol w:w="589"/>
        <w:gridCol w:w="589"/>
        <w:gridCol w:w="589"/>
        <w:gridCol w:w="589"/>
        <w:gridCol w:w="589"/>
        <w:gridCol w:w="588"/>
        <w:gridCol w:w="588"/>
        <w:gridCol w:w="588"/>
        <w:gridCol w:w="588"/>
        <w:gridCol w:w="588"/>
        <w:gridCol w:w="588"/>
        <w:gridCol w:w="588"/>
        <w:gridCol w:w="588"/>
        <w:gridCol w:w="588"/>
        <w:gridCol w:w="588"/>
        <w:gridCol w:w="588"/>
      </w:tblGrid>
      <w:tr w:rsidR="00D71745" w:rsidRPr="007114AF" w14:paraId="6EDCF70C" w14:textId="77777777" w:rsidTr="00A9766F">
        <w:trPr>
          <w:trHeight w:hRule="exact" w:val="301"/>
          <w:jc w:val="center"/>
        </w:trPr>
        <w:tc>
          <w:tcPr>
            <w:tcW w:w="232" w:type="pct"/>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EDCF6F6" w14:textId="77777777" w:rsidR="00D71745" w:rsidRPr="007114AF" w:rsidRDefault="00D71745" w:rsidP="00D71745">
            <w:pPr>
              <w:spacing w:after="0" w:line="240" w:lineRule="auto"/>
              <w:rPr>
                <w:rFonts w:ascii="Garamond" w:hAnsi="Garamond"/>
                <w:sz w:val="18"/>
                <w:szCs w:val="18"/>
              </w:rPr>
            </w:pPr>
          </w:p>
        </w:tc>
        <w:tc>
          <w:tcPr>
            <w:tcW w:w="607"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6F7"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Sektori</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6F8"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1990</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6F9"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1991</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6FA"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1992</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6FB"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1993</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6FC"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1994</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6FD"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1995</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6FE"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1996</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6FF"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1997</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0"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1998</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1"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1999</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2"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2000</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3"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2001</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4"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2002</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5"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2003</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6"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2004</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7"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2005</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8"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2006</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9"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2007</w:t>
            </w:r>
          </w:p>
        </w:tc>
        <w:tc>
          <w:tcPr>
            <w:tcW w:w="208"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DCF70A"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2008</w:t>
            </w:r>
          </w:p>
        </w:tc>
        <w:tc>
          <w:tcPr>
            <w:tcW w:w="208" w:type="pct"/>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6EDCF70B"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2009</w:t>
            </w:r>
          </w:p>
        </w:tc>
      </w:tr>
      <w:tr w:rsidR="00D71745" w:rsidRPr="007114AF" w14:paraId="6EDCF723" w14:textId="77777777" w:rsidTr="00A9766F">
        <w:trPr>
          <w:trHeight w:hRule="exact" w:val="301"/>
          <w:jc w:val="center"/>
        </w:trPr>
        <w:tc>
          <w:tcPr>
            <w:tcW w:w="232" w:type="pct"/>
            <w:vMerge w:val="restart"/>
            <w:tcBorders>
              <w:top w:val="single" w:sz="12" w:space="0" w:color="auto"/>
              <w:left w:val="single" w:sz="12" w:space="0" w:color="auto"/>
              <w:bottom w:val="single" w:sz="12" w:space="0" w:color="auto"/>
              <w:right w:val="single" w:sz="2" w:space="0" w:color="auto"/>
            </w:tcBorders>
            <w:shd w:val="clear" w:color="auto" w:fill="auto"/>
            <w:noWrap/>
            <w:textDirection w:val="btLr"/>
            <w:vAlign w:val="center"/>
            <w:hideMark/>
          </w:tcPr>
          <w:p w14:paraId="6EDCF70D"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KPK</w:t>
            </w:r>
          </w:p>
        </w:tc>
        <w:tc>
          <w:tcPr>
            <w:tcW w:w="607"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0E"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Energji</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0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44.0</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1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2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2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6EDCF72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73A"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724"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5"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Procese industriale</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3.0</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2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73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751"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73B"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C"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Bujqësi </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3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27.1</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4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75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768"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752"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3"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LULUCF</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21.6</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5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76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77F"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769"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A"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Mbetje </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6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4.8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7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77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796"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780"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1"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TOTAL</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8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9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9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9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9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79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6EDCF79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7AD" w14:textId="77777777" w:rsidTr="00A9766F">
        <w:trPr>
          <w:trHeight w:hRule="exact" w:val="301"/>
          <w:jc w:val="center"/>
        </w:trPr>
        <w:tc>
          <w:tcPr>
            <w:tcW w:w="232" w:type="pct"/>
            <w:vMerge w:val="restart"/>
            <w:tcBorders>
              <w:top w:val="single" w:sz="12" w:space="0" w:color="auto"/>
              <w:left w:val="single" w:sz="12" w:space="0" w:color="auto"/>
              <w:bottom w:val="single" w:sz="12" w:space="0" w:color="auto"/>
              <w:right w:val="single" w:sz="2" w:space="0" w:color="auto"/>
            </w:tcBorders>
            <w:shd w:val="clear" w:color="auto" w:fill="auto"/>
            <w:noWrap/>
            <w:textDirection w:val="btLr"/>
            <w:vAlign w:val="center"/>
            <w:hideMark/>
          </w:tcPr>
          <w:p w14:paraId="6EDCF797"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KDK</w:t>
            </w:r>
          </w:p>
        </w:tc>
        <w:tc>
          <w:tcPr>
            <w:tcW w:w="607"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98"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Energji</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9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39.7</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9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50.5</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9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50.8</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9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53.2</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9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50.6</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9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50.8</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9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50.4</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53.0</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59.5</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61.6</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59.4</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7A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6EDCF7A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7C4"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7AE"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AF"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Procese industriale</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2.7</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4.2</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3.8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4.4</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4.4</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4.8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3.9</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2.1</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2.1</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3.5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B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7C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7DB"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7C5"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6"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Bujqësi </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11.2</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8.5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12.1</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14.3</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14.1</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15.8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16.8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16.8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C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15.9</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16.3</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17.9</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7D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7F2"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7DC"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D"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LULUCF</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44.6</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D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35.3</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30.6</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24.8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26.8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23.7</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22.5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20.5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15.8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12.6</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11.9</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E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7F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809"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7F3"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4"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Mbetje </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2.7</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3.4</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4.2</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5.0</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6.5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7.2</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6.6</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7.4</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7F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7.4</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0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0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0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0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0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0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0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0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80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820"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80A"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0B"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TOTAL</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0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0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0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0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1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6EDCF81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r>
      <w:tr w:rsidR="00D71745" w:rsidRPr="007114AF" w14:paraId="6EDCF837" w14:textId="77777777" w:rsidTr="00A9766F">
        <w:trPr>
          <w:trHeight w:hRule="exact" w:val="301"/>
          <w:jc w:val="center"/>
        </w:trPr>
        <w:tc>
          <w:tcPr>
            <w:tcW w:w="232" w:type="pct"/>
            <w:vMerge w:val="restart"/>
            <w:tcBorders>
              <w:top w:val="single" w:sz="12" w:space="0" w:color="auto"/>
              <w:left w:val="single" w:sz="12" w:space="0" w:color="auto"/>
              <w:bottom w:val="single" w:sz="12" w:space="0" w:color="auto"/>
              <w:right w:val="single" w:sz="2" w:space="0" w:color="auto"/>
            </w:tcBorders>
            <w:shd w:val="clear" w:color="auto" w:fill="auto"/>
            <w:noWrap/>
            <w:textDirection w:val="btLr"/>
            <w:vAlign w:val="center"/>
            <w:hideMark/>
          </w:tcPr>
          <w:p w14:paraId="6EDCF821"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KTK</w:t>
            </w:r>
          </w:p>
        </w:tc>
        <w:tc>
          <w:tcPr>
            <w:tcW w:w="607"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2"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Energji</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45.4</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46.3</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2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50.1</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3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52.1</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3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52.3</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3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52.3</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3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52.9</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3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51.5</w:t>
            </w:r>
          </w:p>
        </w:tc>
        <w:tc>
          <w:tcPr>
            <w:tcW w:w="208" w:type="pct"/>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6EDCF83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54.2</w:t>
            </w:r>
          </w:p>
        </w:tc>
        <w:tc>
          <w:tcPr>
            <w:tcW w:w="208" w:type="pct"/>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6EDCF83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56.9</w:t>
            </w:r>
          </w:p>
        </w:tc>
      </w:tr>
      <w:tr w:rsidR="00D71745" w:rsidRPr="007114AF" w14:paraId="6EDCF84E"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838"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39"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Procese industriale</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3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3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3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3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3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3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5.7</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9.5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9.5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11.3</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11.6</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12.6</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13.5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16.0</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4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18.2</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84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18.9</w:t>
            </w:r>
          </w:p>
        </w:tc>
      </w:tr>
      <w:tr w:rsidR="00D71745" w:rsidRPr="007114AF" w14:paraId="6EDCF865"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84F"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0"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Bujqësi </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17.1</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16.9</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17.2</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17.3</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5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16.3</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15.8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15.6</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14.0</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13.7</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86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12.6</w:t>
            </w:r>
          </w:p>
        </w:tc>
      </w:tr>
      <w:tr w:rsidR="00D71745" w:rsidRPr="007114AF" w14:paraId="6EDCF87C"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866"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7"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LULUCF</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6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25.3</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20.7</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16.3</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12.3</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12.5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11.9</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9.8</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10.6</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6.0</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87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2.4</w:t>
            </w:r>
          </w:p>
        </w:tc>
      </w:tr>
      <w:tr w:rsidR="00D71745" w:rsidRPr="007114AF" w14:paraId="6EDCF893"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87D"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E"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 xml:space="preserve">Mbetje </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7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6.5</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6.6</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6.9</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7.0</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7.2</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7.4</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8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8.2</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9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8.0</w:t>
            </w:r>
          </w:p>
        </w:tc>
        <w:tc>
          <w:tcPr>
            <w:tcW w:w="20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EDCF89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7.9</w:t>
            </w:r>
          </w:p>
        </w:tc>
        <w:tc>
          <w:tcPr>
            <w:tcW w:w="208"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EDCF89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9.2</w:t>
            </w:r>
          </w:p>
        </w:tc>
      </w:tr>
      <w:tr w:rsidR="00D71745" w:rsidRPr="007114AF" w14:paraId="6EDCF8AA" w14:textId="77777777" w:rsidTr="00A9766F">
        <w:trPr>
          <w:trHeight w:hRule="exact" w:val="301"/>
          <w:jc w:val="center"/>
        </w:trPr>
        <w:tc>
          <w:tcPr>
            <w:tcW w:w="232" w:type="pct"/>
            <w:vMerge/>
            <w:tcBorders>
              <w:top w:val="single" w:sz="12" w:space="0" w:color="auto"/>
              <w:left w:val="single" w:sz="12" w:space="0" w:color="auto"/>
              <w:bottom w:val="single" w:sz="12" w:space="0" w:color="auto"/>
              <w:right w:val="single" w:sz="2" w:space="0" w:color="auto"/>
            </w:tcBorders>
            <w:shd w:val="clear" w:color="auto" w:fill="auto"/>
            <w:vAlign w:val="center"/>
            <w:hideMark/>
          </w:tcPr>
          <w:p w14:paraId="6EDCF894" w14:textId="77777777" w:rsidR="00D71745" w:rsidRPr="007114AF" w:rsidRDefault="00D71745" w:rsidP="00D71745">
            <w:pPr>
              <w:spacing w:after="0" w:line="240" w:lineRule="auto"/>
              <w:rPr>
                <w:rFonts w:ascii="Garamond" w:hAnsi="Garamond"/>
                <w:sz w:val="18"/>
                <w:szCs w:val="18"/>
              </w:rPr>
            </w:pPr>
          </w:p>
        </w:tc>
        <w:tc>
          <w:tcPr>
            <w:tcW w:w="607"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5" w14:textId="77777777" w:rsidR="00D71745" w:rsidRPr="007114AF" w:rsidRDefault="00D71745" w:rsidP="00D71745">
            <w:pPr>
              <w:spacing w:after="0" w:line="240" w:lineRule="auto"/>
              <w:rPr>
                <w:rFonts w:ascii="Garamond" w:hAnsi="Garamond"/>
                <w:sz w:val="18"/>
                <w:szCs w:val="18"/>
              </w:rPr>
            </w:pPr>
            <w:r w:rsidRPr="007114AF">
              <w:rPr>
                <w:rFonts w:ascii="Garamond" w:hAnsi="Garamond"/>
                <w:sz w:val="18"/>
                <w:szCs w:val="18"/>
              </w:rPr>
              <w:t>TOTAL</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A"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B"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C"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D"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E"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9F"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A0"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A1"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A2"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A3"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A4"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A5"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A6"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A7"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2" w:space="0" w:color="auto"/>
            </w:tcBorders>
            <w:shd w:val="clear" w:color="auto" w:fill="auto"/>
            <w:noWrap/>
            <w:vAlign w:val="center"/>
            <w:hideMark/>
          </w:tcPr>
          <w:p w14:paraId="6EDCF8A8"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c>
          <w:tcPr>
            <w:tcW w:w="208" w:type="pct"/>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6EDCF8A9" w14:textId="77777777" w:rsidR="00D71745" w:rsidRPr="007114AF" w:rsidRDefault="00D71745" w:rsidP="00D71745">
            <w:pPr>
              <w:spacing w:after="0" w:line="240" w:lineRule="auto"/>
              <w:rPr>
                <w:rFonts w:ascii="Garamond" w:hAnsi="Garamond"/>
                <w:color w:val="000000"/>
                <w:sz w:val="18"/>
                <w:szCs w:val="18"/>
              </w:rPr>
            </w:pPr>
            <w:r w:rsidRPr="007114AF">
              <w:rPr>
                <w:rFonts w:ascii="Garamond" w:hAnsi="Garamond"/>
                <w:color w:val="000000"/>
                <w:sz w:val="18"/>
                <w:szCs w:val="18"/>
              </w:rPr>
              <w:t>100</w:t>
            </w:r>
          </w:p>
        </w:tc>
      </w:tr>
    </w:tbl>
    <w:p w14:paraId="6EDCF8AB" w14:textId="77777777" w:rsidR="00220111" w:rsidRPr="007114AF" w:rsidRDefault="00220111" w:rsidP="00936091">
      <w:pPr>
        <w:spacing w:after="0" w:line="240" w:lineRule="auto"/>
        <w:ind w:firstLine="284"/>
        <w:rPr>
          <w:rFonts w:ascii="Garamond" w:hAnsi="Garamond"/>
          <w:sz w:val="24"/>
          <w:szCs w:val="24"/>
        </w:rPr>
      </w:pPr>
    </w:p>
    <w:p w14:paraId="6EDCF8AC" w14:textId="77777777" w:rsidR="00701834" w:rsidRPr="007114AF" w:rsidRDefault="00701834" w:rsidP="00936091">
      <w:pPr>
        <w:spacing w:after="0" w:line="240" w:lineRule="auto"/>
        <w:ind w:firstLine="284"/>
        <w:rPr>
          <w:rFonts w:ascii="Garamond" w:hAnsi="Garamond"/>
          <w:sz w:val="24"/>
          <w:szCs w:val="24"/>
        </w:rPr>
      </w:pPr>
    </w:p>
    <w:p w14:paraId="6EDCF8AD" w14:textId="77777777" w:rsidR="00BC2BE4" w:rsidRPr="007114AF" w:rsidRDefault="00BC2BE4" w:rsidP="00936091">
      <w:pPr>
        <w:spacing w:after="0" w:line="240" w:lineRule="auto"/>
        <w:ind w:firstLine="284"/>
        <w:rPr>
          <w:rFonts w:ascii="Garamond" w:hAnsi="Garamond"/>
          <w:sz w:val="24"/>
          <w:szCs w:val="24"/>
        </w:rPr>
      </w:pPr>
    </w:p>
    <w:p w14:paraId="6EDCF8AE" w14:textId="77777777" w:rsidR="00BC2BE4" w:rsidRPr="007114AF" w:rsidRDefault="00BC2BE4" w:rsidP="00936091">
      <w:pPr>
        <w:spacing w:after="0" w:line="240" w:lineRule="auto"/>
        <w:ind w:firstLine="284"/>
        <w:rPr>
          <w:rFonts w:ascii="Garamond" w:hAnsi="Garamond"/>
          <w:sz w:val="24"/>
          <w:szCs w:val="24"/>
        </w:rPr>
      </w:pPr>
    </w:p>
    <w:p w14:paraId="6EDCF8AF" w14:textId="77777777" w:rsidR="00BC2BE4" w:rsidRPr="007114AF" w:rsidRDefault="00BC2BE4" w:rsidP="00936091">
      <w:pPr>
        <w:spacing w:after="0" w:line="240" w:lineRule="auto"/>
        <w:ind w:firstLine="284"/>
        <w:rPr>
          <w:rFonts w:ascii="Garamond" w:hAnsi="Garamond"/>
          <w:sz w:val="24"/>
          <w:szCs w:val="24"/>
        </w:rPr>
      </w:pPr>
    </w:p>
    <w:p w14:paraId="6EDCF8B0" w14:textId="77777777" w:rsidR="00BC2BE4" w:rsidRPr="007114AF" w:rsidRDefault="00BC2BE4" w:rsidP="00936091">
      <w:pPr>
        <w:spacing w:after="0" w:line="240" w:lineRule="auto"/>
        <w:ind w:firstLine="284"/>
        <w:rPr>
          <w:rFonts w:ascii="Garamond" w:hAnsi="Garamond"/>
          <w:sz w:val="24"/>
          <w:szCs w:val="24"/>
        </w:rPr>
      </w:pPr>
    </w:p>
    <w:p w14:paraId="6EDCF8B1" w14:textId="77777777" w:rsidR="00BC2BE4" w:rsidRPr="007114AF" w:rsidRDefault="00BC2BE4" w:rsidP="00936091">
      <w:pPr>
        <w:spacing w:after="0" w:line="240" w:lineRule="auto"/>
        <w:ind w:firstLine="284"/>
        <w:rPr>
          <w:rFonts w:ascii="Garamond" w:hAnsi="Garamond"/>
          <w:sz w:val="24"/>
          <w:szCs w:val="24"/>
        </w:rPr>
      </w:pPr>
    </w:p>
    <w:p w14:paraId="6EDCF8B2" w14:textId="77777777" w:rsidR="00BC2BE4" w:rsidRPr="007114AF" w:rsidRDefault="00BC2BE4" w:rsidP="00936091">
      <w:pPr>
        <w:spacing w:after="0" w:line="240" w:lineRule="auto"/>
        <w:ind w:firstLine="284"/>
        <w:rPr>
          <w:rFonts w:ascii="Garamond" w:hAnsi="Garamond"/>
          <w:sz w:val="24"/>
          <w:szCs w:val="24"/>
        </w:rPr>
      </w:pPr>
    </w:p>
    <w:p w14:paraId="6EDCF8B3" w14:textId="77777777" w:rsidR="00BC2BE4" w:rsidRPr="007114AF" w:rsidRDefault="00BC2BE4" w:rsidP="00936091">
      <w:pPr>
        <w:spacing w:after="0" w:line="240" w:lineRule="auto"/>
        <w:ind w:firstLine="284"/>
        <w:rPr>
          <w:rFonts w:ascii="Garamond" w:hAnsi="Garamond"/>
          <w:sz w:val="24"/>
          <w:szCs w:val="24"/>
        </w:rPr>
      </w:pPr>
    </w:p>
    <w:p w14:paraId="6EDCF8B4" w14:textId="77777777" w:rsidR="00F72723" w:rsidRPr="007114AF" w:rsidRDefault="00F72723" w:rsidP="00936091">
      <w:pPr>
        <w:spacing w:after="0" w:line="240" w:lineRule="auto"/>
        <w:ind w:firstLine="284"/>
        <w:rPr>
          <w:rFonts w:ascii="Garamond" w:hAnsi="Garamond"/>
          <w:sz w:val="24"/>
          <w:szCs w:val="24"/>
        </w:rPr>
        <w:sectPr w:rsidR="00F72723" w:rsidRPr="007114AF" w:rsidSect="000327A8">
          <w:pgSz w:w="16840" w:h="11907" w:orient="landscape" w:code="9"/>
          <w:pgMar w:top="1418" w:right="1418" w:bottom="1418" w:left="1418" w:header="1304" w:footer="1134" w:gutter="0"/>
          <w:cols w:space="720"/>
          <w:docGrid w:linePitch="360"/>
        </w:sectPr>
      </w:pPr>
    </w:p>
    <w:p w14:paraId="6EDCF8B5" w14:textId="4D8B52E1" w:rsidR="00A9766F" w:rsidRPr="007114AF" w:rsidRDefault="00A9766F" w:rsidP="00B410B7">
      <w:pPr>
        <w:pStyle w:val="TEKSTI"/>
      </w:pPr>
      <w:r w:rsidRPr="007114AF">
        <w:t>Sipas KTK-ës, kontribuesi kryesor në terma të shkarkimeve GES (CO</w:t>
      </w:r>
      <w:r w:rsidRPr="007114AF">
        <w:rPr>
          <w:vertAlign w:val="subscript"/>
        </w:rPr>
        <w:t>2</w:t>
      </w:r>
      <w:r w:rsidRPr="007114AF">
        <w:t xml:space="preserve"> eq) për vitin 2005 (figura 15) është sektori i Energjisë (47.9%), ndjekur nga </w:t>
      </w:r>
      <w:r w:rsidR="00F11685" w:rsidRPr="007114AF">
        <w:t xml:space="preserve">bujqësia </w:t>
      </w:r>
      <w:r w:rsidRPr="007114AF">
        <w:t xml:space="preserve">(14.26%), </w:t>
      </w:r>
      <w:r w:rsidR="00F11685" w:rsidRPr="007114AF">
        <w:t xml:space="preserve">industria </w:t>
      </w:r>
      <w:r w:rsidRPr="007114AF">
        <w:t xml:space="preserve">(11.37%), </w:t>
      </w:r>
      <w:r w:rsidR="00F11685" w:rsidRPr="007114AF">
        <w:t xml:space="preserve">ndryshimi i përdorimit të tokës dhe pyjet </w:t>
      </w:r>
      <w:r w:rsidRPr="007114AF">
        <w:t>(20.64%), si</w:t>
      </w:r>
      <w:r w:rsidR="00F11685" w:rsidRPr="007114AF">
        <w:t xml:space="preserve"> </w:t>
      </w:r>
      <w:r w:rsidRPr="007114AF">
        <w:t xml:space="preserve">dhe </w:t>
      </w:r>
      <w:r w:rsidR="00F11685" w:rsidRPr="007114AF">
        <w:t xml:space="preserve">mbetjet </w:t>
      </w:r>
      <w:r w:rsidRPr="007114AF">
        <w:t xml:space="preserve">(6.64%). </w:t>
      </w:r>
    </w:p>
    <w:p w14:paraId="6EDCF8B6" w14:textId="77777777" w:rsidR="00A9766F" w:rsidRPr="007114AF" w:rsidRDefault="00A9766F" w:rsidP="00A9766F">
      <w:pPr>
        <w:rPr>
          <w:rFonts w:ascii="Garamond" w:hAnsi="Garamond"/>
        </w:rPr>
      </w:pPr>
    </w:p>
    <w:p w14:paraId="6EDCF8B7" w14:textId="55BDB0FF" w:rsidR="00A9766F" w:rsidRPr="007114AF" w:rsidRDefault="00A9766F" w:rsidP="00F72723">
      <w:pPr>
        <w:pStyle w:val="TEKSTI"/>
      </w:pPr>
      <w:r w:rsidRPr="007114AF">
        <w:rPr>
          <w:noProof/>
          <w:lang w:val="en-US" w:eastAsia="en-US"/>
        </w:rPr>
        <w:drawing>
          <wp:anchor distT="0" distB="0" distL="114300" distR="114300" simplePos="0" relativeHeight="251658241" behindDoc="0" locked="0" layoutInCell="1" allowOverlap="1" wp14:anchorId="6EDD17A0" wp14:editId="6EDD17A1">
            <wp:simplePos x="0" y="0"/>
            <wp:positionH relativeFrom="column">
              <wp:posOffset>2628900</wp:posOffset>
            </wp:positionH>
            <wp:positionV relativeFrom="paragraph">
              <wp:posOffset>-3175</wp:posOffset>
            </wp:positionV>
            <wp:extent cx="2457450" cy="2714625"/>
            <wp:effectExtent l="0" t="0" r="0" b="9525"/>
            <wp:wrapSquare wrapText="bothSides"/>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57450" cy="2714625"/>
                    </a:xfrm>
                    <a:prstGeom prst="rect">
                      <a:avLst/>
                    </a:prstGeom>
                    <a:noFill/>
                    <a:ln>
                      <a:noFill/>
                    </a:ln>
                  </pic:spPr>
                </pic:pic>
              </a:graphicData>
            </a:graphic>
          </wp:anchor>
        </w:drawing>
      </w:r>
      <w:r w:rsidRPr="007114AF">
        <w:rPr>
          <w:noProof/>
          <w:lang w:val="en-US" w:eastAsia="en-US"/>
        </w:rPr>
        <mc:AlternateContent>
          <mc:Choice Requires="wps">
            <w:drawing>
              <wp:anchor distT="0" distB="0" distL="114300" distR="114300" simplePos="0" relativeHeight="251658244" behindDoc="0" locked="0" layoutInCell="1" allowOverlap="1" wp14:anchorId="6EDD17A2" wp14:editId="6EDD17A3">
                <wp:simplePos x="0" y="0"/>
                <wp:positionH relativeFrom="column">
                  <wp:posOffset>0</wp:posOffset>
                </wp:positionH>
                <wp:positionV relativeFrom="paragraph">
                  <wp:posOffset>2772410</wp:posOffset>
                </wp:positionV>
                <wp:extent cx="2489200" cy="462280"/>
                <wp:effectExtent l="0" t="0" r="0" b="0"/>
                <wp:wrapSquare wrapText="bothSides"/>
                <wp:docPr id="252" name="Casella di tes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0" cy="462280"/>
                        </a:xfrm>
                        <a:prstGeom prst="rect">
                          <a:avLst/>
                        </a:prstGeom>
                        <a:solidFill>
                          <a:prstClr val="white"/>
                        </a:solidFill>
                        <a:ln>
                          <a:noFill/>
                        </a:ln>
                        <a:effectLst/>
                      </wps:spPr>
                      <wps:txbx>
                        <w:txbxContent>
                          <w:p w14:paraId="6EDD185D" w14:textId="11F4DFFE" w:rsidR="00527EF5" w:rsidRPr="00F72723" w:rsidRDefault="00527EF5" w:rsidP="00F72723">
                            <w:pPr>
                              <w:pStyle w:val="FIGURA"/>
                              <w:rPr>
                                <w:noProof/>
                                <w:sz w:val="20"/>
                                <w:szCs w:val="20"/>
                              </w:rPr>
                            </w:pPr>
                            <w:r w:rsidRPr="00F72723">
                              <w:rPr>
                                <w:sz w:val="20"/>
                                <w:szCs w:val="20"/>
                              </w:rPr>
                              <w:t xml:space="preserve">Figura </w:t>
                            </w:r>
                            <w:r w:rsidRPr="00F72723">
                              <w:rPr>
                                <w:sz w:val="20"/>
                                <w:szCs w:val="20"/>
                              </w:rPr>
                              <w:fldChar w:fldCharType="begin"/>
                            </w:r>
                            <w:r w:rsidRPr="00F72723">
                              <w:rPr>
                                <w:sz w:val="20"/>
                                <w:szCs w:val="20"/>
                              </w:rPr>
                              <w:instrText xml:space="preserve"> SEQ Figure \* ARABIC </w:instrText>
                            </w:r>
                            <w:r w:rsidRPr="00F72723">
                              <w:rPr>
                                <w:sz w:val="20"/>
                                <w:szCs w:val="20"/>
                              </w:rPr>
                              <w:fldChar w:fldCharType="separate"/>
                            </w:r>
                            <w:r w:rsidRPr="00F72723">
                              <w:rPr>
                                <w:noProof/>
                                <w:sz w:val="20"/>
                                <w:szCs w:val="20"/>
                              </w:rPr>
                              <w:t>17</w:t>
                            </w:r>
                            <w:r w:rsidRPr="00F72723">
                              <w:rPr>
                                <w:sz w:val="20"/>
                                <w:szCs w:val="20"/>
                              </w:rPr>
                              <w:fldChar w:fldCharType="end"/>
                            </w:r>
                            <w:r>
                              <w:rPr>
                                <w:sz w:val="20"/>
                                <w:szCs w:val="20"/>
                              </w:rPr>
                              <w:t xml:space="preserve"> </w:t>
                            </w:r>
                            <w:r w:rsidRPr="00F72723">
                              <w:rPr>
                                <w:sz w:val="20"/>
                                <w:szCs w:val="20"/>
                              </w:rPr>
                              <w:t>–</w:t>
                            </w:r>
                            <w:r>
                              <w:rPr>
                                <w:sz w:val="20"/>
                                <w:szCs w:val="20"/>
                              </w:rPr>
                              <w:t xml:space="preserve"> </w:t>
                            </w:r>
                            <w:r w:rsidRPr="00F72723">
                              <w:rPr>
                                <w:sz w:val="20"/>
                                <w:szCs w:val="20"/>
                              </w:rPr>
                              <w:t>Shkarkimet CO</w:t>
                            </w:r>
                            <w:r w:rsidRPr="00F72723">
                              <w:rPr>
                                <w:sz w:val="20"/>
                                <w:szCs w:val="20"/>
                                <w:vertAlign w:val="subscript"/>
                              </w:rPr>
                              <w:t>2 eq.</w:t>
                            </w:r>
                            <w:r>
                              <w:rPr>
                                <w:sz w:val="20"/>
                                <w:szCs w:val="20"/>
                                <w:vertAlign w:val="subscript"/>
                              </w:rPr>
                              <w:t xml:space="preserve"> </w:t>
                            </w:r>
                            <w:r w:rsidRPr="00F72723">
                              <w:rPr>
                                <w:sz w:val="20"/>
                                <w:szCs w:val="20"/>
                              </w:rPr>
                              <w:t>nga gjithë sektorët ekonomikë për vitin 2005 (%) (Burimi KTK)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EDD17A2" id="_x0000_t202" coordsize="21600,21600" o:spt="202" path="m,l,21600r21600,l21600,xe">
                <v:stroke joinstyle="miter"/>
                <v:path gradientshapeok="t" o:connecttype="rect"/>
              </v:shapetype>
              <v:shape id="Casella di testo 27" o:spid="_x0000_s1026" type="#_x0000_t202" style="position:absolute;left:0;text-align:left;margin-left:0;margin-top:218.3pt;width:196pt;height:36.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" stroked="f">
                <v:path arrowok="t"/>
                <v:textbox style="mso-fit-shape-to-text:t" inset="0,0,0,0">
                  <w:txbxContent>
                    <w:p w14:paraId="6EDD185D" w14:textId="11F4DFFE" w:rsidR="00527EF5" w:rsidRPr="00F72723" w:rsidRDefault="00527EF5" w:rsidP="00F72723">
                      <w:pPr>
                        <w:pStyle w:val="FIGURA"/>
                        <w:rPr>
                          <w:noProof/>
                          <w:sz w:val="20"/>
                          <w:szCs w:val="20"/>
                        </w:rPr>
                      </w:pPr>
                      <w:r w:rsidRPr="00F72723">
                        <w:rPr>
                          <w:sz w:val="20"/>
                          <w:szCs w:val="20"/>
                        </w:rPr>
                        <w:t xml:space="preserve">Figura </w:t>
                      </w:r>
                      <w:r w:rsidRPr="00F72723">
                        <w:rPr>
                          <w:sz w:val="20"/>
                          <w:szCs w:val="20"/>
                        </w:rPr>
                        <w:fldChar w:fldCharType="begin"/>
                      </w:r>
                      <w:r w:rsidRPr="00F72723">
                        <w:rPr>
                          <w:sz w:val="20"/>
                          <w:szCs w:val="20"/>
                        </w:rPr>
                        <w:instrText xml:space="preserve"> SEQ Figure \* ARABIC </w:instrText>
                      </w:r>
                      <w:r w:rsidRPr="00F72723">
                        <w:rPr>
                          <w:sz w:val="20"/>
                          <w:szCs w:val="20"/>
                        </w:rPr>
                        <w:fldChar w:fldCharType="separate"/>
                      </w:r>
                      <w:r w:rsidRPr="00F72723">
                        <w:rPr>
                          <w:noProof/>
                          <w:sz w:val="20"/>
                          <w:szCs w:val="20"/>
                        </w:rPr>
                        <w:t>17</w:t>
                      </w:r>
                      <w:r w:rsidRPr="00F72723">
                        <w:rPr>
                          <w:sz w:val="20"/>
                          <w:szCs w:val="20"/>
                        </w:rPr>
                        <w:fldChar w:fldCharType="end"/>
                      </w:r>
                      <w:r>
                        <w:rPr>
                          <w:sz w:val="20"/>
                          <w:szCs w:val="20"/>
                        </w:rPr>
                        <w:t xml:space="preserve"> </w:t>
                      </w:r>
                      <w:r w:rsidRPr="00F72723">
                        <w:rPr>
                          <w:sz w:val="20"/>
                          <w:szCs w:val="20"/>
                        </w:rPr>
                        <w:t>–</w:t>
                      </w:r>
                      <w:r>
                        <w:rPr>
                          <w:sz w:val="20"/>
                          <w:szCs w:val="20"/>
                        </w:rPr>
                        <w:t xml:space="preserve"> </w:t>
                      </w:r>
                      <w:r w:rsidRPr="00F72723">
                        <w:rPr>
                          <w:sz w:val="20"/>
                          <w:szCs w:val="20"/>
                        </w:rPr>
                        <w:t>Shkarkimet CO</w:t>
                      </w:r>
                      <w:r w:rsidRPr="00F72723">
                        <w:rPr>
                          <w:sz w:val="20"/>
                          <w:szCs w:val="20"/>
                          <w:vertAlign w:val="subscript"/>
                        </w:rPr>
                        <w:t>2 eq.</w:t>
                      </w:r>
                      <w:r>
                        <w:rPr>
                          <w:sz w:val="20"/>
                          <w:szCs w:val="20"/>
                          <w:vertAlign w:val="subscript"/>
                        </w:rPr>
                        <w:t xml:space="preserve"> </w:t>
                      </w:r>
                      <w:r w:rsidRPr="00F72723">
                        <w:rPr>
                          <w:sz w:val="20"/>
                          <w:szCs w:val="20"/>
                        </w:rPr>
                        <w:t>nga gjithë sektorët ekonomikë për vitin 2005 (%) (Burimi KTK)</w:t>
                      </w:r>
                    </w:p>
                  </w:txbxContent>
                </v:textbox>
                <w10:wrap type="square"/>
              </v:shape>
            </w:pict>
          </mc:Fallback>
        </mc:AlternateContent>
      </w:r>
      <w:r w:rsidRPr="007114AF">
        <w:rPr>
          <w:noProof/>
          <w:lang w:val="en-US" w:eastAsia="en-US"/>
        </w:rPr>
        <w:drawing>
          <wp:anchor distT="0" distB="0" distL="114300" distR="114300" simplePos="0" relativeHeight="251658240" behindDoc="0" locked="0" layoutInCell="1" allowOverlap="1" wp14:anchorId="6EDD17A4" wp14:editId="6EDD17A5">
            <wp:simplePos x="0" y="0"/>
            <wp:positionH relativeFrom="column">
              <wp:align>left</wp:align>
            </wp:positionH>
            <wp:positionV relativeFrom="paragraph">
              <wp:align>top</wp:align>
            </wp:positionV>
            <wp:extent cx="2515235" cy="2717800"/>
            <wp:effectExtent l="0" t="0" r="0" b="6350"/>
            <wp:wrapSquare wrapText="bothSides"/>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15411" cy="2717800"/>
                    </a:xfrm>
                    <a:prstGeom prst="rect">
                      <a:avLst/>
                    </a:prstGeom>
                    <a:noFill/>
                    <a:ln>
                      <a:noFill/>
                    </a:ln>
                  </pic:spPr>
                </pic:pic>
              </a:graphicData>
            </a:graphic>
          </wp:anchor>
        </w:drawing>
      </w:r>
      <w:r w:rsidRPr="007114AF">
        <w:rPr>
          <w:noProof/>
          <w:lang w:val="en-US" w:eastAsia="en-US"/>
        </w:rPr>
        <mc:AlternateContent>
          <mc:Choice Requires="wps">
            <w:drawing>
              <wp:anchor distT="0" distB="0" distL="114300" distR="114300" simplePos="0" relativeHeight="251658246" behindDoc="0" locked="0" layoutInCell="1" allowOverlap="1" wp14:anchorId="6EDD17A6" wp14:editId="6EDD17A7">
                <wp:simplePos x="0" y="0"/>
                <wp:positionH relativeFrom="column">
                  <wp:posOffset>2628900</wp:posOffset>
                </wp:positionH>
                <wp:positionV relativeFrom="paragraph">
                  <wp:posOffset>2772410</wp:posOffset>
                </wp:positionV>
                <wp:extent cx="2762250" cy="617220"/>
                <wp:effectExtent l="0" t="0" r="0" b="0"/>
                <wp:wrapSquare wrapText="bothSides"/>
                <wp:docPr id="251" name="Casella di tes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617220"/>
                        </a:xfrm>
                        <a:prstGeom prst="rect">
                          <a:avLst/>
                        </a:prstGeom>
                        <a:solidFill>
                          <a:prstClr val="white"/>
                        </a:solidFill>
                        <a:ln>
                          <a:noFill/>
                        </a:ln>
                        <a:effectLst/>
                      </wps:spPr>
                      <wps:txbx>
                        <w:txbxContent>
                          <w:p w14:paraId="6EDD185E" w14:textId="2D87E8D7" w:rsidR="00527EF5" w:rsidRPr="00F72723" w:rsidRDefault="00527EF5" w:rsidP="00F72723">
                            <w:pPr>
                              <w:pStyle w:val="FIGURA"/>
                              <w:rPr>
                                <w:noProof/>
                                <w:sz w:val="20"/>
                                <w:szCs w:val="20"/>
                              </w:rPr>
                            </w:pPr>
                            <w:r w:rsidRPr="00F72723">
                              <w:rPr>
                                <w:sz w:val="20"/>
                                <w:szCs w:val="20"/>
                              </w:rPr>
                              <w:t xml:space="preserve">Figura </w:t>
                            </w:r>
                            <w:r w:rsidRPr="00F72723">
                              <w:rPr>
                                <w:sz w:val="20"/>
                                <w:szCs w:val="20"/>
                              </w:rPr>
                              <w:fldChar w:fldCharType="begin"/>
                            </w:r>
                            <w:r w:rsidRPr="00F72723">
                              <w:rPr>
                                <w:sz w:val="20"/>
                                <w:szCs w:val="20"/>
                              </w:rPr>
                              <w:instrText xml:space="preserve"> SEQ Figure \* ARABIC </w:instrText>
                            </w:r>
                            <w:r w:rsidRPr="00F72723">
                              <w:rPr>
                                <w:sz w:val="20"/>
                                <w:szCs w:val="20"/>
                              </w:rPr>
                              <w:fldChar w:fldCharType="separate"/>
                            </w:r>
                            <w:r w:rsidRPr="00F72723">
                              <w:rPr>
                                <w:noProof/>
                                <w:sz w:val="20"/>
                                <w:szCs w:val="20"/>
                              </w:rPr>
                              <w:t>18</w:t>
                            </w:r>
                            <w:r w:rsidRPr="00F72723">
                              <w:rPr>
                                <w:sz w:val="20"/>
                                <w:szCs w:val="20"/>
                              </w:rPr>
                              <w:fldChar w:fldCharType="end"/>
                            </w:r>
                            <w:r>
                              <w:rPr>
                                <w:sz w:val="20"/>
                                <w:szCs w:val="20"/>
                              </w:rPr>
                              <w:t xml:space="preserve"> </w:t>
                            </w:r>
                            <w:r w:rsidRPr="00F72723">
                              <w:rPr>
                                <w:sz w:val="20"/>
                                <w:szCs w:val="20"/>
                              </w:rPr>
                              <w:t>–</w:t>
                            </w:r>
                            <w:r>
                              <w:rPr>
                                <w:sz w:val="20"/>
                                <w:szCs w:val="20"/>
                              </w:rPr>
                              <w:t xml:space="preserve"> </w:t>
                            </w:r>
                            <w:r w:rsidRPr="00F72723">
                              <w:rPr>
                                <w:sz w:val="20"/>
                                <w:szCs w:val="20"/>
                              </w:rPr>
                              <w:t>Shkarkimet nga gjithë sektorët ekonomikë për vitet 2000 (rrethi i brendshëm), 2005 dhe 2009 (rrethi i jashtëm) (GtCO</w:t>
                            </w:r>
                            <w:r w:rsidRPr="00F72723">
                              <w:rPr>
                                <w:sz w:val="20"/>
                                <w:szCs w:val="20"/>
                                <w:vertAlign w:val="subscript"/>
                              </w:rPr>
                              <w:t>2</w:t>
                            </w:r>
                            <w:r>
                              <w:rPr>
                                <w:sz w:val="20"/>
                                <w:szCs w:val="20"/>
                                <w:vertAlign w:val="subscript"/>
                              </w:rPr>
                              <w:t xml:space="preserve"> </w:t>
                            </w:r>
                            <w:r w:rsidRPr="00F72723">
                              <w:rPr>
                                <w:sz w:val="20"/>
                                <w:szCs w:val="20"/>
                              </w:rPr>
                              <w:t>eq) (Burimi TNC)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EDD17A6" id="Casella di testo 29" o:spid="_x0000_s1027" type="#_x0000_t202" style="position:absolute;left:0;text-align:left;margin-left:207pt;margin-top:218.3pt;width:217.5pt;height:48.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" stroked="f">
                <v:path arrowok="t"/>
                <v:textbox style="mso-fit-shape-to-text:t" inset="0,0,0,0">
                  <w:txbxContent>
                    <w:p w14:paraId="6EDD185E" w14:textId="2D87E8D7" w:rsidR="00527EF5" w:rsidRPr="00F72723" w:rsidRDefault="00527EF5" w:rsidP="00F72723">
                      <w:pPr>
                        <w:pStyle w:val="FIGURA"/>
                        <w:rPr>
                          <w:noProof/>
                          <w:sz w:val="20"/>
                          <w:szCs w:val="20"/>
                        </w:rPr>
                      </w:pPr>
                      <w:r w:rsidRPr="00F72723">
                        <w:rPr>
                          <w:sz w:val="20"/>
                          <w:szCs w:val="20"/>
                        </w:rPr>
                        <w:t xml:space="preserve">Figura </w:t>
                      </w:r>
                      <w:r w:rsidRPr="00F72723">
                        <w:rPr>
                          <w:sz w:val="20"/>
                          <w:szCs w:val="20"/>
                        </w:rPr>
                        <w:fldChar w:fldCharType="begin"/>
                      </w:r>
                      <w:r w:rsidRPr="00F72723">
                        <w:rPr>
                          <w:sz w:val="20"/>
                          <w:szCs w:val="20"/>
                        </w:rPr>
                        <w:instrText xml:space="preserve"> SEQ Figure \* ARABIC </w:instrText>
                      </w:r>
                      <w:r w:rsidRPr="00F72723">
                        <w:rPr>
                          <w:sz w:val="20"/>
                          <w:szCs w:val="20"/>
                        </w:rPr>
                        <w:fldChar w:fldCharType="separate"/>
                      </w:r>
                      <w:r w:rsidRPr="00F72723">
                        <w:rPr>
                          <w:noProof/>
                          <w:sz w:val="20"/>
                          <w:szCs w:val="20"/>
                        </w:rPr>
                        <w:t>18</w:t>
                      </w:r>
                      <w:r w:rsidRPr="00F72723">
                        <w:rPr>
                          <w:sz w:val="20"/>
                          <w:szCs w:val="20"/>
                        </w:rPr>
                        <w:fldChar w:fldCharType="end"/>
                      </w:r>
                      <w:r>
                        <w:rPr>
                          <w:sz w:val="20"/>
                          <w:szCs w:val="20"/>
                        </w:rPr>
                        <w:t xml:space="preserve"> </w:t>
                      </w:r>
                      <w:r w:rsidRPr="00F72723">
                        <w:rPr>
                          <w:sz w:val="20"/>
                          <w:szCs w:val="20"/>
                        </w:rPr>
                        <w:t>–</w:t>
                      </w:r>
                      <w:r>
                        <w:rPr>
                          <w:sz w:val="20"/>
                          <w:szCs w:val="20"/>
                        </w:rPr>
                        <w:t xml:space="preserve"> </w:t>
                      </w:r>
                      <w:r w:rsidRPr="00F72723">
                        <w:rPr>
                          <w:sz w:val="20"/>
                          <w:szCs w:val="20"/>
                        </w:rPr>
                        <w:t>Shkarkimet nga gjithë sektorët ekonomikë për vitet 2000 (rrethi i brendshëm), 2005 dhe 2009 (rrethi i jashtëm) (GtCO</w:t>
                      </w:r>
                      <w:r w:rsidRPr="00F72723">
                        <w:rPr>
                          <w:sz w:val="20"/>
                          <w:szCs w:val="20"/>
                          <w:vertAlign w:val="subscript"/>
                        </w:rPr>
                        <w:t>2</w:t>
                      </w:r>
                      <w:r>
                        <w:rPr>
                          <w:sz w:val="20"/>
                          <w:szCs w:val="20"/>
                          <w:vertAlign w:val="subscript"/>
                        </w:rPr>
                        <w:t xml:space="preserve"> </w:t>
                      </w:r>
                      <w:r w:rsidRPr="00F72723">
                        <w:rPr>
                          <w:sz w:val="20"/>
                          <w:szCs w:val="20"/>
                        </w:rPr>
                        <w:t>eq) (Burimi TNC)</w:t>
                      </w:r>
                    </w:p>
                  </w:txbxContent>
                </v:textbox>
                <w10:wrap type="square"/>
              </v:shape>
            </w:pict>
          </mc:Fallback>
        </mc:AlternateContent>
      </w:r>
      <w:r w:rsidRPr="007114AF">
        <w:br w:type="textWrapping" w:clear="all"/>
        <w:t>Gjatë periudhës 2000-2009, shkarkimet CO</w:t>
      </w:r>
      <w:r w:rsidRPr="007114AF">
        <w:rPr>
          <w:vertAlign w:val="subscript"/>
        </w:rPr>
        <w:t>2</w:t>
      </w:r>
      <w:r w:rsidRPr="007114AF">
        <w:t>eq ndryshuan nga 9075 GtCO</w:t>
      </w:r>
      <w:r w:rsidRPr="007114AF">
        <w:rPr>
          <w:vertAlign w:val="subscript"/>
        </w:rPr>
        <w:t>2</w:t>
      </w:r>
      <w:r w:rsidRPr="007114AF">
        <w:t>eq në shkarkimet e vitit 2000,</w:t>
      </w:r>
      <w:r w:rsidR="000A2A01" w:rsidRPr="007114AF">
        <w:t xml:space="preserve"> </w:t>
      </w:r>
      <w:r w:rsidRPr="007114AF">
        <w:t>në 8988 GtCO</w:t>
      </w:r>
      <w:r w:rsidRPr="007114AF">
        <w:rPr>
          <w:vertAlign w:val="subscript"/>
        </w:rPr>
        <w:t>2</w:t>
      </w:r>
      <w:r w:rsidRPr="007114AF">
        <w:t>eq në 2009, me luhatje të vogla gjatë periudhës së inventarit. Pjesa e shkarkimeve ka ndryshuar në kohë: shkarkimet janë rritur në sektorin e energjisë (kryesisht për shkak të transportit), sektorin industrial dhe mbetjet me +24% dhe +227% dhe +40% përkatësisht në vitin 2009 krahasuar me 2000. Procesi industrial është rritur shumë, për shkak të zgjerimit të prodhimit të çimentos. Nga ana tjetër, shkarkimet CO</w:t>
      </w:r>
      <w:r w:rsidRPr="007114AF">
        <w:rPr>
          <w:vertAlign w:val="subscript"/>
        </w:rPr>
        <w:t>2</w:t>
      </w:r>
      <w:r w:rsidRPr="007114AF">
        <w:t>eq nga bujqësia dhe LUCF-ja kanë rënë gjatë periudhës së inventarit (2000</w:t>
      </w:r>
      <w:r w:rsidR="003C603D">
        <w:t>–</w:t>
      </w:r>
      <w:r w:rsidRPr="007114AF">
        <w:t>2009) me -27% dhe -91% përkatësisht, por mbeten ende burim shkarkimesh.</w:t>
      </w:r>
    </w:p>
    <w:p w14:paraId="6EDCF8B8" w14:textId="7E780E0C" w:rsidR="00A9766F" w:rsidRPr="007114AF" w:rsidRDefault="00A9766F" w:rsidP="00B410B7">
      <w:pPr>
        <w:pStyle w:val="TEKSTI"/>
      </w:pPr>
      <w:r w:rsidRPr="007114AF">
        <w:rPr>
          <w:b/>
        </w:rPr>
        <w:t>Sektori i energjisë</w:t>
      </w:r>
      <w:r w:rsidRPr="007114AF">
        <w:t xml:space="preserve"> tregon një përqindje në rritje të shkarkimeve nga vitit 2000 (43.57%) në vitin 2009 (56.92%). Mes nënsektorëve të energjisë, transportikontribuon më shumë, me rreth 45%, pasuar nga sektori i banesave (23%), industria e përpunimit dhe ndërtimet (14 %), bujqësia (7%) dhe shërbimet (4%). (tabela 4). Transporti dhe industritë e energjisë janë rritur me 27% të shkarkimeve të tyre nga vitit 2000 deri në vitin 2009, sektori i shërbimit me 25%, ndërsa bujqësia dhe sektori i banesave</w:t>
      </w:r>
      <w:r w:rsidR="00E04B1B" w:rsidRPr="007114AF">
        <w:t xml:space="preserve"> </w:t>
      </w:r>
      <w:r w:rsidRPr="007114AF">
        <w:t>me 24% (figura 21).</w:t>
      </w:r>
    </w:p>
    <w:p w14:paraId="6EDCF8B9" w14:textId="77777777" w:rsidR="00A9766F" w:rsidRPr="007114AF" w:rsidRDefault="00A9766F" w:rsidP="00A9766F">
      <w:pPr>
        <w:rPr>
          <w:rFonts w:ascii="Garamond" w:hAnsi="Garamond"/>
        </w:rPr>
      </w:pPr>
    </w:p>
    <w:p w14:paraId="6EDCF8BA" w14:textId="77777777" w:rsidR="00A9766F" w:rsidRPr="007114AF" w:rsidRDefault="00A9766F" w:rsidP="00A9766F">
      <w:pPr>
        <w:rPr>
          <w:rFonts w:ascii="Garamond" w:hAnsi="Garamond"/>
          <w:highlight w:val="yellow"/>
        </w:rPr>
      </w:pPr>
      <w:r w:rsidRPr="007114AF">
        <w:rPr>
          <w:rFonts w:ascii="Garamond" w:hAnsi="Garamond"/>
          <w:noProof/>
          <w:highlight w:val="yellow"/>
          <w:lang w:val="en-US" w:eastAsia="en-US"/>
        </w:rPr>
        <w:drawing>
          <wp:inline distT="0" distB="0" distL="0" distR="0" wp14:anchorId="6EDD17A8" wp14:editId="6EDD17A9">
            <wp:extent cx="6066155" cy="2743200"/>
            <wp:effectExtent l="0" t="0" r="10795" b="19050"/>
            <wp:docPr id="14" name="Gra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EDCF8BB" w14:textId="77777777" w:rsidR="00A9766F" w:rsidRPr="007114AF" w:rsidRDefault="00A9766F" w:rsidP="00495DC2">
      <w:pPr>
        <w:pStyle w:val="FIGURA"/>
        <w:rPr>
          <w:sz w:val="20"/>
          <w:szCs w:val="20"/>
        </w:rPr>
      </w:pPr>
      <w:r w:rsidRPr="007114AF">
        <w:rPr>
          <w:sz w:val="20"/>
          <w:szCs w:val="20"/>
        </w:rPr>
        <w:t>Figura</w:t>
      </w:r>
      <w:r w:rsidR="00495DC2"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19</w:t>
      </w:r>
      <w:r w:rsidRPr="007114AF">
        <w:rPr>
          <w:sz w:val="20"/>
          <w:szCs w:val="20"/>
        </w:rPr>
        <w:fldChar w:fldCharType="end"/>
      </w:r>
      <w:r w:rsidRPr="007114AF">
        <w:rPr>
          <w:sz w:val="20"/>
          <w:szCs w:val="20"/>
        </w:rPr>
        <w:t>–Shkarkimet CO</w:t>
      </w:r>
      <w:r w:rsidRPr="007114AF">
        <w:rPr>
          <w:sz w:val="20"/>
          <w:szCs w:val="20"/>
          <w:vertAlign w:val="subscript"/>
        </w:rPr>
        <w:t>2</w:t>
      </w:r>
      <w:r w:rsidRPr="007114AF">
        <w:rPr>
          <w:sz w:val="20"/>
          <w:szCs w:val="20"/>
        </w:rPr>
        <w:t>eq nga sektori i energjisë (burimi KTK)</w:t>
      </w:r>
    </w:p>
    <w:p w14:paraId="6EDCF8BC" w14:textId="77777777" w:rsidR="00A9766F" w:rsidRPr="007114AF" w:rsidRDefault="00A9766F" w:rsidP="0018372B">
      <w:pPr>
        <w:spacing w:after="0" w:line="240" w:lineRule="auto"/>
        <w:ind w:firstLine="284"/>
        <w:rPr>
          <w:rFonts w:ascii="Garamond" w:hAnsi="Garamond"/>
        </w:rPr>
      </w:pPr>
    </w:p>
    <w:p w14:paraId="6EDCF8BD" w14:textId="6C6A8C51" w:rsidR="00A9766F" w:rsidRPr="007114AF" w:rsidRDefault="00A9766F" w:rsidP="00495DC2">
      <w:pPr>
        <w:pStyle w:val="FIGURA"/>
      </w:pPr>
      <w:r w:rsidRPr="007114AF">
        <w:t>Tabela</w:t>
      </w:r>
      <w:r w:rsidR="00495DC2" w:rsidRPr="007114AF">
        <w:t xml:space="preserve"> </w:t>
      </w:r>
      <w:r w:rsidRPr="007114AF">
        <w:fldChar w:fldCharType="begin"/>
      </w:r>
      <w:r w:rsidRPr="007114AF">
        <w:instrText xml:space="preserve"> SEQ Table \* ARABIC </w:instrText>
      </w:r>
      <w:r w:rsidRPr="007114AF">
        <w:fldChar w:fldCharType="separate"/>
      </w:r>
      <w:r w:rsidRPr="007114AF">
        <w:t>5</w:t>
      </w:r>
      <w:r w:rsidRPr="007114AF">
        <w:fldChar w:fldCharType="end"/>
      </w:r>
      <w:r w:rsidRPr="007114AF">
        <w:t xml:space="preserve"> – Shkarkimet nga nënsektorët e </w:t>
      </w:r>
      <w:r w:rsidR="005351B0" w:rsidRPr="007114AF">
        <w:t>e</w:t>
      </w:r>
      <w:r w:rsidRPr="007114AF">
        <w:t>nergjisë në GgCO</w:t>
      </w:r>
      <w:r w:rsidRPr="007114AF">
        <w:rPr>
          <w:vertAlign w:val="subscript"/>
        </w:rPr>
        <w:t>2</w:t>
      </w:r>
      <w:r w:rsidRPr="007114AF">
        <w:t>eq (burimi KTK)</w:t>
      </w:r>
    </w:p>
    <w:tbl>
      <w:tblPr>
        <w:tblStyle w:val="LightShading-Accent11"/>
        <w:tblW w:w="5089" w:type="pct"/>
        <w:jc w:val="center"/>
        <w:tblLayout w:type="fixed"/>
        <w:tblLook w:val="04A0" w:firstRow="1" w:lastRow="0" w:firstColumn="1" w:lastColumn="0" w:noHBand="0" w:noVBand="1"/>
      </w:tblPr>
      <w:tblGrid>
        <w:gridCol w:w="1346"/>
        <w:gridCol w:w="809"/>
        <w:gridCol w:w="811"/>
        <w:gridCol w:w="811"/>
        <w:gridCol w:w="811"/>
        <w:gridCol w:w="811"/>
        <w:gridCol w:w="811"/>
        <w:gridCol w:w="811"/>
        <w:gridCol w:w="811"/>
        <w:gridCol w:w="811"/>
        <w:gridCol w:w="809"/>
      </w:tblGrid>
      <w:tr w:rsidR="00A9766F" w:rsidRPr="007114AF" w14:paraId="6EDCF8C9" w14:textId="77777777" w:rsidTr="00A9766F">
        <w:trPr>
          <w:cnfStyle w:val="100000000000" w:firstRow="1" w:lastRow="0" w:firstColumn="0" w:lastColumn="0" w:oddVBand="0" w:evenVBand="0" w:oddHBand="0"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712" w:type="pct"/>
            <w:hideMark/>
          </w:tcPr>
          <w:p w14:paraId="6EDCF8BE" w14:textId="77777777" w:rsidR="00A9766F" w:rsidRPr="007114AF" w:rsidRDefault="00A9766F" w:rsidP="00A9766F">
            <w:pPr>
              <w:rPr>
                <w:rFonts w:ascii="Garamond" w:hAnsi="Garamond" w:cs="Calibri"/>
                <w:bCs w:val="0"/>
                <w:sz w:val="18"/>
                <w:szCs w:val="18"/>
              </w:rPr>
            </w:pPr>
            <w:r w:rsidRPr="007114AF">
              <w:rPr>
                <w:rFonts w:ascii="Garamond" w:hAnsi="Garamond" w:cs="Calibri"/>
                <w:sz w:val="18"/>
                <w:szCs w:val="18"/>
              </w:rPr>
              <w:t>Nënsektorët</w:t>
            </w:r>
          </w:p>
        </w:tc>
        <w:tc>
          <w:tcPr>
            <w:tcW w:w="428" w:type="pct"/>
            <w:vAlign w:val="center"/>
            <w:hideMark/>
          </w:tcPr>
          <w:p w14:paraId="6EDCF8BF"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cs="Calibri"/>
                <w:bCs w:val="0"/>
                <w:sz w:val="18"/>
                <w:szCs w:val="18"/>
              </w:rPr>
            </w:pPr>
            <w:r w:rsidRPr="007114AF">
              <w:rPr>
                <w:rFonts w:ascii="Garamond" w:hAnsi="Garamond" w:cs="Calibri"/>
                <w:sz w:val="18"/>
                <w:szCs w:val="18"/>
              </w:rPr>
              <w:t>2000</w:t>
            </w:r>
          </w:p>
        </w:tc>
        <w:tc>
          <w:tcPr>
            <w:tcW w:w="429" w:type="pct"/>
            <w:vAlign w:val="center"/>
            <w:hideMark/>
          </w:tcPr>
          <w:p w14:paraId="6EDCF8C0"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cs="Calibri"/>
                <w:bCs w:val="0"/>
                <w:sz w:val="18"/>
                <w:szCs w:val="18"/>
              </w:rPr>
            </w:pPr>
            <w:r w:rsidRPr="007114AF">
              <w:rPr>
                <w:rFonts w:ascii="Garamond" w:hAnsi="Garamond" w:cs="Calibri"/>
                <w:sz w:val="18"/>
                <w:szCs w:val="18"/>
              </w:rPr>
              <w:t>2001</w:t>
            </w:r>
          </w:p>
        </w:tc>
        <w:tc>
          <w:tcPr>
            <w:tcW w:w="429" w:type="pct"/>
            <w:vAlign w:val="center"/>
            <w:hideMark/>
          </w:tcPr>
          <w:p w14:paraId="6EDCF8C1"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cs="Calibri"/>
                <w:bCs w:val="0"/>
                <w:sz w:val="18"/>
                <w:szCs w:val="18"/>
              </w:rPr>
            </w:pPr>
            <w:r w:rsidRPr="007114AF">
              <w:rPr>
                <w:rFonts w:ascii="Garamond" w:hAnsi="Garamond" w:cs="Calibri"/>
                <w:sz w:val="18"/>
                <w:szCs w:val="18"/>
              </w:rPr>
              <w:t>2002</w:t>
            </w:r>
          </w:p>
        </w:tc>
        <w:tc>
          <w:tcPr>
            <w:tcW w:w="429" w:type="pct"/>
            <w:vAlign w:val="center"/>
            <w:hideMark/>
          </w:tcPr>
          <w:p w14:paraId="6EDCF8C2"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cs="Calibri"/>
                <w:bCs w:val="0"/>
                <w:sz w:val="18"/>
                <w:szCs w:val="18"/>
              </w:rPr>
            </w:pPr>
            <w:r w:rsidRPr="007114AF">
              <w:rPr>
                <w:rFonts w:ascii="Garamond" w:hAnsi="Garamond" w:cs="Calibri"/>
                <w:sz w:val="18"/>
                <w:szCs w:val="18"/>
              </w:rPr>
              <w:t>2003</w:t>
            </w:r>
          </w:p>
        </w:tc>
        <w:tc>
          <w:tcPr>
            <w:tcW w:w="429" w:type="pct"/>
            <w:vAlign w:val="center"/>
            <w:hideMark/>
          </w:tcPr>
          <w:p w14:paraId="6EDCF8C3"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cs="Calibri"/>
                <w:bCs w:val="0"/>
                <w:sz w:val="18"/>
                <w:szCs w:val="18"/>
              </w:rPr>
            </w:pPr>
            <w:r w:rsidRPr="007114AF">
              <w:rPr>
                <w:rFonts w:ascii="Garamond" w:hAnsi="Garamond" w:cs="Calibri"/>
                <w:sz w:val="18"/>
                <w:szCs w:val="18"/>
              </w:rPr>
              <w:t>2004</w:t>
            </w:r>
          </w:p>
        </w:tc>
        <w:tc>
          <w:tcPr>
            <w:tcW w:w="429" w:type="pct"/>
            <w:vAlign w:val="center"/>
            <w:hideMark/>
          </w:tcPr>
          <w:p w14:paraId="6EDCF8C4"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cs="Calibri"/>
                <w:bCs w:val="0"/>
                <w:sz w:val="18"/>
                <w:szCs w:val="18"/>
              </w:rPr>
            </w:pPr>
            <w:r w:rsidRPr="007114AF">
              <w:rPr>
                <w:rFonts w:ascii="Garamond" w:hAnsi="Garamond" w:cs="Calibri"/>
                <w:sz w:val="18"/>
                <w:szCs w:val="18"/>
              </w:rPr>
              <w:t>2005</w:t>
            </w:r>
          </w:p>
        </w:tc>
        <w:tc>
          <w:tcPr>
            <w:tcW w:w="429" w:type="pct"/>
            <w:vAlign w:val="center"/>
            <w:hideMark/>
          </w:tcPr>
          <w:p w14:paraId="6EDCF8C5"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cs="Calibri"/>
                <w:bCs w:val="0"/>
                <w:sz w:val="18"/>
                <w:szCs w:val="18"/>
              </w:rPr>
            </w:pPr>
            <w:r w:rsidRPr="007114AF">
              <w:rPr>
                <w:rFonts w:ascii="Garamond" w:hAnsi="Garamond" w:cs="Calibri"/>
                <w:sz w:val="18"/>
                <w:szCs w:val="18"/>
              </w:rPr>
              <w:t>2006</w:t>
            </w:r>
          </w:p>
        </w:tc>
        <w:tc>
          <w:tcPr>
            <w:tcW w:w="429" w:type="pct"/>
            <w:vAlign w:val="center"/>
            <w:hideMark/>
          </w:tcPr>
          <w:p w14:paraId="6EDCF8C6"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cs="Calibri"/>
                <w:bCs w:val="0"/>
                <w:sz w:val="18"/>
                <w:szCs w:val="18"/>
              </w:rPr>
            </w:pPr>
            <w:r w:rsidRPr="007114AF">
              <w:rPr>
                <w:rFonts w:ascii="Garamond" w:hAnsi="Garamond" w:cs="Calibri"/>
                <w:sz w:val="18"/>
                <w:szCs w:val="18"/>
              </w:rPr>
              <w:t>2007</w:t>
            </w:r>
          </w:p>
        </w:tc>
        <w:tc>
          <w:tcPr>
            <w:tcW w:w="429" w:type="pct"/>
            <w:vAlign w:val="center"/>
            <w:hideMark/>
          </w:tcPr>
          <w:p w14:paraId="6EDCF8C7"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cs="Calibri"/>
                <w:bCs w:val="0"/>
                <w:sz w:val="18"/>
                <w:szCs w:val="18"/>
              </w:rPr>
            </w:pPr>
            <w:r w:rsidRPr="007114AF">
              <w:rPr>
                <w:rFonts w:ascii="Garamond" w:hAnsi="Garamond" w:cs="Calibri"/>
                <w:sz w:val="18"/>
                <w:szCs w:val="18"/>
              </w:rPr>
              <w:t>2008</w:t>
            </w:r>
          </w:p>
        </w:tc>
        <w:tc>
          <w:tcPr>
            <w:tcW w:w="429" w:type="pct"/>
            <w:vAlign w:val="center"/>
            <w:hideMark/>
          </w:tcPr>
          <w:p w14:paraId="6EDCF8C8"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cs="Calibri"/>
                <w:bCs w:val="0"/>
                <w:sz w:val="18"/>
                <w:szCs w:val="18"/>
              </w:rPr>
            </w:pPr>
            <w:r w:rsidRPr="007114AF">
              <w:rPr>
                <w:rFonts w:ascii="Garamond" w:hAnsi="Garamond" w:cs="Calibri"/>
                <w:sz w:val="18"/>
                <w:szCs w:val="18"/>
              </w:rPr>
              <w:t>2009</w:t>
            </w:r>
          </w:p>
        </w:tc>
      </w:tr>
      <w:tr w:rsidR="00A9766F" w:rsidRPr="007114AF" w14:paraId="6EDCF8D5" w14:textId="77777777" w:rsidTr="00A9766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2" w:type="pct"/>
            <w:vAlign w:val="center"/>
            <w:hideMark/>
          </w:tcPr>
          <w:p w14:paraId="6EDCF8CA"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 Sektorët e Energjisë dhe Transportit </w:t>
            </w:r>
          </w:p>
        </w:tc>
        <w:tc>
          <w:tcPr>
            <w:tcW w:w="428" w:type="pct"/>
            <w:vAlign w:val="center"/>
            <w:hideMark/>
          </w:tcPr>
          <w:p w14:paraId="6EDCF8CB"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4116.93</w:t>
            </w:r>
          </w:p>
        </w:tc>
        <w:tc>
          <w:tcPr>
            <w:tcW w:w="429" w:type="pct"/>
            <w:vAlign w:val="center"/>
            <w:hideMark/>
          </w:tcPr>
          <w:p w14:paraId="6EDCF8CC"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4151.67</w:t>
            </w:r>
          </w:p>
        </w:tc>
        <w:tc>
          <w:tcPr>
            <w:tcW w:w="429" w:type="pct"/>
            <w:vAlign w:val="center"/>
            <w:hideMark/>
          </w:tcPr>
          <w:p w14:paraId="6EDCF8CD"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4274.11</w:t>
            </w:r>
          </w:p>
        </w:tc>
        <w:tc>
          <w:tcPr>
            <w:tcW w:w="429" w:type="pct"/>
            <w:vAlign w:val="center"/>
            <w:hideMark/>
          </w:tcPr>
          <w:p w14:paraId="6EDCF8CE"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4447.34</w:t>
            </w:r>
          </w:p>
        </w:tc>
        <w:tc>
          <w:tcPr>
            <w:tcW w:w="429" w:type="pct"/>
            <w:vAlign w:val="center"/>
            <w:hideMark/>
          </w:tcPr>
          <w:p w14:paraId="6EDCF8CF"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4698.02</w:t>
            </w:r>
          </w:p>
        </w:tc>
        <w:tc>
          <w:tcPr>
            <w:tcW w:w="429" w:type="pct"/>
            <w:vAlign w:val="center"/>
            <w:hideMark/>
          </w:tcPr>
          <w:p w14:paraId="6EDCF8D0"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4633.37</w:t>
            </w:r>
          </w:p>
        </w:tc>
        <w:tc>
          <w:tcPr>
            <w:tcW w:w="429" w:type="pct"/>
            <w:vAlign w:val="center"/>
            <w:hideMark/>
          </w:tcPr>
          <w:p w14:paraId="6EDCF8D1"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4671.28</w:t>
            </w:r>
          </w:p>
        </w:tc>
        <w:tc>
          <w:tcPr>
            <w:tcW w:w="429" w:type="pct"/>
            <w:vAlign w:val="center"/>
            <w:hideMark/>
          </w:tcPr>
          <w:p w14:paraId="6EDCF8D2"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4721.45</w:t>
            </w:r>
          </w:p>
        </w:tc>
        <w:tc>
          <w:tcPr>
            <w:tcW w:w="429" w:type="pct"/>
            <w:vAlign w:val="center"/>
            <w:hideMark/>
          </w:tcPr>
          <w:p w14:paraId="6EDCF8D3"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4778.86</w:t>
            </w:r>
          </w:p>
        </w:tc>
        <w:tc>
          <w:tcPr>
            <w:tcW w:w="429" w:type="pct"/>
            <w:vAlign w:val="center"/>
            <w:hideMark/>
          </w:tcPr>
          <w:p w14:paraId="6EDCF8D4"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5116.04</w:t>
            </w:r>
          </w:p>
        </w:tc>
      </w:tr>
      <w:tr w:rsidR="00A9766F" w:rsidRPr="007114AF" w14:paraId="6EDCF8E1" w14:textId="77777777" w:rsidTr="00A9766F">
        <w:trPr>
          <w:trHeight w:val="300"/>
          <w:jc w:val="center"/>
        </w:trPr>
        <w:tc>
          <w:tcPr>
            <w:cnfStyle w:val="001000000000" w:firstRow="0" w:lastRow="0" w:firstColumn="1" w:lastColumn="0" w:oddVBand="0" w:evenVBand="0" w:oddHBand="0" w:evenHBand="0" w:firstRowFirstColumn="0" w:firstRowLastColumn="0" w:lastRowFirstColumn="0" w:lastRowLastColumn="0"/>
            <w:tcW w:w="712" w:type="pct"/>
            <w:vAlign w:val="center"/>
            <w:hideMark/>
          </w:tcPr>
          <w:p w14:paraId="6EDCF8D6"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Industritë e Energjisë: Të gjitha </w:t>
            </w:r>
          </w:p>
        </w:tc>
        <w:tc>
          <w:tcPr>
            <w:tcW w:w="428" w:type="pct"/>
            <w:vAlign w:val="center"/>
            <w:hideMark/>
          </w:tcPr>
          <w:p w14:paraId="6EDCF8D7"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246.29</w:t>
            </w:r>
          </w:p>
        </w:tc>
        <w:tc>
          <w:tcPr>
            <w:tcW w:w="429" w:type="pct"/>
            <w:vAlign w:val="center"/>
            <w:hideMark/>
          </w:tcPr>
          <w:p w14:paraId="6EDCF8D8"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248.28</w:t>
            </w:r>
          </w:p>
        </w:tc>
        <w:tc>
          <w:tcPr>
            <w:tcW w:w="429" w:type="pct"/>
            <w:vAlign w:val="center"/>
            <w:hideMark/>
          </w:tcPr>
          <w:p w14:paraId="6EDCF8D9"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257.85</w:t>
            </w:r>
          </w:p>
        </w:tc>
        <w:tc>
          <w:tcPr>
            <w:tcW w:w="429" w:type="pct"/>
            <w:vAlign w:val="center"/>
            <w:hideMark/>
          </w:tcPr>
          <w:p w14:paraId="6EDCF8DA"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270.80</w:t>
            </w:r>
          </w:p>
        </w:tc>
        <w:tc>
          <w:tcPr>
            <w:tcW w:w="429" w:type="pct"/>
            <w:vAlign w:val="center"/>
            <w:hideMark/>
          </w:tcPr>
          <w:p w14:paraId="6EDCF8DB"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286.84</w:t>
            </w:r>
          </w:p>
        </w:tc>
        <w:tc>
          <w:tcPr>
            <w:tcW w:w="429" w:type="pct"/>
            <w:vAlign w:val="center"/>
            <w:hideMark/>
          </w:tcPr>
          <w:p w14:paraId="6EDCF8DC"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282.89</w:t>
            </w:r>
          </w:p>
        </w:tc>
        <w:tc>
          <w:tcPr>
            <w:tcW w:w="429" w:type="pct"/>
            <w:vAlign w:val="center"/>
            <w:hideMark/>
          </w:tcPr>
          <w:p w14:paraId="6EDCF8DD"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285.22</w:t>
            </w:r>
          </w:p>
        </w:tc>
        <w:tc>
          <w:tcPr>
            <w:tcW w:w="429" w:type="pct"/>
            <w:vAlign w:val="center"/>
            <w:hideMark/>
          </w:tcPr>
          <w:p w14:paraId="6EDCF8DE"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288.13</w:t>
            </w:r>
          </w:p>
        </w:tc>
        <w:tc>
          <w:tcPr>
            <w:tcW w:w="429" w:type="pct"/>
            <w:vAlign w:val="center"/>
            <w:hideMark/>
          </w:tcPr>
          <w:p w14:paraId="6EDCF8DF"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291.62</w:t>
            </w:r>
          </w:p>
        </w:tc>
        <w:tc>
          <w:tcPr>
            <w:tcW w:w="429" w:type="pct"/>
            <w:vAlign w:val="center"/>
            <w:hideMark/>
          </w:tcPr>
          <w:p w14:paraId="6EDCF8E0"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312.82</w:t>
            </w:r>
          </w:p>
        </w:tc>
      </w:tr>
      <w:tr w:rsidR="00A9766F" w:rsidRPr="007114AF" w14:paraId="6EDCF8ED" w14:textId="77777777" w:rsidTr="00A9766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12" w:type="pct"/>
            <w:vAlign w:val="center"/>
            <w:hideMark/>
          </w:tcPr>
          <w:p w14:paraId="6EDCF8E2"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Industritë e Energjisë: Vetëm shkarkimet e çrregullta </w:t>
            </w:r>
          </w:p>
        </w:tc>
        <w:tc>
          <w:tcPr>
            <w:tcW w:w="428" w:type="pct"/>
            <w:vAlign w:val="center"/>
            <w:hideMark/>
          </w:tcPr>
          <w:p w14:paraId="6EDCF8E3"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7.46</w:t>
            </w:r>
          </w:p>
        </w:tc>
        <w:tc>
          <w:tcPr>
            <w:tcW w:w="429" w:type="pct"/>
            <w:vAlign w:val="center"/>
            <w:hideMark/>
          </w:tcPr>
          <w:p w14:paraId="6EDCF8E4"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7.48</w:t>
            </w:r>
          </w:p>
        </w:tc>
        <w:tc>
          <w:tcPr>
            <w:tcW w:w="429" w:type="pct"/>
            <w:vAlign w:val="center"/>
            <w:hideMark/>
          </w:tcPr>
          <w:p w14:paraId="6EDCF8E5"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7.50</w:t>
            </w:r>
          </w:p>
        </w:tc>
        <w:tc>
          <w:tcPr>
            <w:tcW w:w="429" w:type="pct"/>
            <w:vAlign w:val="center"/>
            <w:hideMark/>
          </w:tcPr>
          <w:p w14:paraId="6EDCF8E6"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7.52</w:t>
            </w:r>
          </w:p>
        </w:tc>
        <w:tc>
          <w:tcPr>
            <w:tcW w:w="429" w:type="pct"/>
            <w:vAlign w:val="center"/>
            <w:hideMark/>
          </w:tcPr>
          <w:p w14:paraId="6EDCF8E7"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7.54</w:t>
            </w:r>
          </w:p>
        </w:tc>
        <w:tc>
          <w:tcPr>
            <w:tcW w:w="429" w:type="pct"/>
            <w:vAlign w:val="center"/>
            <w:hideMark/>
          </w:tcPr>
          <w:p w14:paraId="6EDCF8E8"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7.56</w:t>
            </w:r>
          </w:p>
        </w:tc>
        <w:tc>
          <w:tcPr>
            <w:tcW w:w="429" w:type="pct"/>
            <w:vAlign w:val="center"/>
            <w:hideMark/>
          </w:tcPr>
          <w:p w14:paraId="6EDCF8E9"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7.58</w:t>
            </w:r>
          </w:p>
        </w:tc>
        <w:tc>
          <w:tcPr>
            <w:tcW w:w="429" w:type="pct"/>
            <w:vAlign w:val="center"/>
            <w:hideMark/>
          </w:tcPr>
          <w:p w14:paraId="6EDCF8EA"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7.60</w:t>
            </w:r>
          </w:p>
        </w:tc>
        <w:tc>
          <w:tcPr>
            <w:tcW w:w="429" w:type="pct"/>
            <w:vAlign w:val="center"/>
            <w:hideMark/>
          </w:tcPr>
          <w:p w14:paraId="6EDCF8EB"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7.62</w:t>
            </w:r>
          </w:p>
        </w:tc>
        <w:tc>
          <w:tcPr>
            <w:tcW w:w="429" w:type="pct"/>
            <w:vAlign w:val="center"/>
            <w:hideMark/>
          </w:tcPr>
          <w:p w14:paraId="6EDCF8EC"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7.65</w:t>
            </w:r>
          </w:p>
        </w:tc>
      </w:tr>
      <w:tr w:rsidR="00A9766F" w:rsidRPr="007114AF" w14:paraId="6EDCF8F9" w14:textId="77777777" w:rsidTr="00A9766F">
        <w:trPr>
          <w:trHeight w:val="300"/>
          <w:jc w:val="center"/>
        </w:trPr>
        <w:tc>
          <w:tcPr>
            <w:cnfStyle w:val="001000000000" w:firstRow="0" w:lastRow="0" w:firstColumn="1" w:lastColumn="0" w:oddVBand="0" w:evenVBand="0" w:oddHBand="0" w:evenHBand="0" w:firstRowFirstColumn="0" w:firstRowLastColumn="0" w:lastRowFirstColumn="0" w:lastRowLastColumn="0"/>
            <w:tcW w:w="712" w:type="pct"/>
            <w:vAlign w:val="center"/>
            <w:hideMark/>
          </w:tcPr>
          <w:p w14:paraId="6EDCF8EE" w14:textId="097E8BAD" w:rsidR="00A9766F" w:rsidRPr="007114AF" w:rsidRDefault="00A9766F" w:rsidP="00A9766F">
            <w:pPr>
              <w:rPr>
                <w:rFonts w:ascii="Garamond" w:hAnsi="Garamond" w:cs="Calibri"/>
                <w:b w:val="0"/>
                <w:sz w:val="18"/>
                <w:szCs w:val="18"/>
              </w:rPr>
            </w:pPr>
            <w:r w:rsidRPr="007114AF">
              <w:rPr>
                <w:rFonts w:ascii="Garamond" w:hAnsi="Garamond" w:cs="Calibri"/>
                <w:sz w:val="18"/>
                <w:szCs w:val="18"/>
              </w:rPr>
              <w:t>Industria përpunuese dhe ndërtimi</w:t>
            </w:r>
            <w:r w:rsidR="000A2A01" w:rsidRPr="007114AF">
              <w:rPr>
                <w:rFonts w:ascii="Garamond" w:hAnsi="Garamond" w:cs="Calibri"/>
                <w:sz w:val="18"/>
                <w:szCs w:val="18"/>
              </w:rPr>
              <w:t xml:space="preserve"> </w:t>
            </w:r>
          </w:p>
        </w:tc>
        <w:tc>
          <w:tcPr>
            <w:tcW w:w="428" w:type="pct"/>
            <w:vAlign w:val="center"/>
            <w:hideMark/>
          </w:tcPr>
          <w:p w14:paraId="6EDCF8EF"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612.64</w:t>
            </w:r>
          </w:p>
        </w:tc>
        <w:tc>
          <w:tcPr>
            <w:tcW w:w="429" w:type="pct"/>
            <w:vAlign w:val="center"/>
            <w:hideMark/>
          </w:tcPr>
          <w:p w14:paraId="6EDCF8F0"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617.52</w:t>
            </w:r>
          </w:p>
        </w:tc>
        <w:tc>
          <w:tcPr>
            <w:tcW w:w="429" w:type="pct"/>
            <w:vAlign w:val="center"/>
            <w:hideMark/>
          </w:tcPr>
          <w:p w14:paraId="6EDCF8F1"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617.59</w:t>
            </w:r>
          </w:p>
        </w:tc>
        <w:tc>
          <w:tcPr>
            <w:tcW w:w="429" w:type="pct"/>
            <w:vAlign w:val="center"/>
            <w:hideMark/>
          </w:tcPr>
          <w:p w14:paraId="6EDCF8F2"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617.88</w:t>
            </w:r>
          </w:p>
        </w:tc>
        <w:tc>
          <w:tcPr>
            <w:tcW w:w="429" w:type="pct"/>
            <w:vAlign w:val="center"/>
            <w:hideMark/>
          </w:tcPr>
          <w:p w14:paraId="6EDCF8F3"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653.70</w:t>
            </w:r>
          </w:p>
        </w:tc>
        <w:tc>
          <w:tcPr>
            <w:tcW w:w="429" w:type="pct"/>
            <w:vAlign w:val="center"/>
            <w:hideMark/>
          </w:tcPr>
          <w:p w14:paraId="6EDCF8F4"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644.71</w:t>
            </w:r>
          </w:p>
        </w:tc>
        <w:tc>
          <w:tcPr>
            <w:tcW w:w="429" w:type="pct"/>
            <w:vAlign w:val="center"/>
            <w:hideMark/>
          </w:tcPr>
          <w:p w14:paraId="6EDCF8F5"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649.95</w:t>
            </w:r>
          </w:p>
        </w:tc>
        <w:tc>
          <w:tcPr>
            <w:tcW w:w="429" w:type="pct"/>
            <w:vAlign w:val="center"/>
            <w:hideMark/>
          </w:tcPr>
          <w:p w14:paraId="6EDCF8F6"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656.83</w:t>
            </w:r>
          </w:p>
        </w:tc>
        <w:tc>
          <w:tcPr>
            <w:tcW w:w="429" w:type="pct"/>
            <w:vAlign w:val="center"/>
            <w:hideMark/>
          </w:tcPr>
          <w:p w14:paraId="6EDCF8F7"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664.58</w:t>
            </w:r>
          </w:p>
        </w:tc>
        <w:tc>
          <w:tcPr>
            <w:tcW w:w="429" w:type="pct"/>
            <w:vAlign w:val="center"/>
            <w:hideMark/>
          </w:tcPr>
          <w:p w14:paraId="6EDCF8F8"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712.28</w:t>
            </w:r>
          </w:p>
        </w:tc>
      </w:tr>
      <w:tr w:rsidR="00A9766F" w:rsidRPr="007114AF" w14:paraId="6EDCF905" w14:textId="77777777" w:rsidTr="00A9766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2" w:type="pct"/>
            <w:vAlign w:val="center"/>
            <w:hideMark/>
          </w:tcPr>
          <w:p w14:paraId="6EDCF8FA"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Transporti </w:t>
            </w:r>
          </w:p>
        </w:tc>
        <w:tc>
          <w:tcPr>
            <w:tcW w:w="428" w:type="pct"/>
            <w:vAlign w:val="center"/>
            <w:hideMark/>
          </w:tcPr>
          <w:p w14:paraId="6EDCF8FB"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1817.61</w:t>
            </w:r>
          </w:p>
        </w:tc>
        <w:tc>
          <w:tcPr>
            <w:tcW w:w="429" w:type="pct"/>
            <w:vAlign w:val="center"/>
            <w:hideMark/>
          </w:tcPr>
          <w:p w14:paraId="6EDCF8FC"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1835.36</w:t>
            </w:r>
          </w:p>
        </w:tc>
        <w:tc>
          <w:tcPr>
            <w:tcW w:w="429" w:type="pct"/>
            <w:vAlign w:val="center"/>
            <w:hideMark/>
          </w:tcPr>
          <w:p w14:paraId="6EDCF8FD"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1906.07</w:t>
            </w:r>
          </w:p>
        </w:tc>
        <w:tc>
          <w:tcPr>
            <w:tcW w:w="429" w:type="pct"/>
            <w:vAlign w:val="center"/>
            <w:hideMark/>
          </w:tcPr>
          <w:p w14:paraId="6EDCF8FE"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1996.71</w:t>
            </w:r>
          </w:p>
        </w:tc>
        <w:tc>
          <w:tcPr>
            <w:tcW w:w="429" w:type="pct"/>
            <w:vAlign w:val="center"/>
            <w:hideMark/>
          </w:tcPr>
          <w:p w14:paraId="6EDCF8FF"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2115.09</w:t>
            </w:r>
          </w:p>
        </w:tc>
        <w:tc>
          <w:tcPr>
            <w:tcW w:w="429" w:type="pct"/>
            <w:vAlign w:val="center"/>
            <w:hideMark/>
          </w:tcPr>
          <w:p w14:paraId="6EDCF900"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2085.95</w:t>
            </w:r>
          </w:p>
        </w:tc>
        <w:tc>
          <w:tcPr>
            <w:tcW w:w="429" w:type="pct"/>
            <w:vAlign w:val="center"/>
            <w:hideMark/>
          </w:tcPr>
          <w:p w14:paraId="6EDCF901"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2103.11</w:t>
            </w:r>
          </w:p>
        </w:tc>
        <w:tc>
          <w:tcPr>
            <w:tcW w:w="429" w:type="pct"/>
            <w:vAlign w:val="center"/>
            <w:hideMark/>
          </w:tcPr>
          <w:p w14:paraId="6EDCF902"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2124.57</w:t>
            </w:r>
          </w:p>
        </w:tc>
        <w:tc>
          <w:tcPr>
            <w:tcW w:w="429" w:type="pct"/>
            <w:vAlign w:val="center"/>
            <w:hideMark/>
          </w:tcPr>
          <w:p w14:paraId="6EDCF903"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2150.31</w:t>
            </w:r>
          </w:p>
        </w:tc>
        <w:tc>
          <w:tcPr>
            <w:tcW w:w="429" w:type="pct"/>
            <w:vAlign w:val="center"/>
            <w:hideMark/>
          </w:tcPr>
          <w:p w14:paraId="6EDCF904"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2306.46</w:t>
            </w:r>
          </w:p>
        </w:tc>
      </w:tr>
      <w:tr w:rsidR="00A9766F" w:rsidRPr="007114AF" w14:paraId="6EDCF911" w14:textId="77777777" w:rsidTr="00A9766F">
        <w:trPr>
          <w:trHeight w:val="300"/>
          <w:jc w:val="center"/>
        </w:trPr>
        <w:tc>
          <w:tcPr>
            <w:cnfStyle w:val="001000000000" w:firstRow="0" w:lastRow="0" w:firstColumn="1" w:lastColumn="0" w:oddVBand="0" w:evenVBand="0" w:oddHBand="0" w:evenHBand="0" w:firstRowFirstColumn="0" w:firstRowLastColumn="0" w:lastRowFirstColumn="0" w:lastRowLastColumn="0"/>
            <w:tcW w:w="712" w:type="pct"/>
            <w:vAlign w:val="center"/>
            <w:hideMark/>
          </w:tcPr>
          <w:p w14:paraId="6EDCF906"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Sektori i banesave </w:t>
            </w:r>
          </w:p>
        </w:tc>
        <w:tc>
          <w:tcPr>
            <w:tcW w:w="428" w:type="pct"/>
            <w:vAlign w:val="center"/>
            <w:hideMark/>
          </w:tcPr>
          <w:p w14:paraId="6EDCF907"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944.01</w:t>
            </w:r>
          </w:p>
        </w:tc>
        <w:tc>
          <w:tcPr>
            <w:tcW w:w="429" w:type="pct"/>
            <w:vAlign w:val="center"/>
            <w:hideMark/>
          </w:tcPr>
          <w:p w14:paraId="6EDCF908"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951.25</w:t>
            </w:r>
          </w:p>
        </w:tc>
        <w:tc>
          <w:tcPr>
            <w:tcW w:w="429" w:type="pct"/>
            <w:vAlign w:val="center"/>
            <w:hideMark/>
          </w:tcPr>
          <w:p w14:paraId="6EDCF909"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980.72</w:t>
            </w:r>
          </w:p>
        </w:tc>
        <w:tc>
          <w:tcPr>
            <w:tcW w:w="429" w:type="pct"/>
            <w:vAlign w:val="center"/>
            <w:hideMark/>
          </w:tcPr>
          <w:p w14:paraId="6EDCF90A"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1026.20</w:t>
            </w:r>
          </w:p>
        </w:tc>
        <w:tc>
          <w:tcPr>
            <w:tcW w:w="429" w:type="pct"/>
            <w:vAlign w:val="center"/>
            <w:hideMark/>
          </w:tcPr>
          <w:p w14:paraId="6EDCF90B"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1075.40</w:t>
            </w:r>
          </w:p>
        </w:tc>
        <w:tc>
          <w:tcPr>
            <w:tcW w:w="429" w:type="pct"/>
            <w:vAlign w:val="center"/>
            <w:hideMark/>
          </w:tcPr>
          <w:p w14:paraId="6EDCF90C"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1060.65</w:t>
            </w:r>
          </w:p>
        </w:tc>
        <w:tc>
          <w:tcPr>
            <w:tcW w:w="429" w:type="pct"/>
            <w:vAlign w:val="center"/>
            <w:hideMark/>
          </w:tcPr>
          <w:p w14:paraId="6EDCF90D"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1069.20</w:t>
            </w:r>
          </w:p>
        </w:tc>
        <w:tc>
          <w:tcPr>
            <w:tcW w:w="429" w:type="pct"/>
            <w:vAlign w:val="center"/>
            <w:hideMark/>
          </w:tcPr>
          <w:p w14:paraId="6EDCF90E"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1082.40</w:t>
            </w:r>
          </w:p>
        </w:tc>
        <w:tc>
          <w:tcPr>
            <w:tcW w:w="429" w:type="pct"/>
            <w:vAlign w:val="center"/>
            <w:hideMark/>
          </w:tcPr>
          <w:p w14:paraId="6EDCF90F"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1096.02</w:t>
            </w:r>
          </w:p>
        </w:tc>
        <w:tc>
          <w:tcPr>
            <w:tcW w:w="429" w:type="pct"/>
            <w:vAlign w:val="center"/>
            <w:hideMark/>
          </w:tcPr>
          <w:p w14:paraId="6EDCF910"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1168.18</w:t>
            </w:r>
          </w:p>
        </w:tc>
      </w:tr>
      <w:tr w:rsidR="00A9766F" w:rsidRPr="007114AF" w14:paraId="6EDCF91D" w14:textId="77777777" w:rsidTr="00A9766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2" w:type="pct"/>
            <w:vAlign w:val="center"/>
            <w:hideMark/>
          </w:tcPr>
          <w:p w14:paraId="6EDCF912"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Shërbimi </w:t>
            </w:r>
          </w:p>
        </w:tc>
        <w:tc>
          <w:tcPr>
            <w:tcW w:w="428" w:type="pct"/>
            <w:vAlign w:val="center"/>
            <w:hideMark/>
          </w:tcPr>
          <w:p w14:paraId="6EDCF913"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193.87</w:t>
            </w:r>
          </w:p>
        </w:tc>
        <w:tc>
          <w:tcPr>
            <w:tcW w:w="429" w:type="pct"/>
            <w:vAlign w:val="center"/>
            <w:hideMark/>
          </w:tcPr>
          <w:p w14:paraId="6EDCF914"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194.35</w:t>
            </w:r>
          </w:p>
        </w:tc>
        <w:tc>
          <w:tcPr>
            <w:tcW w:w="429" w:type="pct"/>
            <w:vAlign w:val="center"/>
            <w:hideMark/>
          </w:tcPr>
          <w:p w14:paraId="6EDCF915"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201.82</w:t>
            </w:r>
          </w:p>
        </w:tc>
        <w:tc>
          <w:tcPr>
            <w:tcW w:w="429" w:type="pct"/>
            <w:vAlign w:val="center"/>
            <w:hideMark/>
          </w:tcPr>
          <w:p w14:paraId="6EDCF916"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211.24</w:t>
            </w:r>
          </w:p>
        </w:tc>
        <w:tc>
          <w:tcPr>
            <w:tcW w:w="429" w:type="pct"/>
            <w:vAlign w:val="center"/>
            <w:hideMark/>
          </w:tcPr>
          <w:p w14:paraId="6EDCF917"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223.74</w:t>
            </w:r>
          </w:p>
        </w:tc>
        <w:tc>
          <w:tcPr>
            <w:tcW w:w="429" w:type="pct"/>
            <w:vAlign w:val="center"/>
            <w:hideMark/>
          </w:tcPr>
          <w:p w14:paraId="6EDCF918"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220.50</w:t>
            </w:r>
          </w:p>
        </w:tc>
        <w:tc>
          <w:tcPr>
            <w:tcW w:w="429" w:type="pct"/>
            <w:vAlign w:val="center"/>
            <w:hideMark/>
          </w:tcPr>
          <w:p w14:paraId="6EDCF919"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222.37</w:t>
            </w:r>
          </w:p>
        </w:tc>
        <w:tc>
          <w:tcPr>
            <w:tcW w:w="429" w:type="pct"/>
            <w:vAlign w:val="center"/>
            <w:hideMark/>
          </w:tcPr>
          <w:p w14:paraId="6EDCF91A"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224.66</w:t>
            </w:r>
          </w:p>
        </w:tc>
        <w:tc>
          <w:tcPr>
            <w:tcW w:w="429" w:type="pct"/>
            <w:vAlign w:val="center"/>
            <w:hideMark/>
          </w:tcPr>
          <w:p w14:paraId="6EDCF91B"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227.37</w:t>
            </w:r>
          </w:p>
        </w:tc>
        <w:tc>
          <w:tcPr>
            <w:tcW w:w="429" w:type="pct"/>
            <w:vAlign w:val="center"/>
            <w:hideMark/>
          </w:tcPr>
          <w:p w14:paraId="6EDCF91C"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242.50</w:t>
            </w:r>
          </w:p>
        </w:tc>
      </w:tr>
      <w:tr w:rsidR="00A9766F" w:rsidRPr="007114AF" w14:paraId="6EDCF929" w14:textId="77777777" w:rsidTr="00A9766F">
        <w:trPr>
          <w:trHeight w:val="300"/>
          <w:jc w:val="center"/>
        </w:trPr>
        <w:tc>
          <w:tcPr>
            <w:cnfStyle w:val="001000000000" w:firstRow="0" w:lastRow="0" w:firstColumn="1" w:lastColumn="0" w:oddVBand="0" w:evenVBand="0" w:oddHBand="0" w:evenHBand="0" w:firstRowFirstColumn="0" w:firstRowLastColumn="0" w:lastRowFirstColumn="0" w:lastRowLastColumn="0"/>
            <w:tcW w:w="712" w:type="pct"/>
            <w:vAlign w:val="center"/>
            <w:hideMark/>
          </w:tcPr>
          <w:p w14:paraId="6EDCF91E" w14:textId="4CB5A3FA" w:rsidR="00A9766F" w:rsidRPr="007114AF" w:rsidRDefault="00A9766F" w:rsidP="00A9766F">
            <w:pPr>
              <w:rPr>
                <w:rFonts w:ascii="Garamond" w:hAnsi="Garamond" w:cs="Calibri"/>
                <w:b w:val="0"/>
                <w:sz w:val="18"/>
                <w:szCs w:val="18"/>
              </w:rPr>
            </w:pPr>
            <w:r w:rsidRPr="007114AF">
              <w:rPr>
                <w:rFonts w:ascii="Garamond" w:hAnsi="Garamond" w:cs="Calibri"/>
                <w:sz w:val="18"/>
                <w:szCs w:val="18"/>
              </w:rPr>
              <w:t>Bujqësia</w:t>
            </w:r>
            <w:r w:rsidR="000A2A01" w:rsidRPr="007114AF">
              <w:rPr>
                <w:rFonts w:ascii="Garamond" w:hAnsi="Garamond" w:cs="Calibri"/>
                <w:sz w:val="18"/>
                <w:szCs w:val="18"/>
              </w:rPr>
              <w:t xml:space="preserve"> </w:t>
            </w:r>
          </w:p>
        </w:tc>
        <w:tc>
          <w:tcPr>
            <w:tcW w:w="428" w:type="pct"/>
            <w:vAlign w:val="center"/>
            <w:hideMark/>
          </w:tcPr>
          <w:p w14:paraId="6EDCF91F"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295.05</w:t>
            </w:r>
          </w:p>
        </w:tc>
        <w:tc>
          <w:tcPr>
            <w:tcW w:w="429" w:type="pct"/>
            <w:vAlign w:val="center"/>
            <w:hideMark/>
          </w:tcPr>
          <w:p w14:paraId="6EDCF920"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297.43</w:t>
            </w:r>
          </w:p>
        </w:tc>
        <w:tc>
          <w:tcPr>
            <w:tcW w:w="429" w:type="pct"/>
            <w:vAlign w:val="center"/>
            <w:hideMark/>
          </w:tcPr>
          <w:p w14:paraId="6EDCF921"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302.56</w:t>
            </w:r>
          </w:p>
        </w:tc>
        <w:tc>
          <w:tcPr>
            <w:tcW w:w="429" w:type="pct"/>
            <w:vAlign w:val="center"/>
            <w:hideMark/>
          </w:tcPr>
          <w:p w14:paraId="6EDCF922"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316.96</w:t>
            </w:r>
          </w:p>
        </w:tc>
        <w:tc>
          <w:tcPr>
            <w:tcW w:w="429" w:type="pct"/>
            <w:vAlign w:val="center"/>
            <w:hideMark/>
          </w:tcPr>
          <w:p w14:paraId="6EDCF923"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335.73</w:t>
            </w:r>
          </w:p>
        </w:tc>
        <w:tc>
          <w:tcPr>
            <w:tcW w:w="429" w:type="pct"/>
            <w:vAlign w:val="center"/>
            <w:hideMark/>
          </w:tcPr>
          <w:p w14:paraId="6EDCF924"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331.11</w:t>
            </w:r>
          </w:p>
        </w:tc>
        <w:tc>
          <w:tcPr>
            <w:tcW w:w="429" w:type="pct"/>
            <w:vAlign w:val="center"/>
            <w:hideMark/>
          </w:tcPr>
          <w:p w14:paraId="6EDCF925"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333.83</w:t>
            </w:r>
          </w:p>
        </w:tc>
        <w:tc>
          <w:tcPr>
            <w:tcW w:w="429" w:type="pct"/>
            <w:vAlign w:val="center"/>
            <w:hideMark/>
          </w:tcPr>
          <w:p w14:paraId="6EDCF926"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337.24</w:t>
            </w:r>
          </w:p>
        </w:tc>
        <w:tc>
          <w:tcPr>
            <w:tcW w:w="429" w:type="pct"/>
            <w:vAlign w:val="center"/>
            <w:hideMark/>
          </w:tcPr>
          <w:p w14:paraId="6EDCF927"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341.34</w:t>
            </w:r>
          </w:p>
        </w:tc>
        <w:tc>
          <w:tcPr>
            <w:tcW w:w="429" w:type="pct"/>
            <w:vAlign w:val="center"/>
            <w:hideMark/>
          </w:tcPr>
          <w:p w14:paraId="6EDCF928"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114AF">
              <w:rPr>
                <w:rFonts w:ascii="Garamond" w:hAnsi="Garamond" w:cs="Calibri"/>
                <w:sz w:val="18"/>
                <w:szCs w:val="18"/>
              </w:rPr>
              <w:t>366.15</w:t>
            </w:r>
          </w:p>
        </w:tc>
      </w:tr>
    </w:tbl>
    <w:p w14:paraId="6EDCF92A" w14:textId="77777777" w:rsidR="00A9766F" w:rsidRPr="007114AF" w:rsidRDefault="00A9766F" w:rsidP="0018372B">
      <w:pPr>
        <w:spacing w:after="0" w:line="240" w:lineRule="auto"/>
        <w:ind w:firstLine="284"/>
        <w:rPr>
          <w:rFonts w:ascii="Garamond" w:hAnsi="Garamond"/>
        </w:rPr>
      </w:pPr>
    </w:p>
    <w:p w14:paraId="6EDCF92B" w14:textId="693BFC5A" w:rsidR="00A9766F" w:rsidRPr="007114AF" w:rsidRDefault="00A9766F" w:rsidP="00495DC2">
      <w:pPr>
        <w:pStyle w:val="FIGURA"/>
      </w:pPr>
      <w:r w:rsidRPr="007114AF">
        <w:t>Tabela</w:t>
      </w:r>
      <w:r w:rsidR="00495DC2" w:rsidRPr="007114AF">
        <w:t xml:space="preserve"> </w:t>
      </w:r>
      <w:r w:rsidRPr="007114AF">
        <w:fldChar w:fldCharType="begin"/>
      </w:r>
      <w:r w:rsidRPr="007114AF">
        <w:instrText xml:space="preserve"> SEQ Table \* ARABIC </w:instrText>
      </w:r>
      <w:r w:rsidRPr="007114AF">
        <w:fldChar w:fldCharType="separate"/>
      </w:r>
      <w:r w:rsidRPr="007114AF">
        <w:t>6</w:t>
      </w:r>
      <w:r w:rsidRPr="007114AF">
        <w:fldChar w:fldCharType="end"/>
      </w:r>
      <w:r w:rsidRPr="007114AF">
        <w:t xml:space="preserve"> – Shkarkimet nga nënsektorët e </w:t>
      </w:r>
      <w:r w:rsidR="005351B0" w:rsidRPr="007114AF">
        <w:t>e</w:t>
      </w:r>
      <w:r w:rsidRPr="007114AF">
        <w:t>nergjisë në % (burimi</w:t>
      </w:r>
      <w:r w:rsidR="003C603D">
        <w:t xml:space="preserve"> </w:t>
      </w:r>
      <w:r w:rsidRPr="007114AF">
        <w:t>KTK-ja)</w:t>
      </w:r>
    </w:p>
    <w:tbl>
      <w:tblPr>
        <w:tblStyle w:val="LightShading-Accent11"/>
        <w:tblW w:w="5034" w:type="pct"/>
        <w:jc w:val="center"/>
        <w:tblLayout w:type="fixed"/>
        <w:tblLook w:val="04A0" w:firstRow="1" w:lastRow="0" w:firstColumn="1" w:lastColumn="0" w:noHBand="0" w:noVBand="1"/>
      </w:tblPr>
      <w:tblGrid>
        <w:gridCol w:w="1315"/>
        <w:gridCol w:w="707"/>
        <w:gridCol w:w="707"/>
        <w:gridCol w:w="707"/>
        <w:gridCol w:w="707"/>
        <w:gridCol w:w="709"/>
        <w:gridCol w:w="707"/>
        <w:gridCol w:w="707"/>
        <w:gridCol w:w="707"/>
        <w:gridCol w:w="707"/>
        <w:gridCol w:w="709"/>
        <w:gridCol w:w="961"/>
      </w:tblGrid>
      <w:tr w:rsidR="00A9766F" w:rsidRPr="007114AF" w14:paraId="6EDCF938" w14:textId="77777777" w:rsidTr="00A9766F">
        <w:trPr>
          <w:cnfStyle w:val="100000000000" w:firstRow="1" w:lastRow="0" w:firstColumn="0" w:lastColumn="0" w:oddVBand="0" w:evenVBand="0" w:oddHBand="0"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703" w:type="pct"/>
            <w:hideMark/>
          </w:tcPr>
          <w:p w14:paraId="6EDCF92C" w14:textId="77777777" w:rsidR="00A9766F" w:rsidRPr="007114AF" w:rsidRDefault="00A9766F" w:rsidP="00A9766F">
            <w:pPr>
              <w:rPr>
                <w:rFonts w:ascii="Garamond" w:hAnsi="Garamond"/>
                <w:bCs w:val="0"/>
                <w:sz w:val="18"/>
                <w:szCs w:val="18"/>
              </w:rPr>
            </w:pPr>
            <w:r w:rsidRPr="007114AF">
              <w:rPr>
                <w:rFonts w:ascii="Garamond" w:hAnsi="Garamond"/>
                <w:sz w:val="18"/>
                <w:szCs w:val="18"/>
              </w:rPr>
              <w:t>Nën-sektorët</w:t>
            </w:r>
          </w:p>
        </w:tc>
        <w:tc>
          <w:tcPr>
            <w:tcW w:w="378" w:type="pct"/>
            <w:hideMark/>
          </w:tcPr>
          <w:p w14:paraId="6EDCF92D"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2000</w:t>
            </w:r>
          </w:p>
        </w:tc>
        <w:tc>
          <w:tcPr>
            <w:tcW w:w="378" w:type="pct"/>
            <w:hideMark/>
          </w:tcPr>
          <w:p w14:paraId="6EDCF92E"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2001</w:t>
            </w:r>
          </w:p>
        </w:tc>
        <w:tc>
          <w:tcPr>
            <w:tcW w:w="378" w:type="pct"/>
            <w:hideMark/>
          </w:tcPr>
          <w:p w14:paraId="6EDCF92F"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2002</w:t>
            </w:r>
          </w:p>
        </w:tc>
        <w:tc>
          <w:tcPr>
            <w:tcW w:w="378" w:type="pct"/>
            <w:hideMark/>
          </w:tcPr>
          <w:p w14:paraId="6EDCF930"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2003</w:t>
            </w:r>
          </w:p>
        </w:tc>
        <w:tc>
          <w:tcPr>
            <w:tcW w:w="379" w:type="pct"/>
            <w:hideMark/>
          </w:tcPr>
          <w:p w14:paraId="6EDCF931"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2004</w:t>
            </w:r>
          </w:p>
        </w:tc>
        <w:tc>
          <w:tcPr>
            <w:tcW w:w="378" w:type="pct"/>
            <w:hideMark/>
          </w:tcPr>
          <w:p w14:paraId="6EDCF932"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2005</w:t>
            </w:r>
          </w:p>
        </w:tc>
        <w:tc>
          <w:tcPr>
            <w:tcW w:w="378" w:type="pct"/>
            <w:hideMark/>
          </w:tcPr>
          <w:p w14:paraId="6EDCF933"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2006</w:t>
            </w:r>
          </w:p>
        </w:tc>
        <w:tc>
          <w:tcPr>
            <w:tcW w:w="378" w:type="pct"/>
            <w:hideMark/>
          </w:tcPr>
          <w:p w14:paraId="6EDCF934"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2007</w:t>
            </w:r>
          </w:p>
        </w:tc>
        <w:tc>
          <w:tcPr>
            <w:tcW w:w="378" w:type="pct"/>
            <w:hideMark/>
          </w:tcPr>
          <w:p w14:paraId="6EDCF935"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2008</w:t>
            </w:r>
          </w:p>
        </w:tc>
        <w:tc>
          <w:tcPr>
            <w:tcW w:w="379" w:type="pct"/>
            <w:hideMark/>
          </w:tcPr>
          <w:p w14:paraId="6EDCF936"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2009</w:t>
            </w:r>
          </w:p>
        </w:tc>
        <w:tc>
          <w:tcPr>
            <w:tcW w:w="514" w:type="pct"/>
          </w:tcPr>
          <w:p w14:paraId="6EDCF937"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bCs w:val="0"/>
                <w:sz w:val="18"/>
                <w:szCs w:val="18"/>
              </w:rPr>
            </w:pPr>
            <w:r w:rsidRPr="007114AF">
              <w:rPr>
                <w:rFonts w:ascii="Garamond" w:hAnsi="Garamond"/>
                <w:sz w:val="18"/>
                <w:szCs w:val="18"/>
              </w:rPr>
              <w:t>% 2000-09</w:t>
            </w:r>
          </w:p>
        </w:tc>
      </w:tr>
      <w:tr w:rsidR="00A9766F" w:rsidRPr="007114AF" w14:paraId="6EDCF945" w14:textId="77777777" w:rsidTr="00A9766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3" w:type="pct"/>
            <w:vAlign w:val="center"/>
            <w:hideMark/>
          </w:tcPr>
          <w:p w14:paraId="6EDCF939"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 Sektorët e Energjisë dhe Transportit </w:t>
            </w:r>
          </w:p>
        </w:tc>
        <w:tc>
          <w:tcPr>
            <w:tcW w:w="378" w:type="pct"/>
            <w:vAlign w:val="center"/>
            <w:hideMark/>
          </w:tcPr>
          <w:p w14:paraId="6EDCF93A"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100.00</w:t>
            </w:r>
          </w:p>
        </w:tc>
        <w:tc>
          <w:tcPr>
            <w:tcW w:w="378" w:type="pct"/>
            <w:vAlign w:val="center"/>
            <w:hideMark/>
          </w:tcPr>
          <w:p w14:paraId="6EDCF93B"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100.00</w:t>
            </w:r>
          </w:p>
        </w:tc>
        <w:tc>
          <w:tcPr>
            <w:tcW w:w="378" w:type="pct"/>
            <w:vAlign w:val="center"/>
            <w:hideMark/>
          </w:tcPr>
          <w:p w14:paraId="6EDCF93C"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100.00</w:t>
            </w:r>
          </w:p>
        </w:tc>
        <w:tc>
          <w:tcPr>
            <w:tcW w:w="378" w:type="pct"/>
            <w:vAlign w:val="center"/>
            <w:hideMark/>
          </w:tcPr>
          <w:p w14:paraId="6EDCF93D"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100.00</w:t>
            </w:r>
          </w:p>
        </w:tc>
        <w:tc>
          <w:tcPr>
            <w:tcW w:w="379" w:type="pct"/>
            <w:vAlign w:val="center"/>
            <w:hideMark/>
          </w:tcPr>
          <w:p w14:paraId="6EDCF93E"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100.00</w:t>
            </w:r>
          </w:p>
        </w:tc>
        <w:tc>
          <w:tcPr>
            <w:tcW w:w="378" w:type="pct"/>
            <w:vAlign w:val="center"/>
            <w:hideMark/>
          </w:tcPr>
          <w:p w14:paraId="6EDCF93F"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100.00</w:t>
            </w:r>
          </w:p>
        </w:tc>
        <w:tc>
          <w:tcPr>
            <w:tcW w:w="378" w:type="pct"/>
            <w:vAlign w:val="center"/>
            <w:hideMark/>
          </w:tcPr>
          <w:p w14:paraId="6EDCF940"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100.00</w:t>
            </w:r>
          </w:p>
        </w:tc>
        <w:tc>
          <w:tcPr>
            <w:tcW w:w="378" w:type="pct"/>
            <w:vAlign w:val="center"/>
            <w:hideMark/>
          </w:tcPr>
          <w:p w14:paraId="6EDCF941"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100.00</w:t>
            </w:r>
          </w:p>
        </w:tc>
        <w:tc>
          <w:tcPr>
            <w:tcW w:w="378" w:type="pct"/>
            <w:vAlign w:val="center"/>
            <w:hideMark/>
          </w:tcPr>
          <w:p w14:paraId="6EDCF942"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100.00</w:t>
            </w:r>
          </w:p>
        </w:tc>
        <w:tc>
          <w:tcPr>
            <w:tcW w:w="379" w:type="pct"/>
            <w:vAlign w:val="center"/>
            <w:hideMark/>
          </w:tcPr>
          <w:p w14:paraId="6EDCF943"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100.00</w:t>
            </w:r>
          </w:p>
        </w:tc>
        <w:tc>
          <w:tcPr>
            <w:tcW w:w="514" w:type="pct"/>
            <w:vAlign w:val="center"/>
          </w:tcPr>
          <w:p w14:paraId="6EDCF944"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+24%</w:t>
            </w:r>
          </w:p>
        </w:tc>
      </w:tr>
      <w:tr w:rsidR="00A9766F" w:rsidRPr="007114AF" w14:paraId="6EDCF952" w14:textId="77777777" w:rsidTr="00A9766F">
        <w:trPr>
          <w:trHeight w:val="300"/>
          <w:jc w:val="center"/>
        </w:trPr>
        <w:tc>
          <w:tcPr>
            <w:cnfStyle w:val="001000000000" w:firstRow="0" w:lastRow="0" w:firstColumn="1" w:lastColumn="0" w:oddVBand="0" w:evenVBand="0" w:oddHBand="0" w:evenHBand="0" w:firstRowFirstColumn="0" w:firstRowLastColumn="0" w:lastRowFirstColumn="0" w:lastRowLastColumn="0"/>
            <w:tcW w:w="703" w:type="pct"/>
            <w:vAlign w:val="center"/>
            <w:hideMark/>
          </w:tcPr>
          <w:p w14:paraId="6EDCF946"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Industritë e Energjisë: Të gjitha </w:t>
            </w:r>
          </w:p>
        </w:tc>
        <w:tc>
          <w:tcPr>
            <w:tcW w:w="378" w:type="pct"/>
            <w:vAlign w:val="center"/>
            <w:hideMark/>
          </w:tcPr>
          <w:p w14:paraId="6EDCF947"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5.98</w:t>
            </w:r>
          </w:p>
        </w:tc>
        <w:tc>
          <w:tcPr>
            <w:tcW w:w="378" w:type="pct"/>
            <w:vAlign w:val="center"/>
            <w:hideMark/>
          </w:tcPr>
          <w:p w14:paraId="6EDCF948"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5.98</w:t>
            </w:r>
          </w:p>
        </w:tc>
        <w:tc>
          <w:tcPr>
            <w:tcW w:w="378" w:type="pct"/>
            <w:vAlign w:val="center"/>
            <w:hideMark/>
          </w:tcPr>
          <w:p w14:paraId="6EDCF949"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6.03</w:t>
            </w:r>
          </w:p>
        </w:tc>
        <w:tc>
          <w:tcPr>
            <w:tcW w:w="378" w:type="pct"/>
            <w:vAlign w:val="center"/>
            <w:hideMark/>
          </w:tcPr>
          <w:p w14:paraId="6EDCF94A"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6.09</w:t>
            </w:r>
          </w:p>
        </w:tc>
        <w:tc>
          <w:tcPr>
            <w:tcW w:w="379" w:type="pct"/>
            <w:vAlign w:val="center"/>
            <w:hideMark/>
          </w:tcPr>
          <w:p w14:paraId="6EDCF94B"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6.11</w:t>
            </w:r>
          </w:p>
        </w:tc>
        <w:tc>
          <w:tcPr>
            <w:tcW w:w="378" w:type="pct"/>
            <w:vAlign w:val="center"/>
            <w:hideMark/>
          </w:tcPr>
          <w:p w14:paraId="6EDCF94C"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6.11</w:t>
            </w:r>
          </w:p>
        </w:tc>
        <w:tc>
          <w:tcPr>
            <w:tcW w:w="378" w:type="pct"/>
            <w:vAlign w:val="center"/>
            <w:hideMark/>
          </w:tcPr>
          <w:p w14:paraId="6EDCF94D"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6.11</w:t>
            </w:r>
          </w:p>
        </w:tc>
        <w:tc>
          <w:tcPr>
            <w:tcW w:w="378" w:type="pct"/>
            <w:vAlign w:val="center"/>
            <w:hideMark/>
          </w:tcPr>
          <w:p w14:paraId="6EDCF94E"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6.10</w:t>
            </w:r>
          </w:p>
        </w:tc>
        <w:tc>
          <w:tcPr>
            <w:tcW w:w="378" w:type="pct"/>
            <w:vAlign w:val="center"/>
            <w:hideMark/>
          </w:tcPr>
          <w:p w14:paraId="6EDCF94F"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6.10</w:t>
            </w:r>
          </w:p>
        </w:tc>
        <w:tc>
          <w:tcPr>
            <w:tcW w:w="379" w:type="pct"/>
            <w:vAlign w:val="center"/>
            <w:hideMark/>
          </w:tcPr>
          <w:p w14:paraId="6EDCF950"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6.11</w:t>
            </w:r>
          </w:p>
        </w:tc>
        <w:tc>
          <w:tcPr>
            <w:tcW w:w="514" w:type="pct"/>
            <w:vAlign w:val="center"/>
          </w:tcPr>
          <w:p w14:paraId="6EDCF951"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+27%</w:t>
            </w:r>
          </w:p>
        </w:tc>
      </w:tr>
      <w:tr w:rsidR="00A9766F" w:rsidRPr="007114AF" w14:paraId="6EDCF95F" w14:textId="77777777" w:rsidTr="00A9766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03" w:type="pct"/>
            <w:vAlign w:val="center"/>
            <w:hideMark/>
          </w:tcPr>
          <w:p w14:paraId="6EDCF953"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Industritë e Energjisë: Vetëm shkarkimet e çrregullta </w:t>
            </w:r>
          </w:p>
        </w:tc>
        <w:tc>
          <w:tcPr>
            <w:tcW w:w="378" w:type="pct"/>
            <w:vAlign w:val="center"/>
            <w:hideMark/>
          </w:tcPr>
          <w:p w14:paraId="6EDCF954"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0.18</w:t>
            </w:r>
          </w:p>
        </w:tc>
        <w:tc>
          <w:tcPr>
            <w:tcW w:w="378" w:type="pct"/>
            <w:vAlign w:val="center"/>
            <w:hideMark/>
          </w:tcPr>
          <w:p w14:paraId="6EDCF955"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0.18</w:t>
            </w:r>
          </w:p>
        </w:tc>
        <w:tc>
          <w:tcPr>
            <w:tcW w:w="378" w:type="pct"/>
            <w:vAlign w:val="center"/>
            <w:hideMark/>
          </w:tcPr>
          <w:p w14:paraId="6EDCF956"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0.18</w:t>
            </w:r>
          </w:p>
        </w:tc>
        <w:tc>
          <w:tcPr>
            <w:tcW w:w="378" w:type="pct"/>
            <w:vAlign w:val="center"/>
            <w:hideMark/>
          </w:tcPr>
          <w:p w14:paraId="6EDCF957"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0.17</w:t>
            </w:r>
          </w:p>
        </w:tc>
        <w:tc>
          <w:tcPr>
            <w:tcW w:w="379" w:type="pct"/>
            <w:vAlign w:val="center"/>
            <w:hideMark/>
          </w:tcPr>
          <w:p w14:paraId="6EDCF958"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0.16</w:t>
            </w:r>
          </w:p>
        </w:tc>
        <w:tc>
          <w:tcPr>
            <w:tcW w:w="378" w:type="pct"/>
            <w:vAlign w:val="center"/>
            <w:hideMark/>
          </w:tcPr>
          <w:p w14:paraId="6EDCF959"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0.16</w:t>
            </w:r>
          </w:p>
        </w:tc>
        <w:tc>
          <w:tcPr>
            <w:tcW w:w="378" w:type="pct"/>
            <w:vAlign w:val="center"/>
            <w:hideMark/>
          </w:tcPr>
          <w:p w14:paraId="6EDCF95A"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0.16</w:t>
            </w:r>
          </w:p>
        </w:tc>
        <w:tc>
          <w:tcPr>
            <w:tcW w:w="378" w:type="pct"/>
            <w:vAlign w:val="center"/>
            <w:hideMark/>
          </w:tcPr>
          <w:p w14:paraId="6EDCF95B"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0.16</w:t>
            </w:r>
          </w:p>
        </w:tc>
        <w:tc>
          <w:tcPr>
            <w:tcW w:w="378" w:type="pct"/>
            <w:vAlign w:val="center"/>
            <w:hideMark/>
          </w:tcPr>
          <w:p w14:paraId="6EDCF95C"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0.16</w:t>
            </w:r>
          </w:p>
        </w:tc>
        <w:tc>
          <w:tcPr>
            <w:tcW w:w="379" w:type="pct"/>
            <w:vAlign w:val="center"/>
            <w:hideMark/>
          </w:tcPr>
          <w:p w14:paraId="6EDCF95D"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0.15</w:t>
            </w:r>
          </w:p>
        </w:tc>
        <w:tc>
          <w:tcPr>
            <w:tcW w:w="514" w:type="pct"/>
            <w:vAlign w:val="center"/>
          </w:tcPr>
          <w:p w14:paraId="6EDCF95E"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+3%</w:t>
            </w:r>
          </w:p>
        </w:tc>
      </w:tr>
      <w:tr w:rsidR="00A9766F" w:rsidRPr="007114AF" w14:paraId="6EDCF96C" w14:textId="77777777" w:rsidTr="00A9766F">
        <w:trPr>
          <w:trHeight w:val="300"/>
          <w:jc w:val="center"/>
        </w:trPr>
        <w:tc>
          <w:tcPr>
            <w:cnfStyle w:val="001000000000" w:firstRow="0" w:lastRow="0" w:firstColumn="1" w:lastColumn="0" w:oddVBand="0" w:evenVBand="0" w:oddHBand="0" w:evenHBand="0" w:firstRowFirstColumn="0" w:firstRowLastColumn="0" w:lastRowFirstColumn="0" w:lastRowLastColumn="0"/>
            <w:tcW w:w="703" w:type="pct"/>
            <w:vAlign w:val="center"/>
            <w:hideMark/>
          </w:tcPr>
          <w:p w14:paraId="6EDCF960" w14:textId="638C43B9" w:rsidR="00A9766F" w:rsidRPr="007114AF" w:rsidRDefault="00A9766F" w:rsidP="00A9766F">
            <w:pPr>
              <w:rPr>
                <w:rFonts w:ascii="Garamond" w:hAnsi="Garamond" w:cs="Calibri"/>
                <w:b w:val="0"/>
                <w:sz w:val="18"/>
                <w:szCs w:val="18"/>
              </w:rPr>
            </w:pPr>
            <w:r w:rsidRPr="007114AF">
              <w:rPr>
                <w:rFonts w:ascii="Garamond" w:hAnsi="Garamond" w:cs="Calibri"/>
                <w:sz w:val="18"/>
                <w:szCs w:val="18"/>
              </w:rPr>
              <w:t>Industria përpunuese dhe ndërtimi</w:t>
            </w:r>
            <w:r w:rsidR="000A2A01" w:rsidRPr="007114AF">
              <w:rPr>
                <w:rFonts w:ascii="Garamond" w:hAnsi="Garamond" w:cs="Calibri"/>
                <w:sz w:val="18"/>
                <w:szCs w:val="18"/>
              </w:rPr>
              <w:t xml:space="preserve"> </w:t>
            </w:r>
          </w:p>
        </w:tc>
        <w:tc>
          <w:tcPr>
            <w:tcW w:w="378" w:type="pct"/>
            <w:vAlign w:val="center"/>
            <w:hideMark/>
          </w:tcPr>
          <w:p w14:paraId="6EDCF961"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14.88</w:t>
            </w:r>
          </w:p>
        </w:tc>
        <w:tc>
          <w:tcPr>
            <w:tcW w:w="378" w:type="pct"/>
            <w:vAlign w:val="center"/>
            <w:hideMark/>
          </w:tcPr>
          <w:p w14:paraId="6EDCF962"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14.87</w:t>
            </w:r>
          </w:p>
        </w:tc>
        <w:tc>
          <w:tcPr>
            <w:tcW w:w="378" w:type="pct"/>
            <w:vAlign w:val="center"/>
            <w:hideMark/>
          </w:tcPr>
          <w:p w14:paraId="6EDCF963"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14.45</w:t>
            </w:r>
          </w:p>
        </w:tc>
        <w:tc>
          <w:tcPr>
            <w:tcW w:w="378" w:type="pct"/>
            <w:vAlign w:val="center"/>
            <w:hideMark/>
          </w:tcPr>
          <w:p w14:paraId="6EDCF964"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13.89</w:t>
            </w:r>
          </w:p>
        </w:tc>
        <w:tc>
          <w:tcPr>
            <w:tcW w:w="379" w:type="pct"/>
            <w:vAlign w:val="center"/>
            <w:hideMark/>
          </w:tcPr>
          <w:p w14:paraId="6EDCF965"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13.91</w:t>
            </w:r>
          </w:p>
        </w:tc>
        <w:tc>
          <w:tcPr>
            <w:tcW w:w="378" w:type="pct"/>
            <w:vAlign w:val="center"/>
            <w:hideMark/>
          </w:tcPr>
          <w:p w14:paraId="6EDCF966"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13.91</w:t>
            </w:r>
          </w:p>
        </w:tc>
        <w:tc>
          <w:tcPr>
            <w:tcW w:w="378" w:type="pct"/>
            <w:vAlign w:val="center"/>
            <w:hideMark/>
          </w:tcPr>
          <w:p w14:paraId="6EDCF967"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13.91</w:t>
            </w:r>
          </w:p>
        </w:tc>
        <w:tc>
          <w:tcPr>
            <w:tcW w:w="378" w:type="pct"/>
            <w:vAlign w:val="center"/>
            <w:hideMark/>
          </w:tcPr>
          <w:p w14:paraId="6EDCF968"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13.91</w:t>
            </w:r>
          </w:p>
        </w:tc>
        <w:tc>
          <w:tcPr>
            <w:tcW w:w="378" w:type="pct"/>
            <w:vAlign w:val="center"/>
            <w:hideMark/>
          </w:tcPr>
          <w:p w14:paraId="6EDCF969"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13.91</w:t>
            </w:r>
          </w:p>
        </w:tc>
        <w:tc>
          <w:tcPr>
            <w:tcW w:w="379" w:type="pct"/>
            <w:vAlign w:val="center"/>
            <w:hideMark/>
          </w:tcPr>
          <w:p w14:paraId="6EDCF96A"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13.92</w:t>
            </w:r>
          </w:p>
        </w:tc>
        <w:tc>
          <w:tcPr>
            <w:tcW w:w="514" w:type="pct"/>
            <w:vAlign w:val="center"/>
          </w:tcPr>
          <w:p w14:paraId="6EDCF96B"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+16%</w:t>
            </w:r>
          </w:p>
        </w:tc>
      </w:tr>
      <w:tr w:rsidR="00A9766F" w:rsidRPr="007114AF" w14:paraId="6EDCF979" w14:textId="77777777" w:rsidTr="00A9766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3" w:type="pct"/>
            <w:vAlign w:val="center"/>
            <w:hideMark/>
          </w:tcPr>
          <w:p w14:paraId="6EDCF96D"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Transporti </w:t>
            </w:r>
          </w:p>
        </w:tc>
        <w:tc>
          <w:tcPr>
            <w:tcW w:w="378" w:type="pct"/>
            <w:vAlign w:val="center"/>
            <w:hideMark/>
          </w:tcPr>
          <w:p w14:paraId="6EDCF96E"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44.15</w:t>
            </w:r>
          </w:p>
        </w:tc>
        <w:tc>
          <w:tcPr>
            <w:tcW w:w="378" w:type="pct"/>
            <w:vAlign w:val="center"/>
            <w:hideMark/>
          </w:tcPr>
          <w:p w14:paraId="6EDCF96F"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44.21</w:t>
            </w:r>
          </w:p>
        </w:tc>
        <w:tc>
          <w:tcPr>
            <w:tcW w:w="378" w:type="pct"/>
            <w:vAlign w:val="center"/>
            <w:hideMark/>
          </w:tcPr>
          <w:p w14:paraId="6EDCF970"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44.60</w:t>
            </w:r>
          </w:p>
        </w:tc>
        <w:tc>
          <w:tcPr>
            <w:tcW w:w="378" w:type="pct"/>
            <w:vAlign w:val="center"/>
            <w:hideMark/>
          </w:tcPr>
          <w:p w14:paraId="6EDCF971"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44.90</w:t>
            </w:r>
          </w:p>
        </w:tc>
        <w:tc>
          <w:tcPr>
            <w:tcW w:w="379" w:type="pct"/>
            <w:vAlign w:val="center"/>
            <w:hideMark/>
          </w:tcPr>
          <w:p w14:paraId="6EDCF972"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45.02</w:t>
            </w:r>
          </w:p>
        </w:tc>
        <w:tc>
          <w:tcPr>
            <w:tcW w:w="378" w:type="pct"/>
            <w:vAlign w:val="center"/>
            <w:hideMark/>
          </w:tcPr>
          <w:p w14:paraId="6EDCF973"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45.02</w:t>
            </w:r>
          </w:p>
        </w:tc>
        <w:tc>
          <w:tcPr>
            <w:tcW w:w="378" w:type="pct"/>
            <w:vAlign w:val="center"/>
            <w:hideMark/>
          </w:tcPr>
          <w:p w14:paraId="6EDCF974"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45.02</w:t>
            </w:r>
          </w:p>
        </w:tc>
        <w:tc>
          <w:tcPr>
            <w:tcW w:w="378" w:type="pct"/>
            <w:vAlign w:val="center"/>
            <w:hideMark/>
          </w:tcPr>
          <w:p w14:paraId="6EDCF975"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45.00</w:t>
            </w:r>
          </w:p>
        </w:tc>
        <w:tc>
          <w:tcPr>
            <w:tcW w:w="378" w:type="pct"/>
            <w:vAlign w:val="center"/>
            <w:hideMark/>
          </w:tcPr>
          <w:p w14:paraId="6EDCF976"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45.00</w:t>
            </w:r>
          </w:p>
        </w:tc>
        <w:tc>
          <w:tcPr>
            <w:tcW w:w="379" w:type="pct"/>
            <w:vAlign w:val="center"/>
            <w:hideMark/>
          </w:tcPr>
          <w:p w14:paraId="6EDCF977"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45.08</w:t>
            </w:r>
          </w:p>
        </w:tc>
        <w:tc>
          <w:tcPr>
            <w:tcW w:w="514" w:type="pct"/>
            <w:vAlign w:val="center"/>
          </w:tcPr>
          <w:p w14:paraId="6EDCF978"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+27%</w:t>
            </w:r>
          </w:p>
        </w:tc>
      </w:tr>
      <w:tr w:rsidR="00A9766F" w:rsidRPr="007114AF" w14:paraId="6EDCF986" w14:textId="77777777" w:rsidTr="00A9766F">
        <w:trPr>
          <w:trHeight w:val="300"/>
          <w:jc w:val="center"/>
        </w:trPr>
        <w:tc>
          <w:tcPr>
            <w:cnfStyle w:val="001000000000" w:firstRow="0" w:lastRow="0" w:firstColumn="1" w:lastColumn="0" w:oddVBand="0" w:evenVBand="0" w:oddHBand="0" w:evenHBand="0" w:firstRowFirstColumn="0" w:firstRowLastColumn="0" w:lastRowFirstColumn="0" w:lastRowLastColumn="0"/>
            <w:tcW w:w="703" w:type="pct"/>
            <w:vAlign w:val="center"/>
            <w:hideMark/>
          </w:tcPr>
          <w:p w14:paraId="6EDCF97A"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Sektori i banesave </w:t>
            </w:r>
          </w:p>
        </w:tc>
        <w:tc>
          <w:tcPr>
            <w:tcW w:w="378" w:type="pct"/>
            <w:vAlign w:val="center"/>
            <w:hideMark/>
          </w:tcPr>
          <w:p w14:paraId="6EDCF97B"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22.93</w:t>
            </w:r>
          </w:p>
        </w:tc>
        <w:tc>
          <w:tcPr>
            <w:tcW w:w="378" w:type="pct"/>
            <w:vAlign w:val="center"/>
            <w:hideMark/>
          </w:tcPr>
          <w:p w14:paraId="6EDCF97C"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22.91</w:t>
            </w:r>
          </w:p>
        </w:tc>
        <w:tc>
          <w:tcPr>
            <w:tcW w:w="378" w:type="pct"/>
            <w:vAlign w:val="center"/>
            <w:hideMark/>
          </w:tcPr>
          <w:p w14:paraId="6EDCF97D"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22.95</w:t>
            </w:r>
          </w:p>
        </w:tc>
        <w:tc>
          <w:tcPr>
            <w:tcW w:w="378" w:type="pct"/>
            <w:vAlign w:val="center"/>
            <w:hideMark/>
          </w:tcPr>
          <w:p w14:paraId="6EDCF97E"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23.07</w:t>
            </w:r>
          </w:p>
        </w:tc>
        <w:tc>
          <w:tcPr>
            <w:tcW w:w="379" w:type="pct"/>
            <w:vAlign w:val="center"/>
            <w:hideMark/>
          </w:tcPr>
          <w:p w14:paraId="6EDCF97F"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22.89</w:t>
            </w:r>
          </w:p>
        </w:tc>
        <w:tc>
          <w:tcPr>
            <w:tcW w:w="378" w:type="pct"/>
            <w:vAlign w:val="center"/>
            <w:hideMark/>
          </w:tcPr>
          <w:p w14:paraId="6EDCF980"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22.89</w:t>
            </w:r>
          </w:p>
        </w:tc>
        <w:tc>
          <w:tcPr>
            <w:tcW w:w="378" w:type="pct"/>
            <w:vAlign w:val="center"/>
            <w:hideMark/>
          </w:tcPr>
          <w:p w14:paraId="6EDCF981"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22.89</w:t>
            </w:r>
          </w:p>
        </w:tc>
        <w:tc>
          <w:tcPr>
            <w:tcW w:w="378" w:type="pct"/>
            <w:vAlign w:val="center"/>
            <w:hideMark/>
          </w:tcPr>
          <w:p w14:paraId="6EDCF982"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22.93</w:t>
            </w:r>
          </w:p>
        </w:tc>
        <w:tc>
          <w:tcPr>
            <w:tcW w:w="378" w:type="pct"/>
            <w:vAlign w:val="center"/>
            <w:hideMark/>
          </w:tcPr>
          <w:p w14:paraId="6EDCF983"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22.93</w:t>
            </w:r>
          </w:p>
        </w:tc>
        <w:tc>
          <w:tcPr>
            <w:tcW w:w="379" w:type="pct"/>
            <w:vAlign w:val="center"/>
            <w:hideMark/>
          </w:tcPr>
          <w:p w14:paraId="6EDCF984"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22.83</w:t>
            </w:r>
          </w:p>
        </w:tc>
        <w:tc>
          <w:tcPr>
            <w:tcW w:w="514" w:type="pct"/>
            <w:vAlign w:val="center"/>
          </w:tcPr>
          <w:p w14:paraId="6EDCF985"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+24%</w:t>
            </w:r>
          </w:p>
        </w:tc>
      </w:tr>
      <w:tr w:rsidR="00A9766F" w:rsidRPr="007114AF" w14:paraId="6EDCF993" w14:textId="77777777" w:rsidTr="00A9766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3" w:type="pct"/>
            <w:vAlign w:val="center"/>
            <w:hideMark/>
          </w:tcPr>
          <w:p w14:paraId="6EDCF987" w14:textId="77777777" w:rsidR="00A9766F" w:rsidRPr="007114AF" w:rsidRDefault="00A9766F" w:rsidP="00A9766F">
            <w:pPr>
              <w:rPr>
                <w:rFonts w:ascii="Garamond" w:hAnsi="Garamond" w:cs="Calibri"/>
                <w:b w:val="0"/>
                <w:sz w:val="18"/>
                <w:szCs w:val="18"/>
              </w:rPr>
            </w:pPr>
            <w:r w:rsidRPr="007114AF">
              <w:rPr>
                <w:rFonts w:ascii="Garamond" w:hAnsi="Garamond" w:cs="Calibri"/>
                <w:sz w:val="18"/>
                <w:szCs w:val="18"/>
              </w:rPr>
              <w:t xml:space="preserve">Shërbimi </w:t>
            </w:r>
          </w:p>
        </w:tc>
        <w:tc>
          <w:tcPr>
            <w:tcW w:w="378" w:type="pct"/>
            <w:vAlign w:val="center"/>
            <w:hideMark/>
          </w:tcPr>
          <w:p w14:paraId="6EDCF988"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4.71</w:t>
            </w:r>
          </w:p>
        </w:tc>
        <w:tc>
          <w:tcPr>
            <w:tcW w:w="378" w:type="pct"/>
            <w:vAlign w:val="center"/>
            <w:hideMark/>
          </w:tcPr>
          <w:p w14:paraId="6EDCF989"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4.68</w:t>
            </w:r>
          </w:p>
        </w:tc>
        <w:tc>
          <w:tcPr>
            <w:tcW w:w="378" w:type="pct"/>
            <w:vAlign w:val="center"/>
            <w:hideMark/>
          </w:tcPr>
          <w:p w14:paraId="6EDCF98A"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4.72</w:t>
            </w:r>
          </w:p>
        </w:tc>
        <w:tc>
          <w:tcPr>
            <w:tcW w:w="378" w:type="pct"/>
            <w:vAlign w:val="center"/>
            <w:hideMark/>
          </w:tcPr>
          <w:p w14:paraId="6EDCF98B"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4.75</w:t>
            </w:r>
          </w:p>
        </w:tc>
        <w:tc>
          <w:tcPr>
            <w:tcW w:w="379" w:type="pct"/>
            <w:vAlign w:val="center"/>
            <w:hideMark/>
          </w:tcPr>
          <w:p w14:paraId="6EDCF98C"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4.76</w:t>
            </w:r>
          </w:p>
        </w:tc>
        <w:tc>
          <w:tcPr>
            <w:tcW w:w="378" w:type="pct"/>
            <w:vAlign w:val="center"/>
            <w:hideMark/>
          </w:tcPr>
          <w:p w14:paraId="6EDCF98D"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4.76</w:t>
            </w:r>
          </w:p>
        </w:tc>
        <w:tc>
          <w:tcPr>
            <w:tcW w:w="378" w:type="pct"/>
            <w:vAlign w:val="center"/>
            <w:hideMark/>
          </w:tcPr>
          <w:p w14:paraId="6EDCF98E"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4.76</w:t>
            </w:r>
          </w:p>
        </w:tc>
        <w:tc>
          <w:tcPr>
            <w:tcW w:w="378" w:type="pct"/>
            <w:vAlign w:val="center"/>
            <w:hideMark/>
          </w:tcPr>
          <w:p w14:paraId="6EDCF98F"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4.76</w:t>
            </w:r>
          </w:p>
        </w:tc>
        <w:tc>
          <w:tcPr>
            <w:tcW w:w="378" w:type="pct"/>
            <w:vAlign w:val="center"/>
            <w:hideMark/>
          </w:tcPr>
          <w:p w14:paraId="6EDCF990"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4.76</w:t>
            </w:r>
          </w:p>
        </w:tc>
        <w:tc>
          <w:tcPr>
            <w:tcW w:w="379" w:type="pct"/>
            <w:vAlign w:val="center"/>
            <w:hideMark/>
          </w:tcPr>
          <w:p w14:paraId="6EDCF991"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4.74</w:t>
            </w:r>
          </w:p>
        </w:tc>
        <w:tc>
          <w:tcPr>
            <w:tcW w:w="514" w:type="pct"/>
            <w:vAlign w:val="center"/>
          </w:tcPr>
          <w:p w14:paraId="6EDCF992" w14:textId="77777777" w:rsidR="00A9766F" w:rsidRPr="007114AF" w:rsidRDefault="00A9766F" w:rsidP="00A9766F">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+25%</w:t>
            </w:r>
          </w:p>
        </w:tc>
      </w:tr>
      <w:tr w:rsidR="00A9766F" w:rsidRPr="007114AF" w14:paraId="6EDCF9A0" w14:textId="77777777" w:rsidTr="00A9766F">
        <w:trPr>
          <w:trHeight w:val="300"/>
          <w:jc w:val="center"/>
        </w:trPr>
        <w:tc>
          <w:tcPr>
            <w:cnfStyle w:val="001000000000" w:firstRow="0" w:lastRow="0" w:firstColumn="1" w:lastColumn="0" w:oddVBand="0" w:evenVBand="0" w:oddHBand="0" w:evenHBand="0" w:firstRowFirstColumn="0" w:firstRowLastColumn="0" w:lastRowFirstColumn="0" w:lastRowLastColumn="0"/>
            <w:tcW w:w="703" w:type="pct"/>
            <w:vAlign w:val="center"/>
            <w:hideMark/>
          </w:tcPr>
          <w:p w14:paraId="6EDCF994" w14:textId="34074B15" w:rsidR="00A9766F" w:rsidRPr="007114AF" w:rsidRDefault="00A9766F" w:rsidP="00A9766F">
            <w:pPr>
              <w:rPr>
                <w:rFonts w:ascii="Garamond" w:hAnsi="Garamond" w:cs="Calibri"/>
                <w:b w:val="0"/>
                <w:sz w:val="18"/>
                <w:szCs w:val="18"/>
              </w:rPr>
            </w:pPr>
            <w:r w:rsidRPr="007114AF">
              <w:rPr>
                <w:rFonts w:ascii="Garamond" w:hAnsi="Garamond" w:cs="Calibri"/>
                <w:sz w:val="18"/>
                <w:szCs w:val="18"/>
              </w:rPr>
              <w:t>Bujqësia</w:t>
            </w:r>
            <w:r w:rsidR="000A2A01" w:rsidRPr="007114AF">
              <w:rPr>
                <w:rFonts w:ascii="Garamond" w:hAnsi="Garamond" w:cs="Calibri"/>
                <w:sz w:val="18"/>
                <w:szCs w:val="18"/>
              </w:rPr>
              <w:t xml:space="preserve"> </w:t>
            </w:r>
          </w:p>
        </w:tc>
        <w:tc>
          <w:tcPr>
            <w:tcW w:w="378" w:type="pct"/>
            <w:vAlign w:val="center"/>
            <w:hideMark/>
          </w:tcPr>
          <w:p w14:paraId="6EDCF995"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7.17</w:t>
            </w:r>
          </w:p>
        </w:tc>
        <w:tc>
          <w:tcPr>
            <w:tcW w:w="378" w:type="pct"/>
            <w:vAlign w:val="center"/>
            <w:hideMark/>
          </w:tcPr>
          <w:p w14:paraId="6EDCF996"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7.16</w:t>
            </w:r>
          </w:p>
        </w:tc>
        <w:tc>
          <w:tcPr>
            <w:tcW w:w="378" w:type="pct"/>
            <w:vAlign w:val="center"/>
            <w:hideMark/>
          </w:tcPr>
          <w:p w14:paraId="6EDCF997"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7.08</w:t>
            </w:r>
          </w:p>
        </w:tc>
        <w:tc>
          <w:tcPr>
            <w:tcW w:w="378" w:type="pct"/>
            <w:vAlign w:val="center"/>
            <w:hideMark/>
          </w:tcPr>
          <w:p w14:paraId="6EDCF998"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7.13</w:t>
            </w:r>
          </w:p>
        </w:tc>
        <w:tc>
          <w:tcPr>
            <w:tcW w:w="379" w:type="pct"/>
            <w:vAlign w:val="center"/>
            <w:hideMark/>
          </w:tcPr>
          <w:p w14:paraId="6EDCF999"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7.15</w:t>
            </w:r>
          </w:p>
        </w:tc>
        <w:tc>
          <w:tcPr>
            <w:tcW w:w="378" w:type="pct"/>
            <w:vAlign w:val="center"/>
            <w:hideMark/>
          </w:tcPr>
          <w:p w14:paraId="6EDCF99A"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7.15</w:t>
            </w:r>
          </w:p>
        </w:tc>
        <w:tc>
          <w:tcPr>
            <w:tcW w:w="378" w:type="pct"/>
            <w:vAlign w:val="center"/>
            <w:hideMark/>
          </w:tcPr>
          <w:p w14:paraId="6EDCF99B"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7.15</w:t>
            </w:r>
          </w:p>
        </w:tc>
        <w:tc>
          <w:tcPr>
            <w:tcW w:w="378" w:type="pct"/>
            <w:vAlign w:val="center"/>
            <w:hideMark/>
          </w:tcPr>
          <w:p w14:paraId="6EDCF99C"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7.14</w:t>
            </w:r>
          </w:p>
        </w:tc>
        <w:tc>
          <w:tcPr>
            <w:tcW w:w="378" w:type="pct"/>
            <w:vAlign w:val="center"/>
            <w:hideMark/>
          </w:tcPr>
          <w:p w14:paraId="6EDCF99D"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7.14</w:t>
            </w:r>
          </w:p>
        </w:tc>
        <w:tc>
          <w:tcPr>
            <w:tcW w:w="379" w:type="pct"/>
            <w:vAlign w:val="center"/>
            <w:hideMark/>
          </w:tcPr>
          <w:p w14:paraId="6EDCF99E"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7.16</w:t>
            </w:r>
          </w:p>
        </w:tc>
        <w:tc>
          <w:tcPr>
            <w:tcW w:w="514" w:type="pct"/>
            <w:vAlign w:val="center"/>
          </w:tcPr>
          <w:p w14:paraId="6EDCF99F" w14:textId="77777777" w:rsidR="00A9766F" w:rsidRPr="007114AF" w:rsidRDefault="00A9766F" w:rsidP="00A9766F">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+24%</w:t>
            </w:r>
          </w:p>
        </w:tc>
      </w:tr>
    </w:tbl>
    <w:p w14:paraId="6EDCF9A1" w14:textId="77777777" w:rsidR="00A9766F" w:rsidRPr="007114AF" w:rsidRDefault="00A9766F" w:rsidP="0018372B">
      <w:pPr>
        <w:spacing w:after="0" w:line="240" w:lineRule="auto"/>
        <w:ind w:firstLine="284"/>
        <w:rPr>
          <w:rFonts w:ascii="Garamond" w:hAnsi="Garamond"/>
        </w:rPr>
      </w:pPr>
    </w:p>
    <w:p w14:paraId="6EDCF9A2" w14:textId="62376386" w:rsidR="00A9766F" w:rsidRPr="007114AF" w:rsidRDefault="00A9766F" w:rsidP="0018372B">
      <w:pPr>
        <w:pStyle w:val="TEKSTI"/>
      </w:pPr>
      <w:bookmarkStart w:id="72" w:name="_Toc446403349"/>
      <w:r w:rsidRPr="007114AF">
        <w:rPr>
          <w:b/>
        </w:rPr>
        <w:t>Aktivitetet bujqësore</w:t>
      </w:r>
      <w:r w:rsidRPr="007114AF">
        <w:t xml:space="preserve"> (kultivimi i të mbjellave dhe rritja e blegtorisë për plotësimin e nevojave të njerëzve me ushqim) kontribuojnë në shkarkime në shumë mënyra: shkarkimet CH</w:t>
      </w:r>
      <w:r w:rsidRPr="007114AF">
        <w:rPr>
          <w:vertAlign w:val="subscript"/>
        </w:rPr>
        <w:t>4</w:t>
      </w:r>
      <w:r w:rsidRPr="007114AF">
        <w:t xml:space="preserve"> dhe N</w:t>
      </w:r>
      <w:r w:rsidRPr="007114AF">
        <w:rPr>
          <w:vertAlign w:val="subscript"/>
        </w:rPr>
        <w:t>2</w:t>
      </w:r>
      <w:r w:rsidRPr="007114AF">
        <w:t>O nga bagëtitë shtëpiake (fermentimi i zorrëve dhe menaxhimi i plehrave organike); CH</w:t>
      </w:r>
      <w:r w:rsidRPr="007114AF">
        <w:rPr>
          <w:vertAlign w:val="subscript"/>
        </w:rPr>
        <w:t>4</w:t>
      </w:r>
      <w:r w:rsidRPr="007114AF">
        <w:t>, CO, N</w:t>
      </w:r>
      <w:r w:rsidRPr="007114AF">
        <w:rPr>
          <w:vertAlign w:val="subscript"/>
        </w:rPr>
        <w:t>2</w:t>
      </w:r>
      <w:r w:rsidRPr="007114AF">
        <w:t>O, dhe shkarkimet NO</w:t>
      </w:r>
      <w:r w:rsidRPr="007114AF">
        <w:rPr>
          <w:vertAlign w:val="subscript"/>
        </w:rPr>
        <w:t>X</w:t>
      </w:r>
      <w:r w:rsidR="005351B0" w:rsidRPr="007114AF">
        <w:rPr>
          <w:vertAlign w:val="subscript"/>
        </w:rPr>
        <w:t xml:space="preserve"> </w:t>
      </w:r>
      <w:r w:rsidRPr="007114AF">
        <w:t>nga djegia e mbetjeve bujqësore; shkarkimet CH</w:t>
      </w:r>
      <w:r w:rsidRPr="007114AF">
        <w:rPr>
          <w:vertAlign w:val="subscript"/>
        </w:rPr>
        <w:t>4</w:t>
      </w:r>
      <w:r w:rsidRPr="007114AF">
        <w:t>, dhe N</w:t>
      </w:r>
      <w:r w:rsidRPr="007114AF">
        <w:rPr>
          <w:vertAlign w:val="subscript"/>
        </w:rPr>
        <w:t>2</w:t>
      </w:r>
      <w:r w:rsidRPr="007114AF">
        <w:t>O nga tokat bujqësore për shkak të fertilizimit dhe praktikave të menaxhimit, shkarkimet nga sektori i bujqësisë kanë rënë gjatë periudhës 2000</w:t>
      </w:r>
      <w:r w:rsidR="005351B0" w:rsidRPr="007114AF">
        <w:t>–</w:t>
      </w:r>
      <w:r w:rsidRPr="007114AF">
        <w:t>2009, si pasojë e reduktimit të CH</w:t>
      </w:r>
      <w:r w:rsidRPr="007114AF">
        <w:rPr>
          <w:vertAlign w:val="subscript"/>
        </w:rPr>
        <w:t>4</w:t>
      </w:r>
      <w:r w:rsidRPr="007114AF">
        <w:t>të shkarkuar nga sektori i blegtorisë, për shkak të fermentimit të zorrëve dhe menaxhimit të plehrave organike pas tkurrjes së numrit të kafshëve.</w:t>
      </w:r>
    </w:p>
    <w:p w14:paraId="6EDCF9A3" w14:textId="24714142" w:rsidR="00A9766F" w:rsidRPr="007114AF" w:rsidRDefault="00A9766F" w:rsidP="0018372B">
      <w:pPr>
        <w:pStyle w:val="TEKSTI"/>
      </w:pPr>
      <w:r w:rsidRPr="007114AF">
        <w:rPr>
          <w:b/>
        </w:rPr>
        <w:t>Sektori LULUCF-ë</w:t>
      </w:r>
      <w:r w:rsidRPr="007114AF">
        <w:t xml:space="preserve"> zë shkarkimet dhe përthithjen e CO</w:t>
      </w:r>
      <w:r w:rsidRPr="007114AF">
        <w:rPr>
          <w:vertAlign w:val="subscript"/>
        </w:rPr>
        <w:t>2</w:t>
      </w:r>
      <w:r w:rsidRPr="007114AF">
        <w:t xml:space="preserve"> në gjashtë përdorimet e tokës (pyje, tokë bujqësore, kullota, ligatina, vendbanime dhe toka të tjera), për shkak të menaxhimit dhe ndryshimit të përdorimit të tokës. Balanca e shkarkimeve/sekuestrimit të sektorit dominohet nga shkarkimet e pyjeve, si pasojë e menaxhimit të tyre të paqëndrueshëm, që e bën këtë sektor një burim neto shkarkimesh, shkaktuar nga përdorimi i lartë i biomasës krahasuar me rritjen natyrore vjetore të pyjeve. Në të kundërt, shkarkimet LULUCF-ë ndjekin një prirje në rënie, që shkon nga 2295 GtCO</w:t>
      </w:r>
      <w:r w:rsidRPr="007114AF">
        <w:rPr>
          <w:vertAlign w:val="subscript"/>
        </w:rPr>
        <w:t>2</w:t>
      </w:r>
      <w:r w:rsidRPr="007114AF">
        <w:t>eq në vitin 2000 në</w:t>
      </w:r>
      <w:r w:rsidR="00E77013" w:rsidRPr="007114AF">
        <w:t xml:space="preserve"> </w:t>
      </w:r>
      <w:r w:rsidRPr="007114AF">
        <w:t>213 GtCO</w:t>
      </w:r>
      <w:r w:rsidRPr="007114AF">
        <w:rPr>
          <w:vertAlign w:val="subscript"/>
        </w:rPr>
        <w:t>2</w:t>
      </w:r>
      <w:r w:rsidRPr="007114AF">
        <w:t>eq në</w:t>
      </w:r>
      <w:r w:rsidR="00EC3C86">
        <w:t xml:space="preserve"> </w:t>
      </w:r>
      <w:r w:rsidRPr="007114AF">
        <w:t>vitin 2009. Zbatimi i parimeve të menaxhimit të qëndrueshëm të pyjeve në vijimësi do t</w:t>
      </w:r>
      <w:r w:rsidR="00D10DAB" w:rsidRPr="007114AF">
        <w:t>’</w:t>
      </w:r>
      <w:r w:rsidRPr="007114AF">
        <w:t>i kthejë ato në një sekuestrues të GES-it.</w:t>
      </w:r>
    </w:p>
    <w:p w14:paraId="6EDCF9A4" w14:textId="27E1398D" w:rsidR="00A9766F" w:rsidRPr="007114AF" w:rsidRDefault="00A9766F" w:rsidP="0018372B">
      <w:pPr>
        <w:pStyle w:val="TEKSTI"/>
      </w:pPr>
      <w:r w:rsidRPr="007114AF">
        <w:t>Pasiguria e përgjithshme kombëtare e inventarit GES</w:t>
      </w:r>
      <w:r w:rsidR="00EC3C86">
        <w:t xml:space="preserve"> </w:t>
      </w:r>
      <w:r w:rsidRPr="007114AF">
        <w:t>është 9.92% dhe kontribuesi kryesor për këtë pasiguri janë shkarkimet e CO</w:t>
      </w:r>
      <w:r w:rsidRPr="007114AF">
        <w:rPr>
          <w:vertAlign w:val="subscript"/>
        </w:rPr>
        <w:t>2</w:t>
      </w:r>
      <w:r w:rsidRPr="007114AF">
        <w:t>, nga konsumi i druve të zjarrit në sektorët e banesave</w:t>
      </w:r>
      <w:r w:rsidR="00E77013" w:rsidRPr="007114AF">
        <w:t xml:space="preserve"> </w:t>
      </w:r>
      <w:r w:rsidRPr="007114AF">
        <w:t>dhe të shërbimeve. Kjo vjen sidomos nga një shkallë e madhe pasigurie e të dhënave të aktivitetit në këtë nënkategori (sidomos vetëkontrolli i druve të zjarrit nga zonat rurale).</w:t>
      </w:r>
    </w:p>
    <w:p w14:paraId="6EDCF9A5" w14:textId="77777777" w:rsidR="00A9766F" w:rsidRPr="007114AF" w:rsidRDefault="00A9766F" w:rsidP="0018372B">
      <w:pPr>
        <w:pStyle w:val="TEKSTI"/>
      </w:pPr>
      <w:r w:rsidRPr="007114AF">
        <w:t xml:space="preserve">Gjatë tranzicionit në statusin e Aneksit I, Shqipëria do të duhet të përmirësojë shumë mbledhjen e të dhënave dhe sistemin përpunues, duke krijuar një kuadër të fortë institucional dhe ligjor për të përmirësuar inventarin transparent, të saktë, të plotë, të krahasueshëm dhe të qëndrueshëm, në përputhje me sistemet ndërkombëtare (UNFCCC-ë) dhe të BE-së (525/2013/UE) për monitorimin, raportimin dhe verifikimin. </w:t>
      </w:r>
    </w:p>
    <w:p w14:paraId="6EDCF9A6" w14:textId="77777777" w:rsidR="00A9766F" w:rsidRPr="007114AF" w:rsidRDefault="0018372B" w:rsidP="0018372B">
      <w:pPr>
        <w:pStyle w:val="TEKSTI"/>
        <w:rPr>
          <w:b/>
        </w:rPr>
      </w:pPr>
      <w:bookmarkStart w:id="73" w:name="_Toc484424487"/>
      <w:bookmarkStart w:id="74" w:name="_Toc449537132"/>
      <w:bookmarkStart w:id="75" w:name="_Toc450135237"/>
      <w:bookmarkStart w:id="76" w:name="_Toc450151840"/>
      <w:r w:rsidRPr="007114AF">
        <w:t xml:space="preserve">2.7.2 </w:t>
      </w:r>
      <w:r w:rsidR="00A9766F" w:rsidRPr="007114AF">
        <w:t>Parashikimi i prirjeve të shkarkimeve GES</w:t>
      </w:r>
      <w:bookmarkEnd w:id="72"/>
      <w:bookmarkEnd w:id="73"/>
      <w:bookmarkEnd w:id="74"/>
      <w:bookmarkEnd w:id="75"/>
      <w:bookmarkEnd w:id="76"/>
    </w:p>
    <w:p w14:paraId="6EDCF9A7" w14:textId="77777777" w:rsidR="00A9766F" w:rsidRPr="007114AF" w:rsidRDefault="0018372B" w:rsidP="0018372B">
      <w:pPr>
        <w:pStyle w:val="TEKSTI"/>
        <w:rPr>
          <w:b/>
        </w:rPr>
      </w:pPr>
      <w:bookmarkStart w:id="77" w:name="_Toc449537134"/>
      <w:r w:rsidRPr="007114AF">
        <w:rPr>
          <w:b/>
        </w:rPr>
        <w:t xml:space="preserve">2.7.2.1 </w:t>
      </w:r>
      <w:r w:rsidR="00A9766F" w:rsidRPr="007114AF">
        <w:rPr>
          <w:b/>
        </w:rPr>
        <w:t>Analiza e masave zbutëse e komunikimit të tretë kombëtar</w:t>
      </w:r>
      <w:bookmarkEnd w:id="77"/>
    </w:p>
    <w:p w14:paraId="6EDCF9A8" w14:textId="77777777" w:rsidR="00A9766F" w:rsidRPr="007114AF" w:rsidRDefault="00A9766F" w:rsidP="0018372B">
      <w:pPr>
        <w:pStyle w:val="TEKSTI"/>
        <w:rPr>
          <w:b/>
          <w:i/>
        </w:rPr>
      </w:pPr>
      <w:r w:rsidRPr="007114AF">
        <w:rPr>
          <w:b/>
          <w:i/>
        </w:rPr>
        <w:t>Sektori i energjisë</w:t>
      </w:r>
    </w:p>
    <w:p w14:paraId="6EDCF9A9" w14:textId="7ECC6BAC" w:rsidR="00A9766F" w:rsidRPr="007114AF" w:rsidRDefault="00A9766F" w:rsidP="0018372B">
      <w:pPr>
        <w:pStyle w:val="TEKSTI"/>
      </w:pPr>
      <w:r w:rsidRPr="007114AF">
        <w:t>Sipas popullsisë së pritshme dhe rritjes ekonomike të shprehur si PBB-ë, dhe vlerës së saj të shtuar nga çdo sektor, siç raportohet në KTK-ë.</w:t>
      </w:r>
      <w:r w:rsidR="0041140B" w:rsidRPr="007114AF">
        <w:t xml:space="preserve"> </w:t>
      </w:r>
      <w:r w:rsidRPr="007114AF">
        <w:t>Seksioni i analizave për masat zbutëse, shkarkimet GES të parashikuara të gazeve kryesore (CO2, CH4, N2O, shprehur si CO2 ekuivalent) nga gjithë sektorët që konsumojnë energji, duke përdorur</w:t>
      </w:r>
      <w:r w:rsidR="0041140B" w:rsidRPr="007114AF">
        <w:t xml:space="preserve"> </w:t>
      </w:r>
      <w:r w:rsidRPr="007114AF">
        <w:t>softuerin/modelin LEAP (Planifikim i Gjatë i Alternativave të Energjisë), pritet që pothuaj të dyfishohen nga 4795.6 kt në vitin 2009, në 9753.7 kt në vitin 2030. Kjo vlerë rritet, nëse marrin gjithashtu në konsideratë shkarkimet GES të gazeve kryesore (CO2, CH4, N2O, shprehur si CO2 ekuivalent) nga gjenerimi i energjisë elektrike, nxitur nga rritja e vlerësuar e kërkesës vjetore për energji elektrike në vitin 2030, që pritet të arrijë 13533 GWh. Duke pasur parasysh shkarkimet GES nga sektori i gjenerimit të energjisë (industritë e energjisë),shkarkimet totale GES nga gjithë sektorët që konsumojnë energji, rriten përafërsisht 2.15 herë nga 5108 kt CO</w:t>
      </w:r>
      <w:r w:rsidRPr="007114AF">
        <w:rPr>
          <w:vertAlign w:val="subscript"/>
        </w:rPr>
        <w:t>2</w:t>
      </w:r>
      <w:r w:rsidRPr="007114AF">
        <w:t>eq</w:t>
      </w:r>
      <w:r w:rsidR="0041140B" w:rsidRPr="007114AF">
        <w:t xml:space="preserve"> </w:t>
      </w:r>
      <w:r w:rsidRPr="007114AF">
        <w:t>në vitin</w:t>
      </w:r>
      <w:r w:rsidR="000A2A01" w:rsidRPr="007114AF">
        <w:t xml:space="preserve"> </w:t>
      </w:r>
      <w:r w:rsidRPr="007114AF">
        <w:t>2009 në 11004 kt CO</w:t>
      </w:r>
      <w:r w:rsidRPr="007114AF">
        <w:rPr>
          <w:vertAlign w:val="subscript"/>
        </w:rPr>
        <w:t>2</w:t>
      </w:r>
      <w:r w:rsidRPr="007114AF">
        <w:t>eq</w:t>
      </w:r>
      <w:r w:rsidR="0041140B" w:rsidRPr="007114AF">
        <w:t xml:space="preserve"> </w:t>
      </w:r>
      <w:r w:rsidRPr="007114AF">
        <w:t>në vitin 2030.</w:t>
      </w:r>
    </w:p>
    <w:p w14:paraId="6EDCF9AA" w14:textId="77777777" w:rsidR="00A9766F" w:rsidRPr="007114AF" w:rsidRDefault="00A9766F" w:rsidP="0018372B">
      <w:pPr>
        <w:pStyle w:val="TEKSTI"/>
      </w:pPr>
      <w:r w:rsidRPr="007114AF">
        <w:t xml:space="preserve">Sipas parashikimeve bazë të KTK-ës– seksioni për analizën e masave zbutëse, ndërsa shkarkimet absolute GES do të rriten, kontributi relativ i sektorëve do të ndryshojë si vijon: </w:t>
      </w:r>
    </w:p>
    <w:p w14:paraId="6EDCF9AB" w14:textId="77777777" w:rsidR="00A9766F" w:rsidRPr="007114AF" w:rsidRDefault="00F72723" w:rsidP="0018372B">
      <w:pPr>
        <w:pStyle w:val="TEKSTI"/>
      </w:pPr>
      <w:r w:rsidRPr="007114AF">
        <w:t xml:space="preserve">- </w:t>
      </w:r>
      <w:r w:rsidR="00A9766F" w:rsidRPr="007114AF">
        <w:t>Pjesa e familjeve do të bjerë nga 22.87% në vitin 2009 në 21.52% në vitin 2030, me gjithë faktin që shkarkimet totale GES nga familjet do të rriten në terma absolutë me përafërsisht dy herë nga viti 2009 deri në vitin 2030. Në fakt, sektori është shumë i rëndësishëm, duke qenë se konsumon më shumë se një të katërtën e energjisë totale, ndërsa përfaqëson gjithashtu një faktor të madh trysnie për sistemin e mbingarkuar të shpërndarjes së energjisë elektrike. Kërkesa për ngrohje nga familjet do të rritet, edhe me reduktimet në konsumin e paregjistruar të energjisë elektrike (përdorimi i paligjshëm). Energjia elektrike mbetet burimi kryesor për ngrohjen e banesave, duke përfaqësuar 60% të gjithë burimeve të energjisë, sidomos që prej vitit 2005, kur struktura e kërkesës për energjisë ka ndryshuar shumë (përveç zonave rurale), kryesisht për shkak të një ndryshimi nga drutë e zjarrit për ngrohje, gatim dhe ujë të ngrohtë, tek përdorimi i energjisë elektrike.</w:t>
      </w:r>
    </w:p>
    <w:p w14:paraId="6EDCF9AC" w14:textId="1AA08085" w:rsidR="00A9766F" w:rsidRPr="007114AF" w:rsidRDefault="00F72723" w:rsidP="0018372B">
      <w:pPr>
        <w:pStyle w:val="TEKSTI"/>
      </w:pPr>
      <w:r w:rsidRPr="007114AF">
        <w:t xml:space="preserve">- Pjesa e </w:t>
      </w:r>
      <w:r w:rsidR="00A9766F" w:rsidRPr="007114AF">
        <w:t>sektorit të shërbimit do të rritet nga 4.75% në vitin 2009 në 5.42% në vitin 2030, me një rritje neto të shkarkimeve GES nga sektori,</w:t>
      </w:r>
      <w:r w:rsidR="00EC3C86">
        <w:t xml:space="preserve"> </w:t>
      </w:r>
      <w:r w:rsidR="00A9766F" w:rsidRPr="007114AF">
        <w:t>përafërsisht 2.5 herë më shumë nga viti 2009 deri në vitin 2030. Megjithatë, rritja i detyrohet një rritjeje mjaft të përmbajtur të kërkesës për energji prej rreth 10%,falë njëfarë modernizimi të energjisë së adoptuar në mënyrë më intensive në sektorin e shërbimit, sesa në sektorin publik, që zakonisht kanë</w:t>
      </w:r>
      <w:r w:rsidR="00EC3C86">
        <w:t xml:space="preserve"> </w:t>
      </w:r>
      <w:r w:rsidR="00A9766F" w:rsidRPr="007114AF">
        <w:t xml:space="preserve">sisteme ngrohjeje të vjetra dhe mund të mbështetet vetëm në pak instalime të reja. </w:t>
      </w:r>
    </w:p>
    <w:p w14:paraId="6EDCF9AD" w14:textId="77777777" w:rsidR="00A9766F" w:rsidRPr="007114AF" w:rsidRDefault="00A9766F" w:rsidP="0018372B">
      <w:pPr>
        <w:pStyle w:val="TEKSTI"/>
      </w:pPr>
      <w:r w:rsidRPr="007114AF">
        <w:t>Pjesa e industrisë do të mbetet pak a shumë konstante, duke kaluar nga 13.94% në vitin 2009 në 13.98% në vitin 2030, me një rritje neto të shkarkimeve GES nga sektori, me përafërsisht dy herë nga viti 2009 deri në vitin 2030.</w:t>
      </w:r>
    </w:p>
    <w:p w14:paraId="6EDCF9AE" w14:textId="77777777" w:rsidR="00A9766F" w:rsidRPr="007114AF" w:rsidRDefault="00BA14F8" w:rsidP="0018372B">
      <w:pPr>
        <w:pStyle w:val="TEKSTI"/>
      </w:pPr>
      <w:r w:rsidRPr="007114AF">
        <w:t xml:space="preserve">- </w:t>
      </w:r>
      <w:r w:rsidR="00A9766F" w:rsidRPr="007114AF">
        <w:t xml:space="preserve">Pjesa e sektorit të transportit do të bjerë nga 45.15% në vitin 2009 në 40.97% në vitin 2030, ndonëse shkarkimet totale GES nga transporti do rriten në terma absolutë, me përafërsisht dy herë nga viti 2009 në vitin 2030. Në fakt, numri i mjeteve po rritet me shpejtësi që prej vitit 2000, ndërsa infrastruktura e transportit po përmirësohet, duke çuar në një ngarkesë totale të trafikut edhe më të shtuar, si për transportin e mallrave, ashtu dhe të pasagjerëve, duke konsumuar sasi shumë të mëdha energjie (kryesisht në formë nafte dhe benzine). </w:t>
      </w:r>
    </w:p>
    <w:p w14:paraId="6EDCF9AF" w14:textId="77777777" w:rsidR="00A9766F" w:rsidRPr="007114AF" w:rsidRDefault="00BA14F8" w:rsidP="0018372B">
      <w:pPr>
        <w:pStyle w:val="TEKSTI"/>
      </w:pPr>
      <w:r w:rsidRPr="007114AF">
        <w:t xml:space="preserve">- </w:t>
      </w:r>
      <w:r w:rsidR="00A9766F" w:rsidRPr="007114AF">
        <w:t>Pjesa e bujqësisë do të bjerë nga 7.17% në vitin 2009 në 6.38% në vitin 2030, megjithëse shkarkimet totale GES nga bujqësia do të rriten në terma absolutë. Në fakt, bujqësia është ende një konsumatore e vogël e energjisë dhe një sektor me intensitet të ulët të energjisë, për shkak të nivelit të përgjithshëm të ulët të mekanizimit. Megjithatë, sektori parashikohet të rritet me 1.7 herë në periudhën 2009-2030, me një rritje të parashikuar të intensitetit të energjisë së bujqësisë, ndonëse jo në nivelin e bujqësisë intensive. Shkarkimet e parashikuara GES nga bujqësia do të rriten përafërsisht me 2.5 herë nga viti 2009 deri në vitin 2030.</w:t>
      </w:r>
    </w:p>
    <w:p w14:paraId="6EDCF9B0" w14:textId="77777777" w:rsidR="00A9766F" w:rsidRPr="007114AF" w:rsidRDefault="00BA14F8" w:rsidP="0018372B">
      <w:pPr>
        <w:pStyle w:val="TEKSTI"/>
      </w:pPr>
      <w:r w:rsidRPr="007114AF">
        <w:t xml:space="preserve">- </w:t>
      </w:r>
      <w:r w:rsidR="00A9766F" w:rsidRPr="007114AF">
        <w:t>Pjesa e sektorit të energjisë (industritë e energjisë) do të rritet nga 6.12% në vitin 2009 në 11.37%në vitin 2030, duke pasur parasysh kërkesën e pritshme vjetore për energji elektrike prej 13533 GWh në vitin 2030 dhe përmirësimin gradual të eficiencës së transmetimit dhe shpërndarjes që do të arrijë 10% të humbjeve në vitin 2030.</w:t>
      </w:r>
    </w:p>
    <w:p w14:paraId="6EDCF9B1" w14:textId="032BB9D7" w:rsidR="00A9766F" w:rsidRPr="007114AF" w:rsidRDefault="00A9766F" w:rsidP="0018372B">
      <w:pPr>
        <w:pStyle w:val="TEKSTI"/>
      </w:pPr>
      <w:r w:rsidRPr="007114AF">
        <w:t>Në KTK-ë – seksioni i analizës së masave zbutëse, parashikohet zbatimi i një liste masash zbutëse në sektorin e energjisë, me synim përcaktimin e një skenari me masa zbutëse deri në vitin 2030. Shumica e masave të listuara janë përfshirë tanimë në strategjitë dhe planet kryesore lidhur me sektorin e energjisë (BERBER dhe</w:t>
      </w:r>
      <w:r w:rsidR="00AF51B6" w:rsidRPr="007114AF">
        <w:t xml:space="preserve"> </w:t>
      </w:r>
      <w:r w:rsidRPr="007114AF">
        <w:t xml:space="preserve">PKVEE) dhe janë mbledhur në KTK-ë – seksioni i analizës së masave zbutëse, me synim sigurimin e një skenari të përgjithshëm masash zbutëse për sektorin. Masat e listuara synojnë të reduktojnë si kërkesën për energji, ashtu dhe shkarkimet GES nga familjet, duke përmirësuar eficiencën e energjisë në sektorin e shërbimit, në sektorin industrial, si dhe në sektorin e transportit (reduktimi i konsumit të lëndës djegëse), për të reduktuar si kërkesën për energji, ashtu dhe shkarkimet GES. </w:t>
      </w:r>
    </w:p>
    <w:p w14:paraId="6EDCF9B2" w14:textId="226D1A21" w:rsidR="00A9766F" w:rsidRPr="007114AF" w:rsidRDefault="00A9766F" w:rsidP="0018372B">
      <w:pPr>
        <w:pStyle w:val="TEKSTI"/>
      </w:pPr>
      <w:r w:rsidRPr="007114AF">
        <w:t>Për më tepër, masa reduktuese parashikohen gjithashtu, në sektorin e transformimit të energjisë, duke pasur parasysh potencialin hidroenergjetik, pyjet dhe potencialin tjetër të biomasës (gjeneruar nga industria e përpunimit të drurit dhe industria e përpunimit të ushqimit), si</w:t>
      </w:r>
      <w:r w:rsidR="00B31364">
        <w:t xml:space="preserve"> </w:t>
      </w:r>
      <w:r w:rsidRPr="007114AF">
        <w:t>dhe potencialin e energjisë elektrike nga era.</w:t>
      </w:r>
    </w:p>
    <w:p w14:paraId="6EDCF9B3" w14:textId="77777777" w:rsidR="00A9766F" w:rsidRPr="007114AF" w:rsidRDefault="00A9766F" w:rsidP="0018372B">
      <w:pPr>
        <w:pStyle w:val="TEKSTI"/>
      </w:pPr>
    </w:p>
    <w:p w14:paraId="6EDCF9B4" w14:textId="25EBA132" w:rsidR="0018372B" w:rsidRPr="007114AF" w:rsidRDefault="00A9766F" w:rsidP="0018372B">
      <w:pPr>
        <w:pStyle w:val="TEKSTI"/>
      </w:pPr>
      <w:r w:rsidRPr="007114AF">
        <w:t>Tabela e mëposhtme raporton një vlerësim të kryer në KTK-ë – seksioni i analizës së masave zbutëse, të potencialit reduktues të shkarkimeve CO</w:t>
      </w:r>
      <w:r w:rsidRPr="007114AF">
        <w:rPr>
          <w:vertAlign w:val="subscript"/>
        </w:rPr>
        <w:t>2</w:t>
      </w:r>
      <w:r w:rsidR="00A23D94" w:rsidRPr="007114AF">
        <w:t xml:space="preserve"> </w:t>
      </w:r>
      <w:r w:rsidRPr="007114AF">
        <w:t>shoqëruar me çdo masë dhe efikasitetin financiar, me zbatim në periudhën afatshkurtër (2020) dhe afatmesme (2030). Duke zbatuar gjithë masat e skenarit të masave zbutëse, reduktimi total potencial deri në vitin 2020 për sektorin e energjisë është 12.06% krahasuar me skenarin bazë, me një reduktim total të shkarkimeve prej 1051 kt CO</w:t>
      </w:r>
      <w:r w:rsidRPr="007114AF">
        <w:rPr>
          <w:vertAlign w:val="subscript"/>
        </w:rPr>
        <w:t>2</w:t>
      </w:r>
      <w:r w:rsidRPr="007114AF">
        <w:t>eq në vit. Këto vlera rriten deri në 19.12% në vitin 2030, me një reduktim total të shkarkimeve prej 2104 kt CO</w:t>
      </w:r>
      <w:r w:rsidRPr="007114AF">
        <w:rPr>
          <w:vertAlign w:val="subscript"/>
        </w:rPr>
        <w:t>2</w:t>
      </w:r>
      <w:r w:rsidRPr="007114AF">
        <w:t>eq në vit</w:t>
      </w:r>
      <w:r w:rsidR="0018372B" w:rsidRPr="007114AF">
        <w:t>.</w:t>
      </w:r>
    </w:p>
    <w:p w14:paraId="6EDCF9B5" w14:textId="77777777" w:rsidR="00BA14F8" w:rsidRPr="007114AF" w:rsidRDefault="00BA14F8" w:rsidP="0018372B">
      <w:pPr>
        <w:pStyle w:val="FIGURA"/>
      </w:pPr>
    </w:p>
    <w:p w14:paraId="6EDCF9B6" w14:textId="161A5EFA" w:rsidR="00A9766F" w:rsidRPr="007114AF" w:rsidRDefault="00A9766F" w:rsidP="0018372B">
      <w:pPr>
        <w:pStyle w:val="FIGURA"/>
      </w:pPr>
      <w:r w:rsidRPr="007114AF">
        <w:t>Tabela</w:t>
      </w:r>
      <w:r w:rsidR="0018372B" w:rsidRPr="007114AF">
        <w:t xml:space="preserve"> </w:t>
      </w:r>
      <w:r w:rsidRPr="007114AF">
        <w:fldChar w:fldCharType="begin"/>
      </w:r>
      <w:r w:rsidRPr="007114AF">
        <w:instrText xml:space="preserve"> SEQ Table \* ARABIC </w:instrText>
      </w:r>
      <w:r w:rsidRPr="007114AF">
        <w:fldChar w:fldCharType="separate"/>
      </w:r>
      <w:r w:rsidRPr="007114AF">
        <w:t>7</w:t>
      </w:r>
      <w:r w:rsidRPr="007114AF">
        <w:fldChar w:fldCharType="end"/>
      </w:r>
      <w:r w:rsidR="004E19CE" w:rsidRPr="007114AF">
        <w:t xml:space="preserve"> </w:t>
      </w:r>
      <w:r w:rsidRPr="007114AF">
        <w:t>–</w:t>
      </w:r>
      <w:r w:rsidR="004E19CE" w:rsidRPr="007114AF">
        <w:t xml:space="preserve"> </w:t>
      </w:r>
      <w:r w:rsidRPr="007114AF">
        <w:t>Shkarkimet CO</w:t>
      </w:r>
      <w:r w:rsidRPr="007114AF">
        <w:rPr>
          <w:vertAlign w:val="subscript"/>
        </w:rPr>
        <w:t>2</w:t>
      </w:r>
      <w:r w:rsidR="004E19CE" w:rsidRPr="007114AF">
        <w:rPr>
          <w:vertAlign w:val="subscript"/>
        </w:rPr>
        <w:t xml:space="preserve"> </w:t>
      </w:r>
      <w:r w:rsidRPr="007114AF">
        <w:t>reduktimi i masave zbutëse dhe efikasiteti financiar deri në vitin 2030. Burimi: KTK-ja Analiza e Masave Zbutëse</w:t>
      </w:r>
    </w:p>
    <w:tbl>
      <w:tblPr>
        <w:tblStyle w:val="GridTable6Colorful-Accent11"/>
        <w:tblW w:w="0" w:type="auto"/>
        <w:jc w:val="center"/>
        <w:tblLayout w:type="fixed"/>
        <w:tblLook w:val="0420" w:firstRow="1" w:lastRow="0" w:firstColumn="0" w:lastColumn="0" w:noHBand="0" w:noVBand="1"/>
      </w:tblPr>
      <w:tblGrid>
        <w:gridCol w:w="1668"/>
        <w:gridCol w:w="998"/>
        <w:gridCol w:w="1246"/>
        <w:gridCol w:w="1056"/>
        <w:gridCol w:w="1128"/>
        <w:gridCol w:w="1148"/>
        <w:gridCol w:w="1184"/>
        <w:gridCol w:w="1148"/>
      </w:tblGrid>
      <w:tr w:rsidR="00A9766F" w:rsidRPr="007114AF" w14:paraId="6EDCF9BF" w14:textId="77777777" w:rsidTr="00A9766F">
        <w:trPr>
          <w:cnfStyle w:val="100000000000" w:firstRow="1" w:lastRow="0" w:firstColumn="0" w:lastColumn="0" w:oddVBand="0" w:evenVBand="0" w:oddHBand="0" w:evenHBand="0" w:firstRowFirstColumn="0" w:firstRowLastColumn="0" w:lastRowFirstColumn="0" w:lastRowLastColumn="0"/>
          <w:trHeight w:val="73"/>
          <w:tblHeader/>
          <w:jc w:val="center"/>
        </w:trPr>
        <w:tc>
          <w:tcPr>
            <w:tcW w:w="1668" w:type="dxa"/>
            <w:vAlign w:val="center"/>
            <w:hideMark/>
          </w:tcPr>
          <w:p w14:paraId="6EDCF9B7" w14:textId="77777777" w:rsidR="00A9766F" w:rsidRPr="007114AF" w:rsidRDefault="00A9766F" w:rsidP="00A9766F">
            <w:pPr>
              <w:pStyle w:val="Default"/>
              <w:jc w:val="both"/>
              <w:rPr>
                <w:rFonts w:ascii="Garamond" w:hAnsi="Garamond"/>
                <w:i/>
                <w:sz w:val="18"/>
                <w:szCs w:val="18"/>
                <w:lang w:val="sq-AL"/>
              </w:rPr>
            </w:pPr>
            <w:r w:rsidRPr="007114AF">
              <w:rPr>
                <w:rFonts w:ascii="Garamond" w:hAnsi="Garamond"/>
                <w:i/>
                <w:sz w:val="18"/>
                <w:szCs w:val="18"/>
                <w:lang w:val="sq-AL"/>
              </w:rPr>
              <w:t xml:space="preserve"> Opsioni i reduktimit</w:t>
            </w:r>
          </w:p>
        </w:tc>
        <w:tc>
          <w:tcPr>
            <w:tcW w:w="998" w:type="dxa"/>
            <w:vAlign w:val="center"/>
          </w:tcPr>
          <w:p w14:paraId="6EDCF9B8" w14:textId="77777777" w:rsidR="00A9766F" w:rsidRPr="007114AF" w:rsidRDefault="00A9766F" w:rsidP="00A9766F">
            <w:pPr>
              <w:pStyle w:val="Default"/>
              <w:jc w:val="both"/>
              <w:rPr>
                <w:rFonts w:ascii="Garamond" w:hAnsi="Garamond"/>
                <w:i/>
                <w:sz w:val="18"/>
                <w:szCs w:val="18"/>
                <w:lang w:val="sq-AL"/>
              </w:rPr>
            </w:pPr>
            <w:r w:rsidRPr="007114AF">
              <w:rPr>
                <w:rFonts w:ascii="Garamond" w:hAnsi="Garamond"/>
                <w:i/>
                <w:sz w:val="18"/>
                <w:szCs w:val="18"/>
                <w:lang w:val="sq-AL"/>
              </w:rPr>
              <w:t>US$/tCO</w:t>
            </w:r>
            <w:r w:rsidRPr="007114AF">
              <w:rPr>
                <w:rFonts w:ascii="Garamond" w:hAnsi="Garamond"/>
                <w:i/>
                <w:sz w:val="18"/>
                <w:szCs w:val="18"/>
                <w:vertAlign w:val="subscript"/>
                <w:lang w:val="sq-AL"/>
              </w:rPr>
              <w:t>2</w:t>
            </w:r>
          </w:p>
        </w:tc>
        <w:tc>
          <w:tcPr>
            <w:tcW w:w="1246" w:type="dxa"/>
            <w:vAlign w:val="center"/>
            <w:hideMark/>
          </w:tcPr>
          <w:p w14:paraId="6EDCF9B9" w14:textId="63006145" w:rsidR="00A9766F" w:rsidRPr="007114AF" w:rsidRDefault="00A9766F" w:rsidP="00A9766F">
            <w:pPr>
              <w:pStyle w:val="Default"/>
              <w:jc w:val="both"/>
              <w:rPr>
                <w:rFonts w:ascii="Garamond" w:hAnsi="Garamond"/>
                <w:i/>
                <w:sz w:val="18"/>
                <w:szCs w:val="18"/>
                <w:lang w:val="sq-AL"/>
              </w:rPr>
            </w:pPr>
            <w:r w:rsidRPr="007114AF">
              <w:rPr>
                <w:rFonts w:ascii="Garamond" w:hAnsi="Garamond"/>
                <w:i/>
                <w:sz w:val="18"/>
                <w:szCs w:val="18"/>
                <w:lang w:val="sq-AL"/>
              </w:rPr>
              <w:t xml:space="preserve">Tipi i </w:t>
            </w:r>
            <w:r w:rsidR="004E19CE" w:rsidRPr="007114AF">
              <w:rPr>
                <w:rFonts w:ascii="Garamond" w:hAnsi="Garamond"/>
                <w:i/>
                <w:sz w:val="18"/>
                <w:szCs w:val="18"/>
                <w:lang w:val="sq-AL"/>
              </w:rPr>
              <w:t xml:space="preserve">njësisë </w:t>
            </w:r>
          </w:p>
        </w:tc>
        <w:tc>
          <w:tcPr>
            <w:tcW w:w="1056" w:type="dxa"/>
            <w:vAlign w:val="center"/>
            <w:hideMark/>
          </w:tcPr>
          <w:p w14:paraId="6EDCF9BA" w14:textId="77777777" w:rsidR="00A9766F" w:rsidRPr="007114AF" w:rsidRDefault="00A9766F" w:rsidP="00A9766F">
            <w:pPr>
              <w:pStyle w:val="Default"/>
              <w:jc w:val="both"/>
              <w:rPr>
                <w:rFonts w:ascii="Garamond" w:hAnsi="Garamond"/>
                <w:i/>
                <w:sz w:val="18"/>
                <w:szCs w:val="18"/>
                <w:lang w:val="sq-AL"/>
              </w:rPr>
            </w:pPr>
            <w:r w:rsidRPr="007114AF">
              <w:rPr>
                <w:rFonts w:ascii="Garamond" w:hAnsi="Garamond"/>
                <w:i/>
                <w:sz w:val="18"/>
                <w:szCs w:val="18"/>
                <w:lang w:val="sq-AL"/>
              </w:rPr>
              <w:t>Reduktimi i shkarkimit tCO</w:t>
            </w:r>
            <w:r w:rsidRPr="007114AF">
              <w:rPr>
                <w:rFonts w:ascii="Garamond" w:hAnsi="Garamond"/>
                <w:i/>
                <w:sz w:val="18"/>
                <w:szCs w:val="18"/>
                <w:vertAlign w:val="subscript"/>
                <w:lang w:val="sq-AL"/>
              </w:rPr>
              <w:t>2</w:t>
            </w:r>
            <w:r w:rsidRPr="007114AF">
              <w:rPr>
                <w:rFonts w:ascii="Garamond" w:hAnsi="Garamond"/>
                <w:i/>
                <w:sz w:val="18"/>
                <w:szCs w:val="18"/>
                <w:lang w:val="sq-AL"/>
              </w:rPr>
              <w:t>/njësi</w:t>
            </w:r>
          </w:p>
        </w:tc>
        <w:tc>
          <w:tcPr>
            <w:tcW w:w="1128" w:type="dxa"/>
            <w:vAlign w:val="center"/>
          </w:tcPr>
          <w:p w14:paraId="6EDCF9BB" w14:textId="496DE35F" w:rsidR="00A9766F" w:rsidRPr="007114AF" w:rsidRDefault="00A9766F" w:rsidP="004E19CE">
            <w:pPr>
              <w:pStyle w:val="Default"/>
              <w:jc w:val="both"/>
              <w:rPr>
                <w:rFonts w:ascii="Garamond" w:hAnsi="Garamond"/>
                <w:b w:val="0"/>
                <w:i/>
                <w:sz w:val="18"/>
                <w:szCs w:val="18"/>
                <w:lang w:val="sq-AL"/>
              </w:rPr>
            </w:pPr>
            <w:r w:rsidRPr="007114AF">
              <w:rPr>
                <w:rFonts w:ascii="Garamond" w:hAnsi="Garamond"/>
                <w:i/>
                <w:sz w:val="18"/>
                <w:szCs w:val="18"/>
                <w:lang w:val="sq-AL"/>
              </w:rPr>
              <w:t xml:space="preserve">Njësitë depërtuese </w:t>
            </w:r>
            <w:r w:rsidR="004E19CE" w:rsidRPr="007114AF">
              <w:rPr>
                <w:rFonts w:ascii="Garamond" w:hAnsi="Garamond"/>
                <w:i/>
                <w:sz w:val="18"/>
                <w:szCs w:val="18"/>
                <w:lang w:val="sq-AL"/>
              </w:rPr>
              <w:t>m</w:t>
            </w:r>
            <w:r w:rsidRPr="007114AF">
              <w:rPr>
                <w:rFonts w:ascii="Garamond" w:hAnsi="Garamond"/>
                <w:i/>
                <w:sz w:val="18"/>
                <w:szCs w:val="18"/>
                <w:lang w:val="sq-AL"/>
              </w:rPr>
              <w:t>ë 2020</w:t>
            </w:r>
          </w:p>
        </w:tc>
        <w:tc>
          <w:tcPr>
            <w:tcW w:w="1148" w:type="dxa"/>
            <w:vAlign w:val="center"/>
          </w:tcPr>
          <w:p w14:paraId="6EDCF9BC" w14:textId="77777777" w:rsidR="00A9766F" w:rsidRPr="007114AF" w:rsidRDefault="00A9766F" w:rsidP="00A9766F">
            <w:pPr>
              <w:pStyle w:val="Default"/>
              <w:jc w:val="both"/>
              <w:rPr>
                <w:rFonts w:ascii="Garamond" w:hAnsi="Garamond"/>
                <w:b w:val="0"/>
                <w:i/>
                <w:sz w:val="18"/>
                <w:szCs w:val="18"/>
                <w:lang w:val="sq-AL"/>
              </w:rPr>
            </w:pPr>
            <w:r w:rsidRPr="007114AF">
              <w:rPr>
                <w:rFonts w:ascii="Garamond" w:hAnsi="Garamond"/>
                <w:i/>
                <w:sz w:val="18"/>
                <w:szCs w:val="18"/>
                <w:lang w:val="sq-AL"/>
              </w:rPr>
              <w:t>Reduktimi i shkarkimit në vitin 2020 për opsion ktCO</w:t>
            </w:r>
            <w:r w:rsidRPr="007114AF">
              <w:rPr>
                <w:rFonts w:ascii="Garamond" w:hAnsi="Garamond"/>
                <w:i/>
                <w:sz w:val="18"/>
                <w:szCs w:val="18"/>
                <w:vertAlign w:val="subscript"/>
                <w:lang w:val="sq-AL"/>
              </w:rPr>
              <w:t>2</w:t>
            </w:r>
            <w:r w:rsidRPr="007114AF">
              <w:rPr>
                <w:rFonts w:ascii="Garamond" w:hAnsi="Garamond"/>
                <w:i/>
                <w:sz w:val="18"/>
                <w:szCs w:val="18"/>
                <w:lang w:val="sq-AL"/>
              </w:rPr>
              <w:t>/vit</w:t>
            </w:r>
          </w:p>
        </w:tc>
        <w:tc>
          <w:tcPr>
            <w:tcW w:w="1184" w:type="dxa"/>
            <w:vAlign w:val="center"/>
            <w:hideMark/>
          </w:tcPr>
          <w:p w14:paraId="6EDCF9BD" w14:textId="77777777" w:rsidR="00A9766F" w:rsidRPr="007114AF" w:rsidRDefault="00A9766F" w:rsidP="00A9766F">
            <w:pPr>
              <w:pStyle w:val="Default"/>
              <w:jc w:val="both"/>
              <w:rPr>
                <w:rFonts w:ascii="Garamond" w:hAnsi="Garamond"/>
                <w:i/>
                <w:sz w:val="18"/>
                <w:szCs w:val="18"/>
                <w:lang w:val="sq-AL"/>
              </w:rPr>
            </w:pPr>
            <w:r w:rsidRPr="007114AF">
              <w:rPr>
                <w:rFonts w:ascii="Garamond" w:hAnsi="Garamond"/>
                <w:i/>
                <w:sz w:val="18"/>
                <w:szCs w:val="18"/>
                <w:lang w:val="sq-AL"/>
              </w:rPr>
              <w:t>Njësitë depërtuese në 2030</w:t>
            </w:r>
          </w:p>
        </w:tc>
        <w:tc>
          <w:tcPr>
            <w:tcW w:w="1148" w:type="dxa"/>
            <w:vAlign w:val="center"/>
            <w:hideMark/>
          </w:tcPr>
          <w:p w14:paraId="6EDCF9BE" w14:textId="77777777" w:rsidR="00A9766F" w:rsidRPr="007114AF" w:rsidRDefault="00A9766F" w:rsidP="00A9766F">
            <w:pPr>
              <w:pStyle w:val="Default"/>
              <w:jc w:val="both"/>
              <w:rPr>
                <w:rFonts w:ascii="Garamond" w:hAnsi="Garamond"/>
                <w:i/>
                <w:sz w:val="18"/>
                <w:szCs w:val="18"/>
                <w:lang w:val="sq-AL"/>
              </w:rPr>
            </w:pPr>
            <w:r w:rsidRPr="007114AF">
              <w:rPr>
                <w:rFonts w:ascii="Garamond" w:hAnsi="Garamond"/>
                <w:i/>
                <w:sz w:val="18"/>
                <w:szCs w:val="18"/>
                <w:lang w:val="sq-AL"/>
              </w:rPr>
              <w:t>Reduktimi i shkarkimit në vitin 2030 për opsion ktCO</w:t>
            </w:r>
            <w:r w:rsidRPr="007114AF">
              <w:rPr>
                <w:rFonts w:ascii="Garamond" w:hAnsi="Garamond"/>
                <w:i/>
                <w:sz w:val="18"/>
                <w:szCs w:val="18"/>
                <w:vertAlign w:val="subscript"/>
                <w:lang w:val="sq-AL"/>
              </w:rPr>
              <w:t>2</w:t>
            </w:r>
            <w:r w:rsidRPr="007114AF">
              <w:rPr>
                <w:rFonts w:ascii="Garamond" w:hAnsi="Garamond"/>
                <w:i/>
                <w:sz w:val="18"/>
                <w:szCs w:val="18"/>
                <w:lang w:val="sq-AL"/>
              </w:rPr>
              <w:t>/vit</w:t>
            </w:r>
          </w:p>
        </w:tc>
      </w:tr>
      <w:tr w:rsidR="00A9766F" w:rsidRPr="007114AF" w14:paraId="6EDCF9C8"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9C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Izolimi termik i banesave -drutë</w:t>
            </w:r>
          </w:p>
        </w:tc>
        <w:tc>
          <w:tcPr>
            <w:tcW w:w="998" w:type="dxa"/>
            <w:vAlign w:val="center"/>
            <w:hideMark/>
          </w:tcPr>
          <w:p w14:paraId="6EDCF9C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-30.95 </w:t>
            </w:r>
          </w:p>
        </w:tc>
        <w:tc>
          <w:tcPr>
            <w:tcW w:w="1246" w:type="dxa"/>
            <w:vAlign w:val="center"/>
            <w:hideMark/>
          </w:tcPr>
          <w:p w14:paraId="6EDCF9C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apartamente</w:t>
            </w:r>
          </w:p>
        </w:tc>
        <w:tc>
          <w:tcPr>
            <w:tcW w:w="1056" w:type="dxa"/>
            <w:vAlign w:val="center"/>
            <w:hideMark/>
          </w:tcPr>
          <w:p w14:paraId="6EDCF9C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0.49 </w:t>
            </w:r>
          </w:p>
        </w:tc>
        <w:tc>
          <w:tcPr>
            <w:tcW w:w="1128" w:type="dxa"/>
            <w:vAlign w:val="center"/>
          </w:tcPr>
          <w:p w14:paraId="6EDCF9C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25,000 </w:t>
            </w:r>
          </w:p>
        </w:tc>
        <w:tc>
          <w:tcPr>
            <w:tcW w:w="1148" w:type="dxa"/>
            <w:vAlign w:val="center"/>
          </w:tcPr>
          <w:p w14:paraId="6EDCF9C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7.66 </w:t>
            </w:r>
          </w:p>
        </w:tc>
        <w:tc>
          <w:tcPr>
            <w:tcW w:w="1184" w:type="dxa"/>
            <w:vAlign w:val="center"/>
          </w:tcPr>
          <w:p w14:paraId="6EDCF9C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45,000 </w:t>
            </w:r>
          </w:p>
        </w:tc>
        <w:tc>
          <w:tcPr>
            <w:tcW w:w="1148" w:type="dxa"/>
            <w:vAlign w:val="center"/>
          </w:tcPr>
          <w:p w14:paraId="6EDCF9C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11.56</w:t>
            </w:r>
          </w:p>
        </w:tc>
      </w:tr>
      <w:tr w:rsidR="00A9766F" w:rsidRPr="007114AF" w14:paraId="6EDCF9D1" w14:textId="77777777" w:rsidTr="00A9766F">
        <w:trPr>
          <w:trHeight w:val="73"/>
          <w:jc w:val="center"/>
        </w:trPr>
        <w:tc>
          <w:tcPr>
            <w:tcW w:w="1668" w:type="dxa"/>
            <w:vAlign w:val="center"/>
            <w:hideMark/>
          </w:tcPr>
          <w:p w14:paraId="6EDCF9C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Izolimi termik i banesave -GNL</w:t>
            </w:r>
          </w:p>
        </w:tc>
        <w:tc>
          <w:tcPr>
            <w:tcW w:w="998" w:type="dxa"/>
            <w:vAlign w:val="center"/>
            <w:hideMark/>
          </w:tcPr>
          <w:p w14:paraId="6EDCF9C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-78.91 </w:t>
            </w:r>
          </w:p>
        </w:tc>
        <w:tc>
          <w:tcPr>
            <w:tcW w:w="1246" w:type="dxa"/>
            <w:vAlign w:val="center"/>
            <w:hideMark/>
          </w:tcPr>
          <w:p w14:paraId="6EDCF9C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apartamente</w:t>
            </w:r>
          </w:p>
        </w:tc>
        <w:tc>
          <w:tcPr>
            <w:tcW w:w="1056" w:type="dxa"/>
            <w:vAlign w:val="center"/>
            <w:hideMark/>
          </w:tcPr>
          <w:p w14:paraId="6EDCF9C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1.60 </w:t>
            </w:r>
          </w:p>
        </w:tc>
        <w:tc>
          <w:tcPr>
            <w:tcW w:w="1128" w:type="dxa"/>
            <w:vAlign w:val="center"/>
          </w:tcPr>
          <w:p w14:paraId="6EDCF9C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25,000 </w:t>
            </w:r>
          </w:p>
        </w:tc>
        <w:tc>
          <w:tcPr>
            <w:tcW w:w="1148" w:type="dxa"/>
            <w:vAlign w:val="center"/>
          </w:tcPr>
          <w:p w14:paraId="6EDCF9C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24.78 </w:t>
            </w:r>
          </w:p>
        </w:tc>
        <w:tc>
          <w:tcPr>
            <w:tcW w:w="1184" w:type="dxa"/>
            <w:vAlign w:val="center"/>
          </w:tcPr>
          <w:p w14:paraId="6EDCF9C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45,000 </w:t>
            </w:r>
          </w:p>
        </w:tc>
        <w:tc>
          <w:tcPr>
            <w:tcW w:w="1148" w:type="dxa"/>
            <w:vAlign w:val="center"/>
          </w:tcPr>
          <w:p w14:paraId="6EDCF9D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37.42</w:t>
            </w:r>
          </w:p>
        </w:tc>
      </w:tr>
      <w:tr w:rsidR="00A9766F" w:rsidRPr="007114AF" w14:paraId="6EDCF9DA"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9D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Korrigjimi i faktorit të fuqisë </w:t>
            </w:r>
          </w:p>
        </w:tc>
        <w:tc>
          <w:tcPr>
            <w:tcW w:w="998" w:type="dxa"/>
            <w:vAlign w:val="center"/>
            <w:hideMark/>
          </w:tcPr>
          <w:p w14:paraId="6EDCF9D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-32.49 </w:t>
            </w:r>
          </w:p>
        </w:tc>
        <w:tc>
          <w:tcPr>
            <w:tcW w:w="1246" w:type="dxa"/>
            <w:vAlign w:val="center"/>
            <w:hideMark/>
          </w:tcPr>
          <w:p w14:paraId="6EDCF9D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MVAR </w:t>
            </w:r>
          </w:p>
        </w:tc>
        <w:tc>
          <w:tcPr>
            <w:tcW w:w="1056" w:type="dxa"/>
            <w:vAlign w:val="center"/>
            <w:hideMark/>
          </w:tcPr>
          <w:p w14:paraId="6EDCF9D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499.61 </w:t>
            </w:r>
          </w:p>
        </w:tc>
        <w:tc>
          <w:tcPr>
            <w:tcW w:w="1128" w:type="dxa"/>
            <w:vAlign w:val="center"/>
          </w:tcPr>
          <w:p w14:paraId="6EDCF9D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80 </w:t>
            </w:r>
          </w:p>
        </w:tc>
        <w:tc>
          <w:tcPr>
            <w:tcW w:w="1148" w:type="dxa"/>
            <w:vAlign w:val="center"/>
          </w:tcPr>
          <w:p w14:paraId="6EDCF9D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24.78 </w:t>
            </w:r>
          </w:p>
        </w:tc>
        <w:tc>
          <w:tcPr>
            <w:tcW w:w="1184" w:type="dxa"/>
            <w:vAlign w:val="center"/>
          </w:tcPr>
          <w:p w14:paraId="6EDCF9D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120 </w:t>
            </w:r>
          </w:p>
        </w:tc>
        <w:tc>
          <w:tcPr>
            <w:tcW w:w="1148" w:type="dxa"/>
            <w:vAlign w:val="center"/>
          </w:tcPr>
          <w:p w14:paraId="6EDCF9D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31.17</w:t>
            </w:r>
          </w:p>
        </w:tc>
      </w:tr>
      <w:tr w:rsidR="00A9766F" w:rsidRPr="007114AF" w14:paraId="6EDCF9E3" w14:textId="77777777" w:rsidTr="00A9766F">
        <w:trPr>
          <w:trHeight w:val="73"/>
          <w:jc w:val="center"/>
        </w:trPr>
        <w:tc>
          <w:tcPr>
            <w:tcW w:w="1668" w:type="dxa"/>
            <w:vAlign w:val="center"/>
            <w:hideMark/>
          </w:tcPr>
          <w:p w14:paraId="6EDCF9D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Izolimi termik i banesave–energjia elektrike</w:t>
            </w:r>
          </w:p>
        </w:tc>
        <w:tc>
          <w:tcPr>
            <w:tcW w:w="998" w:type="dxa"/>
            <w:vAlign w:val="center"/>
            <w:hideMark/>
          </w:tcPr>
          <w:p w14:paraId="6EDCF9D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-19.93 </w:t>
            </w:r>
          </w:p>
        </w:tc>
        <w:tc>
          <w:tcPr>
            <w:tcW w:w="1246" w:type="dxa"/>
            <w:vAlign w:val="center"/>
            <w:hideMark/>
          </w:tcPr>
          <w:p w14:paraId="6EDCF9D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apartamente</w:t>
            </w:r>
          </w:p>
        </w:tc>
        <w:tc>
          <w:tcPr>
            <w:tcW w:w="1056" w:type="dxa"/>
            <w:vAlign w:val="center"/>
            <w:hideMark/>
          </w:tcPr>
          <w:p w14:paraId="6EDCF9D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0.55 </w:t>
            </w:r>
          </w:p>
        </w:tc>
        <w:tc>
          <w:tcPr>
            <w:tcW w:w="1128" w:type="dxa"/>
            <w:vAlign w:val="center"/>
          </w:tcPr>
          <w:p w14:paraId="6EDCF9D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25,000 </w:t>
            </w:r>
          </w:p>
        </w:tc>
        <w:tc>
          <w:tcPr>
            <w:tcW w:w="1148" w:type="dxa"/>
            <w:vAlign w:val="center"/>
          </w:tcPr>
          <w:p w14:paraId="6EDCF9E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8.46 </w:t>
            </w:r>
          </w:p>
        </w:tc>
        <w:tc>
          <w:tcPr>
            <w:tcW w:w="1184" w:type="dxa"/>
            <w:vAlign w:val="center"/>
          </w:tcPr>
          <w:p w14:paraId="6EDCF9E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50,000 </w:t>
            </w:r>
          </w:p>
        </w:tc>
        <w:tc>
          <w:tcPr>
            <w:tcW w:w="1148" w:type="dxa"/>
            <w:vAlign w:val="center"/>
          </w:tcPr>
          <w:p w14:paraId="6EDCF9E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14.19713 </w:t>
            </w:r>
          </w:p>
        </w:tc>
      </w:tr>
      <w:tr w:rsidR="00A9766F" w:rsidRPr="007114AF" w14:paraId="6EDCF9EC"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9E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Izolimi termik i banesave -vajguri</w:t>
            </w:r>
          </w:p>
        </w:tc>
        <w:tc>
          <w:tcPr>
            <w:tcW w:w="998" w:type="dxa"/>
            <w:vAlign w:val="center"/>
            <w:hideMark/>
          </w:tcPr>
          <w:p w14:paraId="6EDCF9E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-81.07 </w:t>
            </w:r>
          </w:p>
        </w:tc>
        <w:tc>
          <w:tcPr>
            <w:tcW w:w="1246" w:type="dxa"/>
            <w:vAlign w:val="center"/>
            <w:hideMark/>
          </w:tcPr>
          <w:p w14:paraId="6EDCF9E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apartamente</w:t>
            </w:r>
          </w:p>
        </w:tc>
        <w:tc>
          <w:tcPr>
            <w:tcW w:w="1056" w:type="dxa"/>
            <w:vAlign w:val="center"/>
            <w:hideMark/>
          </w:tcPr>
          <w:p w14:paraId="6EDCF9E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1.64 </w:t>
            </w:r>
          </w:p>
        </w:tc>
        <w:tc>
          <w:tcPr>
            <w:tcW w:w="1128" w:type="dxa"/>
            <w:vAlign w:val="center"/>
          </w:tcPr>
          <w:p w14:paraId="6EDCF9E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 </w:t>
            </w:r>
          </w:p>
        </w:tc>
        <w:tc>
          <w:tcPr>
            <w:tcW w:w="1148" w:type="dxa"/>
            <w:vAlign w:val="center"/>
          </w:tcPr>
          <w:p w14:paraId="6EDCF9E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0.00 </w:t>
            </w:r>
          </w:p>
        </w:tc>
        <w:tc>
          <w:tcPr>
            <w:tcW w:w="1184" w:type="dxa"/>
            <w:vAlign w:val="center"/>
          </w:tcPr>
          <w:p w14:paraId="6EDCF9E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1,000 </w:t>
            </w:r>
          </w:p>
        </w:tc>
        <w:tc>
          <w:tcPr>
            <w:tcW w:w="1148" w:type="dxa"/>
            <w:vAlign w:val="center"/>
          </w:tcPr>
          <w:p w14:paraId="6EDCF9E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0.85</w:t>
            </w:r>
          </w:p>
        </w:tc>
      </w:tr>
      <w:tr w:rsidR="00A9766F" w:rsidRPr="007114AF" w14:paraId="6EDCF9F5" w14:textId="77777777" w:rsidTr="00A9766F">
        <w:trPr>
          <w:trHeight w:val="73"/>
          <w:jc w:val="center"/>
        </w:trPr>
        <w:tc>
          <w:tcPr>
            <w:tcW w:w="1668" w:type="dxa"/>
            <w:vAlign w:val="center"/>
            <w:hideMark/>
          </w:tcPr>
          <w:p w14:paraId="6EDCF9E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Taksitë me gaz</w:t>
            </w:r>
          </w:p>
        </w:tc>
        <w:tc>
          <w:tcPr>
            <w:tcW w:w="998" w:type="dxa"/>
            <w:vAlign w:val="center"/>
            <w:hideMark/>
          </w:tcPr>
          <w:p w14:paraId="6EDCF9E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-321.65 </w:t>
            </w:r>
          </w:p>
        </w:tc>
        <w:tc>
          <w:tcPr>
            <w:tcW w:w="1246" w:type="dxa"/>
            <w:vAlign w:val="center"/>
            <w:hideMark/>
          </w:tcPr>
          <w:p w14:paraId="6EDCF9E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 taksi </w:t>
            </w:r>
          </w:p>
        </w:tc>
        <w:tc>
          <w:tcPr>
            <w:tcW w:w="1056" w:type="dxa"/>
            <w:vAlign w:val="center"/>
            <w:hideMark/>
          </w:tcPr>
          <w:p w14:paraId="6EDCF9F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11.14 </w:t>
            </w:r>
          </w:p>
        </w:tc>
        <w:tc>
          <w:tcPr>
            <w:tcW w:w="1128" w:type="dxa"/>
            <w:vAlign w:val="center"/>
          </w:tcPr>
          <w:p w14:paraId="6EDCF9F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10,000 </w:t>
            </w:r>
          </w:p>
        </w:tc>
        <w:tc>
          <w:tcPr>
            <w:tcW w:w="1148" w:type="dxa"/>
            <w:vAlign w:val="center"/>
          </w:tcPr>
          <w:p w14:paraId="6EDCF9F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69.06 </w:t>
            </w:r>
          </w:p>
        </w:tc>
        <w:tc>
          <w:tcPr>
            <w:tcW w:w="1184" w:type="dxa"/>
            <w:vAlign w:val="center"/>
          </w:tcPr>
          <w:p w14:paraId="6EDCF9F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35,000 </w:t>
            </w:r>
          </w:p>
        </w:tc>
        <w:tc>
          <w:tcPr>
            <w:tcW w:w="1148" w:type="dxa"/>
            <w:vAlign w:val="center"/>
          </w:tcPr>
          <w:p w14:paraId="6EDCF9F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202.73</w:t>
            </w:r>
          </w:p>
        </w:tc>
      </w:tr>
      <w:tr w:rsidR="00A9766F" w:rsidRPr="007114AF" w14:paraId="6EDCF9FE"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9F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Ndriçimi efikas</w:t>
            </w:r>
          </w:p>
        </w:tc>
        <w:tc>
          <w:tcPr>
            <w:tcW w:w="998" w:type="dxa"/>
            <w:vAlign w:val="center"/>
            <w:hideMark/>
          </w:tcPr>
          <w:p w14:paraId="6EDCF9F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-153.79 </w:t>
            </w:r>
          </w:p>
        </w:tc>
        <w:tc>
          <w:tcPr>
            <w:tcW w:w="1246" w:type="dxa"/>
            <w:vAlign w:val="center"/>
            <w:hideMark/>
          </w:tcPr>
          <w:p w14:paraId="6EDCF9F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1000 llamba</w:t>
            </w:r>
          </w:p>
        </w:tc>
        <w:tc>
          <w:tcPr>
            <w:tcW w:w="1056" w:type="dxa"/>
            <w:vAlign w:val="center"/>
            <w:hideMark/>
          </w:tcPr>
          <w:p w14:paraId="6EDCF9F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0.15 </w:t>
            </w:r>
          </w:p>
        </w:tc>
        <w:tc>
          <w:tcPr>
            <w:tcW w:w="1128" w:type="dxa"/>
            <w:vAlign w:val="center"/>
          </w:tcPr>
          <w:p w14:paraId="6EDCF9F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900 </w:t>
            </w:r>
          </w:p>
        </w:tc>
        <w:tc>
          <w:tcPr>
            <w:tcW w:w="1148" w:type="dxa"/>
            <w:vAlign w:val="center"/>
          </w:tcPr>
          <w:p w14:paraId="6EDCF9F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0.09 </w:t>
            </w:r>
          </w:p>
        </w:tc>
        <w:tc>
          <w:tcPr>
            <w:tcW w:w="1184" w:type="dxa"/>
            <w:vAlign w:val="center"/>
          </w:tcPr>
          <w:p w14:paraId="6EDCF9F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4,420 </w:t>
            </w:r>
          </w:p>
        </w:tc>
        <w:tc>
          <w:tcPr>
            <w:tcW w:w="1148" w:type="dxa"/>
            <w:vAlign w:val="center"/>
          </w:tcPr>
          <w:p w14:paraId="6EDCF9F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0.35</w:t>
            </w:r>
          </w:p>
        </w:tc>
      </w:tr>
      <w:tr w:rsidR="00A9766F" w:rsidRPr="007114AF" w14:paraId="6EDCFA07" w14:textId="77777777" w:rsidTr="00A9766F">
        <w:trPr>
          <w:trHeight w:val="73"/>
          <w:jc w:val="center"/>
        </w:trPr>
        <w:tc>
          <w:tcPr>
            <w:tcW w:w="1668" w:type="dxa"/>
            <w:vAlign w:val="center"/>
            <w:hideMark/>
          </w:tcPr>
          <w:p w14:paraId="6EDCF9F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Bojlerë efikasë lëndë djegëse naftë -dizel </w:t>
            </w:r>
          </w:p>
        </w:tc>
        <w:tc>
          <w:tcPr>
            <w:tcW w:w="998" w:type="dxa"/>
            <w:vAlign w:val="center"/>
            <w:hideMark/>
          </w:tcPr>
          <w:p w14:paraId="6EDCFA0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-85.70 </w:t>
            </w:r>
          </w:p>
        </w:tc>
        <w:tc>
          <w:tcPr>
            <w:tcW w:w="1246" w:type="dxa"/>
            <w:vAlign w:val="center"/>
            <w:hideMark/>
          </w:tcPr>
          <w:p w14:paraId="6EDCFA0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bojler </w:t>
            </w:r>
          </w:p>
        </w:tc>
        <w:tc>
          <w:tcPr>
            <w:tcW w:w="1056" w:type="dxa"/>
            <w:vAlign w:val="center"/>
            <w:hideMark/>
          </w:tcPr>
          <w:p w14:paraId="6EDCFA0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492.56 </w:t>
            </w:r>
          </w:p>
        </w:tc>
        <w:tc>
          <w:tcPr>
            <w:tcW w:w="1128" w:type="dxa"/>
            <w:vAlign w:val="center"/>
          </w:tcPr>
          <w:p w14:paraId="6EDCFA0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360 </w:t>
            </w:r>
          </w:p>
        </w:tc>
        <w:tc>
          <w:tcPr>
            <w:tcW w:w="1148" w:type="dxa"/>
            <w:vAlign w:val="center"/>
          </w:tcPr>
          <w:p w14:paraId="6EDCFA0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109.94 </w:t>
            </w:r>
          </w:p>
        </w:tc>
        <w:tc>
          <w:tcPr>
            <w:tcW w:w="1184" w:type="dxa"/>
            <w:vAlign w:val="center"/>
          </w:tcPr>
          <w:p w14:paraId="6EDCFA0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500 </w:t>
            </w:r>
          </w:p>
        </w:tc>
        <w:tc>
          <w:tcPr>
            <w:tcW w:w="1148" w:type="dxa"/>
            <w:vAlign w:val="center"/>
          </w:tcPr>
          <w:p w14:paraId="6EDCFA0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128.06</w:t>
            </w:r>
          </w:p>
        </w:tc>
      </w:tr>
      <w:tr w:rsidR="00A9766F" w:rsidRPr="007114AF" w14:paraId="6EDCFA10"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A0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Metan nga ujërat e zeza</w:t>
            </w:r>
          </w:p>
        </w:tc>
        <w:tc>
          <w:tcPr>
            <w:tcW w:w="998" w:type="dxa"/>
            <w:vAlign w:val="center"/>
            <w:hideMark/>
          </w:tcPr>
          <w:p w14:paraId="6EDCFA0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-69.94 </w:t>
            </w:r>
          </w:p>
        </w:tc>
        <w:tc>
          <w:tcPr>
            <w:tcW w:w="1246" w:type="dxa"/>
            <w:vAlign w:val="center"/>
            <w:hideMark/>
          </w:tcPr>
          <w:p w14:paraId="6EDCFA0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impiant</w:t>
            </w:r>
          </w:p>
        </w:tc>
        <w:tc>
          <w:tcPr>
            <w:tcW w:w="1056" w:type="dxa"/>
            <w:vAlign w:val="center"/>
            <w:hideMark/>
          </w:tcPr>
          <w:p w14:paraId="6EDCFA0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820.52 </w:t>
            </w:r>
          </w:p>
        </w:tc>
        <w:tc>
          <w:tcPr>
            <w:tcW w:w="1128" w:type="dxa"/>
            <w:vAlign w:val="center"/>
          </w:tcPr>
          <w:p w14:paraId="6EDCFA0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 </w:t>
            </w:r>
          </w:p>
        </w:tc>
        <w:tc>
          <w:tcPr>
            <w:tcW w:w="1148" w:type="dxa"/>
            <w:vAlign w:val="center"/>
          </w:tcPr>
          <w:p w14:paraId="6EDCFA0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0.51 </w:t>
            </w:r>
          </w:p>
        </w:tc>
        <w:tc>
          <w:tcPr>
            <w:tcW w:w="1184" w:type="dxa"/>
            <w:vAlign w:val="center"/>
          </w:tcPr>
          <w:p w14:paraId="6EDCFA0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 </w:t>
            </w:r>
          </w:p>
        </w:tc>
        <w:tc>
          <w:tcPr>
            <w:tcW w:w="1148" w:type="dxa"/>
            <w:vAlign w:val="center"/>
          </w:tcPr>
          <w:p w14:paraId="6EDCFA0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1.28</w:t>
            </w:r>
          </w:p>
        </w:tc>
      </w:tr>
      <w:tr w:rsidR="00A9766F" w:rsidRPr="007114AF" w14:paraId="6EDCFA19" w14:textId="77777777" w:rsidTr="00A9766F">
        <w:trPr>
          <w:trHeight w:val="73"/>
          <w:jc w:val="center"/>
        </w:trPr>
        <w:tc>
          <w:tcPr>
            <w:tcW w:w="1668" w:type="dxa"/>
            <w:vAlign w:val="center"/>
            <w:hideMark/>
          </w:tcPr>
          <w:p w14:paraId="6EDCFA1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Boljerë efikasë qymyr</w:t>
            </w:r>
          </w:p>
        </w:tc>
        <w:tc>
          <w:tcPr>
            <w:tcW w:w="998" w:type="dxa"/>
            <w:vAlign w:val="center"/>
            <w:hideMark/>
          </w:tcPr>
          <w:p w14:paraId="6EDCFA1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-68.47 </w:t>
            </w:r>
          </w:p>
        </w:tc>
        <w:tc>
          <w:tcPr>
            <w:tcW w:w="1246" w:type="dxa"/>
            <w:vAlign w:val="center"/>
            <w:hideMark/>
          </w:tcPr>
          <w:p w14:paraId="6EDCFA1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bojler </w:t>
            </w:r>
          </w:p>
        </w:tc>
        <w:tc>
          <w:tcPr>
            <w:tcW w:w="1056" w:type="dxa"/>
            <w:vAlign w:val="center"/>
            <w:hideMark/>
          </w:tcPr>
          <w:p w14:paraId="6EDCFA1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929.39 </w:t>
            </w:r>
          </w:p>
        </w:tc>
        <w:tc>
          <w:tcPr>
            <w:tcW w:w="1128" w:type="dxa"/>
            <w:vAlign w:val="center"/>
          </w:tcPr>
          <w:p w14:paraId="6EDCFA1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50 </w:t>
            </w:r>
          </w:p>
        </w:tc>
        <w:tc>
          <w:tcPr>
            <w:tcW w:w="1148" w:type="dxa"/>
            <w:vAlign w:val="center"/>
          </w:tcPr>
          <w:p w14:paraId="6EDCFA1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28.81 </w:t>
            </w:r>
          </w:p>
        </w:tc>
        <w:tc>
          <w:tcPr>
            <w:tcW w:w="1184" w:type="dxa"/>
            <w:vAlign w:val="center"/>
          </w:tcPr>
          <w:p w14:paraId="6EDCFA1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200 </w:t>
            </w:r>
          </w:p>
        </w:tc>
        <w:tc>
          <w:tcPr>
            <w:tcW w:w="1148" w:type="dxa"/>
            <w:vAlign w:val="center"/>
          </w:tcPr>
          <w:p w14:paraId="6EDCFA1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96.65</w:t>
            </w:r>
          </w:p>
        </w:tc>
      </w:tr>
      <w:tr w:rsidR="00A9766F" w:rsidRPr="007114AF" w14:paraId="6EDCFA22"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A1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Çelësa termikë </w:t>
            </w:r>
          </w:p>
        </w:tc>
        <w:tc>
          <w:tcPr>
            <w:tcW w:w="998" w:type="dxa"/>
            <w:vAlign w:val="center"/>
            <w:hideMark/>
          </w:tcPr>
          <w:p w14:paraId="6EDCFA1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-68.28 </w:t>
            </w:r>
          </w:p>
        </w:tc>
        <w:tc>
          <w:tcPr>
            <w:tcW w:w="1246" w:type="dxa"/>
            <w:vAlign w:val="center"/>
            <w:hideMark/>
          </w:tcPr>
          <w:p w14:paraId="6EDCFA1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njësi</w:t>
            </w:r>
          </w:p>
        </w:tc>
        <w:tc>
          <w:tcPr>
            <w:tcW w:w="1056" w:type="dxa"/>
            <w:vAlign w:val="center"/>
            <w:hideMark/>
          </w:tcPr>
          <w:p w14:paraId="6EDCFA1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1.18 </w:t>
            </w:r>
          </w:p>
        </w:tc>
        <w:tc>
          <w:tcPr>
            <w:tcW w:w="1128" w:type="dxa"/>
            <w:vAlign w:val="center"/>
          </w:tcPr>
          <w:p w14:paraId="6EDCFA1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30,000 </w:t>
            </w:r>
          </w:p>
        </w:tc>
        <w:tc>
          <w:tcPr>
            <w:tcW w:w="1148" w:type="dxa"/>
            <w:vAlign w:val="center"/>
          </w:tcPr>
          <w:p w14:paraId="6EDCFA1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21.95 </w:t>
            </w:r>
          </w:p>
        </w:tc>
        <w:tc>
          <w:tcPr>
            <w:tcW w:w="1184" w:type="dxa"/>
            <w:vAlign w:val="center"/>
          </w:tcPr>
          <w:p w14:paraId="6EDCFA2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60,000 </w:t>
            </w:r>
          </w:p>
        </w:tc>
        <w:tc>
          <w:tcPr>
            <w:tcW w:w="1148" w:type="dxa"/>
            <w:vAlign w:val="center"/>
          </w:tcPr>
          <w:p w14:paraId="6EDCFA2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36.82</w:t>
            </w:r>
          </w:p>
        </w:tc>
      </w:tr>
      <w:tr w:rsidR="00A9766F" w:rsidRPr="007114AF" w14:paraId="6EDCFA2B" w14:textId="77777777" w:rsidTr="00A9766F">
        <w:trPr>
          <w:trHeight w:val="73"/>
          <w:jc w:val="center"/>
        </w:trPr>
        <w:tc>
          <w:tcPr>
            <w:tcW w:w="1668" w:type="dxa"/>
            <w:vAlign w:val="center"/>
            <w:hideMark/>
          </w:tcPr>
          <w:p w14:paraId="6EDCFA2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Matës me parapagesë </w:t>
            </w:r>
          </w:p>
        </w:tc>
        <w:tc>
          <w:tcPr>
            <w:tcW w:w="998" w:type="dxa"/>
            <w:vAlign w:val="center"/>
            <w:hideMark/>
          </w:tcPr>
          <w:p w14:paraId="6EDCFA2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-54.87 </w:t>
            </w:r>
          </w:p>
        </w:tc>
        <w:tc>
          <w:tcPr>
            <w:tcW w:w="1246" w:type="dxa"/>
            <w:vAlign w:val="center"/>
            <w:hideMark/>
          </w:tcPr>
          <w:p w14:paraId="6EDCFA2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apartamente</w:t>
            </w:r>
          </w:p>
        </w:tc>
        <w:tc>
          <w:tcPr>
            <w:tcW w:w="1056" w:type="dxa"/>
            <w:vAlign w:val="center"/>
            <w:hideMark/>
          </w:tcPr>
          <w:p w14:paraId="6EDCFA2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1.06 </w:t>
            </w:r>
          </w:p>
        </w:tc>
        <w:tc>
          <w:tcPr>
            <w:tcW w:w="1128" w:type="dxa"/>
            <w:vAlign w:val="center"/>
          </w:tcPr>
          <w:p w14:paraId="6EDCFA2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50,000 </w:t>
            </w:r>
          </w:p>
        </w:tc>
        <w:tc>
          <w:tcPr>
            <w:tcW w:w="1148" w:type="dxa"/>
            <w:vAlign w:val="center"/>
          </w:tcPr>
          <w:p w14:paraId="6EDCFA2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32.75 </w:t>
            </w:r>
          </w:p>
        </w:tc>
        <w:tc>
          <w:tcPr>
            <w:tcW w:w="1184" w:type="dxa"/>
            <w:vAlign w:val="center"/>
          </w:tcPr>
          <w:p w14:paraId="6EDCFA2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100,000 </w:t>
            </w:r>
          </w:p>
        </w:tc>
        <w:tc>
          <w:tcPr>
            <w:tcW w:w="1148" w:type="dxa"/>
            <w:vAlign w:val="center"/>
          </w:tcPr>
          <w:p w14:paraId="6EDCFA2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54.94</w:t>
            </w:r>
          </w:p>
        </w:tc>
      </w:tr>
      <w:tr w:rsidR="00A9766F" w:rsidRPr="007114AF" w14:paraId="6EDCFA34"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A2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Turbina me erë</w:t>
            </w:r>
          </w:p>
        </w:tc>
        <w:tc>
          <w:tcPr>
            <w:tcW w:w="998" w:type="dxa"/>
            <w:vAlign w:val="center"/>
            <w:hideMark/>
          </w:tcPr>
          <w:p w14:paraId="6EDCFA2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-21.74 </w:t>
            </w:r>
          </w:p>
        </w:tc>
        <w:tc>
          <w:tcPr>
            <w:tcW w:w="1246" w:type="dxa"/>
            <w:vAlign w:val="center"/>
            <w:hideMark/>
          </w:tcPr>
          <w:p w14:paraId="6EDCFA2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kW </w:t>
            </w:r>
          </w:p>
        </w:tc>
        <w:tc>
          <w:tcPr>
            <w:tcW w:w="1056" w:type="dxa"/>
            <w:vAlign w:val="center"/>
            <w:hideMark/>
          </w:tcPr>
          <w:p w14:paraId="6EDCFA2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1.37 </w:t>
            </w:r>
          </w:p>
        </w:tc>
        <w:tc>
          <w:tcPr>
            <w:tcW w:w="1128" w:type="dxa"/>
            <w:vAlign w:val="center"/>
          </w:tcPr>
          <w:p w14:paraId="6EDCFA3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20,000 </w:t>
            </w:r>
          </w:p>
        </w:tc>
        <w:tc>
          <w:tcPr>
            <w:tcW w:w="1148" w:type="dxa"/>
            <w:vAlign w:val="center"/>
          </w:tcPr>
          <w:p w14:paraId="6EDCFA3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16.96 </w:t>
            </w:r>
          </w:p>
        </w:tc>
        <w:tc>
          <w:tcPr>
            <w:tcW w:w="1184" w:type="dxa"/>
            <w:vAlign w:val="center"/>
          </w:tcPr>
          <w:p w14:paraId="6EDCFA3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60,000 </w:t>
            </w:r>
          </w:p>
        </w:tc>
        <w:tc>
          <w:tcPr>
            <w:tcW w:w="1148" w:type="dxa"/>
            <w:vAlign w:val="center"/>
          </w:tcPr>
          <w:p w14:paraId="6EDCFA3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42.68</w:t>
            </w:r>
          </w:p>
        </w:tc>
      </w:tr>
      <w:tr w:rsidR="00A9766F" w:rsidRPr="007114AF" w14:paraId="6EDCFA3D" w14:textId="77777777" w:rsidTr="00A9766F">
        <w:trPr>
          <w:trHeight w:val="73"/>
          <w:jc w:val="center"/>
        </w:trPr>
        <w:tc>
          <w:tcPr>
            <w:tcW w:w="1668" w:type="dxa"/>
            <w:vAlign w:val="center"/>
            <w:hideMark/>
          </w:tcPr>
          <w:p w14:paraId="6EDCFA3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Hidrocentrale të vegjël, të mesëm </w:t>
            </w:r>
          </w:p>
        </w:tc>
        <w:tc>
          <w:tcPr>
            <w:tcW w:w="998" w:type="dxa"/>
            <w:vAlign w:val="center"/>
            <w:hideMark/>
          </w:tcPr>
          <w:p w14:paraId="6EDCFA3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-184.22 </w:t>
            </w:r>
          </w:p>
        </w:tc>
        <w:tc>
          <w:tcPr>
            <w:tcW w:w="1246" w:type="dxa"/>
            <w:vAlign w:val="center"/>
            <w:hideMark/>
          </w:tcPr>
          <w:p w14:paraId="6EDCFA3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kW </w:t>
            </w:r>
          </w:p>
        </w:tc>
        <w:tc>
          <w:tcPr>
            <w:tcW w:w="1056" w:type="dxa"/>
            <w:vAlign w:val="center"/>
            <w:hideMark/>
          </w:tcPr>
          <w:p w14:paraId="6EDCFA3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1.56 </w:t>
            </w:r>
          </w:p>
        </w:tc>
        <w:tc>
          <w:tcPr>
            <w:tcW w:w="1128" w:type="dxa"/>
            <w:vAlign w:val="center"/>
          </w:tcPr>
          <w:p w14:paraId="6EDCFA3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300,000 </w:t>
            </w:r>
          </w:p>
        </w:tc>
        <w:tc>
          <w:tcPr>
            <w:tcW w:w="1148" w:type="dxa"/>
            <w:vAlign w:val="center"/>
          </w:tcPr>
          <w:p w14:paraId="6EDCFA3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290.95 </w:t>
            </w:r>
          </w:p>
        </w:tc>
        <w:tc>
          <w:tcPr>
            <w:tcW w:w="1184" w:type="dxa"/>
            <w:vAlign w:val="center"/>
          </w:tcPr>
          <w:p w14:paraId="6EDCFA3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630,000 </w:t>
            </w:r>
          </w:p>
        </w:tc>
        <w:tc>
          <w:tcPr>
            <w:tcW w:w="1148" w:type="dxa"/>
            <w:vAlign w:val="center"/>
          </w:tcPr>
          <w:p w14:paraId="6EDCFA3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512.44</w:t>
            </w:r>
          </w:p>
        </w:tc>
      </w:tr>
      <w:tr w:rsidR="00A9766F" w:rsidRPr="007114AF" w14:paraId="6EDCFA46"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A3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Izolimi termik i banesave -DH </w:t>
            </w:r>
          </w:p>
        </w:tc>
        <w:tc>
          <w:tcPr>
            <w:tcW w:w="998" w:type="dxa"/>
            <w:vAlign w:val="center"/>
            <w:hideMark/>
          </w:tcPr>
          <w:p w14:paraId="6EDCFA3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-48.21 </w:t>
            </w:r>
          </w:p>
        </w:tc>
        <w:tc>
          <w:tcPr>
            <w:tcW w:w="1246" w:type="dxa"/>
            <w:vAlign w:val="center"/>
            <w:hideMark/>
          </w:tcPr>
          <w:p w14:paraId="6EDCFA4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apartamente</w:t>
            </w:r>
          </w:p>
        </w:tc>
        <w:tc>
          <w:tcPr>
            <w:tcW w:w="1056" w:type="dxa"/>
            <w:vAlign w:val="center"/>
            <w:hideMark/>
          </w:tcPr>
          <w:p w14:paraId="6EDCFA4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1.67 </w:t>
            </w:r>
          </w:p>
        </w:tc>
        <w:tc>
          <w:tcPr>
            <w:tcW w:w="1128" w:type="dxa"/>
            <w:vAlign w:val="center"/>
          </w:tcPr>
          <w:p w14:paraId="6EDCFA4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 </w:t>
            </w:r>
          </w:p>
        </w:tc>
        <w:tc>
          <w:tcPr>
            <w:tcW w:w="1148" w:type="dxa"/>
            <w:vAlign w:val="center"/>
          </w:tcPr>
          <w:p w14:paraId="6EDCFA4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0.00 </w:t>
            </w:r>
          </w:p>
        </w:tc>
        <w:tc>
          <w:tcPr>
            <w:tcW w:w="1184" w:type="dxa"/>
            <w:vAlign w:val="center"/>
          </w:tcPr>
          <w:p w14:paraId="6EDCFA4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300 </w:t>
            </w:r>
          </w:p>
        </w:tc>
        <w:tc>
          <w:tcPr>
            <w:tcW w:w="1148" w:type="dxa"/>
            <w:vAlign w:val="center"/>
          </w:tcPr>
          <w:p w14:paraId="6EDCFA4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0.26</w:t>
            </w:r>
          </w:p>
        </w:tc>
      </w:tr>
      <w:tr w:rsidR="00A9766F" w:rsidRPr="007114AF" w14:paraId="6EDCFA4F" w14:textId="77777777" w:rsidTr="00A9766F">
        <w:trPr>
          <w:trHeight w:val="73"/>
          <w:jc w:val="center"/>
        </w:trPr>
        <w:tc>
          <w:tcPr>
            <w:tcW w:w="1668" w:type="dxa"/>
            <w:vAlign w:val="center"/>
            <w:hideMark/>
          </w:tcPr>
          <w:p w14:paraId="6EDCFA4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Motorë efikasë</w:t>
            </w:r>
          </w:p>
        </w:tc>
        <w:tc>
          <w:tcPr>
            <w:tcW w:w="998" w:type="dxa"/>
            <w:vAlign w:val="center"/>
            <w:hideMark/>
          </w:tcPr>
          <w:p w14:paraId="6EDCFA4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-28.01 </w:t>
            </w:r>
          </w:p>
        </w:tc>
        <w:tc>
          <w:tcPr>
            <w:tcW w:w="1246" w:type="dxa"/>
            <w:vAlign w:val="center"/>
            <w:hideMark/>
          </w:tcPr>
          <w:p w14:paraId="6EDCFA4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kW </w:t>
            </w:r>
          </w:p>
        </w:tc>
        <w:tc>
          <w:tcPr>
            <w:tcW w:w="1056" w:type="dxa"/>
            <w:vAlign w:val="center"/>
            <w:hideMark/>
          </w:tcPr>
          <w:p w14:paraId="6EDCFA4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4.33 </w:t>
            </w:r>
          </w:p>
        </w:tc>
        <w:tc>
          <w:tcPr>
            <w:tcW w:w="1128" w:type="dxa"/>
            <w:vAlign w:val="center"/>
          </w:tcPr>
          <w:p w14:paraId="6EDCFA4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20,000 </w:t>
            </w:r>
          </w:p>
        </w:tc>
        <w:tc>
          <w:tcPr>
            <w:tcW w:w="1148" w:type="dxa"/>
            <w:vAlign w:val="center"/>
          </w:tcPr>
          <w:p w14:paraId="6EDCFA4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53.69 </w:t>
            </w:r>
          </w:p>
        </w:tc>
        <w:tc>
          <w:tcPr>
            <w:tcW w:w="1184" w:type="dxa"/>
            <w:vAlign w:val="center"/>
          </w:tcPr>
          <w:p w14:paraId="6EDCFA4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80,000 </w:t>
            </w:r>
          </w:p>
        </w:tc>
        <w:tc>
          <w:tcPr>
            <w:tcW w:w="1148" w:type="dxa"/>
            <w:vAlign w:val="center"/>
          </w:tcPr>
          <w:p w14:paraId="6EDCFA4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180.14</w:t>
            </w:r>
          </w:p>
        </w:tc>
      </w:tr>
      <w:tr w:rsidR="00A9766F" w:rsidRPr="007114AF" w14:paraId="6EDCFA58"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A5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Frigoriferë efikasë</w:t>
            </w:r>
          </w:p>
        </w:tc>
        <w:tc>
          <w:tcPr>
            <w:tcW w:w="998" w:type="dxa"/>
            <w:vAlign w:val="center"/>
            <w:hideMark/>
          </w:tcPr>
          <w:p w14:paraId="6EDCFA5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-47.59 </w:t>
            </w:r>
          </w:p>
        </w:tc>
        <w:tc>
          <w:tcPr>
            <w:tcW w:w="1246" w:type="dxa"/>
            <w:vAlign w:val="center"/>
            <w:hideMark/>
          </w:tcPr>
          <w:p w14:paraId="6EDCFA5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frigorifer</w:t>
            </w:r>
          </w:p>
        </w:tc>
        <w:tc>
          <w:tcPr>
            <w:tcW w:w="1056" w:type="dxa"/>
            <w:vAlign w:val="center"/>
            <w:hideMark/>
          </w:tcPr>
          <w:p w14:paraId="6EDCFA5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0.84 </w:t>
            </w:r>
          </w:p>
        </w:tc>
        <w:tc>
          <w:tcPr>
            <w:tcW w:w="1128" w:type="dxa"/>
            <w:vAlign w:val="center"/>
          </w:tcPr>
          <w:p w14:paraId="6EDCFA5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20,000 </w:t>
            </w:r>
          </w:p>
        </w:tc>
        <w:tc>
          <w:tcPr>
            <w:tcW w:w="1148" w:type="dxa"/>
            <w:vAlign w:val="center"/>
          </w:tcPr>
          <w:p w14:paraId="6EDCFA5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10.46 </w:t>
            </w:r>
          </w:p>
        </w:tc>
        <w:tc>
          <w:tcPr>
            <w:tcW w:w="1184" w:type="dxa"/>
            <w:vAlign w:val="center"/>
          </w:tcPr>
          <w:p w14:paraId="6EDCFA5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30,000 </w:t>
            </w:r>
          </w:p>
        </w:tc>
        <w:tc>
          <w:tcPr>
            <w:tcW w:w="1148" w:type="dxa"/>
            <w:vAlign w:val="center"/>
          </w:tcPr>
          <w:p w14:paraId="6EDCFA5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13.15</w:t>
            </w:r>
          </w:p>
        </w:tc>
      </w:tr>
      <w:tr w:rsidR="00A9766F" w:rsidRPr="007114AF" w14:paraId="6EDCFA61" w14:textId="77777777" w:rsidTr="00A9766F">
        <w:trPr>
          <w:trHeight w:val="73"/>
          <w:jc w:val="center"/>
        </w:trPr>
        <w:tc>
          <w:tcPr>
            <w:tcW w:w="1668" w:type="dxa"/>
            <w:vAlign w:val="center"/>
            <w:hideMark/>
          </w:tcPr>
          <w:p w14:paraId="6EDCFA5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Sisteme diellore për ujë të ngrohtë</w:t>
            </w:r>
          </w:p>
        </w:tc>
        <w:tc>
          <w:tcPr>
            <w:tcW w:w="998" w:type="dxa"/>
            <w:vAlign w:val="center"/>
            <w:hideMark/>
          </w:tcPr>
          <w:p w14:paraId="6EDCFA5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-59.12 </w:t>
            </w:r>
          </w:p>
        </w:tc>
        <w:tc>
          <w:tcPr>
            <w:tcW w:w="1246" w:type="dxa"/>
            <w:vAlign w:val="center"/>
            <w:hideMark/>
          </w:tcPr>
          <w:p w14:paraId="6EDCFA5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njësi</w:t>
            </w:r>
          </w:p>
        </w:tc>
        <w:tc>
          <w:tcPr>
            <w:tcW w:w="1056" w:type="dxa"/>
            <w:vAlign w:val="center"/>
            <w:hideMark/>
          </w:tcPr>
          <w:p w14:paraId="6EDCFA5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2.59 </w:t>
            </w:r>
          </w:p>
        </w:tc>
        <w:tc>
          <w:tcPr>
            <w:tcW w:w="1128" w:type="dxa"/>
            <w:vAlign w:val="center"/>
          </w:tcPr>
          <w:p w14:paraId="6EDCFA5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20,000 </w:t>
            </w:r>
          </w:p>
        </w:tc>
        <w:tc>
          <w:tcPr>
            <w:tcW w:w="1148" w:type="dxa"/>
            <w:vAlign w:val="center"/>
          </w:tcPr>
          <w:p w14:paraId="6EDCFA5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32.05 </w:t>
            </w:r>
          </w:p>
        </w:tc>
        <w:tc>
          <w:tcPr>
            <w:tcW w:w="1184" w:type="dxa"/>
            <w:vAlign w:val="center"/>
          </w:tcPr>
          <w:p w14:paraId="6EDCFA5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60,000 </w:t>
            </w:r>
          </w:p>
        </w:tc>
        <w:tc>
          <w:tcPr>
            <w:tcW w:w="1148" w:type="dxa"/>
            <w:vAlign w:val="center"/>
          </w:tcPr>
          <w:p w14:paraId="6EDCFA6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80.65</w:t>
            </w:r>
          </w:p>
        </w:tc>
      </w:tr>
      <w:tr w:rsidR="00A9766F" w:rsidRPr="007114AF" w14:paraId="6EDCFA6A"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A6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Hidrocentral i vogël</w:t>
            </w:r>
          </w:p>
        </w:tc>
        <w:tc>
          <w:tcPr>
            <w:tcW w:w="998" w:type="dxa"/>
            <w:vAlign w:val="center"/>
            <w:hideMark/>
          </w:tcPr>
          <w:p w14:paraId="6EDCFA6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-214.57 </w:t>
            </w:r>
          </w:p>
        </w:tc>
        <w:tc>
          <w:tcPr>
            <w:tcW w:w="1246" w:type="dxa"/>
            <w:vAlign w:val="center"/>
            <w:hideMark/>
          </w:tcPr>
          <w:p w14:paraId="6EDCFA6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kW </w:t>
            </w:r>
          </w:p>
        </w:tc>
        <w:tc>
          <w:tcPr>
            <w:tcW w:w="1056" w:type="dxa"/>
            <w:vAlign w:val="center"/>
            <w:hideMark/>
          </w:tcPr>
          <w:p w14:paraId="6EDCFA6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5.61 </w:t>
            </w:r>
          </w:p>
        </w:tc>
        <w:tc>
          <w:tcPr>
            <w:tcW w:w="1128" w:type="dxa"/>
            <w:vAlign w:val="center"/>
          </w:tcPr>
          <w:p w14:paraId="6EDCFA6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25,000 </w:t>
            </w:r>
          </w:p>
        </w:tc>
        <w:tc>
          <w:tcPr>
            <w:tcW w:w="1148" w:type="dxa"/>
            <w:vAlign w:val="center"/>
          </w:tcPr>
          <w:p w14:paraId="6EDCFA6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86.98 </w:t>
            </w:r>
          </w:p>
        </w:tc>
        <w:tc>
          <w:tcPr>
            <w:tcW w:w="1184" w:type="dxa"/>
            <w:vAlign w:val="center"/>
          </w:tcPr>
          <w:p w14:paraId="6EDCFA6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80,000 </w:t>
            </w:r>
          </w:p>
        </w:tc>
        <w:tc>
          <w:tcPr>
            <w:tcW w:w="1148" w:type="dxa"/>
            <w:vAlign w:val="center"/>
          </w:tcPr>
          <w:p w14:paraId="6EDCFA6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233.43</w:t>
            </w:r>
          </w:p>
        </w:tc>
      </w:tr>
      <w:tr w:rsidR="00A9766F" w:rsidRPr="007114AF" w14:paraId="6EDCFA73" w14:textId="77777777" w:rsidTr="00A9766F">
        <w:trPr>
          <w:trHeight w:val="73"/>
          <w:jc w:val="center"/>
        </w:trPr>
        <w:tc>
          <w:tcPr>
            <w:tcW w:w="1668" w:type="dxa"/>
            <w:vAlign w:val="center"/>
            <w:hideMark/>
          </w:tcPr>
          <w:p w14:paraId="6EDCFA6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Impiant gazi në vend groposjeje me 70% përpunim </w:t>
            </w:r>
          </w:p>
        </w:tc>
        <w:tc>
          <w:tcPr>
            <w:tcW w:w="998" w:type="dxa"/>
            <w:vAlign w:val="center"/>
            <w:hideMark/>
          </w:tcPr>
          <w:p w14:paraId="6EDCFA6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29.90 </w:t>
            </w:r>
          </w:p>
        </w:tc>
        <w:tc>
          <w:tcPr>
            <w:tcW w:w="1246" w:type="dxa"/>
            <w:vAlign w:val="center"/>
            <w:hideMark/>
          </w:tcPr>
          <w:p w14:paraId="6EDCFA6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Impiant i vend groposjes </w:t>
            </w:r>
          </w:p>
        </w:tc>
        <w:tc>
          <w:tcPr>
            <w:tcW w:w="1056" w:type="dxa"/>
            <w:vAlign w:val="center"/>
            <w:hideMark/>
          </w:tcPr>
          <w:p w14:paraId="6EDCFA6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24,019.17 </w:t>
            </w:r>
          </w:p>
        </w:tc>
        <w:tc>
          <w:tcPr>
            <w:tcW w:w="1128" w:type="dxa"/>
            <w:vAlign w:val="center"/>
          </w:tcPr>
          <w:p w14:paraId="6EDCFA6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 </w:t>
            </w:r>
          </w:p>
        </w:tc>
        <w:tc>
          <w:tcPr>
            <w:tcW w:w="1148" w:type="dxa"/>
            <w:vAlign w:val="center"/>
          </w:tcPr>
          <w:p w14:paraId="6EDCFA7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29.78 </w:t>
            </w:r>
          </w:p>
        </w:tc>
        <w:tc>
          <w:tcPr>
            <w:tcW w:w="1184" w:type="dxa"/>
            <w:vAlign w:val="center"/>
          </w:tcPr>
          <w:p w14:paraId="6EDCFA7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 </w:t>
            </w:r>
          </w:p>
        </w:tc>
        <w:tc>
          <w:tcPr>
            <w:tcW w:w="1148" w:type="dxa"/>
            <w:vAlign w:val="center"/>
          </w:tcPr>
          <w:p w14:paraId="6EDCFA7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99.92</w:t>
            </w:r>
          </w:p>
        </w:tc>
      </w:tr>
      <w:tr w:rsidR="00A9766F" w:rsidRPr="007114AF" w14:paraId="6EDCFA7C"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A7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Central me gaz</w:t>
            </w:r>
          </w:p>
        </w:tc>
        <w:tc>
          <w:tcPr>
            <w:tcW w:w="998" w:type="dxa"/>
            <w:vAlign w:val="center"/>
            <w:hideMark/>
          </w:tcPr>
          <w:p w14:paraId="6EDCFA7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-85.12 </w:t>
            </w:r>
          </w:p>
        </w:tc>
        <w:tc>
          <w:tcPr>
            <w:tcW w:w="1246" w:type="dxa"/>
            <w:vAlign w:val="center"/>
            <w:hideMark/>
          </w:tcPr>
          <w:p w14:paraId="6EDCFA7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kW </w:t>
            </w:r>
          </w:p>
        </w:tc>
        <w:tc>
          <w:tcPr>
            <w:tcW w:w="1056" w:type="dxa"/>
            <w:vAlign w:val="center"/>
            <w:hideMark/>
          </w:tcPr>
          <w:p w14:paraId="6EDCFA7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2.43 </w:t>
            </w:r>
          </w:p>
        </w:tc>
        <w:tc>
          <w:tcPr>
            <w:tcW w:w="1128" w:type="dxa"/>
            <w:vAlign w:val="center"/>
          </w:tcPr>
          <w:p w14:paraId="6EDCFA7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97,000 </w:t>
            </w:r>
          </w:p>
        </w:tc>
        <w:tc>
          <w:tcPr>
            <w:tcW w:w="1148" w:type="dxa"/>
            <w:vAlign w:val="center"/>
          </w:tcPr>
          <w:p w14:paraId="6EDCFA7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146.23 </w:t>
            </w:r>
          </w:p>
        </w:tc>
        <w:tc>
          <w:tcPr>
            <w:tcW w:w="1184" w:type="dxa"/>
            <w:vAlign w:val="center"/>
          </w:tcPr>
          <w:p w14:paraId="6EDCFA7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150,000 </w:t>
            </w:r>
          </w:p>
        </w:tc>
        <w:tc>
          <w:tcPr>
            <w:tcW w:w="1148" w:type="dxa"/>
            <w:vAlign w:val="center"/>
          </w:tcPr>
          <w:p w14:paraId="6EDCFA7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189.66</w:t>
            </w:r>
          </w:p>
        </w:tc>
      </w:tr>
      <w:tr w:rsidR="00A9766F" w:rsidRPr="007114AF" w14:paraId="6EDCFA85" w14:textId="77777777" w:rsidTr="00A9766F">
        <w:trPr>
          <w:trHeight w:val="73"/>
          <w:jc w:val="center"/>
        </w:trPr>
        <w:tc>
          <w:tcPr>
            <w:tcW w:w="1668" w:type="dxa"/>
            <w:vAlign w:val="center"/>
            <w:hideMark/>
          </w:tcPr>
          <w:p w14:paraId="6EDCFA7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Kogjenerim-NKE</w:t>
            </w:r>
          </w:p>
        </w:tc>
        <w:tc>
          <w:tcPr>
            <w:tcW w:w="998" w:type="dxa"/>
            <w:vAlign w:val="center"/>
            <w:hideMark/>
          </w:tcPr>
          <w:p w14:paraId="6EDCFA7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-114.75 </w:t>
            </w:r>
          </w:p>
        </w:tc>
        <w:tc>
          <w:tcPr>
            <w:tcW w:w="1246" w:type="dxa"/>
            <w:vAlign w:val="center"/>
            <w:hideMark/>
          </w:tcPr>
          <w:p w14:paraId="6EDCFA7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kW </w:t>
            </w:r>
          </w:p>
        </w:tc>
        <w:tc>
          <w:tcPr>
            <w:tcW w:w="1056" w:type="dxa"/>
            <w:vAlign w:val="center"/>
            <w:hideMark/>
          </w:tcPr>
          <w:p w14:paraId="6EDCFA8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2.65 </w:t>
            </w:r>
          </w:p>
        </w:tc>
        <w:tc>
          <w:tcPr>
            <w:tcW w:w="1128" w:type="dxa"/>
            <w:vAlign w:val="center"/>
          </w:tcPr>
          <w:p w14:paraId="6EDCFA8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5,000 </w:t>
            </w:r>
          </w:p>
        </w:tc>
        <w:tc>
          <w:tcPr>
            <w:tcW w:w="1148" w:type="dxa"/>
            <w:vAlign w:val="center"/>
          </w:tcPr>
          <w:p w14:paraId="6EDCFA8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8.23 </w:t>
            </w:r>
          </w:p>
        </w:tc>
        <w:tc>
          <w:tcPr>
            <w:tcW w:w="1184" w:type="dxa"/>
            <w:vAlign w:val="center"/>
          </w:tcPr>
          <w:p w14:paraId="6EDCFA8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14,000 </w:t>
            </w:r>
          </w:p>
        </w:tc>
        <w:tc>
          <w:tcPr>
            <w:tcW w:w="1148" w:type="dxa"/>
            <w:vAlign w:val="center"/>
          </w:tcPr>
          <w:p w14:paraId="6EDCFA8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19.32</w:t>
            </w:r>
          </w:p>
        </w:tc>
      </w:tr>
      <w:tr w:rsidR="00A9766F" w:rsidRPr="007114AF" w14:paraId="6EDCFA8E"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A8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Ngrohja zonale-NZ</w:t>
            </w:r>
          </w:p>
        </w:tc>
        <w:tc>
          <w:tcPr>
            <w:tcW w:w="998" w:type="dxa"/>
            <w:vAlign w:val="center"/>
            <w:hideMark/>
          </w:tcPr>
          <w:p w14:paraId="6EDCFA8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-77.42 </w:t>
            </w:r>
          </w:p>
        </w:tc>
        <w:tc>
          <w:tcPr>
            <w:tcW w:w="1246" w:type="dxa"/>
            <w:vAlign w:val="center"/>
            <w:hideMark/>
          </w:tcPr>
          <w:p w14:paraId="6EDCFA8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kW </w:t>
            </w:r>
          </w:p>
        </w:tc>
        <w:tc>
          <w:tcPr>
            <w:tcW w:w="1056" w:type="dxa"/>
            <w:vAlign w:val="center"/>
            <w:hideMark/>
          </w:tcPr>
          <w:p w14:paraId="6EDCFA8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5.59 </w:t>
            </w:r>
          </w:p>
        </w:tc>
        <w:tc>
          <w:tcPr>
            <w:tcW w:w="1128" w:type="dxa"/>
            <w:vAlign w:val="center"/>
          </w:tcPr>
          <w:p w14:paraId="6EDCFA8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6,000 </w:t>
            </w:r>
          </w:p>
        </w:tc>
        <w:tc>
          <w:tcPr>
            <w:tcW w:w="1148" w:type="dxa"/>
            <w:vAlign w:val="center"/>
          </w:tcPr>
          <w:p w14:paraId="6EDCFA8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20.79 </w:t>
            </w:r>
          </w:p>
        </w:tc>
        <w:tc>
          <w:tcPr>
            <w:tcW w:w="1184" w:type="dxa"/>
            <w:vAlign w:val="center"/>
          </w:tcPr>
          <w:p w14:paraId="6EDCFA8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13,000 </w:t>
            </w:r>
          </w:p>
        </w:tc>
        <w:tc>
          <w:tcPr>
            <w:tcW w:w="1148" w:type="dxa"/>
            <w:vAlign w:val="center"/>
          </w:tcPr>
          <w:p w14:paraId="6EDCFA8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37.77</w:t>
            </w:r>
          </w:p>
        </w:tc>
      </w:tr>
      <w:tr w:rsidR="00A9766F" w:rsidRPr="007114AF" w14:paraId="6EDCFA97" w14:textId="77777777" w:rsidTr="00A9766F">
        <w:trPr>
          <w:trHeight w:val="73"/>
          <w:jc w:val="center"/>
        </w:trPr>
        <w:tc>
          <w:tcPr>
            <w:tcW w:w="1668" w:type="dxa"/>
            <w:vAlign w:val="center"/>
            <w:hideMark/>
          </w:tcPr>
          <w:p w14:paraId="6EDCFA8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Ngrohja qendrore-NQ</w:t>
            </w:r>
          </w:p>
        </w:tc>
        <w:tc>
          <w:tcPr>
            <w:tcW w:w="998" w:type="dxa"/>
            <w:vAlign w:val="center"/>
            <w:hideMark/>
          </w:tcPr>
          <w:p w14:paraId="6EDCFA9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-64.64 </w:t>
            </w:r>
          </w:p>
        </w:tc>
        <w:tc>
          <w:tcPr>
            <w:tcW w:w="1246" w:type="dxa"/>
            <w:vAlign w:val="center"/>
            <w:hideMark/>
          </w:tcPr>
          <w:p w14:paraId="6EDCFA9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kW </w:t>
            </w:r>
          </w:p>
        </w:tc>
        <w:tc>
          <w:tcPr>
            <w:tcW w:w="1056" w:type="dxa"/>
            <w:vAlign w:val="center"/>
            <w:hideMark/>
          </w:tcPr>
          <w:p w14:paraId="6EDCFA9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3.36 </w:t>
            </w:r>
          </w:p>
        </w:tc>
        <w:tc>
          <w:tcPr>
            <w:tcW w:w="1128" w:type="dxa"/>
            <w:vAlign w:val="center"/>
          </w:tcPr>
          <w:p w14:paraId="6EDCFA9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5,000 </w:t>
            </w:r>
          </w:p>
        </w:tc>
        <w:tc>
          <w:tcPr>
            <w:tcW w:w="1148" w:type="dxa"/>
            <w:vAlign w:val="center"/>
          </w:tcPr>
          <w:p w14:paraId="6EDCFA9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10.43 </w:t>
            </w:r>
          </w:p>
        </w:tc>
        <w:tc>
          <w:tcPr>
            <w:tcW w:w="1184" w:type="dxa"/>
            <w:vAlign w:val="center"/>
          </w:tcPr>
          <w:p w14:paraId="6EDCFA9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15,000 </w:t>
            </w:r>
          </w:p>
        </w:tc>
        <w:tc>
          <w:tcPr>
            <w:tcW w:w="1148" w:type="dxa"/>
            <w:vAlign w:val="center"/>
          </w:tcPr>
          <w:p w14:paraId="6EDCFA9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26.24</w:t>
            </w:r>
          </w:p>
        </w:tc>
      </w:tr>
      <w:tr w:rsidR="00A9766F" w:rsidRPr="007114AF" w14:paraId="6EDCFAA0"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tcPr>
          <w:p w14:paraId="6EDCFA9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Pyllëzimi me pisha</w:t>
            </w:r>
          </w:p>
        </w:tc>
        <w:tc>
          <w:tcPr>
            <w:tcW w:w="998" w:type="dxa"/>
            <w:vAlign w:val="center"/>
          </w:tcPr>
          <w:p w14:paraId="6EDCFA99"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10.56 </w:t>
            </w:r>
          </w:p>
        </w:tc>
        <w:tc>
          <w:tcPr>
            <w:tcW w:w="1246" w:type="dxa"/>
            <w:vAlign w:val="center"/>
          </w:tcPr>
          <w:p w14:paraId="6EDCFA9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ha </w:t>
            </w:r>
          </w:p>
        </w:tc>
        <w:tc>
          <w:tcPr>
            <w:tcW w:w="1056" w:type="dxa"/>
            <w:vAlign w:val="center"/>
          </w:tcPr>
          <w:p w14:paraId="6EDCFA9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29.42 </w:t>
            </w:r>
          </w:p>
        </w:tc>
        <w:tc>
          <w:tcPr>
            <w:tcW w:w="1128" w:type="dxa"/>
            <w:vAlign w:val="center"/>
          </w:tcPr>
          <w:p w14:paraId="6EDCFA9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 </w:t>
            </w:r>
          </w:p>
        </w:tc>
        <w:tc>
          <w:tcPr>
            <w:tcW w:w="1148" w:type="dxa"/>
            <w:vAlign w:val="center"/>
          </w:tcPr>
          <w:p w14:paraId="6EDCFA9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0.00 </w:t>
            </w:r>
          </w:p>
        </w:tc>
        <w:tc>
          <w:tcPr>
            <w:tcW w:w="1184" w:type="dxa"/>
            <w:vAlign w:val="center"/>
          </w:tcPr>
          <w:p w14:paraId="6EDCFA9E" w14:textId="77777777" w:rsidR="00A9766F" w:rsidRPr="007114AF" w:rsidRDefault="00A9766F" w:rsidP="00A9766F">
            <w:pPr>
              <w:pStyle w:val="Default"/>
              <w:jc w:val="both"/>
              <w:rPr>
                <w:rFonts w:ascii="Garamond" w:hAnsi="Garamond"/>
                <w:sz w:val="18"/>
                <w:szCs w:val="18"/>
                <w:lang w:val="sq-AL"/>
              </w:rPr>
            </w:pPr>
            <w:r w:rsidRPr="007114AF">
              <w:rPr>
                <w:rFonts w:ascii="Garamond" w:hAnsi="Garamond"/>
                <w:sz w:val="18"/>
                <w:szCs w:val="18"/>
                <w:lang w:val="sq-AL"/>
              </w:rPr>
              <w:t>--</w:t>
            </w:r>
          </w:p>
        </w:tc>
        <w:tc>
          <w:tcPr>
            <w:tcW w:w="1148" w:type="dxa"/>
            <w:vAlign w:val="center"/>
          </w:tcPr>
          <w:p w14:paraId="6EDCFA9F" w14:textId="77777777" w:rsidR="00A9766F" w:rsidRPr="007114AF" w:rsidRDefault="00A9766F" w:rsidP="00A9766F">
            <w:pPr>
              <w:pStyle w:val="Default"/>
              <w:jc w:val="both"/>
              <w:rPr>
                <w:rFonts w:ascii="Garamond" w:hAnsi="Garamond"/>
                <w:sz w:val="18"/>
                <w:szCs w:val="18"/>
                <w:lang w:val="sq-AL"/>
              </w:rPr>
            </w:pPr>
            <w:r w:rsidRPr="007114AF">
              <w:rPr>
                <w:rFonts w:ascii="Garamond" w:hAnsi="Garamond"/>
                <w:sz w:val="18"/>
                <w:szCs w:val="18"/>
                <w:lang w:val="sq-AL"/>
              </w:rPr>
              <w:t>--</w:t>
            </w:r>
          </w:p>
        </w:tc>
      </w:tr>
      <w:tr w:rsidR="00A9766F" w:rsidRPr="007114AF" w14:paraId="6EDCFAA9" w14:textId="77777777" w:rsidTr="00A9766F">
        <w:trPr>
          <w:trHeight w:val="73"/>
          <w:jc w:val="center"/>
        </w:trPr>
        <w:tc>
          <w:tcPr>
            <w:tcW w:w="1668" w:type="dxa"/>
            <w:vAlign w:val="center"/>
            <w:hideMark/>
          </w:tcPr>
          <w:p w14:paraId="6EDCFAA1" w14:textId="18D585A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Biogaz</w:t>
            </w:r>
            <w:r w:rsidR="00022F8B">
              <w:rPr>
                <w:rFonts w:ascii="Garamond" w:eastAsiaTheme="minorHAnsi" w:hAnsi="Garamond"/>
                <w:sz w:val="18"/>
                <w:szCs w:val="18"/>
                <w:lang w:eastAsia="en-US"/>
              </w:rPr>
              <w:t xml:space="preserve"> </w:t>
            </w:r>
            <w:r w:rsidRPr="007114AF">
              <w:rPr>
                <w:rFonts w:ascii="Garamond" w:eastAsiaTheme="minorHAnsi" w:hAnsi="Garamond"/>
                <w:sz w:val="18"/>
                <w:szCs w:val="18"/>
                <w:lang w:eastAsia="en-US"/>
              </w:rPr>
              <w:t>për banesat rurale</w:t>
            </w:r>
          </w:p>
        </w:tc>
        <w:tc>
          <w:tcPr>
            <w:tcW w:w="998" w:type="dxa"/>
            <w:vAlign w:val="center"/>
            <w:hideMark/>
          </w:tcPr>
          <w:p w14:paraId="6EDCFAA2"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28.28 </w:t>
            </w:r>
          </w:p>
        </w:tc>
        <w:tc>
          <w:tcPr>
            <w:tcW w:w="1246" w:type="dxa"/>
            <w:vAlign w:val="center"/>
            <w:hideMark/>
          </w:tcPr>
          <w:p w14:paraId="6EDCFAA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tretës</w:t>
            </w:r>
          </w:p>
        </w:tc>
        <w:tc>
          <w:tcPr>
            <w:tcW w:w="1056" w:type="dxa"/>
            <w:vAlign w:val="center"/>
            <w:hideMark/>
          </w:tcPr>
          <w:p w14:paraId="6EDCFAA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8.84 </w:t>
            </w:r>
          </w:p>
        </w:tc>
        <w:tc>
          <w:tcPr>
            <w:tcW w:w="1128" w:type="dxa"/>
            <w:vAlign w:val="center"/>
          </w:tcPr>
          <w:p w14:paraId="6EDCFAA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1,000 </w:t>
            </w:r>
          </w:p>
        </w:tc>
        <w:tc>
          <w:tcPr>
            <w:tcW w:w="1148" w:type="dxa"/>
            <w:vAlign w:val="center"/>
          </w:tcPr>
          <w:p w14:paraId="6EDCFAA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5.48 </w:t>
            </w:r>
          </w:p>
        </w:tc>
        <w:tc>
          <w:tcPr>
            <w:tcW w:w="1184" w:type="dxa"/>
            <w:vAlign w:val="center"/>
            <w:hideMark/>
          </w:tcPr>
          <w:p w14:paraId="6EDCFAA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5,000 </w:t>
            </w:r>
          </w:p>
        </w:tc>
        <w:tc>
          <w:tcPr>
            <w:tcW w:w="1148" w:type="dxa"/>
            <w:vAlign w:val="center"/>
            <w:hideMark/>
          </w:tcPr>
          <w:p w14:paraId="6EDCFAA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22.99</w:t>
            </w:r>
          </w:p>
        </w:tc>
      </w:tr>
      <w:tr w:rsidR="00A9766F" w:rsidRPr="007114AF" w14:paraId="6EDCFAB2"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tcPr>
          <w:p w14:paraId="6EDCFAAA"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Ajër i kondicionuar</w:t>
            </w:r>
          </w:p>
        </w:tc>
        <w:tc>
          <w:tcPr>
            <w:tcW w:w="998" w:type="dxa"/>
            <w:vAlign w:val="center"/>
          </w:tcPr>
          <w:p w14:paraId="6EDCFAAB"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60.43 </w:t>
            </w:r>
          </w:p>
        </w:tc>
        <w:tc>
          <w:tcPr>
            <w:tcW w:w="1246" w:type="dxa"/>
            <w:vAlign w:val="center"/>
          </w:tcPr>
          <w:p w14:paraId="6EDCFAA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Njësi</w:t>
            </w:r>
          </w:p>
        </w:tc>
        <w:tc>
          <w:tcPr>
            <w:tcW w:w="1056" w:type="dxa"/>
            <w:vAlign w:val="center"/>
          </w:tcPr>
          <w:p w14:paraId="6EDCFAA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2.12 </w:t>
            </w:r>
          </w:p>
        </w:tc>
        <w:tc>
          <w:tcPr>
            <w:tcW w:w="1128" w:type="dxa"/>
            <w:vAlign w:val="center"/>
          </w:tcPr>
          <w:p w14:paraId="6EDCFAA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 </w:t>
            </w:r>
          </w:p>
        </w:tc>
        <w:tc>
          <w:tcPr>
            <w:tcW w:w="1148" w:type="dxa"/>
            <w:vAlign w:val="center"/>
          </w:tcPr>
          <w:p w14:paraId="6EDCFAA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0.00 </w:t>
            </w:r>
          </w:p>
        </w:tc>
        <w:tc>
          <w:tcPr>
            <w:tcW w:w="1184" w:type="dxa"/>
            <w:vAlign w:val="center"/>
          </w:tcPr>
          <w:p w14:paraId="6EDCFAB0" w14:textId="77777777" w:rsidR="00A9766F" w:rsidRPr="007114AF" w:rsidRDefault="00A9766F" w:rsidP="00A9766F">
            <w:pPr>
              <w:pStyle w:val="Default"/>
              <w:jc w:val="both"/>
              <w:rPr>
                <w:rFonts w:ascii="Garamond" w:hAnsi="Garamond"/>
                <w:sz w:val="18"/>
                <w:szCs w:val="18"/>
                <w:lang w:val="sq-AL"/>
              </w:rPr>
            </w:pPr>
            <w:r w:rsidRPr="007114AF">
              <w:rPr>
                <w:rFonts w:ascii="Garamond" w:hAnsi="Garamond"/>
                <w:sz w:val="18"/>
                <w:szCs w:val="18"/>
                <w:lang w:val="sq-AL"/>
              </w:rPr>
              <w:t>--</w:t>
            </w:r>
          </w:p>
        </w:tc>
        <w:tc>
          <w:tcPr>
            <w:tcW w:w="1148" w:type="dxa"/>
            <w:vAlign w:val="center"/>
          </w:tcPr>
          <w:p w14:paraId="6EDCFAB1" w14:textId="77777777" w:rsidR="00A9766F" w:rsidRPr="007114AF" w:rsidRDefault="00A9766F" w:rsidP="00A9766F">
            <w:pPr>
              <w:pStyle w:val="Default"/>
              <w:jc w:val="both"/>
              <w:rPr>
                <w:rFonts w:ascii="Garamond" w:hAnsi="Garamond"/>
                <w:sz w:val="18"/>
                <w:szCs w:val="18"/>
                <w:lang w:val="sq-AL"/>
              </w:rPr>
            </w:pPr>
            <w:r w:rsidRPr="007114AF">
              <w:rPr>
                <w:rFonts w:ascii="Garamond" w:hAnsi="Garamond"/>
                <w:sz w:val="18"/>
                <w:szCs w:val="18"/>
                <w:lang w:val="sq-AL"/>
              </w:rPr>
              <w:t>--</w:t>
            </w:r>
          </w:p>
        </w:tc>
      </w:tr>
      <w:tr w:rsidR="00A9766F" w:rsidRPr="007114AF" w14:paraId="6EDCFABB" w14:textId="77777777" w:rsidTr="00A9766F">
        <w:trPr>
          <w:trHeight w:val="73"/>
          <w:jc w:val="center"/>
        </w:trPr>
        <w:tc>
          <w:tcPr>
            <w:tcW w:w="1668" w:type="dxa"/>
            <w:vAlign w:val="center"/>
            <w:hideMark/>
          </w:tcPr>
          <w:p w14:paraId="6EDCFAB3"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CV energji elektrike 1 </w:t>
            </w:r>
          </w:p>
        </w:tc>
        <w:tc>
          <w:tcPr>
            <w:tcW w:w="998" w:type="dxa"/>
            <w:vAlign w:val="center"/>
            <w:hideMark/>
          </w:tcPr>
          <w:p w14:paraId="6EDCFAB4"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70.76 </w:t>
            </w:r>
          </w:p>
        </w:tc>
        <w:tc>
          <w:tcPr>
            <w:tcW w:w="1246" w:type="dxa"/>
            <w:vAlign w:val="center"/>
            <w:hideMark/>
          </w:tcPr>
          <w:p w14:paraId="6EDCFAB5"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kW </w:t>
            </w:r>
          </w:p>
        </w:tc>
        <w:tc>
          <w:tcPr>
            <w:tcW w:w="1056" w:type="dxa"/>
            <w:vAlign w:val="center"/>
            <w:hideMark/>
          </w:tcPr>
          <w:p w14:paraId="6EDCFAB6"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0.77 </w:t>
            </w:r>
          </w:p>
        </w:tc>
        <w:tc>
          <w:tcPr>
            <w:tcW w:w="1128" w:type="dxa"/>
            <w:vAlign w:val="center"/>
          </w:tcPr>
          <w:p w14:paraId="6EDCFAB7"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20,000 </w:t>
            </w:r>
          </w:p>
        </w:tc>
        <w:tc>
          <w:tcPr>
            <w:tcW w:w="1148" w:type="dxa"/>
            <w:vAlign w:val="center"/>
          </w:tcPr>
          <w:p w14:paraId="6EDCFAB8"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9.49 </w:t>
            </w:r>
          </w:p>
        </w:tc>
        <w:tc>
          <w:tcPr>
            <w:tcW w:w="1184" w:type="dxa"/>
            <w:vAlign w:val="center"/>
            <w:hideMark/>
          </w:tcPr>
          <w:p w14:paraId="6EDCFAB9" w14:textId="77777777" w:rsidR="00A9766F" w:rsidRPr="007114AF" w:rsidRDefault="00A9766F" w:rsidP="00A9766F">
            <w:pPr>
              <w:pStyle w:val="Default"/>
              <w:jc w:val="both"/>
              <w:rPr>
                <w:rFonts w:ascii="Garamond" w:eastAsiaTheme="minorHAnsi" w:hAnsi="Garamond"/>
                <w:color w:val="auto"/>
                <w:sz w:val="18"/>
                <w:szCs w:val="18"/>
                <w:lang w:val="sq-AL" w:eastAsia="en-US"/>
              </w:rPr>
            </w:pPr>
            <w:r w:rsidRPr="007114AF">
              <w:rPr>
                <w:rFonts w:ascii="Garamond" w:eastAsiaTheme="minorHAnsi" w:hAnsi="Garamond"/>
                <w:color w:val="auto"/>
                <w:sz w:val="18"/>
                <w:szCs w:val="18"/>
                <w:lang w:val="sq-AL" w:eastAsia="en-US"/>
              </w:rPr>
              <w:t xml:space="preserve">62,000 </w:t>
            </w:r>
          </w:p>
        </w:tc>
        <w:tc>
          <w:tcPr>
            <w:tcW w:w="1148" w:type="dxa"/>
            <w:vAlign w:val="center"/>
            <w:hideMark/>
          </w:tcPr>
          <w:p w14:paraId="6EDCFABA" w14:textId="77777777" w:rsidR="00A9766F" w:rsidRPr="007114AF" w:rsidRDefault="00A9766F" w:rsidP="00A9766F">
            <w:pPr>
              <w:pStyle w:val="Default"/>
              <w:jc w:val="both"/>
              <w:rPr>
                <w:rFonts w:ascii="Garamond" w:eastAsiaTheme="minorHAnsi" w:hAnsi="Garamond"/>
                <w:color w:val="auto"/>
                <w:sz w:val="18"/>
                <w:szCs w:val="18"/>
                <w:lang w:val="sq-AL" w:eastAsia="en-US"/>
              </w:rPr>
            </w:pPr>
            <w:r w:rsidRPr="007114AF">
              <w:rPr>
                <w:rFonts w:ascii="Garamond" w:eastAsiaTheme="minorHAnsi" w:hAnsi="Garamond"/>
                <w:color w:val="auto"/>
                <w:sz w:val="18"/>
                <w:szCs w:val="18"/>
                <w:lang w:val="sq-AL" w:eastAsia="en-US"/>
              </w:rPr>
              <w:t>24.68</w:t>
            </w:r>
          </w:p>
        </w:tc>
      </w:tr>
      <w:tr w:rsidR="00A9766F" w:rsidRPr="007114AF" w14:paraId="6EDCFAC4" w14:textId="77777777" w:rsidTr="00A9766F">
        <w:trPr>
          <w:cnfStyle w:val="000000100000" w:firstRow="0" w:lastRow="0" w:firstColumn="0" w:lastColumn="0" w:oddVBand="0" w:evenVBand="0" w:oddHBand="1" w:evenHBand="0" w:firstRowFirstColumn="0" w:firstRowLastColumn="0" w:lastRowFirstColumn="0" w:lastRowLastColumn="0"/>
          <w:trHeight w:val="73"/>
          <w:jc w:val="center"/>
        </w:trPr>
        <w:tc>
          <w:tcPr>
            <w:tcW w:w="1668" w:type="dxa"/>
            <w:vAlign w:val="center"/>
            <w:hideMark/>
          </w:tcPr>
          <w:p w14:paraId="6EDCFABC"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CV diellor pompa uji</w:t>
            </w:r>
          </w:p>
        </w:tc>
        <w:tc>
          <w:tcPr>
            <w:tcW w:w="998" w:type="dxa"/>
            <w:vAlign w:val="center"/>
            <w:hideMark/>
          </w:tcPr>
          <w:p w14:paraId="6EDCFABD"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114.87 </w:t>
            </w:r>
          </w:p>
        </w:tc>
        <w:tc>
          <w:tcPr>
            <w:tcW w:w="1246" w:type="dxa"/>
            <w:vAlign w:val="center"/>
            <w:hideMark/>
          </w:tcPr>
          <w:p w14:paraId="6EDCFABE"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kW </w:t>
            </w:r>
          </w:p>
        </w:tc>
        <w:tc>
          <w:tcPr>
            <w:tcW w:w="1056" w:type="dxa"/>
            <w:vAlign w:val="center"/>
            <w:hideMark/>
          </w:tcPr>
          <w:p w14:paraId="6EDCFABF"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0.19 </w:t>
            </w:r>
          </w:p>
        </w:tc>
        <w:tc>
          <w:tcPr>
            <w:tcW w:w="1128" w:type="dxa"/>
            <w:vAlign w:val="center"/>
          </w:tcPr>
          <w:p w14:paraId="6EDCFAC0"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10,000 </w:t>
            </w:r>
          </w:p>
        </w:tc>
        <w:tc>
          <w:tcPr>
            <w:tcW w:w="1148" w:type="dxa"/>
            <w:vAlign w:val="center"/>
          </w:tcPr>
          <w:p w14:paraId="6EDCFAC1" w14:textId="77777777" w:rsidR="00A9766F" w:rsidRPr="007114AF" w:rsidRDefault="00A9766F" w:rsidP="00A9766F">
            <w:pPr>
              <w:rPr>
                <w:rFonts w:ascii="Garamond" w:eastAsiaTheme="minorHAnsi" w:hAnsi="Garamond"/>
                <w:sz w:val="18"/>
                <w:szCs w:val="18"/>
                <w:lang w:eastAsia="en-US"/>
              </w:rPr>
            </w:pPr>
            <w:r w:rsidRPr="007114AF">
              <w:rPr>
                <w:rFonts w:ascii="Garamond" w:eastAsiaTheme="minorHAnsi" w:hAnsi="Garamond"/>
                <w:sz w:val="18"/>
                <w:szCs w:val="18"/>
                <w:lang w:eastAsia="en-US"/>
              </w:rPr>
              <w:t xml:space="preserve">1.16 </w:t>
            </w:r>
          </w:p>
        </w:tc>
        <w:tc>
          <w:tcPr>
            <w:tcW w:w="1184" w:type="dxa"/>
            <w:vAlign w:val="center"/>
            <w:hideMark/>
          </w:tcPr>
          <w:p w14:paraId="6EDCFAC2" w14:textId="77777777" w:rsidR="00A9766F" w:rsidRPr="007114AF" w:rsidRDefault="00A9766F" w:rsidP="00A9766F">
            <w:pPr>
              <w:pStyle w:val="Default"/>
              <w:jc w:val="both"/>
              <w:rPr>
                <w:rFonts w:ascii="Garamond" w:eastAsiaTheme="minorHAnsi" w:hAnsi="Garamond"/>
                <w:color w:val="auto"/>
                <w:sz w:val="18"/>
                <w:szCs w:val="18"/>
                <w:lang w:val="sq-AL" w:eastAsia="en-US"/>
              </w:rPr>
            </w:pPr>
            <w:r w:rsidRPr="007114AF">
              <w:rPr>
                <w:rFonts w:ascii="Garamond" w:eastAsiaTheme="minorHAnsi" w:hAnsi="Garamond"/>
                <w:color w:val="auto"/>
                <w:sz w:val="18"/>
                <w:szCs w:val="18"/>
                <w:lang w:val="sq-AL" w:eastAsia="en-US"/>
              </w:rPr>
              <w:t xml:space="preserve">50,000 </w:t>
            </w:r>
          </w:p>
        </w:tc>
        <w:tc>
          <w:tcPr>
            <w:tcW w:w="1148" w:type="dxa"/>
            <w:vAlign w:val="center"/>
            <w:hideMark/>
          </w:tcPr>
          <w:p w14:paraId="6EDCFAC3" w14:textId="77777777" w:rsidR="00A9766F" w:rsidRPr="007114AF" w:rsidRDefault="00A9766F" w:rsidP="00A9766F">
            <w:pPr>
              <w:pStyle w:val="Default"/>
              <w:jc w:val="both"/>
              <w:rPr>
                <w:rFonts w:ascii="Garamond" w:eastAsiaTheme="minorHAnsi" w:hAnsi="Garamond"/>
                <w:color w:val="auto"/>
                <w:sz w:val="18"/>
                <w:szCs w:val="18"/>
                <w:lang w:val="sq-AL" w:eastAsia="en-US"/>
              </w:rPr>
            </w:pPr>
            <w:r w:rsidRPr="007114AF">
              <w:rPr>
                <w:rFonts w:ascii="Garamond" w:eastAsiaTheme="minorHAnsi" w:hAnsi="Garamond"/>
                <w:color w:val="auto"/>
                <w:sz w:val="18"/>
                <w:szCs w:val="18"/>
                <w:lang w:val="sq-AL" w:eastAsia="en-US"/>
              </w:rPr>
              <w:t>4.86</w:t>
            </w:r>
          </w:p>
        </w:tc>
      </w:tr>
      <w:tr w:rsidR="00A9766F" w:rsidRPr="007114AF" w14:paraId="6EDCFACA" w14:textId="77777777" w:rsidTr="00A9766F">
        <w:trPr>
          <w:trHeight w:val="72"/>
          <w:jc w:val="center"/>
        </w:trPr>
        <w:tc>
          <w:tcPr>
            <w:tcW w:w="3912" w:type="dxa"/>
            <w:gridSpan w:val="3"/>
            <w:vAlign w:val="center"/>
            <w:hideMark/>
          </w:tcPr>
          <w:p w14:paraId="6EDCFAC5" w14:textId="77777777" w:rsidR="00A9766F" w:rsidRPr="007114AF" w:rsidRDefault="00A9766F" w:rsidP="00A9766F">
            <w:pPr>
              <w:pStyle w:val="Default"/>
              <w:jc w:val="both"/>
              <w:rPr>
                <w:rFonts w:ascii="Garamond" w:hAnsi="Garamond"/>
                <w:b/>
                <w:color w:val="auto"/>
                <w:sz w:val="18"/>
                <w:szCs w:val="18"/>
                <w:lang w:val="sq-AL"/>
              </w:rPr>
            </w:pPr>
            <w:r w:rsidRPr="007114AF">
              <w:rPr>
                <w:rFonts w:ascii="Garamond" w:hAnsi="Garamond"/>
                <w:b/>
                <w:color w:val="auto"/>
                <w:sz w:val="18"/>
                <w:szCs w:val="18"/>
                <w:lang w:val="sq-AL"/>
              </w:rPr>
              <w:t>Shkarkime Totale</w:t>
            </w:r>
          </w:p>
        </w:tc>
        <w:tc>
          <w:tcPr>
            <w:tcW w:w="1056" w:type="dxa"/>
            <w:vAlign w:val="center"/>
          </w:tcPr>
          <w:p w14:paraId="6EDCFAC6" w14:textId="77777777" w:rsidR="00A9766F" w:rsidRPr="007114AF" w:rsidRDefault="00A9766F" w:rsidP="00A9766F">
            <w:pPr>
              <w:pStyle w:val="Default"/>
              <w:jc w:val="both"/>
              <w:rPr>
                <w:rFonts w:ascii="Garamond" w:hAnsi="Garamond"/>
                <w:b/>
                <w:color w:val="auto"/>
                <w:sz w:val="18"/>
                <w:szCs w:val="18"/>
                <w:lang w:val="sq-AL"/>
              </w:rPr>
            </w:pPr>
          </w:p>
        </w:tc>
        <w:tc>
          <w:tcPr>
            <w:tcW w:w="1128" w:type="dxa"/>
            <w:vAlign w:val="center"/>
          </w:tcPr>
          <w:p w14:paraId="6EDCFAC7" w14:textId="77777777" w:rsidR="00A9766F" w:rsidRPr="007114AF" w:rsidRDefault="00A9766F" w:rsidP="00A9766F">
            <w:pPr>
              <w:pStyle w:val="Default"/>
              <w:jc w:val="both"/>
              <w:rPr>
                <w:rFonts w:ascii="Garamond" w:hAnsi="Garamond"/>
                <w:b/>
                <w:color w:val="auto"/>
                <w:sz w:val="18"/>
                <w:szCs w:val="18"/>
                <w:lang w:val="sq-AL"/>
              </w:rPr>
            </w:pPr>
            <w:r w:rsidRPr="007114AF">
              <w:rPr>
                <w:rFonts w:ascii="Garamond" w:hAnsi="Garamond"/>
                <w:b/>
                <w:color w:val="auto"/>
                <w:sz w:val="18"/>
                <w:szCs w:val="18"/>
                <w:lang w:val="sq-AL"/>
              </w:rPr>
              <w:t>1051</w:t>
            </w:r>
          </w:p>
        </w:tc>
        <w:tc>
          <w:tcPr>
            <w:tcW w:w="2332" w:type="dxa"/>
            <w:gridSpan w:val="2"/>
            <w:vAlign w:val="center"/>
          </w:tcPr>
          <w:p w14:paraId="6EDCFAC8" w14:textId="77777777" w:rsidR="00A9766F" w:rsidRPr="007114AF" w:rsidRDefault="00A9766F" w:rsidP="00A9766F">
            <w:pPr>
              <w:pStyle w:val="Default"/>
              <w:jc w:val="both"/>
              <w:rPr>
                <w:rFonts w:ascii="Garamond" w:hAnsi="Garamond"/>
                <w:b/>
                <w:color w:val="auto"/>
                <w:sz w:val="18"/>
                <w:szCs w:val="18"/>
                <w:lang w:val="sq-AL"/>
              </w:rPr>
            </w:pPr>
          </w:p>
        </w:tc>
        <w:tc>
          <w:tcPr>
            <w:tcW w:w="1148" w:type="dxa"/>
            <w:vAlign w:val="center"/>
            <w:hideMark/>
          </w:tcPr>
          <w:p w14:paraId="6EDCFAC9" w14:textId="77777777" w:rsidR="00A9766F" w:rsidRPr="007114AF" w:rsidRDefault="00A9766F" w:rsidP="00A9766F">
            <w:pPr>
              <w:pStyle w:val="Default"/>
              <w:jc w:val="both"/>
              <w:rPr>
                <w:rFonts w:ascii="Garamond" w:hAnsi="Garamond"/>
                <w:b/>
                <w:color w:val="auto"/>
                <w:sz w:val="18"/>
                <w:szCs w:val="18"/>
                <w:lang w:val="sq-AL"/>
              </w:rPr>
            </w:pPr>
            <w:r w:rsidRPr="007114AF">
              <w:rPr>
                <w:rFonts w:ascii="Garamond" w:hAnsi="Garamond"/>
                <w:b/>
                <w:bCs/>
                <w:color w:val="auto"/>
                <w:sz w:val="18"/>
                <w:szCs w:val="18"/>
                <w:lang w:val="sq-AL"/>
              </w:rPr>
              <w:t>2104</w:t>
            </w:r>
          </w:p>
        </w:tc>
      </w:tr>
      <w:tr w:rsidR="00A9766F" w:rsidRPr="007114AF" w14:paraId="6EDCFAD0" w14:textId="77777777" w:rsidTr="00A9766F">
        <w:trPr>
          <w:cnfStyle w:val="000000100000" w:firstRow="0" w:lastRow="0" w:firstColumn="0" w:lastColumn="0" w:oddVBand="0" w:evenVBand="0" w:oddHBand="1" w:evenHBand="0" w:firstRowFirstColumn="0" w:firstRowLastColumn="0" w:lastRowFirstColumn="0" w:lastRowLastColumn="0"/>
          <w:trHeight w:val="80"/>
          <w:jc w:val="center"/>
        </w:trPr>
        <w:tc>
          <w:tcPr>
            <w:tcW w:w="3912" w:type="dxa"/>
            <w:gridSpan w:val="3"/>
            <w:vAlign w:val="center"/>
            <w:hideMark/>
          </w:tcPr>
          <w:p w14:paraId="6EDCFACB" w14:textId="1AE9C909" w:rsidR="00A9766F" w:rsidRPr="007114AF" w:rsidRDefault="00A9766F" w:rsidP="00A9766F">
            <w:pPr>
              <w:pStyle w:val="Default"/>
              <w:jc w:val="both"/>
              <w:rPr>
                <w:rFonts w:ascii="Garamond" w:hAnsi="Garamond"/>
                <w:b/>
                <w:color w:val="auto"/>
                <w:sz w:val="18"/>
                <w:szCs w:val="18"/>
                <w:lang w:val="sq-AL"/>
              </w:rPr>
            </w:pPr>
            <w:r w:rsidRPr="007114AF">
              <w:rPr>
                <w:rFonts w:ascii="Garamond" w:hAnsi="Garamond"/>
                <w:b/>
                <w:color w:val="auto"/>
                <w:sz w:val="18"/>
                <w:szCs w:val="18"/>
                <w:lang w:val="sq-AL"/>
              </w:rPr>
              <w:t>Reduktimi final CO</w:t>
            </w:r>
            <w:r w:rsidRPr="007114AF">
              <w:rPr>
                <w:rFonts w:ascii="Garamond" w:hAnsi="Garamond"/>
                <w:b/>
                <w:color w:val="auto"/>
                <w:sz w:val="18"/>
                <w:szCs w:val="18"/>
                <w:vertAlign w:val="subscript"/>
                <w:lang w:val="sq-AL"/>
              </w:rPr>
              <w:t>2</w:t>
            </w:r>
            <w:r w:rsidRPr="007114AF">
              <w:rPr>
                <w:rFonts w:ascii="Garamond" w:hAnsi="Garamond"/>
                <w:b/>
                <w:color w:val="auto"/>
                <w:sz w:val="18"/>
                <w:szCs w:val="18"/>
                <w:lang w:val="sq-AL"/>
              </w:rPr>
              <w:t>eq</w:t>
            </w:r>
            <w:r w:rsidR="000A2A01" w:rsidRPr="007114AF">
              <w:rPr>
                <w:rFonts w:ascii="Garamond" w:hAnsi="Garamond"/>
                <w:b/>
                <w:color w:val="auto"/>
                <w:sz w:val="18"/>
                <w:szCs w:val="18"/>
                <w:lang w:val="sq-AL"/>
              </w:rPr>
              <w:t xml:space="preserve"> </w:t>
            </w:r>
          </w:p>
        </w:tc>
        <w:tc>
          <w:tcPr>
            <w:tcW w:w="1056" w:type="dxa"/>
            <w:vAlign w:val="center"/>
          </w:tcPr>
          <w:p w14:paraId="6EDCFACC" w14:textId="77777777" w:rsidR="00A9766F" w:rsidRPr="007114AF" w:rsidRDefault="00A9766F" w:rsidP="00A9766F">
            <w:pPr>
              <w:pStyle w:val="Default"/>
              <w:jc w:val="both"/>
              <w:rPr>
                <w:rFonts w:ascii="Garamond" w:hAnsi="Garamond"/>
                <w:b/>
                <w:color w:val="auto"/>
                <w:sz w:val="18"/>
                <w:szCs w:val="18"/>
                <w:lang w:val="sq-AL"/>
              </w:rPr>
            </w:pPr>
          </w:p>
        </w:tc>
        <w:tc>
          <w:tcPr>
            <w:tcW w:w="1128" w:type="dxa"/>
            <w:vAlign w:val="center"/>
          </w:tcPr>
          <w:p w14:paraId="6EDCFACD" w14:textId="77777777" w:rsidR="00A9766F" w:rsidRPr="007114AF" w:rsidRDefault="00A9766F" w:rsidP="00A9766F">
            <w:pPr>
              <w:pStyle w:val="Default"/>
              <w:jc w:val="both"/>
              <w:rPr>
                <w:rFonts w:ascii="Garamond" w:hAnsi="Garamond"/>
                <w:b/>
                <w:color w:val="auto"/>
                <w:sz w:val="18"/>
                <w:szCs w:val="18"/>
                <w:lang w:val="sq-AL"/>
              </w:rPr>
            </w:pPr>
            <w:r w:rsidRPr="007114AF">
              <w:rPr>
                <w:rFonts w:ascii="Garamond" w:hAnsi="Garamond"/>
                <w:b/>
                <w:color w:val="auto"/>
                <w:sz w:val="18"/>
                <w:szCs w:val="18"/>
                <w:lang w:val="sq-AL"/>
              </w:rPr>
              <w:t>12.06%</w:t>
            </w:r>
          </w:p>
        </w:tc>
        <w:tc>
          <w:tcPr>
            <w:tcW w:w="2332" w:type="dxa"/>
            <w:gridSpan w:val="2"/>
            <w:vAlign w:val="center"/>
          </w:tcPr>
          <w:p w14:paraId="6EDCFACE" w14:textId="77777777" w:rsidR="00A9766F" w:rsidRPr="007114AF" w:rsidRDefault="00A9766F" w:rsidP="00A9766F">
            <w:pPr>
              <w:pStyle w:val="Default"/>
              <w:jc w:val="both"/>
              <w:rPr>
                <w:rFonts w:ascii="Garamond" w:hAnsi="Garamond"/>
                <w:b/>
                <w:color w:val="auto"/>
                <w:sz w:val="18"/>
                <w:szCs w:val="18"/>
                <w:lang w:val="sq-AL"/>
              </w:rPr>
            </w:pPr>
          </w:p>
        </w:tc>
        <w:tc>
          <w:tcPr>
            <w:tcW w:w="1148" w:type="dxa"/>
            <w:vAlign w:val="center"/>
            <w:hideMark/>
          </w:tcPr>
          <w:p w14:paraId="6EDCFACF" w14:textId="77777777" w:rsidR="00A9766F" w:rsidRPr="007114AF" w:rsidRDefault="00A9766F" w:rsidP="00A9766F">
            <w:pPr>
              <w:pStyle w:val="Default"/>
              <w:jc w:val="both"/>
              <w:rPr>
                <w:rFonts w:ascii="Garamond" w:hAnsi="Garamond"/>
                <w:b/>
                <w:color w:val="auto"/>
                <w:sz w:val="18"/>
                <w:szCs w:val="18"/>
                <w:lang w:val="sq-AL"/>
              </w:rPr>
            </w:pPr>
            <w:r w:rsidRPr="007114AF">
              <w:rPr>
                <w:rFonts w:ascii="Garamond" w:hAnsi="Garamond"/>
                <w:b/>
                <w:bCs/>
                <w:color w:val="auto"/>
                <w:sz w:val="18"/>
                <w:szCs w:val="18"/>
                <w:lang w:val="sq-AL"/>
              </w:rPr>
              <w:t>19.12%</w:t>
            </w:r>
          </w:p>
        </w:tc>
      </w:tr>
    </w:tbl>
    <w:p w14:paraId="6EDCFAD1" w14:textId="77777777" w:rsidR="00A9766F" w:rsidRPr="007114AF" w:rsidRDefault="00A9766F" w:rsidP="00A9766F">
      <w:pPr>
        <w:pStyle w:val="Default"/>
        <w:jc w:val="both"/>
        <w:rPr>
          <w:rFonts w:ascii="Garamond" w:hAnsi="Garamond"/>
          <w:color w:val="auto"/>
          <w:sz w:val="22"/>
          <w:szCs w:val="22"/>
          <w:lang w:val="sq-AL"/>
        </w:rPr>
      </w:pPr>
    </w:p>
    <w:p w14:paraId="6EDCFAD2" w14:textId="77777777" w:rsidR="00A9766F" w:rsidRPr="007114AF" w:rsidRDefault="00A9766F" w:rsidP="0018372B">
      <w:pPr>
        <w:pStyle w:val="TEKSTI"/>
      </w:pPr>
      <w:r w:rsidRPr="007114AF">
        <w:t>KTK-ja arrin në konkluzionin se, duke marrë parasysh rolin e BER në situatën aktuale shqiptare, mund të propozohen objektivat e mëposhtëm politikë:</w:t>
      </w:r>
    </w:p>
    <w:p w14:paraId="6EDCFAD3" w14:textId="77777777" w:rsidR="00A9766F" w:rsidRPr="007114AF" w:rsidRDefault="00BA14F8" w:rsidP="0018372B">
      <w:pPr>
        <w:pStyle w:val="TEKSTI"/>
      </w:pPr>
      <w:r w:rsidRPr="007114AF">
        <w:t xml:space="preserve">- </w:t>
      </w:r>
      <w:r w:rsidR="00A9766F" w:rsidRPr="007114AF">
        <w:t>Reduktimi i importeve të energjisë elektrike;</w:t>
      </w:r>
    </w:p>
    <w:p w14:paraId="6EDCFAD4" w14:textId="77777777" w:rsidR="00A9766F" w:rsidRPr="007114AF" w:rsidRDefault="00BA14F8" w:rsidP="0018372B">
      <w:pPr>
        <w:pStyle w:val="TEKSTI"/>
      </w:pPr>
      <w:r w:rsidRPr="007114AF">
        <w:t xml:space="preserve">- </w:t>
      </w:r>
      <w:r w:rsidR="00A9766F" w:rsidRPr="007114AF">
        <w:t>Diversifikimi i burimeve primare të energjisë për furnizimin me energji elektrike;</w:t>
      </w:r>
    </w:p>
    <w:p w14:paraId="6EDCFAD5" w14:textId="77777777" w:rsidR="00A9766F" w:rsidRPr="007114AF" w:rsidRDefault="00BA14F8" w:rsidP="0018372B">
      <w:pPr>
        <w:pStyle w:val="TEKSTI"/>
      </w:pPr>
      <w:r w:rsidRPr="007114AF">
        <w:t xml:space="preserve">- </w:t>
      </w:r>
      <w:r w:rsidR="00A9766F" w:rsidRPr="007114AF">
        <w:t>Reduktimi i humbjeve të transmetimit dhe shpërndarjes nga promovimi i gjenerimit të shpërndarë;</w:t>
      </w:r>
    </w:p>
    <w:p w14:paraId="6EDCFAD6" w14:textId="77777777" w:rsidR="00A9766F" w:rsidRPr="007114AF" w:rsidRDefault="00BA14F8" w:rsidP="0018372B">
      <w:pPr>
        <w:pStyle w:val="TEKSTI"/>
      </w:pPr>
      <w:r w:rsidRPr="007114AF">
        <w:t xml:space="preserve">- </w:t>
      </w:r>
      <w:r w:rsidR="00A9766F" w:rsidRPr="007114AF">
        <w:t>Krijimi i biznesit vendor dhe mundësive të punësimit, duke instaluar dhe prodhuar pjesë/komponentë/sisteme të impianteve BER nga sektori industrial shqiptar;</w:t>
      </w:r>
    </w:p>
    <w:p w14:paraId="6EDCFAD7" w14:textId="77777777" w:rsidR="00A9766F" w:rsidRPr="007114AF" w:rsidRDefault="00BA14F8" w:rsidP="0018372B">
      <w:pPr>
        <w:pStyle w:val="TEKSTI"/>
      </w:pPr>
      <w:r w:rsidRPr="007114AF">
        <w:t xml:space="preserve">- </w:t>
      </w:r>
      <w:r w:rsidR="00A9766F" w:rsidRPr="007114AF">
        <w:t xml:space="preserve">Përdorimi i burimeve të energjisë vendore sidomos në zonat e largëta, duke sjellë vende pune dhe duke përmirësuar standardin e jetesës. </w:t>
      </w:r>
    </w:p>
    <w:p w14:paraId="6EDCFAD8" w14:textId="77777777" w:rsidR="00A9766F" w:rsidRPr="007114AF" w:rsidRDefault="00A9766F" w:rsidP="00351EAC">
      <w:pPr>
        <w:pStyle w:val="TEKSTI"/>
        <w:rPr>
          <w:b/>
        </w:rPr>
      </w:pPr>
      <w:r w:rsidRPr="007114AF">
        <w:rPr>
          <w:b/>
        </w:rPr>
        <w:t>Sektorët e bujqësisë dhe pyjeve</w:t>
      </w:r>
    </w:p>
    <w:p w14:paraId="6EDCFAD9" w14:textId="0E4C2692" w:rsidR="00A9766F" w:rsidRPr="007114AF" w:rsidRDefault="00A9766F" w:rsidP="00351EAC">
      <w:pPr>
        <w:pStyle w:val="TEKSTI"/>
      </w:pPr>
      <w:r w:rsidRPr="007114AF">
        <w:t>KTK-ja</w:t>
      </w:r>
      <w:r w:rsidR="002E116B" w:rsidRPr="007114AF">
        <w:t xml:space="preserve"> </w:t>
      </w:r>
      <w:r w:rsidRPr="007114AF">
        <w:t>– seksioni për analizën e masave zbutëse për Bujqësinë, parashikon një listë konsideratash lidhur me masat që do të zbatohen në sektorin e Bujqësisë dhe LULUCF-së, me synim zbutjen e ndryshimit të klimës përmes reduktimit të shkarkimeve, shtimit të përthithësve dhe shmangies (apo sekuestrimin) e shkarkimeve. Masat e përgjithshme zbutëse të sugjeruara për Bujqësinë dhe LULUCF-ë</w:t>
      </w:r>
      <w:r w:rsidR="002E116B" w:rsidRPr="007114AF">
        <w:t xml:space="preserve"> </w:t>
      </w:r>
      <w:r w:rsidRPr="007114AF">
        <w:t xml:space="preserve">janë: </w:t>
      </w:r>
    </w:p>
    <w:p w14:paraId="6EDCFADA" w14:textId="41A266BD" w:rsidR="00A9766F" w:rsidRPr="007114AF" w:rsidRDefault="00BA14F8" w:rsidP="0018372B">
      <w:pPr>
        <w:pStyle w:val="TEKSTI"/>
      </w:pPr>
      <w:r w:rsidRPr="007114AF">
        <w:t xml:space="preserve">- </w:t>
      </w:r>
      <w:r w:rsidR="00A9766F" w:rsidRPr="007114AF">
        <w:t>Reduktimet në shkarkimet CH</w:t>
      </w:r>
      <w:r w:rsidR="00A9766F" w:rsidRPr="007114AF">
        <w:rPr>
          <w:vertAlign w:val="subscript"/>
        </w:rPr>
        <w:t>4</w:t>
      </w:r>
      <w:r w:rsidR="002E116B" w:rsidRPr="007114AF">
        <w:rPr>
          <w:vertAlign w:val="subscript"/>
        </w:rPr>
        <w:t xml:space="preserve"> </w:t>
      </w:r>
      <w:r w:rsidR="00A9766F" w:rsidRPr="007114AF">
        <w:t>apo N</w:t>
      </w:r>
      <w:r w:rsidR="00A9766F" w:rsidRPr="007114AF">
        <w:rPr>
          <w:vertAlign w:val="subscript"/>
        </w:rPr>
        <w:t>2</w:t>
      </w:r>
      <w:r w:rsidR="00A9766F" w:rsidRPr="007114AF">
        <w:t xml:space="preserve">O nga tokat bujqësore, tokat kullotë dhe bagëtitë </w:t>
      </w:r>
    </w:p>
    <w:p w14:paraId="6EDCFADB" w14:textId="77777777" w:rsidR="00A9766F" w:rsidRPr="007114AF" w:rsidRDefault="00BA14F8" w:rsidP="0018372B">
      <w:pPr>
        <w:pStyle w:val="TEKSTI"/>
      </w:pPr>
      <w:r w:rsidRPr="007114AF">
        <w:t xml:space="preserve">- </w:t>
      </w:r>
      <w:r w:rsidR="00A9766F" w:rsidRPr="007114AF">
        <w:t>Konservimi i stoqeve ekzistuese të karbonit, për shembull, konservimi i biomasës së pyjeve, zonave kënetore dhe karbonit të tokës, që ndryshe do të humbte.</w:t>
      </w:r>
    </w:p>
    <w:p w14:paraId="6EDCFADC" w14:textId="77777777" w:rsidR="00A9766F" w:rsidRPr="007114AF" w:rsidRDefault="00BA14F8" w:rsidP="0018372B">
      <w:pPr>
        <w:pStyle w:val="TEKSTI"/>
      </w:pPr>
      <w:r w:rsidRPr="007114AF">
        <w:t xml:space="preserve">- </w:t>
      </w:r>
      <w:r w:rsidR="00A9766F" w:rsidRPr="007114AF">
        <w:t>Reduktimet e humbjeve të karbonit nga biota dhe dherat, për shembull, përmes ndryshimeve të menaxhimit brenda të njëjtit lloj përdorimi toke (p.sh. duke reduktuar humbjet e karbonit të tokës me kalimin nga lëvrimi në kultivim të thjeshtuar), apo duke reduktuar humbjet e ekosistemeve të pasura me karbon, për shembull, shpyllëzimi i reduktuar, rikthimi i ujit në tokat kënetore të thara.</w:t>
      </w:r>
    </w:p>
    <w:p w14:paraId="6EDCFADD" w14:textId="717BC1A0" w:rsidR="00A9766F" w:rsidRPr="007114AF" w:rsidRDefault="00BA14F8" w:rsidP="0018372B">
      <w:pPr>
        <w:pStyle w:val="TEKSTI"/>
      </w:pPr>
      <w:r w:rsidRPr="007114AF">
        <w:t xml:space="preserve">- </w:t>
      </w:r>
      <w:r w:rsidR="00A9766F" w:rsidRPr="007114AF">
        <w:t>Shtimi i izolimit të karbonit në dhera, biota dhe produkte jetëgjata përmes rritjeve në zonën e ekosistemeve të pasura me karbon, si pyjet (pyllëzimi, ripyllëzimi), rritja e rezervave të karbonit për njësi zone, për shembull, duke rritur densitetin e rezervave në pyje, izolimin e karbonit në dhera, si dhe përdorimin e druve në aktivitete ndërtimi.</w:t>
      </w:r>
    </w:p>
    <w:p w14:paraId="6EDCFADE" w14:textId="77777777" w:rsidR="00A9766F" w:rsidRPr="007114AF" w:rsidRDefault="00BA14F8" w:rsidP="0018372B">
      <w:pPr>
        <w:pStyle w:val="TEKSTI"/>
      </w:pPr>
      <w:r w:rsidRPr="007114AF">
        <w:t xml:space="preserve">- </w:t>
      </w:r>
      <w:r w:rsidR="00A9766F" w:rsidRPr="007114AF">
        <w:t>Sigurimi i produkteve me shkarkime të ulëta GES që mund të zëvendësojnë produktet me shkarkime më të larta GES, për të dhënë të njëjtin shërbim (p.sh</w:t>
      </w:r>
      <w:r w:rsidR="00A9766F" w:rsidRPr="007114AF">
        <w:rPr>
          <w:color w:val="FF0000"/>
        </w:rPr>
        <w:t>.</w:t>
      </w:r>
      <w:r w:rsidR="00A9766F" w:rsidRPr="007114AF">
        <w:t xml:space="preserve"> zëvendësimi i betonit dhe çelikut në ndërtesa me dru dhe disa opsione të bioenergjisë).</w:t>
      </w:r>
    </w:p>
    <w:p w14:paraId="6EDCFADF" w14:textId="77777777" w:rsidR="00A9766F" w:rsidRPr="007114AF" w:rsidRDefault="00BA14F8" w:rsidP="0018372B">
      <w:pPr>
        <w:pStyle w:val="TEKSTI"/>
      </w:pPr>
      <w:r w:rsidRPr="007114AF">
        <w:t xml:space="preserve">- </w:t>
      </w:r>
      <w:r w:rsidR="00A9766F" w:rsidRPr="007114AF">
        <w:t xml:space="preserve">Reduktimet e shkarkimeve të drejtpërdrejta dhe të tërthorta (p.sh. prodhimi i plehrave kimike, përdorimi i energjisë fosile në bujqësi, peshkim, akuakulturë dhe pylltari apo nga prodhimi i inputeve). </w:t>
      </w:r>
    </w:p>
    <w:p w14:paraId="6EDCFAE0" w14:textId="52752897" w:rsidR="00A9766F" w:rsidRPr="007114AF" w:rsidRDefault="00A9766F" w:rsidP="00BA14F8">
      <w:pPr>
        <w:pStyle w:val="TEKSTI"/>
      </w:pPr>
      <w:r w:rsidRPr="007114AF">
        <w:t>Megjithatë, masat zbutëse për bujqësinë, të përfshira në skenarin e masave zbutëse të KTK-ës, lidhen kryesisht me reduktimin e shkarkimeve CH4nga bagëtia, duke marrë parasysh tr</w:t>
      </w:r>
      <w:r w:rsidR="008A0106" w:rsidRPr="007114AF">
        <w:t>i</w:t>
      </w:r>
      <w:r w:rsidRPr="007114AF">
        <w:t xml:space="preserve"> kategori të përgjithshme: i) praktika ushqyerje të përmirësuara</w:t>
      </w:r>
      <w:r w:rsidR="008A0106" w:rsidRPr="007114AF">
        <w:t xml:space="preserve">; </w:t>
      </w:r>
      <w:r w:rsidRPr="007114AF">
        <w:t>ii) përdorimin e agjentëve specifikë apo shtesave dietetike</w:t>
      </w:r>
      <w:r w:rsidR="00022F8B">
        <w:t xml:space="preserve"> </w:t>
      </w:r>
      <w:r w:rsidRPr="007114AF">
        <w:t>dhe</w:t>
      </w:r>
      <w:r w:rsidR="008A0106" w:rsidRPr="007114AF">
        <w:t xml:space="preserve">; </w:t>
      </w:r>
      <w:r w:rsidRPr="007114AF">
        <w:t>iii) ndryshimet afatgjata të menaxhimit dhe mbarështimit të kafshëve. Duke hamendësuar se zbatimi i këtyre masave konkrete kërkon kohë të gjatë, vlerësohet një periudhë kohore prej 40 vjetësh (2010</w:t>
      </w:r>
      <w:r w:rsidR="008A0106" w:rsidRPr="007114AF">
        <w:t>–</w:t>
      </w:r>
      <w:r w:rsidRPr="007114AF">
        <w:t xml:space="preserve">2050), me një rritje vjetore të teknologjisë prej 2.5%. </w:t>
      </w:r>
    </w:p>
    <w:p w14:paraId="6EDCFAE1" w14:textId="77777777" w:rsidR="00A9766F" w:rsidRPr="007114AF" w:rsidRDefault="00A9766F" w:rsidP="0018372B">
      <w:pPr>
        <w:pStyle w:val="TEKSTI"/>
        <w:rPr>
          <w:sz w:val="22"/>
          <w:szCs w:val="22"/>
        </w:rPr>
      </w:pPr>
    </w:p>
    <w:p w14:paraId="6EDCFAE2" w14:textId="77777777" w:rsidR="00A9766F" w:rsidRPr="007114AF" w:rsidRDefault="00A9766F" w:rsidP="00351EAC">
      <w:pPr>
        <w:spacing w:after="200"/>
        <w:jc w:val="center"/>
        <w:rPr>
          <w:rFonts w:ascii="Garamond" w:hAnsi="Garamond"/>
        </w:rPr>
      </w:pPr>
      <w:r w:rsidRPr="007114AF">
        <w:rPr>
          <w:rFonts w:ascii="Garamond" w:hAnsi="Garamond"/>
          <w:lang w:eastAsia="en-US"/>
        </w:rPr>
        <w:t>B</w:t>
      </w:r>
      <w:r w:rsidRPr="007114AF">
        <w:rPr>
          <w:rFonts w:ascii="Garamond" w:hAnsi="Garamond"/>
          <w:noProof/>
          <w:lang w:val="en-US" w:eastAsia="en-US"/>
        </w:rPr>
        <w:drawing>
          <wp:inline distT="0" distB="0" distL="0" distR="0" wp14:anchorId="6EDD17AA" wp14:editId="6EDD17AB">
            <wp:extent cx="5057030" cy="2830664"/>
            <wp:effectExtent l="0" t="0" r="0" b="825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61098" cy="2832941"/>
                    </a:xfrm>
                    <a:prstGeom prst="rect">
                      <a:avLst/>
                    </a:prstGeom>
                    <a:noFill/>
                    <a:ln>
                      <a:noFill/>
                    </a:ln>
                  </pic:spPr>
                </pic:pic>
              </a:graphicData>
            </a:graphic>
          </wp:inline>
        </w:drawing>
      </w:r>
    </w:p>
    <w:p w14:paraId="6EDCFAE3" w14:textId="3B443282" w:rsidR="00A9766F" w:rsidRPr="007114AF" w:rsidRDefault="00A9766F" w:rsidP="0018372B">
      <w:pPr>
        <w:pStyle w:val="FIGURA"/>
        <w:rPr>
          <w:rFonts w:cs="Calibri"/>
          <w:color w:val="000000"/>
          <w:sz w:val="20"/>
          <w:szCs w:val="20"/>
        </w:rPr>
      </w:pPr>
      <w:r w:rsidRPr="007114AF">
        <w:rPr>
          <w:sz w:val="20"/>
          <w:szCs w:val="20"/>
        </w:rPr>
        <w:t>Figura</w:t>
      </w:r>
      <w:r w:rsidR="0018372B"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20</w:t>
      </w:r>
      <w:r w:rsidRPr="007114AF">
        <w:rPr>
          <w:sz w:val="20"/>
          <w:szCs w:val="20"/>
        </w:rPr>
        <w:fldChar w:fldCharType="end"/>
      </w:r>
      <w:r w:rsidR="00985E4C" w:rsidRPr="007114AF">
        <w:rPr>
          <w:sz w:val="20"/>
          <w:szCs w:val="20"/>
        </w:rPr>
        <w:t xml:space="preserve"> </w:t>
      </w:r>
      <w:r w:rsidRPr="007114AF">
        <w:rPr>
          <w:sz w:val="20"/>
          <w:szCs w:val="20"/>
        </w:rPr>
        <w:t>–</w:t>
      </w:r>
      <w:r w:rsidR="00985E4C" w:rsidRPr="007114AF">
        <w:rPr>
          <w:sz w:val="20"/>
          <w:szCs w:val="20"/>
        </w:rPr>
        <w:t xml:space="preserve"> </w:t>
      </w:r>
      <w:r w:rsidRPr="007114AF">
        <w:rPr>
          <w:sz w:val="20"/>
          <w:szCs w:val="20"/>
        </w:rPr>
        <w:t>Shkarkimet e parashikuara GES nga bagëtia, 2010-2050, në Gg CO</w:t>
      </w:r>
      <w:r w:rsidRPr="007114AF">
        <w:rPr>
          <w:sz w:val="20"/>
          <w:szCs w:val="20"/>
          <w:vertAlign w:val="subscript"/>
        </w:rPr>
        <w:t>2</w:t>
      </w:r>
      <w:r w:rsidRPr="007114AF">
        <w:rPr>
          <w:sz w:val="20"/>
          <w:szCs w:val="20"/>
        </w:rPr>
        <w:t>eq. Burimi: KTK-ja</w:t>
      </w:r>
    </w:p>
    <w:p w14:paraId="6EDCFAE4" w14:textId="77777777" w:rsidR="00A9766F" w:rsidRPr="007114AF" w:rsidRDefault="00A9766F" w:rsidP="0018372B">
      <w:pPr>
        <w:pStyle w:val="FIGURA"/>
        <w:rPr>
          <w:sz w:val="22"/>
          <w:szCs w:val="22"/>
        </w:rPr>
      </w:pPr>
    </w:p>
    <w:p w14:paraId="6EDCFAE5" w14:textId="77777777" w:rsidR="00A9766F" w:rsidRPr="007114AF" w:rsidRDefault="00A9766F" w:rsidP="009E78A1">
      <w:pPr>
        <w:pStyle w:val="TEKSTI"/>
      </w:pPr>
      <w:r w:rsidRPr="007114AF">
        <w:t>Masat zbutëse për sektorin e pylltarisë të përfshira në skenarin e masave zbutëse të KTK-ës janë:</w:t>
      </w:r>
    </w:p>
    <w:p w14:paraId="6EDCFAE6" w14:textId="11619DD5" w:rsidR="00A9766F" w:rsidRPr="007114AF" w:rsidRDefault="00782894" w:rsidP="009E78A1">
      <w:pPr>
        <w:pStyle w:val="TEKSTI"/>
      </w:pPr>
      <w:r w:rsidRPr="007114AF">
        <w:t xml:space="preserve">- </w:t>
      </w:r>
      <w:r w:rsidR="00A9766F" w:rsidRPr="007114AF">
        <w:t>Përmirësimi i teknologjisë së shfrytëzimit të pyjeve dhe djegies së druve. Përmes kësaj mase, eficienca aktuale e përdorimit të druve pritet të përmirësohet nga 40% në 86% në një periudhë prej 35 vitesh (2015</w:t>
      </w:r>
      <w:r w:rsidR="00985E4C" w:rsidRPr="007114AF">
        <w:t>–</w:t>
      </w:r>
      <w:r w:rsidR="00A9766F" w:rsidRPr="007114AF">
        <w:t xml:space="preserve">2050) me një normë prej 1.3% në vit. </w:t>
      </w:r>
    </w:p>
    <w:p w14:paraId="6EDCFAE7" w14:textId="17A3BD95" w:rsidR="00A9766F" w:rsidRPr="007114AF" w:rsidRDefault="00782894" w:rsidP="009E78A1">
      <w:pPr>
        <w:pStyle w:val="TEKSTI"/>
      </w:pPr>
      <w:r w:rsidRPr="007114AF">
        <w:t xml:space="preserve">- </w:t>
      </w:r>
      <w:r w:rsidR="00A9766F" w:rsidRPr="007114AF">
        <w:t>Rritja e sipërfaqes pyjore. Në mënyrë që të përdoren pyjet në mënyrë të qëndrueshme, duke pasur parasysh rritjen vjetore kombëtare të pyjeve, është me rëndësi të jashtëzakonshme që të investohet në mbjellje të reja pyjesh. Duke pasur parasysh rrethanat aktuale kombëtare të sektorit të pylltarisë, sasia e sipërfaqes pyjore që do të mbillet në vit duhet të jetë 500</w:t>
      </w:r>
      <w:r w:rsidR="00756337" w:rsidRPr="007114AF">
        <w:t>–</w:t>
      </w:r>
      <w:r w:rsidR="00A9766F" w:rsidRPr="007114AF">
        <w:t xml:space="preserve">1000 ha. </w:t>
      </w:r>
    </w:p>
    <w:p w14:paraId="6EDCFAE8" w14:textId="1F61B796" w:rsidR="00A9766F" w:rsidRPr="007114AF" w:rsidRDefault="00A9766F" w:rsidP="009E78A1">
      <w:pPr>
        <w:pStyle w:val="TEKSTI"/>
      </w:pPr>
      <w:r w:rsidRPr="007114AF">
        <w:t>Efektet e balancës GES (CO</w:t>
      </w:r>
      <w:r w:rsidRPr="007114AF">
        <w:rPr>
          <w:vertAlign w:val="subscript"/>
        </w:rPr>
        <w:t>2</w:t>
      </w:r>
      <w:r w:rsidRPr="007114AF">
        <w:t>eq) të zbatimit të masave të propozuara raportohen në figurat e mëposhtme (figurat 23</w:t>
      </w:r>
      <w:r w:rsidR="00756337" w:rsidRPr="007114AF">
        <w:t>–</w:t>
      </w:r>
      <w:r w:rsidRPr="007114AF">
        <w:t xml:space="preserve">24), që tregojnë se masat e skenarit </w:t>
      </w:r>
      <w:r w:rsidR="000A2A01" w:rsidRPr="007114AF">
        <w:t>“</w:t>
      </w:r>
      <w:r w:rsidRPr="007114AF">
        <w:t>me projekt</w:t>
      </w:r>
      <w:r w:rsidR="000A2A01" w:rsidRPr="007114AF">
        <w:t>”</w:t>
      </w:r>
      <w:r w:rsidRPr="007114AF">
        <w:t xml:space="preserve"> e kthejnë sektorin pyjor nga një burim neto në një përthithës neto CO</w:t>
      </w:r>
      <w:r w:rsidRPr="007114AF">
        <w:rPr>
          <w:vertAlign w:val="subscript"/>
        </w:rPr>
        <w:t>2</w:t>
      </w:r>
      <w:r w:rsidRPr="007114AF">
        <w:t>.</w:t>
      </w:r>
    </w:p>
    <w:p w14:paraId="6EDCFAE9" w14:textId="77777777" w:rsidR="00A9766F" w:rsidRPr="007114AF" w:rsidRDefault="00A9766F" w:rsidP="00351EAC">
      <w:pPr>
        <w:pStyle w:val="Default"/>
        <w:keepNext/>
        <w:tabs>
          <w:tab w:val="left" w:pos="2311"/>
        </w:tabs>
        <w:spacing w:after="120"/>
        <w:jc w:val="center"/>
        <w:rPr>
          <w:rFonts w:ascii="Garamond" w:hAnsi="Garamond"/>
          <w:lang w:val="sq-AL"/>
        </w:rPr>
      </w:pPr>
      <w:r w:rsidRPr="007114AF">
        <w:rPr>
          <w:rFonts w:ascii="Garamond" w:hAnsi="Garamond"/>
          <w:noProof/>
          <w:color w:val="auto"/>
          <w:sz w:val="22"/>
          <w:szCs w:val="22"/>
          <w:lang w:val="en-US" w:eastAsia="en-US"/>
        </w:rPr>
        <w:drawing>
          <wp:inline distT="0" distB="0" distL="0" distR="0" wp14:anchorId="6EDD17AC" wp14:editId="6EDD17AD">
            <wp:extent cx="4072255" cy="2158365"/>
            <wp:effectExtent l="0" t="0" r="444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72255" cy="2158365"/>
                    </a:xfrm>
                    <a:prstGeom prst="rect">
                      <a:avLst/>
                    </a:prstGeom>
                    <a:noFill/>
                    <a:ln>
                      <a:noFill/>
                    </a:ln>
                  </pic:spPr>
                </pic:pic>
              </a:graphicData>
            </a:graphic>
          </wp:inline>
        </w:drawing>
      </w:r>
    </w:p>
    <w:p w14:paraId="3669D360" w14:textId="77777777" w:rsidR="009F3D0C" w:rsidRPr="007114AF" w:rsidRDefault="00A9766F" w:rsidP="009E78A1">
      <w:pPr>
        <w:pStyle w:val="FIGURA"/>
        <w:rPr>
          <w:sz w:val="20"/>
          <w:szCs w:val="20"/>
        </w:rPr>
      </w:pPr>
      <w:r w:rsidRPr="007114AF">
        <w:rPr>
          <w:sz w:val="20"/>
          <w:szCs w:val="20"/>
        </w:rPr>
        <w:t>Figura</w:t>
      </w:r>
      <w:r w:rsidR="009E78A1"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21</w:t>
      </w:r>
      <w:r w:rsidRPr="007114AF">
        <w:rPr>
          <w:sz w:val="20"/>
          <w:szCs w:val="20"/>
        </w:rPr>
        <w:fldChar w:fldCharType="end"/>
      </w:r>
      <w:r w:rsidR="009F3D0C" w:rsidRPr="007114AF">
        <w:rPr>
          <w:sz w:val="20"/>
          <w:szCs w:val="20"/>
        </w:rPr>
        <w:t xml:space="preserve"> </w:t>
      </w:r>
      <w:r w:rsidRPr="007114AF">
        <w:rPr>
          <w:sz w:val="20"/>
          <w:szCs w:val="20"/>
        </w:rPr>
        <w:t>–</w:t>
      </w:r>
      <w:r w:rsidR="009F3D0C" w:rsidRPr="007114AF">
        <w:rPr>
          <w:sz w:val="20"/>
          <w:szCs w:val="20"/>
        </w:rPr>
        <w:t xml:space="preserve"> </w:t>
      </w:r>
      <w:r w:rsidRPr="007114AF">
        <w:rPr>
          <w:sz w:val="20"/>
          <w:szCs w:val="20"/>
        </w:rPr>
        <w:t>Shkarkimet CO</w:t>
      </w:r>
      <w:r w:rsidRPr="007114AF">
        <w:rPr>
          <w:sz w:val="20"/>
          <w:szCs w:val="20"/>
          <w:vertAlign w:val="subscript"/>
        </w:rPr>
        <w:t>2</w:t>
      </w:r>
      <w:r w:rsidR="009F3D0C" w:rsidRPr="007114AF">
        <w:rPr>
          <w:sz w:val="20"/>
          <w:szCs w:val="20"/>
          <w:vertAlign w:val="subscript"/>
        </w:rPr>
        <w:t xml:space="preserve"> </w:t>
      </w:r>
      <w:r w:rsidRPr="007114AF">
        <w:rPr>
          <w:sz w:val="20"/>
          <w:szCs w:val="20"/>
        </w:rPr>
        <w:t>për periudhën 2015</w:t>
      </w:r>
      <w:r w:rsidR="009F3D0C" w:rsidRPr="007114AF">
        <w:t>–</w:t>
      </w:r>
      <w:r w:rsidRPr="007114AF">
        <w:rPr>
          <w:sz w:val="20"/>
          <w:szCs w:val="20"/>
        </w:rPr>
        <w:t xml:space="preserve">2050 në Kt, pa projekt dhe me projekt </w:t>
      </w:r>
    </w:p>
    <w:p w14:paraId="6EDCFAEA" w14:textId="14DECBAA" w:rsidR="00A9766F" w:rsidRPr="007114AF" w:rsidRDefault="00A9766F" w:rsidP="009E78A1">
      <w:pPr>
        <w:pStyle w:val="FIGURA"/>
        <w:rPr>
          <w:sz w:val="20"/>
          <w:szCs w:val="20"/>
        </w:rPr>
      </w:pPr>
      <w:r w:rsidRPr="007114AF">
        <w:rPr>
          <w:sz w:val="20"/>
          <w:szCs w:val="20"/>
        </w:rPr>
        <w:t>për pyllëzimin e 1000 ha/vit. Burimi: KTK-ja</w:t>
      </w:r>
    </w:p>
    <w:p w14:paraId="6EDCFAEB" w14:textId="77777777" w:rsidR="00A9766F" w:rsidRPr="007114AF" w:rsidRDefault="00A9766F" w:rsidP="00A9766F">
      <w:pPr>
        <w:pStyle w:val="Default"/>
        <w:tabs>
          <w:tab w:val="left" w:pos="2311"/>
        </w:tabs>
        <w:spacing w:after="120"/>
        <w:jc w:val="both"/>
        <w:rPr>
          <w:rFonts w:ascii="Garamond" w:hAnsi="Garamond"/>
          <w:color w:val="auto"/>
          <w:sz w:val="22"/>
          <w:szCs w:val="22"/>
          <w:lang w:val="sq-AL"/>
        </w:rPr>
      </w:pPr>
    </w:p>
    <w:p w14:paraId="6EDCFAEC" w14:textId="77777777" w:rsidR="00A9766F" w:rsidRPr="007114AF" w:rsidRDefault="00A9766F" w:rsidP="00351EAC">
      <w:pPr>
        <w:pStyle w:val="Default"/>
        <w:keepNext/>
        <w:tabs>
          <w:tab w:val="left" w:pos="2311"/>
        </w:tabs>
        <w:spacing w:after="120"/>
        <w:jc w:val="center"/>
        <w:rPr>
          <w:rFonts w:ascii="Garamond" w:hAnsi="Garamond"/>
          <w:lang w:val="sq-AL"/>
        </w:rPr>
      </w:pPr>
      <w:r w:rsidRPr="007114AF">
        <w:rPr>
          <w:rFonts w:ascii="Garamond" w:hAnsi="Garamond"/>
          <w:noProof/>
          <w:color w:val="auto"/>
          <w:sz w:val="22"/>
          <w:szCs w:val="22"/>
          <w:lang w:val="en-US" w:eastAsia="en-US"/>
        </w:rPr>
        <w:drawing>
          <wp:inline distT="0" distB="0" distL="0" distR="0" wp14:anchorId="6EDD17AE" wp14:editId="6EDD17AF">
            <wp:extent cx="4029710" cy="2147570"/>
            <wp:effectExtent l="0" t="0" r="8890" b="508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29710" cy="2147570"/>
                    </a:xfrm>
                    <a:prstGeom prst="rect">
                      <a:avLst/>
                    </a:prstGeom>
                    <a:noFill/>
                    <a:ln>
                      <a:noFill/>
                    </a:ln>
                  </pic:spPr>
                </pic:pic>
              </a:graphicData>
            </a:graphic>
          </wp:inline>
        </w:drawing>
      </w:r>
    </w:p>
    <w:p w14:paraId="4237FEAB" w14:textId="5ED17B02" w:rsidR="009F3D0C" w:rsidRPr="007114AF" w:rsidRDefault="00A9766F" w:rsidP="009E78A1">
      <w:pPr>
        <w:pStyle w:val="FIGURA"/>
        <w:rPr>
          <w:sz w:val="20"/>
          <w:szCs w:val="20"/>
        </w:rPr>
      </w:pPr>
      <w:r w:rsidRPr="007114AF">
        <w:rPr>
          <w:sz w:val="20"/>
          <w:szCs w:val="20"/>
        </w:rPr>
        <w:t>Figura</w:t>
      </w:r>
      <w:r w:rsidR="009E78A1"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22</w:t>
      </w:r>
      <w:r w:rsidRPr="007114AF">
        <w:rPr>
          <w:sz w:val="20"/>
          <w:szCs w:val="20"/>
        </w:rPr>
        <w:fldChar w:fldCharType="end"/>
      </w:r>
      <w:r w:rsidRPr="007114AF">
        <w:rPr>
          <w:sz w:val="20"/>
          <w:szCs w:val="20"/>
        </w:rPr>
        <w:t>–Shkarkimet CO</w:t>
      </w:r>
      <w:r w:rsidRPr="007114AF">
        <w:rPr>
          <w:sz w:val="20"/>
          <w:szCs w:val="20"/>
          <w:vertAlign w:val="subscript"/>
        </w:rPr>
        <w:t>2</w:t>
      </w:r>
      <w:r w:rsidR="00022F8B">
        <w:rPr>
          <w:sz w:val="20"/>
          <w:szCs w:val="20"/>
          <w:vertAlign w:val="subscript"/>
        </w:rPr>
        <w:t xml:space="preserve"> </w:t>
      </w:r>
      <w:r w:rsidRPr="007114AF">
        <w:rPr>
          <w:sz w:val="20"/>
          <w:szCs w:val="20"/>
        </w:rPr>
        <w:t>për periudhën 2015</w:t>
      </w:r>
      <w:r w:rsidR="00022F8B">
        <w:t>–</w:t>
      </w:r>
      <w:r w:rsidRPr="007114AF">
        <w:rPr>
          <w:sz w:val="20"/>
          <w:szCs w:val="20"/>
        </w:rPr>
        <w:t xml:space="preserve">2050 në Kt, pa projekt dhe me projekt </w:t>
      </w:r>
    </w:p>
    <w:p w14:paraId="6EDCFAED" w14:textId="7931ABA7" w:rsidR="00A9766F" w:rsidRPr="007114AF" w:rsidRDefault="00A9766F" w:rsidP="009E78A1">
      <w:pPr>
        <w:pStyle w:val="FIGURA"/>
        <w:rPr>
          <w:sz w:val="20"/>
          <w:szCs w:val="20"/>
        </w:rPr>
      </w:pPr>
      <w:r w:rsidRPr="007114AF">
        <w:rPr>
          <w:sz w:val="20"/>
          <w:szCs w:val="20"/>
        </w:rPr>
        <w:t>për pyllëzimin e 500 ha/vit. Burimi: Draft KTK-ja</w:t>
      </w:r>
    </w:p>
    <w:p w14:paraId="6EDCFAEE" w14:textId="77777777" w:rsidR="00A9766F" w:rsidRPr="007114AF" w:rsidRDefault="00A9766F" w:rsidP="00A9766F">
      <w:pPr>
        <w:pStyle w:val="Default"/>
        <w:spacing w:after="120"/>
        <w:jc w:val="both"/>
        <w:rPr>
          <w:rFonts w:ascii="Garamond" w:hAnsi="Garamond"/>
          <w:b/>
          <w:color w:val="auto"/>
          <w:sz w:val="20"/>
          <w:szCs w:val="20"/>
          <w:lang w:val="sq-AL"/>
        </w:rPr>
      </w:pPr>
    </w:p>
    <w:p w14:paraId="6EDCFAEF" w14:textId="77777777" w:rsidR="00A9766F" w:rsidRPr="007114AF" w:rsidRDefault="00351EAC" w:rsidP="00351EAC">
      <w:pPr>
        <w:pStyle w:val="TEKSTI"/>
      </w:pPr>
      <w:bookmarkStart w:id="78" w:name="_Toc449537135"/>
      <w:r w:rsidRPr="007114AF">
        <w:t xml:space="preserve">2.7.2.2 </w:t>
      </w:r>
      <w:r w:rsidR="00A9766F" w:rsidRPr="007114AF">
        <w:t xml:space="preserve">Parashikimet në kontributin e synuar të përcaktuar në nivel kombëtar </w:t>
      </w:r>
      <w:bookmarkEnd w:id="78"/>
    </w:p>
    <w:p w14:paraId="6EDCFAF0" w14:textId="78E61623" w:rsidR="00A9766F" w:rsidRPr="007114AF" w:rsidRDefault="00A9766F" w:rsidP="00351EAC">
      <w:pPr>
        <w:pStyle w:val="TEKSTI"/>
        <w:rPr>
          <w:b/>
          <w:i/>
          <w:lang w:eastAsia="en-US"/>
        </w:rPr>
      </w:pPr>
      <w:r w:rsidRPr="007114AF">
        <w:t>Sipas INDC-ës, është parashikuar një skenar bazë i shkarkimeve GES</w:t>
      </w:r>
      <w:r w:rsidR="00CA0B80">
        <w:t xml:space="preserve"> </w:t>
      </w:r>
      <w:r w:rsidRPr="007114AF">
        <w:t xml:space="preserve">deri në vitin 2030,duke nisur në 2012 si vit bazë, dhe duke përdorur modelin </w:t>
      </w:r>
      <w:r w:rsidR="000A2A01" w:rsidRPr="007114AF">
        <w:t>“</w:t>
      </w:r>
      <w:r w:rsidRPr="007114AF">
        <w:t>PRIMES</w:t>
      </w:r>
      <w:r w:rsidR="000A2A01" w:rsidRPr="007114AF">
        <w:t>”</w:t>
      </w:r>
      <w:r w:rsidR="00CA0B80">
        <w:t xml:space="preserve"> </w:t>
      </w:r>
      <w:r w:rsidRPr="007114AF">
        <w:t xml:space="preserve">për parashikimet e intensitetit të energjisë dhe nivelet e aktivitetit, si dhe modele të tjera sektoriale (në veçanti modelet SLED të energjisë elektrike dhe ndërtimit dhe modelin UNDP LEAP ), të dhëna nga AKBN-ja dhe INSTAT-i. </w:t>
      </w:r>
    </w:p>
    <w:p w14:paraId="6EDCFAF1" w14:textId="589F6F80" w:rsidR="00A9766F" w:rsidRPr="007114AF" w:rsidRDefault="00A9766F" w:rsidP="00351EAC">
      <w:pPr>
        <w:pStyle w:val="TEKSTI"/>
      </w:pPr>
      <w:r w:rsidRPr="007114AF">
        <w:t>Në mënyrë ideale e gjithë ekonomia duhet mbuluar nga parashikimet e raportuara në INDC-ë, por dy aspekte duhen konsideruar me kujdes,</w:t>
      </w:r>
      <w:r w:rsidR="00CA0B80">
        <w:t xml:space="preserve"> </w:t>
      </w:r>
      <w:r w:rsidRPr="007114AF">
        <w:t>ndërsa dëshirohet një mbulim sa më gjithëpërfshirës i sektorëve, mungesa e të dhënave të disponueshme apo cilësisë së të dhënave në disa sektorë, mund ta kufizojë atë çka mund të mbulohet. Për këto arsye, sipas dokumentit teknik bazë INDC-ë,</w:t>
      </w:r>
      <w:r w:rsidR="00CA0B80">
        <w:t xml:space="preserve"> </w:t>
      </w:r>
      <w:r w:rsidRPr="007114AF">
        <w:t xml:space="preserve">të miratuar nga qeveria shqiptare në shtator 2015, të dhënat e disponueshme dhe kufizimet e cilësisë së të dhënave janë menaxhuar me dy kufizime: </w:t>
      </w:r>
    </w:p>
    <w:p w14:paraId="6EDCFAF2" w14:textId="2DEC2DA2" w:rsidR="00A9766F" w:rsidRPr="007114AF" w:rsidRDefault="00782894" w:rsidP="00351EAC">
      <w:pPr>
        <w:pStyle w:val="TEKSTI"/>
      </w:pPr>
      <w:r w:rsidRPr="007114AF">
        <w:t xml:space="preserve">- </w:t>
      </w:r>
      <w:r w:rsidR="00A9766F" w:rsidRPr="007114AF">
        <w:t>Duke mos përfshirë sektorin LULUCF-ës, duke qenë se inventari shqiptar GES –që aktualisht përmbledh pesë sektorë kryesorë: energjinë, proceset industriale, bujqësinë, ndryshimin në përdorimin e tokës dhe pylltarinë, si dhe mbetjet –përmban një pasiguri të madhe të përthithjes që lidhen me LULUCF-në. Megjithatë, qeveria shqiptare ka rezervuar të drejtën ta përfshijë pylltarinë në INDC-ë</w:t>
      </w:r>
      <w:r w:rsidR="00CA0B80">
        <w:t xml:space="preserve"> </w:t>
      </w:r>
      <w:r w:rsidR="00A9766F" w:rsidRPr="007114AF">
        <w:t xml:space="preserve">në të ardhmen, por para fillimit të </w:t>
      </w:r>
      <w:r w:rsidR="000A2A01" w:rsidRPr="007114AF">
        <w:t>“</w:t>
      </w:r>
      <w:r w:rsidR="00A9766F" w:rsidRPr="007114AF">
        <w:t>periudhës së parashikuar të angazhimit</w:t>
      </w:r>
      <w:r w:rsidR="000A2A01" w:rsidRPr="007114AF">
        <w:t>”</w:t>
      </w:r>
      <w:r w:rsidR="00A9766F" w:rsidRPr="007114AF">
        <w:t>, 2020.</w:t>
      </w:r>
    </w:p>
    <w:p w14:paraId="6EDCFAF3" w14:textId="77777777" w:rsidR="00A9766F" w:rsidRPr="007114AF" w:rsidRDefault="00782894" w:rsidP="00351EAC">
      <w:pPr>
        <w:pStyle w:val="TEKSTI"/>
      </w:pPr>
      <w:r w:rsidRPr="007114AF">
        <w:t xml:space="preserve">- </w:t>
      </w:r>
      <w:r w:rsidR="00A9766F" w:rsidRPr="007114AF">
        <w:t>Duke mos përfshirë GES-in përveç CO</w:t>
      </w:r>
      <w:r w:rsidR="00A9766F" w:rsidRPr="007114AF">
        <w:rPr>
          <w:vertAlign w:val="subscript"/>
        </w:rPr>
        <w:t>2</w:t>
      </w:r>
      <w:r w:rsidR="00A9766F" w:rsidRPr="007114AF">
        <w:t>. Në fakt, inventari i gazeve serrë të Shqipërisë, ka seri kohore të plotë deri në vitin 2000, dhe inventari i të dhënave u vu në dispozicion për vitet 2005 dhe 2009 si pjesë e Komunikimit të Tretë Kombëtar. Duke mos i pasur seritë kohore deri në vitin 2012 dhe duke pasur një pasiguri të lartë relative të raportimit të gazeve të tjerë përveç CO</w:t>
      </w:r>
      <w:r w:rsidR="00A9766F" w:rsidRPr="007114AF">
        <w:rPr>
          <w:vertAlign w:val="subscript"/>
        </w:rPr>
        <w:t>2</w:t>
      </w:r>
      <w:r w:rsidR="00A9766F" w:rsidRPr="007114AF">
        <w:t>, Shqipëria zgjodhi vetëm CO</w:t>
      </w:r>
      <w:r w:rsidR="00A9766F" w:rsidRPr="007114AF">
        <w:rPr>
          <w:vertAlign w:val="subscript"/>
        </w:rPr>
        <w:t>2</w:t>
      </w:r>
      <w:r w:rsidR="00A9766F" w:rsidRPr="007114AF">
        <w:t>si gazi ku shprehet INDC-ja e saj. Megjithatë, Shqipëria njoftoi synimin për ta shtrirë INDC-nënë gaze të tjerë në një stad të mëvonshëm, sapo cilësia e të dhënave të përmirësohet. Kjo do të përjashtonte automatikisht bujqësinë dhe mbetjet, meqë inventari nuk përmban shkarkime të lidhura me GES-in, lidhur me bujqësinë dhe mbetjet.</w:t>
      </w:r>
    </w:p>
    <w:p w14:paraId="6EDCFAF4" w14:textId="45AD54E4" w:rsidR="00A9766F" w:rsidRPr="007114AF" w:rsidRDefault="00782894" w:rsidP="00351EAC">
      <w:pPr>
        <w:pStyle w:val="TEKSTI"/>
      </w:pPr>
      <w:r w:rsidRPr="007114AF">
        <w:t xml:space="preserve">- </w:t>
      </w:r>
      <w:r w:rsidR="00A9766F" w:rsidRPr="007114AF">
        <w:t>Duke përjashtuar LULUCF-në</w:t>
      </w:r>
      <w:r w:rsidR="00CA0B80">
        <w:t xml:space="preserve"> </w:t>
      </w:r>
      <w:r w:rsidR="00A9766F" w:rsidRPr="007114AF">
        <w:t>dhe gaze të tjera përveç CO</w:t>
      </w:r>
      <w:r w:rsidR="00A9766F" w:rsidRPr="007114AF">
        <w:rPr>
          <w:vertAlign w:val="subscript"/>
        </w:rPr>
        <w:t>2</w:t>
      </w:r>
      <w:r w:rsidR="00A9766F" w:rsidRPr="007114AF">
        <w:t>, shkarkimet GES të mbuluara nga parashikimet e INDC-ës</w:t>
      </w:r>
      <w:r w:rsidR="00CA0B80">
        <w:t xml:space="preserve"> </w:t>
      </w:r>
      <w:r w:rsidR="00A9766F" w:rsidRPr="007114AF">
        <w:t xml:space="preserve">shqiptare, për momentin kufizohen me </w:t>
      </w:r>
      <w:r w:rsidR="00A9766F" w:rsidRPr="007114AF">
        <w:rPr>
          <w:b/>
        </w:rPr>
        <w:t>sektorët që lidhen me energjinë, përfshirë transportin dhe proceset industriale</w:t>
      </w:r>
      <w:r w:rsidR="00A9766F" w:rsidRPr="007114AF">
        <w:t>,</w:t>
      </w:r>
      <w:r w:rsidR="00CA0B80">
        <w:t xml:space="preserve"> </w:t>
      </w:r>
      <w:r w:rsidR="00A9766F" w:rsidRPr="007114AF">
        <w:t>që së bashku mbulojnë më pak se 60% të shkarkimeve totale GES në inventar. Kjo mund të përfaqësojë një kufizim serioz, edhe nëse përfshirja e LULUCF-ës</w:t>
      </w:r>
      <w:r w:rsidR="00CA0B80">
        <w:t xml:space="preserve"> </w:t>
      </w:r>
      <w:r w:rsidR="00A9766F" w:rsidRPr="007114AF">
        <w:t>dhe gazeve të tjerë jo-CO</w:t>
      </w:r>
      <w:r w:rsidR="00A9766F" w:rsidRPr="007114AF">
        <w:rPr>
          <w:vertAlign w:val="subscript"/>
        </w:rPr>
        <w:t>2</w:t>
      </w:r>
      <w:r w:rsidR="00A9766F" w:rsidRPr="007114AF">
        <w:t>do të sillnin pasiguri të madhe. Megjithatë, Shqipëria me gjasë do ta shtrijë INDC-nënë sektorë të tjerë ekonomikë dhe gaze serrë para vitit 2020, nëse cilësia e të dhënave dhe disponueshmëria përmirësohen.</w:t>
      </w:r>
    </w:p>
    <w:p w14:paraId="6EDCFAF5" w14:textId="77777777" w:rsidR="00A9766F" w:rsidRPr="007114AF" w:rsidRDefault="00A9766F" w:rsidP="00351EAC">
      <w:pPr>
        <w:pStyle w:val="TEKSTI"/>
      </w:pPr>
      <w:r w:rsidRPr="007114AF">
        <w:t>Tabela 8 raporton shkarkimet totale CO</w:t>
      </w:r>
      <w:r w:rsidRPr="007114AF">
        <w:rPr>
          <w:vertAlign w:val="subscript"/>
        </w:rPr>
        <w:t>2</w:t>
      </w:r>
      <w:r w:rsidRPr="007114AF">
        <w:t>nga nënsektorët që lidhen me energjinë, me shkarkime gati zero CO</w:t>
      </w:r>
      <w:r w:rsidRPr="007114AF">
        <w:rPr>
          <w:vertAlign w:val="subscript"/>
        </w:rPr>
        <w:t>2</w:t>
      </w:r>
      <w:r w:rsidRPr="007114AF">
        <w:t xml:space="preserve">, lidhur me sektorin e energjisë. </w:t>
      </w:r>
    </w:p>
    <w:p w14:paraId="259E787C" w14:textId="77777777" w:rsidR="00CA0B80" w:rsidRDefault="00CA0B80" w:rsidP="00782894">
      <w:pPr>
        <w:pStyle w:val="FIGURA"/>
        <w:rPr>
          <w:sz w:val="20"/>
          <w:szCs w:val="20"/>
        </w:rPr>
      </w:pPr>
    </w:p>
    <w:p w14:paraId="6EDCFAF7" w14:textId="2F178DF8" w:rsidR="00A9766F" w:rsidRPr="007114AF" w:rsidRDefault="00A9766F" w:rsidP="00782894">
      <w:pPr>
        <w:pStyle w:val="FIGURA"/>
        <w:rPr>
          <w:sz w:val="20"/>
          <w:szCs w:val="20"/>
        </w:rPr>
      </w:pPr>
      <w:r w:rsidRPr="007114AF">
        <w:rPr>
          <w:sz w:val="20"/>
          <w:szCs w:val="20"/>
        </w:rPr>
        <w:t>Tabela</w:t>
      </w:r>
      <w:r w:rsidR="00782894" w:rsidRPr="007114AF">
        <w:rPr>
          <w:sz w:val="20"/>
          <w:szCs w:val="20"/>
        </w:rPr>
        <w:t xml:space="preserve"> </w:t>
      </w:r>
      <w:r w:rsidRPr="007114AF">
        <w:rPr>
          <w:sz w:val="20"/>
          <w:szCs w:val="20"/>
        </w:rPr>
        <w:fldChar w:fldCharType="begin"/>
      </w:r>
      <w:r w:rsidRPr="007114AF">
        <w:rPr>
          <w:sz w:val="20"/>
          <w:szCs w:val="20"/>
        </w:rPr>
        <w:instrText xml:space="preserve"> SEQ Table \* ARABIC </w:instrText>
      </w:r>
      <w:r w:rsidRPr="007114AF">
        <w:rPr>
          <w:sz w:val="20"/>
          <w:szCs w:val="20"/>
        </w:rPr>
        <w:fldChar w:fldCharType="separate"/>
      </w:r>
      <w:r w:rsidRPr="007114AF">
        <w:rPr>
          <w:sz w:val="20"/>
          <w:szCs w:val="20"/>
        </w:rPr>
        <w:t>8</w:t>
      </w:r>
      <w:r w:rsidRPr="007114AF">
        <w:rPr>
          <w:sz w:val="20"/>
          <w:szCs w:val="20"/>
        </w:rPr>
        <w:fldChar w:fldCharType="end"/>
      </w:r>
      <w:r w:rsidR="00CA0B80">
        <w:rPr>
          <w:sz w:val="20"/>
          <w:szCs w:val="20"/>
        </w:rPr>
        <w:t xml:space="preserve"> </w:t>
      </w:r>
      <w:r w:rsidRPr="007114AF">
        <w:rPr>
          <w:sz w:val="20"/>
          <w:szCs w:val="20"/>
        </w:rPr>
        <w:t>–</w:t>
      </w:r>
      <w:r w:rsidR="00CA0B80">
        <w:rPr>
          <w:sz w:val="20"/>
          <w:szCs w:val="20"/>
        </w:rPr>
        <w:t xml:space="preserve"> </w:t>
      </w:r>
      <w:r w:rsidRPr="007114AF">
        <w:rPr>
          <w:sz w:val="20"/>
          <w:szCs w:val="20"/>
        </w:rPr>
        <w:t>Shkarkimet totale CO</w:t>
      </w:r>
      <w:r w:rsidRPr="007114AF">
        <w:rPr>
          <w:sz w:val="20"/>
          <w:szCs w:val="20"/>
          <w:vertAlign w:val="subscript"/>
        </w:rPr>
        <w:t>2</w:t>
      </w:r>
      <w:r w:rsidRPr="007114AF">
        <w:rPr>
          <w:sz w:val="20"/>
          <w:szCs w:val="20"/>
        </w:rPr>
        <w:t xml:space="preserve"> (Gg CO</w:t>
      </w:r>
      <w:r w:rsidRPr="007114AF">
        <w:rPr>
          <w:sz w:val="20"/>
          <w:szCs w:val="20"/>
          <w:vertAlign w:val="subscript"/>
        </w:rPr>
        <w:t>2</w:t>
      </w:r>
      <w:r w:rsidRPr="007114AF">
        <w:rPr>
          <w:sz w:val="20"/>
          <w:szCs w:val="20"/>
        </w:rPr>
        <w:t>), jobiogjenike (Burimi: INDC2015)</w:t>
      </w:r>
    </w:p>
    <w:p w14:paraId="6EDCFAF8" w14:textId="77777777" w:rsidR="00782894" w:rsidRPr="007114AF" w:rsidRDefault="00782894" w:rsidP="00782894">
      <w:pPr>
        <w:pStyle w:val="FIGURA"/>
        <w:rPr>
          <w:sz w:val="20"/>
          <w:szCs w:val="20"/>
        </w:rPr>
      </w:pPr>
    </w:p>
    <w:tbl>
      <w:tblPr>
        <w:tblStyle w:val="GridTable6Colorful-Accent11"/>
        <w:tblW w:w="9513" w:type="dxa"/>
        <w:tblLayout w:type="fixed"/>
        <w:tblLook w:val="04A0" w:firstRow="1" w:lastRow="0" w:firstColumn="1" w:lastColumn="0" w:noHBand="0" w:noVBand="1"/>
      </w:tblPr>
      <w:tblGrid>
        <w:gridCol w:w="2850"/>
        <w:gridCol w:w="1332"/>
        <w:gridCol w:w="1333"/>
        <w:gridCol w:w="1332"/>
        <w:gridCol w:w="1333"/>
        <w:gridCol w:w="1333"/>
      </w:tblGrid>
      <w:tr w:rsidR="00A9766F" w:rsidRPr="007114AF" w14:paraId="6EDCFAFF" w14:textId="77777777" w:rsidTr="00A9766F">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50" w:type="dxa"/>
            <w:noWrap/>
            <w:vAlign w:val="center"/>
            <w:hideMark/>
          </w:tcPr>
          <w:p w14:paraId="6EDCFAF9" w14:textId="77777777" w:rsidR="00A9766F" w:rsidRPr="007114AF" w:rsidRDefault="00A9766F" w:rsidP="00A9766F">
            <w:pPr>
              <w:rPr>
                <w:rFonts w:ascii="Garamond" w:hAnsi="Garamond"/>
                <w:i/>
                <w:sz w:val="18"/>
                <w:szCs w:val="18"/>
              </w:rPr>
            </w:pPr>
            <w:r w:rsidRPr="007114AF">
              <w:rPr>
                <w:rFonts w:ascii="Garamond" w:hAnsi="Garamond"/>
                <w:sz w:val="18"/>
                <w:szCs w:val="18"/>
              </w:rPr>
              <w:t>Sektori</w:t>
            </w:r>
          </w:p>
        </w:tc>
        <w:tc>
          <w:tcPr>
            <w:tcW w:w="1332" w:type="dxa"/>
            <w:noWrap/>
            <w:vAlign w:val="center"/>
            <w:hideMark/>
          </w:tcPr>
          <w:p w14:paraId="6EDCFAFA"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2012</w:t>
            </w:r>
          </w:p>
        </w:tc>
        <w:tc>
          <w:tcPr>
            <w:tcW w:w="1333" w:type="dxa"/>
            <w:noWrap/>
            <w:vAlign w:val="center"/>
            <w:hideMark/>
          </w:tcPr>
          <w:p w14:paraId="6EDCFAFB"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2015</w:t>
            </w:r>
          </w:p>
        </w:tc>
        <w:tc>
          <w:tcPr>
            <w:tcW w:w="1332" w:type="dxa"/>
            <w:noWrap/>
            <w:vAlign w:val="center"/>
            <w:hideMark/>
          </w:tcPr>
          <w:p w14:paraId="6EDCFAFC"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2020</w:t>
            </w:r>
          </w:p>
        </w:tc>
        <w:tc>
          <w:tcPr>
            <w:tcW w:w="1333" w:type="dxa"/>
            <w:noWrap/>
            <w:vAlign w:val="center"/>
            <w:hideMark/>
          </w:tcPr>
          <w:p w14:paraId="6EDCFAFD"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2025</w:t>
            </w:r>
          </w:p>
        </w:tc>
        <w:tc>
          <w:tcPr>
            <w:tcW w:w="1333" w:type="dxa"/>
            <w:noWrap/>
            <w:vAlign w:val="center"/>
            <w:hideMark/>
          </w:tcPr>
          <w:p w14:paraId="6EDCFAFE"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2030</w:t>
            </w:r>
          </w:p>
        </w:tc>
      </w:tr>
      <w:tr w:rsidR="00A9766F" w:rsidRPr="007114AF" w14:paraId="6EDCFB06" w14:textId="77777777" w:rsidTr="00A9766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50" w:type="dxa"/>
            <w:noWrap/>
            <w:vAlign w:val="center"/>
            <w:hideMark/>
          </w:tcPr>
          <w:p w14:paraId="6EDCFB00" w14:textId="77777777" w:rsidR="00A9766F" w:rsidRPr="007114AF" w:rsidRDefault="00A9766F" w:rsidP="00A9766F">
            <w:pPr>
              <w:spacing w:after="0"/>
              <w:rPr>
                <w:rFonts w:ascii="Garamond" w:hAnsi="Garamond"/>
                <w:b w:val="0"/>
                <w:i/>
                <w:sz w:val="18"/>
                <w:szCs w:val="18"/>
              </w:rPr>
            </w:pPr>
            <w:r w:rsidRPr="007114AF">
              <w:rPr>
                <w:rFonts w:ascii="Garamond" w:hAnsi="Garamond"/>
                <w:sz w:val="18"/>
                <w:szCs w:val="18"/>
              </w:rPr>
              <w:t>Sektori i banesave dhe shërbimeve</w:t>
            </w:r>
          </w:p>
        </w:tc>
        <w:tc>
          <w:tcPr>
            <w:tcW w:w="1332" w:type="dxa"/>
            <w:noWrap/>
            <w:vAlign w:val="center"/>
          </w:tcPr>
          <w:p w14:paraId="6EDCFB01"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251</w:t>
            </w:r>
          </w:p>
        </w:tc>
        <w:tc>
          <w:tcPr>
            <w:tcW w:w="1333" w:type="dxa"/>
            <w:noWrap/>
            <w:vAlign w:val="center"/>
          </w:tcPr>
          <w:p w14:paraId="6EDCFB02"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269</w:t>
            </w:r>
          </w:p>
        </w:tc>
        <w:tc>
          <w:tcPr>
            <w:tcW w:w="1332" w:type="dxa"/>
            <w:noWrap/>
            <w:vAlign w:val="center"/>
          </w:tcPr>
          <w:p w14:paraId="6EDCFB03"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293</w:t>
            </w:r>
          </w:p>
        </w:tc>
        <w:tc>
          <w:tcPr>
            <w:tcW w:w="1333" w:type="dxa"/>
            <w:noWrap/>
            <w:vAlign w:val="center"/>
          </w:tcPr>
          <w:p w14:paraId="6EDCFB04"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320</w:t>
            </w:r>
          </w:p>
        </w:tc>
        <w:tc>
          <w:tcPr>
            <w:tcW w:w="1333" w:type="dxa"/>
            <w:noWrap/>
            <w:vAlign w:val="center"/>
          </w:tcPr>
          <w:p w14:paraId="6EDCFB05"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352</w:t>
            </w:r>
          </w:p>
        </w:tc>
      </w:tr>
      <w:tr w:rsidR="00A9766F" w:rsidRPr="007114AF" w14:paraId="6EDCFB0D" w14:textId="77777777" w:rsidTr="00A9766F">
        <w:trPr>
          <w:trHeight w:val="270"/>
        </w:trPr>
        <w:tc>
          <w:tcPr>
            <w:cnfStyle w:val="001000000000" w:firstRow="0" w:lastRow="0" w:firstColumn="1" w:lastColumn="0" w:oddVBand="0" w:evenVBand="0" w:oddHBand="0" w:evenHBand="0" w:firstRowFirstColumn="0" w:firstRowLastColumn="0" w:lastRowFirstColumn="0" w:lastRowLastColumn="0"/>
            <w:tcW w:w="2850" w:type="dxa"/>
            <w:noWrap/>
            <w:vAlign w:val="center"/>
            <w:hideMark/>
          </w:tcPr>
          <w:p w14:paraId="6EDCFB07" w14:textId="77777777" w:rsidR="00A9766F" w:rsidRPr="007114AF" w:rsidRDefault="00A9766F" w:rsidP="00A9766F">
            <w:pPr>
              <w:spacing w:after="0"/>
              <w:rPr>
                <w:rFonts w:ascii="Garamond" w:hAnsi="Garamond"/>
                <w:b w:val="0"/>
                <w:i/>
                <w:sz w:val="18"/>
                <w:szCs w:val="18"/>
              </w:rPr>
            </w:pPr>
            <w:r w:rsidRPr="007114AF">
              <w:rPr>
                <w:rFonts w:ascii="Garamond" w:hAnsi="Garamond"/>
                <w:sz w:val="18"/>
                <w:szCs w:val="18"/>
              </w:rPr>
              <w:t>Industria</w:t>
            </w:r>
          </w:p>
        </w:tc>
        <w:tc>
          <w:tcPr>
            <w:tcW w:w="1332" w:type="dxa"/>
            <w:noWrap/>
            <w:vAlign w:val="center"/>
          </w:tcPr>
          <w:p w14:paraId="6EDCFB08"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980</w:t>
            </w:r>
          </w:p>
        </w:tc>
        <w:tc>
          <w:tcPr>
            <w:tcW w:w="1333" w:type="dxa"/>
            <w:noWrap/>
            <w:vAlign w:val="center"/>
          </w:tcPr>
          <w:p w14:paraId="6EDCFB09"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1064</w:t>
            </w:r>
          </w:p>
        </w:tc>
        <w:tc>
          <w:tcPr>
            <w:tcW w:w="1332" w:type="dxa"/>
            <w:noWrap/>
            <w:vAlign w:val="center"/>
          </w:tcPr>
          <w:p w14:paraId="6EDCFB0A"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1243</w:t>
            </w:r>
          </w:p>
        </w:tc>
        <w:tc>
          <w:tcPr>
            <w:tcW w:w="1333" w:type="dxa"/>
            <w:noWrap/>
            <w:vAlign w:val="center"/>
          </w:tcPr>
          <w:p w14:paraId="6EDCFB0B"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1534</w:t>
            </w:r>
          </w:p>
        </w:tc>
        <w:tc>
          <w:tcPr>
            <w:tcW w:w="1333" w:type="dxa"/>
            <w:noWrap/>
            <w:vAlign w:val="center"/>
          </w:tcPr>
          <w:p w14:paraId="6EDCFB0C"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2032</w:t>
            </w:r>
          </w:p>
        </w:tc>
      </w:tr>
      <w:tr w:rsidR="00A9766F" w:rsidRPr="007114AF" w14:paraId="6EDCFB14" w14:textId="77777777" w:rsidTr="00A9766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50" w:type="dxa"/>
            <w:noWrap/>
            <w:vAlign w:val="center"/>
            <w:hideMark/>
          </w:tcPr>
          <w:p w14:paraId="6EDCFB0E" w14:textId="77777777" w:rsidR="00A9766F" w:rsidRPr="007114AF" w:rsidRDefault="00A9766F" w:rsidP="00A9766F">
            <w:pPr>
              <w:spacing w:after="0"/>
              <w:rPr>
                <w:rFonts w:ascii="Garamond" w:hAnsi="Garamond"/>
                <w:b w:val="0"/>
                <w:i/>
                <w:sz w:val="18"/>
                <w:szCs w:val="18"/>
              </w:rPr>
            </w:pPr>
            <w:r w:rsidRPr="007114AF">
              <w:rPr>
                <w:rFonts w:ascii="Garamond" w:hAnsi="Garamond"/>
                <w:sz w:val="18"/>
                <w:szCs w:val="18"/>
              </w:rPr>
              <w:t>Transporti</w:t>
            </w:r>
          </w:p>
        </w:tc>
        <w:tc>
          <w:tcPr>
            <w:tcW w:w="1332" w:type="dxa"/>
            <w:noWrap/>
            <w:vAlign w:val="center"/>
          </w:tcPr>
          <w:p w14:paraId="6EDCFB0F"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2238</w:t>
            </w:r>
          </w:p>
        </w:tc>
        <w:tc>
          <w:tcPr>
            <w:tcW w:w="1333" w:type="dxa"/>
            <w:noWrap/>
            <w:vAlign w:val="center"/>
          </w:tcPr>
          <w:p w14:paraId="6EDCFB10"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2431</w:t>
            </w:r>
          </w:p>
        </w:tc>
        <w:tc>
          <w:tcPr>
            <w:tcW w:w="1332" w:type="dxa"/>
            <w:noWrap/>
            <w:vAlign w:val="center"/>
          </w:tcPr>
          <w:p w14:paraId="6EDCFB11"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2682</w:t>
            </w:r>
          </w:p>
        </w:tc>
        <w:tc>
          <w:tcPr>
            <w:tcW w:w="1333" w:type="dxa"/>
            <w:noWrap/>
            <w:vAlign w:val="center"/>
          </w:tcPr>
          <w:p w14:paraId="6EDCFB12"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2898</w:t>
            </w:r>
          </w:p>
        </w:tc>
        <w:tc>
          <w:tcPr>
            <w:tcW w:w="1333" w:type="dxa"/>
            <w:noWrap/>
            <w:vAlign w:val="center"/>
          </w:tcPr>
          <w:p w14:paraId="6EDCFB13"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3197</w:t>
            </w:r>
          </w:p>
        </w:tc>
      </w:tr>
      <w:tr w:rsidR="00A9766F" w:rsidRPr="007114AF" w14:paraId="6EDCFB1B" w14:textId="77777777" w:rsidTr="00A9766F">
        <w:trPr>
          <w:trHeight w:val="270"/>
        </w:trPr>
        <w:tc>
          <w:tcPr>
            <w:cnfStyle w:val="001000000000" w:firstRow="0" w:lastRow="0" w:firstColumn="1" w:lastColumn="0" w:oddVBand="0" w:evenVBand="0" w:oddHBand="0" w:evenHBand="0" w:firstRowFirstColumn="0" w:firstRowLastColumn="0" w:lastRowFirstColumn="0" w:lastRowLastColumn="0"/>
            <w:tcW w:w="2850" w:type="dxa"/>
            <w:noWrap/>
            <w:vAlign w:val="center"/>
            <w:hideMark/>
          </w:tcPr>
          <w:p w14:paraId="6EDCFB15" w14:textId="77777777" w:rsidR="00A9766F" w:rsidRPr="007114AF" w:rsidRDefault="00A9766F" w:rsidP="00A9766F">
            <w:pPr>
              <w:spacing w:after="0"/>
              <w:rPr>
                <w:rFonts w:ascii="Garamond" w:hAnsi="Garamond"/>
                <w:b w:val="0"/>
                <w:i/>
                <w:sz w:val="18"/>
                <w:szCs w:val="18"/>
              </w:rPr>
            </w:pPr>
            <w:r w:rsidRPr="007114AF">
              <w:rPr>
                <w:rFonts w:ascii="Garamond" w:hAnsi="Garamond"/>
                <w:sz w:val="18"/>
                <w:szCs w:val="18"/>
              </w:rPr>
              <w:t>Bujqësia</w:t>
            </w:r>
          </w:p>
        </w:tc>
        <w:tc>
          <w:tcPr>
            <w:tcW w:w="1332" w:type="dxa"/>
            <w:noWrap/>
            <w:vAlign w:val="center"/>
          </w:tcPr>
          <w:p w14:paraId="6EDCFB16"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243</w:t>
            </w:r>
          </w:p>
        </w:tc>
        <w:tc>
          <w:tcPr>
            <w:tcW w:w="1333" w:type="dxa"/>
            <w:noWrap/>
            <w:vAlign w:val="center"/>
          </w:tcPr>
          <w:p w14:paraId="6EDCFB17"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275</w:t>
            </w:r>
          </w:p>
        </w:tc>
        <w:tc>
          <w:tcPr>
            <w:tcW w:w="1332" w:type="dxa"/>
            <w:noWrap/>
            <w:vAlign w:val="center"/>
          </w:tcPr>
          <w:p w14:paraId="6EDCFB18"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307</w:t>
            </w:r>
          </w:p>
        </w:tc>
        <w:tc>
          <w:tcPr>
            <w:tcW w:w="1333" w:type="dxa"/>
            <w:noWrap/>
            <w:vAlign w:val="center"/>
          </w:tcPr>
          <w:p w14:paraId="6EDCFB19"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341</w:t>
            </w:r>
          </w:p>
        </w:tc>
        <w:tc>
          <w:tcPr>
            <w:tcW w:w="1333" w:type="dxa"/>
            <w:noWrap/>
            <w:vAlign w:val="center"/>
          </w:tcPr>
          <w:p w14:paraId="6EDCFB1A"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311</w:t>
            </w:r>
          </w:p>
        </w:tc>
      </w:tr>
      <w:tr w:rsidR="00A9766F" w:rsidRPr="007114AF" w14:paraId="6EDCFB22" w14:textId="77777777" w:rsidTr="00A9766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50" w:type="dxa"/>
            <w:noWrap/>
            <w:vAlign w:val="center"/>
            <w:hideMark/>
          </w:tcPr>
          <w:p w14:paraId="6EDCFB1C" w14:textId="77777777" w:rsidR="00A9766F" w:rsidRPr="007114AF" w:rsidRDefault="00A9766F" w:rsidP="00A9766F">
            <w:pPr>
              <w:spacing w:after="0"/>
              <w:rPr>
                <w:rFonts w:ascii="Garamond" w:hAnsi="Garamond"/>
                <w:b w:val="0"/>
                <w:i/>
                <w:sz w:val="18"/>
                <w:szCs w:val="18"/>
              </w:rPr>
            </w:pPr>
            <w:r w:rsidRPr="007114AF">
              <w:rPr>
                <w:rFonts w:ascii="Garamond" w:hAnsi="Garamond"/>
                <w:sz w:val="18"/>
                <w:szCs w:val="18"/>
              </w:rPr>
              <w:t>Përdorimi Joenergjetik</w:t>
            </w:r>
          </w:p>
        </w:tc>
        <w:tc>
          <w:tcPr>
            <w:tcW w:w="1332" w:type="dxa"/>
            <w:noWrap/>
            <w:vAlign w:val="center"/>
          </w:tcPr>
          <w:p w14:paraId="6EDCFB1D"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101</w:t>
            </w:r>
          </w:p>
        </w:tc>
        <w:tc>
          <w:tcPr>
            <w:tcW w:w="1333" w:type="dxa"/>
            <w:noWrap/>
            <w:vAlign w:val="center"/>
          </w:tcPr>
          <w:p w14:paraId="6EDCFB1E"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101</w:t>
            </w:r>
          </w:p>
        </w:tc>
        <w:tc>
          <w:tcPr>
            <w:tcW w:w="1332" w:type="dxa"/>
            <w:noWrap/>
            <w:vAlign w:val="center"/>
          </w:tcPr>
          <w:p w14:paraId="6EDCFB1F"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101</w:t>
            </w:r>
          </w:p>
        </w:tc>
        <w:tc>
          <w:tcPr>
            <w:tcW w:w="1333" w:type="dxa"/>
            <w:noWrap/>
            <w:vAlign w:val="center"/>
          </w:tcPr>
          <w:p w14:paraId="6EDCFB20"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101</w:t>
            </w:r>
          </w:p>
        </w:tc>
        <w:tc>
          <w:tcPr>
            <w:tcW w:w="1333" w:type="dxa"/>
            <w:noWrap/>
            <w:vAlign w:val="center"/>
          </w:tcPr>
          <w:p w14:paraId="6EDCFB21"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7114AF">
              <w:rPr>
                <w:rFonts w:ascii="Garamond" w:hAnsi="Garamond"/>
                <w:sz w:val="18"/>
                <w:szCs w:val="18"/>
              </w:rPr>
              <w:t>101</w:t>
            </w:r>
          </w:p>
        </w:tc>
      </w:tr>
      <w:tr w:rsidR="00A9766F" w:rsidRPr="007114AF" w14:paraId="6EDCFB29" w14:textId="77777777" w:rsidTr="00A9766F">
        <w:trPr>
          <w:trHeight w:val="270"/>
        </w:trPr>
        <w:tc>
          <w:tcPr>
            <w:cnfStyle w:val="001000000000" w:firstRow="0" w:lastRow="0" w:firstColumn="1" w:lastColumn="0" w:oddVBand="0" w:evenVBand="0" w:oddHBand="0" w:evenHBand="0" w:firstRowFirstColumn="0" w:firstRowLastColumn="0" w:lastRowFirstColumn="0" w:lastRowLastColumn="0"/>
            <w:tcW w:w="2850" w:type="dxa"/>
            <w:noWrap/>
            <w:vAlign w:val="center"/>
          </w:tcPr>
          <w:p w14:paraId="6EDCFB23"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Dega e Energjisë</w:t>
            </w:r>
          </w:p>
        </w:tc>
        <w:tc>
          <w:tcPr>
            <w:tcW w:w="1332" w:type="dxa"/>
            <w:noWrap/>
            <w:vAlign w:val="center"/>
          </w:tcPr>
          <w:p w14:paraId="6EDCFB24"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139</w:t>
            </w:r>
          </w:p>
        </w:tc>
        <w:tc>
          <w:tcPr>
            <w:tcW w:w="1333" w:type="dxa"/>
            <w:noWrap/>
            <w:vAlign w:val="center"/>
          </w:tcPr>
          <w:p w14:paraId="6EDCFB25"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142</w:t>
            </w:r>
          </w:p>
        </w:tc>
        <w:tc>
          <w:tcPr>
            <w:tcW w:w="1332" w:type="dxa"/>
            <w:noWrap/>
            <w:vAlign w:val="center"/>
          </w:tcPr>
          <w:p w14:paraId="6EDCFB26"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155</w:t>
            </w:r>
          </w:p>
        </w:tc>
        <w:tc>
          <w:tcPr>
            <w:tcW w:w="1333" w:type="dxa"/>
            <w:noWrap/>
            <w:vAlign w:val="center"/>
          </w:tcPr>
          <w:p w14:paraId="6EDCFB27"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159</w:t>
            </w:r>
          </w:p>
        </w:tc>
        <w:tc>
          <w:tcPr>
            <w:tcW w:w="1333" w:type="dxa"/>
            <w:noWrap/>
            <w:vAlign w:val="center"/>
          </w:tcPr>
          <w:p w14:paraId="6EDCFB28"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175</w:t>
            </w:r>
          </w:p>
        </w:tc>
      </w:tr>
      <w:tr w:rsidR="00A9766F" w:rsidRPr="007114AF" w14:paraId="6EDCFB30" w14:textId="77777777" w:rsidTr="00A9766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50" w:type="dxa"/>
            <w:noWrap/>
            <w:vAlign w:val="center"/>
          </w:tcPr>
          <w:p w14:paraId="6EDCFB2A" w14:textId="77777777" w:rsidR="00A9766F" w:rsidRPr="007114AF" w:rsidRDefault="00A9766F" w:rsidP="00A9766F">
            <w:pPr>
              <w:spacing w:after="0"/>
              <w:rPr>
                <w:rFonts w:ascii="Garamond" w:hAnsi="Garamond"/>
                <w:b w:val="0"/>
                <w:i/>
                <w:sz w:val="18"/>
                <w:szCs w:val="18"/>
              </w:rPr>
            </w:pPr>
            <w:r w:rsidRPr="007114AF">
              <w:rPr>
                <w:rFonts w:ascii="Garamond" w:hAnsi="Garamond"/>
                <w:sz w:val="18"/>
                <w:szCs w:val="18"/>
              </w:rPr>
              <w:t>Prodhimi i Energjisë Elektrike</w:t>
            </w:r>
          </w:p>
        </w:tc>
        <w:tc>
          <w:tcPr>
            <w:tcW w:w="1332" w:type="dxa"/>
            <w:noWrap/>
            <w:vAlign w:val="center"/>
          </w:tcPr>
          <w:p w14:paraId="6EDCFB2B"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w:t>
            </w:r>
          </w:p>
        </w:tc>
        <w:tc>
          <w:tcPr>
            <w:tcW w:w="1333" w:type="dxa"/>
            <w:noWrap/>
            <w:vAlign w:val="center"/>
          </w:tcPr>
          <w:p w14:paraId="6EDCFB2C"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w:t>
            </w:r>
          </w:p>
        </w:tc>
        <w:tc>
          <w:tcPr>
            <w:tcW w:w="1332" w:type="dxa"/>
            <w:noWrap/>
            <w:vAlign w:val="center"/>
          </w:tcPr>
          <w:p w14:paraId="6EDCFB2D"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w:t>
            </w:r>
          </w:p>
        </w:tc>
        <w:tc>
          <w:tcPr>
            <w:tcW w:w="1333" w:type="dxa"/>
            <w:noWrap/>
            <w:vAlign w:val="center"/>
          </w:tcPr>
          <w:p w14:paraId="6EDCFB2E"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w:t>
            </w:r>
          </w:p>
        </w:tc>
        <w:tc>
          <w:tcPr>
            <w:tcW w:w="1333" w:type="dxa"/>
            <w:noWrap/>
            <w:vAlign w:val="center"/>
          </w:tcPr>
          <w:p w14:paraId="6EDCFB2F"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7</w:t>
            </w:r>
          </w:p>
        </w:tc>
      </w:tr>
      <w:tr w:rsidR="00A9766F" w:rsidRPr="007114AF" w14:paraId="6EDCFB37" w14:textId="77777777" w:rsidTr="00A9766F">
        <w:trPr>
          <w:trHeight w:val="270"/>
        </w:trPr>
        <w:tc>
          <w:tcPr>
            <w:cnfStyle w:val="001000000000" w:firstRow="0" w:lastRow="0" w:firstColumn="1" w:lastColumn="0" w:oddVBand="0" w:evenVBand="0" w:oddHBand="0" w:evenHBand="0" w:firstRowFirstColumn="0" w:firstRowLastColumn="0" w:lastRowFirstColumn="0" w:lastRowLastColumn="0"/>
            <w:tcW w:w="2850" w:type="dxa"/>
            <w:noWrap/>
            <w:vAlign w:val="center"/>
            <w:hideMark/>
          </w:tcPr>
          <w:p w14:paraId="6EDCFB31" w14:textId="77777777" w:rsidR="00A9766F" w:rsidRPr="007114AF" w:rsidRDefault="00A9766F" w:rsidP="00A9766F">
            <w:pPr>
              <w:spacing w:after="0"/>
              <w:rPr>
                <w:rFonts w:ascii="Garamond" w:hAnsi="Garamond"/>
                <w:b w:val="0"/>
                <w:i/>
                <w:sz w:val="18"/>
                <w:szCs w:val="18"/>
              </w:rPr>
            </w:pPr>
            <w:r w:rsidRPr="007114AF">
              <w:rPr>
                <w:rFonts w:ascii="Garamond" w:hAnsi="Garamond"/>
                <w:sz w:val="18"/>
                <w:szCs w:val="18"/>
              </w:rPr>
              <w:t>Totali</w:t>
            </w:r>
          </w:p>
        </w:tc>
        <w:tc>
          <w:tcPr>
            <w:tcW w:w="1332" w:type="dxa"/>
            <w:noWrap/>
            <w:vAlign w:val="center"/>
          </w:tcPr>
          <w:p w14:paraId="6EDCFB32"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3952</w:t>
            </w:r>
          </w:p>
        </w:tc>
        <w:tc>
          <w:tcPr>
            <w:tcW w:w="1333" w:type="dxa"/>
            <w:noWrap/>
            <w:vAlign w:val="center"/>
          </w:tcPr>
          <w:p w14:paraId="6EDCFB33"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4282</w:t>
            </w:r>
          </w:p>
        </w:tc>
        <w:tc>
          <w:tcPr>
            <w:tcW w:w="1332" w:type="dxa"/>
            <w:noWrap/>
            <w:vAlign w:val="center"/>
          </w:tcPr>
          <w:p w14:paraId="6EDCFB34"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4781</w:t>
            </w:r>
          </w:p>
        </w:tc>
        <w:tc>
          <w:tcPr>
            <w:tcW w:w="1333" w:type="dxa"/>
            <w:noWrap/>
            <w:vAlign w:val="center"/>
          </w:tcPr>
          <w:p w14:paraId="6EDCFB35"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5353</w:t>
            </w:r>
          </w:p>
        </w:tc>
        <w:tc>
          <w:tcPr>
            <w:tcW w:w="1333" w:type="dxa"/>
            <w:noWrap/>
            <w:vAlign w:val="center"/>
          </w:tcPr>
          <w:p w14:paraId="6EDCFB36"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i/>
                <w:sz w:val="18"/>
                <w:szCs w:val="18"/>
              </w:rPr>
            </w:pPr>
            <w:r w:rsidRPr="007114AF">
              <w:rPr>
                <w:rFonts w:ascii="Garamond" w:hAnsi="Garamond"/>
                <w:sz w:val="18"/>
                <w:szCs w:val="18"/>
              </w:rPr>
              <w:t>6174</w:t>
            </w:r>
          </w:p>
        </w:tc>
      </w:tr>
    </w:tbl>
    <w:p w14:paraId="6EDCFB38" w14:textId="77777777" w:rsidR="00A9766F" w:rsidRPr="007114AF" w:rsidRDefault="00A9766F" w:rsidP="00A9766F">
      <w:pPr>
        <w:rPr>
          <w:rFonts w:ascii="Garamond" w:hAnsi="Garamond"/>
        </w:rPr>
      </w:pPr>
    </w:p>
    <w:p w14:paraId="6EDCFB39" w14:textId="7384E69F" w:rsidR="00A9766F" w:rsidRPr="007114AF" w:rsidRDefault="00A9766F" w:rsidP="00351EAC">
      <w:pPr>
        <w:pStyle w:val="TEKSTI"/>
      </w:pPr>
      <w:r w:rsidRPr="007114AF">
        <w:t>Ky skenar konfirmon se sektorët e transportit, industrisë dhe banesave</w:t>
      </w:r>
      <w:r w:rsidR="00CA0B80">
        <w:t xml:space="preserve"> </w:t>
      </w:r>
      <w:r w:rsidRPr="007114AF">
        <w:t>janë sektorët kyçë shkarkues, me shkarkimet e shërbimeve, transportit dhe industrisë që do të rriten shumë gjatë periudhës deri në vitin 2030,nxitur nga rritja ekonomike. Kjo tregohet në figurën 4.3, si më</w:t>
      </w:r>
      <w:r w:rsidR="00CA0B80">
        <w:t xml:space="preserve"> </w:t>
      </w:r>
      <w:r w:rsidRPr="007114AF">
        <w:t>poshtë.</w:t>
      </w:r>
    </w:p>
    <w:p w14:paraId="6EDCFB3A" w14:textId="77777777" w:rsidR="00A9766F" w:rsidRPr="007114AF" w:rsidRDefault="00A9766F" w:rsidP="00351EAC">
      <w:pPr>
        <w:jc w:val="center"/>
        <w:rPr>
          <w:rFonts w:ascii="Garamond" w:hAnsi="Garamond"/>
        </w:rPr>
      </w:pPr>
      <w:r w:rsidRPr="007114AF">
        <w:rPr>
          <w:rFonts w:ascii="Garamond" w:hAnsi="Garamond"/>
          <w:noProof/>
          <w:color w:val="FF0000"/>
          <w:lang w:val="en-US" w:eastAsia="en-US"/>
        </w:rPr>
        <w:drawing>
          <wp:inline distT="0" distB="0" distL="0" distR="0" wp14:anchorId="6EDD17B0" wp14:editId="6EDD17B1">
            <wp:extent cx="5502303" cy="2289976"/>
            <wp:effectExtent l="0" t="0" r="317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05450" cy="2291286"/>
                    </a:xfrm>
                    <a:prstGeom prst="rect">
                      <a:avLst/>
                    </a:prstGeom>
                    <a:noFill/>
                    <a:ln>
                      <a:noFill/>
                    </a:ln>
                  </pic:spPr>
                </pic:pic>
              </a:graphicData>
            </a:graphic>
          </wp:inline>
        </w:drawing>
      </w:r>
    </w:p>
    <w:p w14:paraId="6EDCFB3B" w14:textId="77777777" w:rsidR="00A9766F" w:rsidRPr="007114AF" w:rsidRDefault="00A9766F" w:rsidP="00351EAC">
      <w:pPr>
        <w:pStyle w:val="FIGURA"/>
        <w:rPr>
          <w:sz w:val="20"/>
          <w:szCs w:val="20"/>
        </w:rPr>
      </w:pPr>
      <w:r w:rsidRPr="007114AF">
        <w:rPr>
          <w:sz w:val="20"/>
          <w:szCs w:val="20"/>
        </w:rPr>
        <w:t>Figura</w:t>
      </w:r>
      <w:r w:rsidR="00351EAC"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23</w:t>
      </w:r>
      <w:r w:rsidRPr="007114AF">
        <w:rPr>
          <w:sz w:val="20"/>
          <w:szCs w:val="20"/>
        </w:rPr>
        <w:fldChar w:fldCharType="end"/>
      </w:r>
      <w:r w:rsidRPr="007114AF">
        <w:rPr>
          <w:sz w:val="20"/>
          <w:szCs w:val="20"/>
        </w:rPr>
        <w:t>–Shkarkimet e sektorit të energjisë në vitin 2012 dhe 2030 (Gg CO</w:t>
      </w:r>
      <w:r w:rsidRPr="007114AF">
        <w:rPr>
          <w:sz w:val="20"/>
          <w:szCs w:val="20"/>
          <w:vertAlign w:val="subscript"/>
        </w:rPr>
        <w:t>2</w:t>
      </w:r>
      <w:r w:rsidRPr="007114AF">
        <w:rPr>
          <w:sz w:val="20"/>
          <w:szCs w:val="20"/>
        </w:rPr>
        <w:t>) (Burimi: INDC2015)</w:t>
      </w:r>
    </w:p>
    <w:p w14:paraId="6EDCFB3C" w14:textId="77777777" w:rsidR="00A9766F" w:rsidRPr="007114AF" w:rsidRDefault="00A9766F" w:rsidP="00A9766F">
      <w:pPr>
        <w:rPr>
          <w:rFonts w:ascii="Garamond" w:hAnsi="Garamond"/>
        </w:rPr>
      </w:pPr>
      <w:bookmarkStart w:id="79" w:name="_Toc428308245"/>
    </w:p>
    <w:p w14:paraId="6EDCFB3D" w14:textId="57CC2C57" w:rsidR="00A9766F" w:rsidRPr="007114AF" w:rsidRDefault="00A9766F" w:rsidP="00351EAC">
      <w:pPr>
        <w:pStyle w:val="TEKSTI"/>
      </w:pPr>
      <w:r w:rsidRPr="007114AF">
        <w:t>Duke pasur parasysh gjendjen aktuale të Shqipërisë, si vend kandidat për anëtarësim në BE, ka gjasa që në periudhën e vlefshmërisë së dokumentit të SKNK&amp;P-ës,</w:t>
      </w:r>
      <w:r w:rsidR="00CA0B80">
        <w:t xml:space="preserve"> </w:t>
      </w:r>
      <w:r w:rsidRPr="007114AF">
        <w:t>Shqipëria të hyjë në BE. Për këtë arsye, është me rëndësi shumë të madhe të garantohet që veprimet zbutëse të ndërmarra në këtë dokument të SKNK&amp;P-ës</w:t>
      </w:r>
      <w:r w:rsidR="00CA0B80">
        <w:t xml:space="preserve"> </w:t>
      </w:r>
      <w:r w:rsidRPr="007114AF">
        <w:t>të jenë në nivelet e ambicies së shprehur në objektivat dhe synimet politike të BE-së.</w:t>
      </w:r>
    </w:p>
    <w:p w14:paraId="6EDCFB3E" w14:textId="17DC724D" w:rsidR="00A9766F" w:rsidRPr="007114AF" w:rsidRDefault="00A9766F" w:rsidP="00351EAC">
      <w:pPr>
        <w:pStyle w:val="TEKSTI"/>
      </w:pPr>
      <w:r w:rsidRPr="007114AF">
        <w:t>Duke pasur parasysh shkarkimet për kokë në Shqipëri, siç raportohen në INDC-ë, shkarkimet për kokë në Shqipëri janë më pak se një e treta e mesatares së shkarkimeve të BE-së për kokë. Kjo mund t</w:t>
      </w:r>
      <w:r w:rsidR="00D10DAB" w:rsidRPr="007114AF">
        <w:t>’</w:t>
      </w:r>
      <w:r w:rsidRPr="007114AF">
        <w:t xml:space="preserve">i atribuohet pjesërisht gjendjes së zhvillimit të saj dhe pjesërisht sektorit të dekarbonizuar të gjenerimit të energjisë elektrike. Duke marrë në konsideratë këta dy faktorë, INDC-ja afirmon se mund të pritet, në mënyrë të arsyeshme, që shkarkimet e gazeve serrë në Shqipëri të rriten, duke iu përshtatur nevojave të zhvillimit të vendit, por me prirje që mund të ndjekin një rrugë me karbon të ulët, duke e ndarë rritjen ekonomike nga rritja e shkarkimeve. </w:t>
      </w:r>
    </w:p>
    <w:p w14:paraId="6EDCFB3F" w14:textId="77777777" w:rsidR="00782894" w:rsidRPr="007114AF" w:rsidRDefault="00782894" w:rsidP="00351EAC">
      <w:pPr>
        <w:pStyle w:val="FIGURA"/>
      </w:pPr>
    </w:p>
    <w:p w14:paraId="6EDCFB40" w14:textId="4EC4DEC3" w:rsidR="00A9766F" w:rsidRPr="007114AF" w:rsidRDefault="00A9766F" w:rsidP="00351EAC">
      <w:pPr>
        <w:pStyle w:val="FIGURA"/>
        <w:rPr>
          <w:sz w:val="20"/>
          <w:szCs w:val="20"/>
        </w:rPr>
      </w:pPr>
      <w:r w:rsidRPr="007114AF">
        <w:rPr>
          <w:sz w:val="20"/>
          <w:szCs w:val="20"/>
        </w:rPr>
        <w:t>Tabela</w:t>
      </w:r>
      <w:r w:rsidR="000A2A01" w:rsidRPr="007114AF">
        <w:rPr>
          <w:sz w:val="20"/>
          <w:szCs w:val="20"/>
        </w:rPr>
        <w:t xml:space="preserve"> </w:t>
      </w:r>
      <w:r w:rsidRPr="007114AF">
        <w:rPr>
          <w:sz w:val="20"/>
          <w:szCs w:val="20"/>
        </w:rPr>
        <w:fldChar w:fldCharType="begin"/>
      </w:r>
      <w:r w:rsidRPr="007114AF">
        <w:rPr>
          <w:sz w:val="20"/>
          <w:szCs w:val="20"/>
        </w:rPr>
        <w:instrText xml:space="preserve"> SEQ Table \* ARABIC </w:instrText>
      </w:r>
      <w:r w:rsidRPr="007114AF">
        <w:rPr>
          <w:sz w:val="20"/>
          <w:szCs w:val="20"/>
        </w:rPr>
        <w:fldChar w:fldCharType="separate"/>
      </w:r>
      <w:r w:rsidRPr="007114AF">
        <w:rPr>
          <w:sz w:val="20"/>
          <w:szCs w:val="20"/>
        </w:rPr>
        <w:t>9</w:t>
      </w:r>
      <w:r w:rsidRPr="007114AF">
        <w:rPr>
          <w:sz w:val="20"/>
          <w:szCs w:val="20"/>
        </w:rPr>
        <w:fldChar w:fldCharType="end"/>
      </w:r>
      <w:r w:rsidR="00CA0B80">
        <w:rPr>
          <w:sz w:val="20"/>
          <w:szCs w:val="20"/>
        </w:rPr>
        <w:t xml:space="preserve"> </w:t>
      </w:r>
      <w:r w:rsidRPr="007114AF">
        <w:rPr>
          <w:sz w:val="20"/>
          <w:szCs w:val="20"/>
        </w:rPr>
        <w:t>–</w:t>
      </w:r>
      <w:r w:rsidR="00CA0B80">
        <w:rPr>
          <w:sz w:val="20"/>
          <w:szCs w:val="20"/>
        </w:rPr>
        <w:t xml:space="preserve"> </w:t>
      </w:r>
      <w:r w:rsidRPr="007114AF">
        <w:rPr>
          <w:sz w:val="20"/>
          <w:szCs w:val="20"/>
        </w:rPr>
        <w:t>Supozimet kryesore lidhur me skenarët e shkarkimeve GES për Shqipërinë – Tabela nga INDC 2015 (Burimet e të dhënave: JRC, Eurostat, Instat, Primes, të dhëna të inventarit)</w:t>
      </w:r>
    </w:p>
    <w:tbl>
      <w:tblPr>
        <w:tblStyle w:val="GridTable6Colorful-Accent11"/>
        <w:tblW w:w="5000" w:type="pct"/>
        <w:tblLook w:val="04A0" w:firstRow="1" w:lastRow="0" w:firstColumn="1" w:lastColumn="0" w:noHBand="0" w:noVBand="1"/>
      </w:tblPr>
      <w:tblGrid>
        <w:gridCol w:w="2189"/>
        <w:gridCol w:w="1774"/>
        <w:gridCol w:w="1774"/>
        <w:gridCol w:w="1774"/>
        <w:gridCol w:w="1776"/>
      </w:tblGrid>
      <w:tr w:rsidR="00A9766F" w:rsidRPr="007114AF" w14:paraId="6EDCFB46" w14:textId="77777777" w:rsidTr="00A9766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79" w:type="pct"/>
            <w:vAlign w:val="center"/>
            <w:hideMark/>
          </w:tcPr>
          <w:p w14:paraId="6EDCFB41" w14:textId="77777777" w:rsidR="00A9766F" w:rsidRPr="007114AF" w:rsidRDefault="00A9766F" w:rsidP="00A9766F">
            <w:pPr>
              <w:rPr>
                <w:rFonts w:ascii="Garamond" w:hAnsi="Garamond"/>
                <w:sz w:val="18"/>
                <w:szCs w:val="18"/>
              </w:rPr>
            </w:pPr>
          </w:p>
        </w:tc>
        <w:tc>
          <w:tcPr>
            <w:tcW w:w="955" w:type="pct"/>
            <w:vAlign w:val="center"/>
            <w:hideMark/>
          </w:tcPr>
          <w:p w14:paraId="6EDCFB42"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1990</w:t>
            </w:r>
          </w:p>
        </w:tc>
        <w:tc>
          <w:tcPr>
            <w:tcW w:w="955" w:type="pct"/>
            <w:vAlign w:val="center"/>
            <w:hideMark/>
          </w:tcPr>
          <w:p w14:paraId="6EDCFB43"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2000</w:t>
            </w:r>
          </w:p>
        </w:tc>
        <w:tc>
          <w:tcPr>
            <w:tcW w:w="955" w:type="pct"/>
            <w:vAlign w:val="center"/>
            <w:hideMark/>
          </w:tcPr>
          <w:p w14:paraId="6EDCFB44"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2010</w:t>
            </w:r>
          </w:p>
        </w:tc>
        <w:tc>
          <w:tcPr>
            <w:tcW w:w="956" w:type="pct"/>
            <w:noWrap/>
            <w:vAlign w:val="center"/>
            <w:hideMark/>
          </w:tcPr>
          <w:p w14:paraId="6EDCFB45"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2030</w:t>
            </w:r>
          </w:p>
        </w:tc>
      </w:tr>
      <w:tr w:rsidR="00A9766F" w:rsidRPr="007114AF" w14:paraId="6EDCFB4C" w14:textId="77777777" w:rsidTr="00A9766F">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1179" w:type="pct"/>
            <w:vAlign w:val="center"/>
            <w:hideMark/>
          </w:tcPr>
          <w:p w14:paraId="6EDCFB47"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Shkarkimet totale botërore Gg</w:t>
            </w:r>
          </w:p>
        </w:tc>
        <w:tc>
          <w:tcPr>
            <w:tcW w:w="955" w:type="pct"/>
            <w:noWrap/>
            <w:vAlign w:val="center"/>
            <w:hideMark/>
          </w:tcPr>
          <w:p w14:paraId="6EDCFB48"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38,232,170.06</w:t>
            </w:r>
          </w:p>
        </w:tc>
        <w:tc>
          <w:tcPr>
            <w:tcW w:w="955" w:type="pct"/>
            <w:noWrap/>
            <w:vAlign w:val="center"/>
            <w:hideMark/>
          </w:tcPr>
          <w:p w14:paraId="6EDCFB49"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40,563,437.00</w:t>
            </w:r>
          </w:p>
        </w:tc>
        <w:tc>
          <w:tcPr>
            <w:tcW w:w="955" w:type="pct"/>
            <w:noWrap/>
            <w:vAlign w:val="center"/>
            <w:hideMark/>
          </w:tcPr>
          <w:p w14:paraId="6EDCFB4A"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50,911,113.68</w:t>
            </w:r>
          </w:p>
        </w:tc>
        <w:tc>
          <w:tcPr>
            <w:tcW w:w="956" w:type="pct"/>
            <w:noWrap/>
            <w:vAlign w:val="center"/>
            <w:hideMark/>
          </w:tcPr>
          <w:p w14:paraId="6EDCFB4B"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 </w:t>
            </w:r>
          </w:p>
        </w:tc>
      </w:tr>
      <w:tr w:rsidR="00A9766F" w:rsidRPr="007114AF" w14:paraId="6EDCFB52" w14:textId="77777777" w:rsidTr="00A9766F">
        <w:trPr>
          <w:trHeight w:val="290"/>
        </w:trPr>
        <w:tc>
          <w:tcPr>
            <w:cnfStyle w:val="001000000000" w:firstRow="0" w:lastRow="0" w:firstColumn="1" w:lastColumn="0" w:oddVBand="0" w:evenVBand="0" w:oddHBand="0" w:evenHBand="0" w:firstRowFirstColumn="0" w:firstRowLastColumn="0" w:lastRowFirstColumn="0" w:lastRowLastColumn="0"/>
            <w:tcW w:w="1179" w:type="pct"/>
            <w:vAlign w:val="center"/>
            <w:hideMark/>
          </w:tcPr>
          <w:p w14:paraId="6EDCFB4D"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BE 28</w:t>
            </w:r>
          </w:p>
        </w:tc>
        <w:tc>
          <w:tcPr>
            <w:tcW w:w="955" w:type="pct"/>
            <w:noWrap/>
            <w:vAlign w:val="center"/>
            <w:hideMark/>
          </w:tcPr>
          <w:p w14:paraId="6EDCFB4E"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5,636,933.47</w:t>
            </w:r>
          </w:p>
        </w:tc>
        <w:tc>
          <w:tcPr>
            <w:tcW w:w="955" w:type="pct"/>
            <w:noWrap/>
            <w:vAlign w:val="center"/>
            <w:hideMark/>
          </w:tcPr>
          <w:p w14:paraId="6EDCFB4F"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5,103,281.75</w:t>
            </w:r>
          </w:p>
        </w:tc>
        <w:tc>
          <w:tcPr>
            <w:tcW w:w="955" w:type="pct"/>
            <w:noWrap/>
            <w:vAlign w:val="center"/>
            <w:hideMark/>
          </w:tcPr>
          <w:p w14:paraId="6EDCFB50"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4,834,156.78</w:t>
            </w:r>
          </w:p>
        </w:tc>
        <w:tc>
          <w:tcPr>
            <w:tcW w:w="956" w:type="pct"/>
            <w:noWrap/>
            <w:vAlign w:val="center"/>
            <w:hideMark/>
          </w:tcPr>
          <w:p w14:paraId="6EDCFB51"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3,382,160.08</w:t>
            </w:r>
          </w:p>
        </w:tc>
      </w:tr>
      <w:tr w:rsidR="00A9766F" w:rsidRPr="007114AF" w14:paraId="6EDCFB58" w14:textId="77777777" w:rsidTr="00A9766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79" w:type="pct"/>
            <w:vAlign w:val="center"/>
            <w:hideMark/>
          </w:tcPr>
          <w:p w14:paraId="6EDCFB53"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 xml:space="preserve">Popullsia e BE-së 28 </w:t>
            </w:r>
          </w:p>
        </w:tc>
        <w:tc>
          <w:tcPr>
            <w:tcW w:w="955" w:type="pct"/>
            <w:noWrap/>
            <w:vAlign w:val="center"/>
            <w:hideMark/>
          </w:tcPr>
          <w:p w14:paraId="6EDCFB54"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475,160,781.00</w:t>
            </w:r>
          </w:p>
        </w:tc>
        <w:tc>
          <w:tcPr>
            <w:tcW w:w="955" w:type="pct"/>
            <w:noWrap/>
            <w:vAlign w:val="center"/>
            <w:hideMark/>
          </w:tcPr>
          <w:p w14:paraId="6EDCFB55"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486,958,178.00</w:t>
            </w:r>
          </w:p>
        </w:tc>
        <w:tc>
          <w:tcPr>
            <w:tcW w:w="955" w:type="pct"/>
            <w:noWrap/>
            <w:vAlign w:val="center"/>
            <w:hideMark/>
          </w:tcPr>
          <w:p w14:paraId="6EDCFB56"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503,234,845.00</w:t>
            </w:r>
          </w:p>
        </w:tc>
        <w:tc>
          <w:tcPr>
            <w:tcW w:w="956" w:type="pct"/>
            <w:noWrap/>
            <w:vAlign w:val="center"/>
            <w:hideMark/>
          </w:tcPr>
          <w:p w14:paraId="6EDCFB57"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518,499,055.00</w:t>
            </w:r>
          </w:p>
        </w:tc>
      </w:tr>
      <w:tr w:rsidR="00A9766F" w:rsidRPr="007114AF" w14:paraId="6EDCFB5E" w14:textId="77777777" w:rsidTr="00A9766F">
        <w:trPr>
          <w:trHeight w:val="290"/>
        </w:trPr>
        <w:tc>
          <w:tcPr>
            <w:cnfStyle w:val="001000000000" w:firstRow="0" w:lastRow="0" w:firstColumn="1" w:lastColumn="0" w:oddVBand="0" w:evenVBand="0" w:oddHBand="0" w:evenHBand="0" w:firstRowFirstColumn="0" w:firstRowLastColumn="0" w:lastRowFirstColumn="0" w:lastRowLastColumn="0"/>
            <w:tcW w:w="1179" w:type="pct"/>
            <w:vAlign w:val="center"/>
            <w:hideMark/>
          </w:tcPr>
          <w:p w14:paraId="6EDCFB59"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Shkarkimi/kokë BE</w:t>
            </w:r>
          </w:p>
        </w:tc>
        <w:tc>
          <w:tcPr>
            <w:tcW w:w="955" w:type="pct"/>
            <w:noWrap/>
            <w:vAlign w:val="center"/>
            <w:hideMark/>
          </w:tcPr>
          <w:p w14:paraId="6EDCFB5A"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11.86</w:t>
            </w:r>
          </w:p>
        </w:tc>
        <w:tc>
          <w:tcPr>
            <w:tcW w:w="955" w:type="pct"/>
            <w:noWrap/>
            <w:vAlign w:val="center"/>
            <w:hideMark/>
          </w:tcPr>
          <w:p w14:paraId="6EDCFB5B"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10.48</w:t>
            </w:r>
          </w:p>
        </w:tc>
        <w:tc>
          <w:tcPr>
            <w:tcW w:w="955" w:type="pct"/>
            <w:noWrap/>
            <w:vAlign w:val="center"/>
            <w:hideMark/>
          </w:tcPr>
          <w:p w14:paraId="6EDCFB5C"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9.61</w:t>
            </w:r>
          </w:p>
        </w:tc>
        <w:tc>
          <w:tcPr>
            <w:tcW w:w="956" w:type="pct"/>
            <w:noWrap/>
            <w:vAlign w:val="center"/>
            <w:hideMark/>
          </w:tcPr>
          <w:p w14:paraId="6EDCFB5D"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6.52</w:t>
            </w:r>
          </w:p>
        </w:tc>
      </w:tr>
      <w:tr w:rsidR="00A9766F" w:rsidRPr="007114AF" w14:paraId="6EDCFB64" w14:textId="77777777" w:rsidTr="00A9766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79" w:type="pct"/>
            <w:vAlign w:val="center"/>
            <w:hideMark/>
          </w:tcPr>
          <w:p w14:paraId="6EDCFB5F" w14:textId="4699F8EC" w:rsidR="00A9766F" w:rsidRPr="007114AF" w:rsidRDefault="00A9766F" w:rsidP="00A9766F">
            <w:pPr>
              <w:spacing w:after="0"/>
              <w:rPr>
                <w:rFonts w:ascii="Garamond" w:hAnsi="Garamond"/>
                <w:b w:val="0"/>
                <w:sz w:val="18"/>
                <w:szCs w:val="18"/>
              </w:rPr>
            </w:pPr>
            <w:r w:rsidRPr="007114AF">
              <w:rPr>
                <w:rFonts w:ascii="Garamond" w:hAnsi="Garamond"/>
                <w:sz w:val="18"/>
                <w:szCs w:val="18"/>
              </w:rPr>
              <w:t>Popullsia e Shqipërisë</w:t>
            </w:r>
            <w:r w:rsidR="000A2A01" w:rsidRPr="007114AF">
              <w:rPr>
                <w:rFonts w:ascii="Garamond" w:hAnsi="Garamond"/>
                <w:sz w:val="18"/>
                <w:szCs w:val="18"/>
              </w:rPr>
              <w:t xml:space="preserve"> </w:t>
            </w:r>
          </w:p>
        </w:tc>
        <w:tc>
          <w:tcPr>
            <w:tcW w:w="955" w:type="pct"/>
            <w:noWrap/>
            <w:vAlign w:val="center"/>
            <w:hideMark/>
          </w:tcPr>
          <w:p w14:paraId="6EDCFB60"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3,286,000</w:t>
            </w:r>
          </w:p>
        </w:tc>
        <w:tc>
          <w:tcPr>
            <w:tcW w:w="955" w:type="pct"/>
            <w:noWrap/>
            <w:vAlign w:val="center"/>
            <w:hideMark/>
          </w:tcPr>
          <w:p w14:paraId="6EDCFB61"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3,196,130</w:t>
            </w:r>
          </w:p>
        </w:tc>
        <w:tc>
          <w:tcPr>
            <w:tcW w:w="955" w:type="pct"/>
            <w:noWrap/>
            <w:vAlign w:val="center"/>
            <w:hideMark/>
          </w:tcPr>
          <w:p w14:paraId="6EDCFB62"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3,150,143</w:t>
            </w:r>
          </w:p>
        </w:tc>
        <w:tc>
          <w:tcPr>
            <w:tcW w:w="956" w:type="pct"/>
            <w:noWrap/>
            <w:vAlign w:val="center"/>
          </w:tcPr>
          <w:p w14:paraId="6EDCFB63"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p>
        </w:tc>
      </w:tr>
      <w:tr w:rsidR="00A9766F" w:rsidRPr="007114AF" w14:paraId="6EDCFB6A" w14:textId="77777777" w:rsidTr="00A9766F">
        <w:trPr>
          <w:trHeight w:val="290"/>
        </w:trPr>
        <w:tc>
          <w:tcPr>
            <w:cnfStyle w:val="001000000000" w:firstRow="0" w:lastRow="0" w:firstColumn="1" w:lastColumn="0" w:oddVBand="0" w:evenVBand="0" w:oddHBand="0" w:evenHBand="0" w:firstRowFirstColumn="0" w:firstRowLastColumn="0" w:lastRowFirstColumn="0" w:lastRowLastColumn="0"/>
            <w:tcW w:w="1179" w:type="pct"/>
            <w:vAlign w:val="center"/>
            <w:hideMark/>
          </w:tcPr>
          <w:p w14:paraId="6EDCFB65"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Shkarkimet e Shqipërisë Gg CO</w:t>
            </w:r>
            <w:r w:rsidRPr="007114AF">
              <w:rPr>
                <w:rFonts w:ascii="Garamond" w:hAnsi="Garamond"/>
                <w:sz w:val="18"/>
                <w:szCs w:val="18"/>
                <w:vertAlign w:val="subscript"/>
              </w:rPr>
              <w:t>2</w:t>
            </w:r>
            <w:r w:rsidRPr="007114AF">
              <w:rPr>
                <w:rFonts w:ascii="Garamond" w:hAnsi="Garamond"/>
                <w:sz w:val="18"/>
                <w:szCs w:val="18"/>
              </w:rPr>
              <w:t>eq</w:t>
            </w:r>
          </w:p>
        </w:tc>
        <w:tc>
          <w:tcPr>
            <w:tcW w:w="955" w:type="pct"/>
            <w:noWrap/>
            <w:vAlign w:val="center"/>
            <w:hideMark/>
          </w:tcPr>
          <w:p w14:paraId="6EDCFB66"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4,341.02</w:t>
            </w:r>
          </w:p>
        </w:tc>
        <w:tc>
          <w:tcPr>
            <w:tcW w:w="955" w:type="pct"/>
            <w:noWrap/>
            <w:vAlign w:val="center"/>
            <w:hideMark/>
          </w:tcPr>
          <w:p w14:paraId="6EDCFB67"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6,774.54</w:t>
            </w:r>
          </w:p>
        </w:tc>
        <w:tc>
          <w:tcPr>
            <w:tcW w:w="955" w:type="pct"/>
            <w:noWrap/>
            <w:vAlign w:val="center"/>
            <w:hideMark/>
          </w:tcPr>
          <w:p w14:paraId="6EDCFB68"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8,687.00</w:t>
            </w:r>
            <w:r w:rsidRPr="007114AF">
              <w:rPr>
                <w:rFonts w:ascii="Garamond" w:hAnsi="Garamond"/>
                <w:sz w:val="18"/>
                <w:szCs w:val="18"/>
                <w:vertAlign w:val="superscript"/>
              </w:rPr>
              <w:footnoteReference w:id="32"/>
            </w:r>
          </w:p>
        </w:tc>
        <w:tc>
          <w:tcPr>
            <w:tcW w:w="956" w:type="pct"/>
            <w:noWrap/>
            <w:vAlign w:val="center"/>
          </w:tcPr>
          <w:p w14:paraId="6EDCFB69"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r>
      <w:tr w:rsidR="00A9766F" w:rsidRPr="007114AF" w14:paraId="6EDCFB70" w14:textId="77777777" w:rsidTr="00A9766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79" w:type="pct"/>
            <w:vAlign w:val="center"/>
            <w:hideMark/>
          </w:tcPr>
          <w:p w14:paraId="6EDCFB6B"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 xml:space="preserve">Shkarkimi / kokë i Shqipërisë </w:t>
            </w:r>
          </w:p>
        </w:tc>
        <w:tc>
          <w:tcPr>
            <w:tcW w:w="955" w:type="pct"/>
            <w:noWrap/>
            <w:vAlign w:val="center"/>
            <w:hideMark/>
          </w:tcPr>
          <w:p w14:paraId="6EDCFB6C"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1.32</w:t>
            </w:r>
          </w:p>
        </w:tc>
        <w:tc>
          <w:tcPr>
            <w:tcW w:w="955" w:type="pct"/>
            <w:noWrap/>
            <w:vAlign w:val="center"/>
            <w:hideMark/>
          </w:tcPr>
          <w:p w14:paraId="6EDCFB6D"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2.44</w:t>
            </w:r>
          </w:p>
        </w:tc>
        <w:tc>
          <w:tcPr>
            <w:tcW w:w="955" w:type="pct"/>
            <w:noWrap/>
            <w:vAlign w:val="center"/>
            <w:hideMark/>
          </w:tcPr>
          <w:p w14:paraId="6EDCFB6E"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2.76</w:t>
            </w:r>
          </w:p>
        </w:tc>
        <w:tc>
          <w:tcPr>
            <w:tcW w:w="956" w:type="pct"/>
            <w:noWrap/>
            <w:vAlign w:val="center"/>
          </w:tcPr>
          <w:p w14:paraId="6EDCFB6F"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p>
        </w:tc>
      </w:tr>
      <w:tr w:rsidR="00A9766F" w:rsidRPr="007114AF" w14:paraId="6EDCFB76" w14:textId="77777777" w:rsidTr="00A9766F">
        <w:trPr>
          <w:trHeight w:val="460"/>
        </w:trPr>
        <w:tc>
          <w:tcPr>
            <w:cnfStyle w:val="001000000000" w:firstRow="0" w:lastRow="0" w:firstColumn="1" w:lastColumn="0" w:oddVBand="0" w:evenVBand="0" w:oddHBand="0" w:evenHBand="0" w:firstRowFirstColumn="0" w:firstRowLastColumn="0" w:lastRowFirstColumn="0" w:lastRowLastColumn="0"/>
            <w:tcW w:w="1179" w:type="pct"/>
            <w:vAlign w:val="center"/>
            <w:hideMark/>
          </w:tcPr>
          <w:p w14:paraId="6EDCFB71"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 xml:space="preserve">Shkarkimet e Shqipërisë në % të shkarkimeve botërore </w:t>
            </w:r>
          </w:p>
        </w:tc>
        <w:tc>
          <w:tcPr>
            <w:tcW w:w="955" w:type="pct"/>
            <w:noWrap/>
            <w:vAlign w:val="center"/>
            <w:hideMark/>
          </w:tcPr>
          <w:p w14:paraId="6EDCFB72"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0.011</w:t>
            </w:r>
          </w:p>
        </w:tc>
        <w:tc>
          <w:tcPr>
            <w:tcW w:w="955" w:type="pct"/>
            <w:noWrap/>
            <w:vAlign w:val="center"/>
            <w:hideMark/>
          </w:tcPr>
          <w:p w14:paraId="6EDCFB73"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0.017</w:t>
            </w:r>
          </w:p>
        </w:tc>
        <w:tc>
          <w:tcPr>
            <w:tcW w:w="955" w:type="pct"/>
            <w:noWrap/>
            <w:vAlign w:val="center"/>
            <w:hideMark/>
          </w:tcPr>
          <w:p w14:paraId="6EDCFB74"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0.017</w:t>
            </w:r>
          </w:p>
        </w:tc>
        <w:tc>
          <w:tcPr>
            <w:tcW w:w="956" w:type="pct"/>
            <w:noWrap/>
            <w:vAlign w:val="center"/>
          </w:tcPr>
          <w:p w14:paraId="6EDCFB75"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r>
    </w:tbl>
    <w:p w14:paraId="6EDCFB77" w14:textId="77777777" w:rsidR="00A9766F" w:rsidRPr="007114AF" w:rsidRDefault="00A9766F" w:rsidP="00206985">
      <w:pPr>
        <w:pStyle w:val="TEKSTI"/>
      </w:pPr>
    </w:p>
    <w:p w14:paraId="6EDCFB78" w14:textId="0A969CC2" w:rsidR="00A9766F" w:rsidRPr="007114AF" w:rsidRDefault="00A9766F" w:rsidP="00206985">
      <w:pPr>
        <w:pStyle w:val="TEKSTI"/>
      </w:pPr>
      <w:r w:rsidRPr="007114AF">
        <w:t>Analiza INDC-ë</w:t>
      </w:r>
      <w:r w:rsidR="00CA0B80">
        <w:t xml:space="preserve"> </w:t>
      </w:r>
      <w:r w:rsidRPr="007114AF">
        <w:t>supozon se rruga e parashikuar për Shqipërinë mundëson arritjen e nivelit të shkarkimit GES- 2 tonë për kokë, deri në vitin 2050. Kjo nënkupton një rritje të kufizuar të shkarkimeve GES</w:t>
      </w:r>
      <w:r w:rsidR="00CA0B80">
        <w:t xml:space="preserve"> </w:t>
      </w:r>
      <w:r w:rsidRPr="007114AF">
        <w:t>në dy dekadat e ardhshme, krahasuar me synimin politik të BE-së për vitin 2050. INDC-ja specifikon se ky objektiv është i arritshëm, me besim të lartë me rritjen e parashikuar të shkarkimeve pasuar nga ndarja dhe ulja e ngadaltë e shkarkimeve.</w:t>
      </w:r>
    </w:p>
    <w:p w14:paraId="6EDCFB79" w14:textId="4F086D75" w:rsidR="00A9766F" w:rsidRPr="007114AF" w:rsidRDefault="00A9766F" w:rsidP="00206985">
      <w:pPr>
        <w:pStyle w:val="TEKSTI"/>
      </w:pPr>
      <w:r w:rsidRPr="007114AF">
        <w:t>Veprimet zbutëse GES bazuar në INDC-ë</w:t>
      </w:r>
      <w:r w:rsidR="00CA0B80">
        <w:t xml:space="preserve"> </w:t>
      </w:r>
      <w:r w:rsidRPr="007114AF">
        <w:t xml:space="preserve">kërkojnë përdorimin e politikave specifike, strategjive sektoriale apo veprimeve të tjera, që do të kenë një potencial reduktues të shkarkimeve dhe përbëjnë një zotim kundrejt komunitetit ndërkombëtar për zbatimin e këtyre veprimeve. Këto veprime përfshijnë gjithashtu NAMA të planifikuara. </w:t>
      </w:r>
    </w:p>
    <w:bookmarkEnd w:id="79"/>
    <w:p w14:paraId="6EDCFB7A" w14:textId="77777777" w:rsidR="00A9766F" w:rsidRPr="007114AF" w:rsidRDefault="00A9766F" w:rsidP="00206985">
      <w:pPr>
        <w:pStyle w:val="TEKSTI"/>
      </w:pPr>
      <w:r w:rsidRPr="007114AF">
        <w:t>Tabela e mëposhtme përmbledh reduktimet absolute dhe në përqindje nga shkarkimet bazë CO</w:t>
      </w:r>
      <w:r w:rsidRPr="007114AF">
        <w:rPr>
          <w:vertAlign w:val="subscript"/>
        </w:rPr>
        <w:t>2</w:t>
      </w:r>
      <w:r w:rsidRPr="007114AF">
        <w:t>që mund të arrihen në vitin 2030,që bazohen në supozimin e zbatimit të një numri paketash politike të identifikuara për eficiencën e kostos së tyre. Këto përfshijnë:</w:t>
      </w:r>
    </w:p>
    <w:p w14:paraId="6EDCFB7B" w14:textId="10225804" w:rsidR="00A9766F" w:rsidRPr="007114AF" w:rsidRDefault="00782894" w:rsidP="00206985">
      <w:pPr>
        <w:pStyle w:val="TEKSTI"/>
      </w:pPr>
      <w:r w:rsidRPr="007114AF">
        <w:t xml:space="preserve">- </w:t>
      </w:r>
      <w:r w:rsidR="00A9766F" w:rsidRPr="007114AF">
        <w:t>Gjithë masat zbutëse të identifikuara me kosto efektive në KTK-ë</w:t>
      </w:r>
      <w:r w:rsidR="00CA0B80">
        <w:t xml:space="preserve"> </w:t>
      </w:r>
      <w:r w:rsidR="00A9766F" w:rsidRPr="007114AF">
        <w:t>dhe PKVEE-n e parë, përveç ngrohjes zonale/qendrore;</w:t>
      </w:r>
    </w:p>
    <w:p w14:paraId="6EDCFB7C" w14:textId="115BF713" w:rsidR="00A9766F" w:rsidRPr="007114AF" w:rsidRDefault="00782894" w:rsidP="00206985">
      <w:pPr>
        <w:pStyle w:val="TEKSTI"/>
      </w:pPr>
      <w:r w:rsidRPr="007114AF">
        <w:t xml:space="preserve">- </w:t>
      </w:r>
      <w:r w:rsidR="00A9766F" w:rsidRPr="007114AF">
        <w:t>Masat për sektorin e ndërtimeve të</w:t>
      </w:r>
      <w:r w:rsidR="00CA0B80">
        <w:t xml:space="preserve"> </w:t>
      </w:r>
      <w:r w:rsidR="00A9766F" w:rsidRPr="007114AF">
        <w:t>identifikuara si me kosto efektive në raportin Eficienca e Energjisë në Ndërtesa në Palët Kontraktore të Komunitetit të Energjisë (CPEC);</w:t>
      </w:r>
    </w:p>
    <w:p w14:paraId="6EDCFB7D" w14:textId="77777777" w:rsidR="00A9766F" w:rsidRPr="007114AF" w:rsidRDefault="00782894" w:rsidP="00206985">
      <w:pPr>
        <w:pStyle w:val="TEKSTI"/>
      </w:pPr>
      <w:r w:rsidRPr="007114AF">
        <w:t xml:space="preserve">- </w:t>
      </w:r>
      <w:r w:rsidR="00A9766F" w:rsidRPr="007114AF">
        <w:t>Opsione të tjera zbutëse për sektorët e transportit dhe industrisë bazuar në përvojën ndërkombëtare;</w:t>
      </w:r>
    </w:p>
    <w:p w14:paraId="6EDCFB7E" w14:textId="77777777" w:rsidR="00A9766F" w:rsidRPr="007114AF" w:rsidRDefault="00782894" w:rsidP="00206985">
      <w:pPr>
        <w:pStyle w:val="TEKSTI"/>
      </w:pPr>
      <w:r w:rsidRPr="007114AF">
        <w:t xml:space="preserve">- </w:t>
      </w:r>
      <w:r w:rsidR="00A9766F" w:rsidRPr="007114AF">
        <w:t>Futjen e 10% biokarbureve në përzierjen e lëndëve djegëse për transportin deri në vitin 2030.</w:t>
      </w:r>
    </w:p>
    <w:p w14:paraId="6EDCFB7F" w14:textId="77777777" w:rsidR="00A9766F" w:rsidRPr="007114AF" w:rsidRDefault="00A9766F" w:rsidP="00206985">
      <w:pPr>
        <w:pStyle w:val="TEKSTI"/>
      </w:pPr>
    </w:p>
    <w:p w14:paraId="6EDCFB80" w14:textId="77777777" w:rsidR="00A9766F" w:rsidRPr="007114AF" w:rsidRDefault="00A9766F" w:rsidP="00206985">
      <w:pPr>
        <w:pStyle w:val="TEKSTI"/>
      </w:pPr>
      <w:r w:rsidRPr="007114AF">
        <w:t xml:space="preserve">Kontributi i sektorit të gjenerimit të energjisë pritet të jetë minimal. </w:t>
      </w:r>
    </w:p>
    <w:p w14:paraId="6EDCFB81" w14:textId="77777777" w:rsidR="00A9766F" w:rsidRPr="007114AF" w:rsidRDefault="00A9766F" w:rsidP="00206985">
      <w:pPr>
        <w:pStyle w:val="TEKSTI"/>
      </w:pPr>
      <w:r w:rsidRPr="007114AF">
        <w:t>Tabela më poshtë raporton kontributet e pritshme zbutëse deri në vitin 2030 nga sektorët e ndërtimeve, industrisë dhe transportit, sipas dokumentit bazë INDC-ë.</w:t>
      </w:r>
    </w:p>
    <w:p w14:paraId="6EDCFB82" w14:textId="77777777" w:rsidR="00782894" w:rsidRPr="007114AF" w:rsidRDefault="00782894" w:rsidP="00206985">
      <w:pPr>
        <w:pStyle w:val="FIGURA"/>
        <w:rPr>
          <w:sz w:val="20"/>
          <w:szCs w:val="20"/>
        </w:rPr>
      </w:pPr>
    </w:p>
    <w:p w14:paraId="6EDCFB83" w14:textId="16E008C4" w:rsidR="00A9766F" w:rsidRPr="007114AF" w:rsidRDefault="00A9766F" w:rsidP="00206985">
      <w:pPr>
        <w:pStyle w:val="FIGURA"/>
        <w:rPr>
          <w:sz w:val="20"/>
          <w:szCs w:val="20"/>
        </w:rPr>
      </w:pPr>
      <w:r w:rsidRPr="007114AF">
        <w:rPr>
          <w:sz w:val="20"/>
          <w:szCs w:val="20"/>
        </w:rPr>
        <w:t>Tabela</w:t>
      </w:r>
      <w:r w:rsidR="00782894" w:rsidRPr="007114AF">
        <w:rPr>
          <w:sz w:val="20"/>
          <w:szCs w:val="20"/>
        </w:rPr>
        <w:t xml:space="preserve"> </w:t>
      </w:r>
      <w:r w:rsidRPr="007114AF">
        <w:rPr>
          <w:sz w:val="20"/>
          <w:szCs w:val="20"/>
        </w:rPr>
        <w:fldChar w:fldCharType="begin"/>
      </w:r>
      <w:r w:rsidRPr="007114AF">
        <w:rPr>
          <w:sz w:val="20"/>
          <w:szCs w:val="20"/>
        </w:rPr>
        <w:instrText xml:space="preserve"> SEQ Table \* ARABIC </w:instrText>
      </w:r>
      <w:r w:rsidRPr="007114AF">
        <w:rPr>
          <w:sz w:val="20"/>
          <w:szCs w:val="20"/>
        </w:rPr>
        <w:fldChar w:fldCharType="separate"/>
      </w:r>
      <w:r w:rsidRPr="007114AF">
        <w:rPr>
          <w:sz w:val="20"/>
          <w:szCs w:val="20"/>
        </w:rPr>
        <w:t>10</w:t>
      </w:r>
      <w:r w:rsidRPr="007114AF">
        <w:rPr>
          <w:sz w:val="20"/>
          <w:szCs w:val="20"/>
        </w:rPr>
        <w:fldChar w:fldCharType="end"/>
      </w:r>
      <w:r w:rsidR="00CA0B80">
        <w:rPr>
          <w:sz w:val="20"/>
          <w:szCs w:val="20"/>
        </w:rPr>
        <w:t xml:space="preserve"> </w:t>
      </w:r>
      <w:r w:rsidRPr="007114AF">
        <w:rPr>
          <w:sz w:val="20"/>
          <w:szCs w:val="20"/>
        </w:rPr>
        <w:t>–</w:t>
      </w:r>
      <w:r w:rsidR="00CA0B80">
        <w:rPr>
          <w:sz w:val="20"/>
          <w:szCs w:val="20"/>
        </w:rPr>
        <w:t xml:space="preserve"> </w:t>
      </w:r>
      <w:r w:rsidRPr="007114AF">
        <w:rPr>
          <w:sz w:val="20"/>
          <w:szCs w:val="20"/>
        </w:rPr>
        <w:t>Potencial i vlerësuar zbutës me kosto efektive për Shqipërinë në vitin 2030, MtCO</w:t>
      </w:r>
      <w:r w:rsidRPr="007114AF">
        <w:rPr>
          <w:sz w:val="20"/>
          <w:szCs w:val="20"/>
          <w:vertAlign w:val="subscript"/>
        </w:rPr>
        <w:t>2</w:t>
      </w:r>
      <w:r w:rsidRPr="007114AF">
        <w:rPr>
          <w:sz w:val="20"/>
          <w:szCs w:val="20"/>
        </w:rPr>
        <w:t xml:space="preserve"> (Burimi: INDC 2015)</w:t>
      </w:r>
    </w:p>
    <w:tbl>
      <w:tblPr>
        <w:tblStyle w:val="GridTable6Colorful-Accent11"/>
        <w:tblW w:w="8468" w:type="dxa"/>
        <w:jc w:val="center"/>
        <w:tblLook w:val="04A0" w:firstRow="1" w:lastRow="0" w:firstColumn="1" w:lastColumn="0" w:noHBand="0" w:noVBand="1"/>
      </w:tblPr>
      <w:tblGrid>
        <w:gridCol w:w="4815"/>
        <w:gridCol w:w="1402"/>
        <w:gridCol w:w="2217"/>
        <w:gridCol w:w="34"/>
      </w:tblGrid>
      <w:tr w:rsidR="00A9766F" w:rsidRPr="007114AF" w14:paraId="6EDCFB87" w14:textId="77777777" w:rsidTr="00A9766F">
        <w:trPr>
          <w:gridAfter w:val="1"/>
          <w:cnfStyle w:val="100000000000" w:firstRow="1" w:lastRow="0" w:firstColumn="0" w:lastColumn="0" w:oddVBand="0" w:evenVBand="0" w:oddHBand="0" w:evenHBand="0" w:firstRowFirstColumn="0" w:firstRowLastColumn="0" w:lastRowFirstColumn="0" w:lastRowLastColumn="0"/>
          <w:wAfter w:w="34" w:type="dxa"/>
          <w:trHeight w:val="255"/>
          <w:jc w:val="center"/>
        </w:trPr>
        <w:tc>
          <w:tcPr>
            <w:cnfStyle w:val="001000000000" w:firstRow="0" w:lastRow="0" w:firstColumn="1" w:lastColumn="0" w:oddVBand="0" w:evenVBand="0" w:oddHBand="0" w:evenHBand="0" w:firstRowFirstColumn="0" w:firstRowLastColumn="0" w:lastRowFirstColumn="0" w:lastRowLastColumn="0"/>
            <w:tcW w:w="4815" w:type="dxa"/>
            <w:noWrap/>
            <w:vAlign w:val="center"/>
          </w:tcPr>
          <w:p w14:paraId="6EDCFB84" w14:textId="77777777" w:rsidR="00A9766F" w:rsidRPr="007114AF" w:rsidRDefault="00A9766F" w:rsidP="00A9766F">
            <w:pPr>
              <w:rPr>
                <w:rFonts w:ascii="Garamond" w:hAnsi="Garamond"/>
                <w:sz w:val="20"/>
              </w:rPr>
            </w:pPr>
            <w:r w:rsidRPr="007114AF">
              <w:rPr>
                <w:rFonts w:ascii="Garamond" w:hAnsi="Garamond"/>
                <w:sz w:val="20"/>
              </w:rPr>
              <w:t>Paketat e masave</w:t>
            </w:r>
          </w:p>
        </w:tc>
        <w:tc>
          <w:tcPr>
            <w:tcW w:w="1402" w:type="dxa"/>
            <w:noWrap/>
            <w:vAlign w:val="center"/>
          </w:tcPr>
          <w:p w14:paraId="6EDCFB85"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sz w:val="20"/>
              </w:rPr>
            </w:pPr>
            <w:r w:rsidRPr="007114AF">
              <w:rPr>
                <w:rFonts w:ascii="Garamond" w:hAnsi="Garamond"/>
                <w:sz w:val="20"/>
              </w:rPr>
              <w:t>kursimet ktCO</w:t>
            </w:r>
            <w:r w:rsidRPr="007114AF">
              <w:rPr>
                <w:rFonts w:ascii="Garamond" w:hAnsi="Garamond"/>
                <w:sz w:val="20"/>
                <w:vertAlign w:val="subscript"/>
              </w:rPr>
              <w:t>2</w:t>
            </w:r>
            <w:r w:rsidRPr="007114AF">
              <w:rPr>
                <w:rFonts w:ascii="Garamond" w:hAnsi="Garamond"/>
                <w:sz w:val="20"/>
              </w:rPr>
              <w:t>në vitin 2030</w:t>
            </w:r>
          </w:p>
        </w:tc>
        <w:tc>
          <w:tcPr>
            <w:tcW w:w="2217" w:type="dxa"/>
            <w:vAlign w:val="center"/>
          </w:tcPr>
          <w:p w14:paraId="6EDCFB86"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sz w:val="20"/>
              </w:rPr>
            </w:pPr>
            <w:r w:rsidRPr="007114AF">
              <w:rPr>
                <w:rFonts w:ascii="Garamond" w:hAnsi="Garamond"/>
                <w:sz w:val="20"/>
              </w:rPr>
              <w:t>Përqindja e reduktimit nga shkarkimet bazë CO</w:t>
            </w:r>
            <w:r w:rsidRPr="007114AF">
              <w:rPr>
                <w:rFonts w:ascii="Garamond" w:hAnsi="Garamond"/>
                <w:sz w:val="20"/>
                <w:vertAlign w:val="subscript"/>
              </w:rPr>
              <w:t>2</w:t>
            </w:r>
            <w:r w:rsidRPr="007114AF">
              <w:rPr>
                <w:rFonts w:ascii="Garamond" w:hAnsi="Garamond"/>
                <w:sz w:val="20"/>
              </w:rPr>
              <w:t>në vitin 2030</w:t>
            </w:r>
          </w:p>
        </w:tc>
      </w:tr>
      <w:tr w:rsidR="00A9766F" w:rsidRPr="007114AF" w14:paraId="6EDCFB8B" w14:textId="77777777" w:rsidTr="00A9766F">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4815" w:type="dxa"/>
            <w:noWrap/>
            <w:vAlign w:val="center"/>
          </w:tcPr>
          <w:p w14:paraId="6EDCFB88" w14:textId="77777777" w:rsidR="00A9766F" w:rsidRPr="007114AF" w:rsidRDefault="00A9766F" w:rsidP="00A9766F">
            <w:pPr>
              <w:spacing w:after="0"/>
              <w:ind w:left="360"/>
              <w:rPr>
                <w:rFonts w:ascii="Garamond" w:hAnsi="Garamond"/>
                <w:b w:val="0"/>
                <w:sz w:val="20"/>
              </w:rPr>
            </w:pPr>
            <w:r w:rsidRPr="007114AF">
              <w:rPr>
                <w:rFonts w:ascii="Garamond" w:hAnsi="Garamond"/>
                <w:sz w:val="20"/>
              </w:rPr>
              <w:t xml:space="preserve">Ndërtesat </w:t>
            </w:r>
          </w:p>
        </w:tc>
        <w:tc>
          <w:tcPr>
            <w:tcW w:w="1402" w:type="dxa"/>
            <w:noWrap/>
            <w:vAlign w:val="center"/>
          </w:tcPr>
          <w:p w14:paraId="6EDCFB89"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7114AF">
              <w:rPr>
                <w:rFonts w:ascii="Garamond" w:hAnsi="Garamond"/>
                <w:sz w:val="20"/>
              </w:rPr>
              <w:t>50</w:t>
            </w:r>
          </w:p>
        </w:tc>
        <w:tc>
          <w:tcPr>
            <w:tcW w:w="2251" w:type="dxa"/>
            <w:gridSpan w:val="2"/>
            <w:vMerge w:val="restart"/>
          </w:tcPr>
          <w:p w14:paraId="6EDCFB8A"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20"/>
              </w:rPr>
            </w:pPr>
          </w:p>
        </w:tc>
      </w:tr>
      <w:tr w:rsidR="00A9766F" w:rsidRPr="007114AF" w14:paraId="6EDCFB8F" w14:textId="77777777" w:rsidTr="00A9766F">
        <w:trPr>
          <w:trHeight w:val="452"/>
          <w:jc w:val="center"/>
        </w:trPr>
        <w:tc>
          <w:tcPr>
            <w:cnfStyle w:val="001000000000" w:firstRow="0" w:lastRow="0" w:firstColumn="1" w:lastColumn="0" w:oddVBand="0" w:evenVBand="0" w:oddHBand="0" w:evenHBand="0" w:firstRowFirstColumn="0" w:firstRowLastColumn="0" w:lastRowFirstColumn="0" w:lastRowLastColumn="0"/>
            <w:tcW w:w="4815" w:type="dxa"/>
            <w:noWrap/>
            <w:vAlign w:val="center"/>
          </w:tcPr>
          <w:p w14:paraId="6EDCFB8C" w14:textId="77777777" w:rsidR="00A9766F" w:rsidRPr="007114AF" w:rsidRDefault="00A9766F" w:rsidP="00A9766F">
            <w:pPr>
              <w:spacing w:after="0"/>
              <w:ind w:left="360"/>
              <w:rPr>
                <w:rFonts w:ascii="Garamond" w:hAnsi="Garamond"/>
                <w:b w:val="0"/>
                <w:sz w:val="20"/>
              </w:rPr>
            </w:pPr>
            <w:r w:rsidRPr="007114AF">
              <w:rPr>
                <w:rFonts w:ascii="Garamond" w:hAnsi="Garamond"/>
                <w:sz w:val="20"/>
              </w:rPr>
              <w:t>Industria</w:t>
            </w:r>
          </w:p>
        </w:tc>
        <w:tc>
          <w:tcPr>
            <w:tcW w:w="1402" w:type="dxa"/>
            <w:noWrap/>
            <w:vAlign w:val="center"/>
          </w:tcPr>
          <w:p w14:paraId="6EDCFB8D"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7114AF">
              <w:rPr>
                <w:rFonts w:ascii="Garamond" w:hAnsi="Garamond"/>
                <w:sz w:val="20"/>
              </w:rPr>
              <w:t>277</w:t>
            </w:r>
          </w:p>
        </w:tc>
        <w:tc>
          <w:tcPr>
            <w:tcW w:w="2251" w:type="dxa"/>
            <w:gridSpan w:val="2"/>
            <w:vMerge/>
          </w:tcPr>
          <w:p w14:paraId="6EDCFB8E"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20"/>
              </w:rPr>
            </w:pPr>
          </w:p>
        </w:tc>
      </w:tr>
      <w:tr w:rsidR="00A9766F" w:rsidRPr="007114AF" w14:paraId="6EDCFB93" w14:textId="77777777" w:rsidTr="00A9766F">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4815" w:type="dxa"/>
            <w:noWrap/>
            <w:vAlign w:val="center"/>
          </w:tcPr>
          <w:p w14:paraId="6EDCFB90" w14:textId="77777777" w:rsidR="00A9766F" w:rsidRPr="007114AF" w:rsidRDefault="00A9766F" w:rsidP="00A9766F">
            <w:pPr>
              <w:spacing w:after="0"/>
              <w:ind w:left="360"/>
              <w:rPr>
                <w:rFonts w:ascii="Garamond" w:hAnsi="Garamond"/>
                <w:b w:val="0"/>
                <w:sz w:val="20"/>
              </w:rPr>
            </w:pPr>
            <w:r w:rsidRPr="007114AF">
              <w:rPr>
                <w:rFonts w:ascii="Garamond" w:hAnsi="Garamond"/>
                <w:sz w:val="20"/>
              </w:rPr>
              <w:t>Transporti</w:t>
            </w:r>
          </w:p>
        </w:tc>
        <w:tc>
          <w:tcPr>
            <w:tcW w:w="1402" w:type="dxa"/>
            <w:noWrap/>
            <w:vAlign w:val="center"/>
          </w:tcPr>
          <w:p w14:paraId="6EDCFB91"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7114AF">
              <w:rPr>
                <w:rFonts w:ascii="Garamond" w:hAnsi="Garamond"/>
                <w:sz w:val="20"/>
              </w:rPr>
              <w:t>381</w:t>
            </w:r>
          </w:p>
        </w:tc>
        <w:tc>
          <w:tcPr>
            <w:tcW w:w="2251" w:type="dxa"/>
            <w:gridSpan w:val="2"/>
            <w:vMerge/>
          </w:tcPr>
          <w:p w14:paraId="6EDCFB92"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20"/>
              </w:rPr>
            </w:pPr>
          </w:p>
        </w:tc>
      </w:tr>
      <w:tr w:rsidR="00A9766F" w:rsidRPr="007114AF" w14:paraId="6EDCFB97" w14:textId="77777777" w:rsidTr="00A9766F">
        <w:trPr>
          <w:trHeight w:val="452"/>
          <w:jc w:val="center"/>
        </w:trPr>
        <w:tc>
          <w:tcPr>
            <w:cnfStyle w:val="001000000000" w:firstRow="0" w:lastRow="0" w:firstColumn="1" w:lastColumn="0" w:oddVBand="0" w:evenVBand="0" w:oddHBand="0" w:evenHBand="0" w:firstRowFirstColumn="0" w:firstRowLastColumn="0" w:lastRowFirstColumn="0" w:lastRowLastColumn="0"/>
            <w:tcW w:w="4815" w:type="dxa"/>
            <w:noWrap/>
            <w:vAlign w:val="center"/>
          </w:tcPr>
          <w:p w14:paraId="6EDCFB94" w14:textId="77777777" w:rsidR="00A9766F" w:rsidRPr="007114AF" w:rsidRDefault="00A9766F" w:rsidP="00A9766F">
            <w:pPr>
              <w:spacing w:after="0"/>
              <w:ind w:left="360"/>
              <w:rPr>
                <w:rFonts w:ascii="Garamond" w:hAnsi="Garamond"/>
                <w:b w:val="0"/>
                <w:sz w:val="20"/>
              </w:rPr>
            </w:pPr>
            <w:r w:rsidRPr="007114AF">
              <w:rPr>
                <w:rFonts w:ascii="Garamond" w:hAnsi="Garamond"/>
                <w:sz w:val="20"/>
              </w:rPr>
              <w:t>Totali</w:t>
            </w:r>
          </w:p>
        </w:tc>
        <w:tc>
          <w:tcPr>
            <w:tcW w:w="1402" w:type="dxa"/>
            <w:noWrap/>
            <w:vAlign w:val="center"/>
          </w:tcPr>
          <w:p w14:paraId="6EDCFB95"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7114AF">
              <w:rPr>
                <w:rFonts w:ascii="Garamond" w:hAnsi="Garamond"/>
                <w:sz w:val="20"/>
              </w:rPr>
              <w:t>708</w:t>
            </w:r>
          </w:p>
        </w:tc>
        <w:tc>
          <w:tcPr>
            <w:tcW w:w="2251" w:type="dxa"/>
            <w:gridSpan w:val="2"/>
            <w:vAlign w:val="center"/>
          </w:tcPr>
          <w:p w14:paraId="6EDCFB96"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7114AF">
              <w:rPr>
                <w:rFonts w:ascii="Garamond" w:hAnsi="Garamond"/>
                <w:sz w:val="20"/>
              </w:rPr>
              <w:t>11.5%</w:t>
            </w:r>
          </w:p>
        </w:tc>
      </w:tr>
    </w:tbl>
    <w:p w14:paraId="6EDCFB98" w14:textId="77777777" w:rsidR="00A9766F" w:rsidRPr="007114AF" w:rsidRDefault="00A9766F" w:rsidP="00A9766F">
      <w:pPr>
        <w:rPr>
          <w:rFonts w:ascii="Garamond" w:hAnsi="Garamond"/>
        </w:rPr>
      </w:pPr>
    </w:p>
    <w:p w14:paraId="6EDCFB99" w14:textId="77777777" w:rsidR="00A9766F" w:rsidRDefault="00A9766F" w:rsidP="00206985">
      <w:pPr>
        <w:pStyle w:val="TEKSTI"/>
      </w:pPr>
      <w:r w:rsidRPr="007114AF">
        <w:t xml:space="preserve">Dokumenti teknik bazë INDC-ja jep një vlerësim të kostos së investimit lidhur me çdo masë zbutëse të raportuar në tabelën 11. </w:t>
      </w:r>
    </w:p>
    <w:p w14:paraId="671F4B08" w14:textId="77777777" w:rsidR="00CA0B80" w:rsidRPr="007114AF" w:rsidRDefault="00CA0B80" w:rsidP="00206985">
      <w:pPr>
        <w:pStyle w:val="TEKSTI"/>
      </w:pPr>
    </w:p>
    <w:p w14:paraId="6EDCFB9A" w14:textId="0B235FCF" w:rsidR="00A9766F" w:rsidRPr="007114AF" w:rsidRDefault="00A9766F" w:rsidP="00206985">
      <w:pPr>
        <w:pStyle w:val="FIGURA"/>
        <w:rPr>
          <w:sz w:val="20"/>
          <w:szCs w:val="20"/>
        </w:rPr>
      </w:pPr>
      <w:r w:rsidRPr="007114AF">
        <w:rPr>
          <w:sz w:val="20"/>
          <w:szCs w:val="20"/>
        </w:rPr>
        <w:t>Tabela</w:t>
      </w:r>
      <w:r w:rsidR="00782894" w:rsidRPr="007114AF">
        <w:rPr>
          <w:sz w:val="20"/>
          <w:szCs w:val="20"/>
        </w:rPr>
        <w:t xml:space="preserve"> </w:t>
      </w:r>
      <w:r w:rsidRPr="007114AF">
        <w:rPr>
          <w:sz w:val="20"/>
          <w:szCs w:val="20"/>
        </w:rPr>
        <w:fldChar w:fldCharType="begin"/>
      </w:r>
      <w:r w:rsidRPr="007114AF">
        <w:rPr>
          <w:sz w:val="20"/>
          <w:szCs w:val="20"/>
        </w:rPr>
        <w:instrText xml:space="preserve"> SEQ Table \* ARABIC </w:instrText>
      </w:r>
      <w:r w:rsidRPr="007114AF">
        <w:rPr>
          <w:sz w:val="20"/>
          <w:szCs w:val="20"/>
        </w:rPr>
        <w:fldChar w:fldCharType="separate"/>
      </w:r>
      <w:r w:rsidRPr="007114AF">
        <w:rPr>
          <w:sz w:val="20"/>
          <w:szCs w:val="20"/>
        </w:rPr>
        <w:t>11</w:t>
      </w:r>
      <w:r w:rsidRPr="007114AF">
        <w:rPr>
          <w:sz w:val="20"/>
          <w:szCs w:val="20"/>
        </w:rPr>
        <w:fldChar w:fldCharType="end"/>
      </w:r>
      <w:r w:rsidR="00CA0B80">
        <w:rPr>
          <w:sz w:val="20"/>
          <w:szCs w:val="20"/>
        </w:rPr>
        <w:t xml:space="preserve"> </w:t>
      </w:r>
      <w:r w:rsidRPr="007114AF">
        <w:rPr>
          <w:sz w:val="20"/>
          <w:szCs w:val="20"/>
        </w:rPr>
        <w:t>–</w:t>
      </w:r>
      <w:r w:rsidR="00CA0B80">
        <w:rPr>
          <w:sz w:val="20"/>
          <w:szCs w:val="20"/>
        </w:rPr>
        <w:t xml:space="preserve"> </w:t>
      </w:r>
      <w:r w:rsidRPr="007114AF">
        <w:rPr>
          <w:sz w:val="20"/>
          <w:szCs w:val="20"/>
        </w:rPr>
        <w:t>Kostot e investimit për masat zbutëse deri në vitin 2030 (m€)</w:t>
      </w:r>
      <w:r w:rsidRPr="007114AF">
        <w:rPr>
          <w:rStyle w:val="FootnoteReference"/>
          <w:sz w:val="20"/>
          <w:szCs w:val="20"/>
        </w:rPr>
        <w:footnoteReference w:id="33"/>
      </w:r>
      <w:r w:rsidRPr="007114AF">
        <w:rPr>
          <w:sz w:val="20"/>
          <w:szCs w:val="20"/>
        </w:rPr>
        <w:t xml:space="preserve"> (Burimi: INDC 2015)</w:t>
      </w:r>
    </w:p>
    <w:tbl>
      <w:tblPr>
        <w:tblStyle w:val="GridTable6Colorful-Accent11"/>
        <w:tblW w:w="9351" w:type="dxa"/>
        <w:jc w:val="center"/>
        <w:tblLayout w:type="fixed"/>
        <w:tblLook w:val="04A0" w:firstRow="1" w:lastRow="0" w:firstColumn="1" w:lastColumn="0" w:noHBand="0" w:noVBand="1"/>
      </w:tblPr>
      <w:tblGrid>
        <w:gridCol w:w="1271"/>
        <w:gridCol w:w="1843"/>
        <w:gridCol w:w="1417"/>
        <w:gridCol w:w="1157"/>
        <w:gridCol w:w="3663"/>
      </w:tblGrid>
      <w:tr w:rsidR="00A9766F" w:rsidRPr="007114AF" w14:paraId="6EDCFBA0" w14:textId="77777777" w:rsidTr="00A976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EDCFB9B" w14:textId="77777777" w:rsidR="00A9766F" w:rsidRPr="007114AF" w:rsidRDefault="00A9766F" w:rsidP="00A9766F">
            <w:pPr>
              <w:rPr>
                <w:rFonts w:ascii="Garamond" w:hAnsi="Garamond"/>
                <w:sz w:val="18"/>
                <w:szCs w:val="18"/>
              </w:rPr>
            </w:pPr>
            <w:r w:rsidRPr="007114AF">
              <w:rPr>
                <w:rFonts w:ascii="Garamond" w:hAnsi="Garamond"/>
                <w:sz w:val="18"/>
                <w:szCs w:val="18"/>
              </w:rPr>
              <w:t>Sektori</w:t>
            </w:r>
          </w:p>
        </w:tc>
        <w:tc>
          <w:tcPr>
            <w:tcW w:w="1843" w:type="dxa"/>
            <w:vAlign w:val="center"/>
          </w:tcPr>
          <w:p w14:paraId="6EDCFB9C"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Masa</w:t>
            </w:r>
          </w:p>
        </w:tc>
        <w:tc>
          <w:tcPr>
            <w:tcW w:w="1417" w:type="dxa"/>
            <w:vAlign w:val="center"/>
          </w:tcPr>
          <w:p w14:paraId="6EDCFB9D"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Zbutja ktCO</w:t>
            </w:r>
            <w:r w:rsidRPr="007114AF">
              <w:rPr>
                <w:rFonts w:ascii="Garamond" w:hAnsi="Garamond"/>
                <w:sz w:val="18"/>
                <w:szCs w:val="18"/>
                <w:vertAlign w:val="subscript"/>
              </w:rPr>
              <w:t>2</w:t>
            </w:r>
            <w:r w:rsidRPr="007114AF">
              <w:rPr>
                <w:rFonts w:ascii="Garamond" w:hAnsi="Garamond"/>
                <w:sz w:val="18"/>
                <w:szCs w:val="18"/>
              </w:rPr>
              <w:br/>
            </w:r>
          </w:p>
        </w:tc>
        <w:tc>
          <w:tcPr>
            <w:tcW w:w="1157" w:type="dxa"/>
            <w:vAlign w:val="center"/>
          </w:tcPr>
          <w:p w14:paraId="6EDCFB9E"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Kosto e investimit m€</w:t>
            </w:r>
          </w:p>
        </w:tc>
        <w:tc>
          <w:tcPr>
            <w:tcW w:w="3663" w:type="dxa"/>
            <w:vAlign w:val="center"/>
          </w:tcPr>
          <w:p w14:paraId="6EDCFB9F" w14:textId="77777777" w:rsidR="00A9766F" w:rsidRPr="007114AF" w:rsidRDefault="00A9766F" w:rsidP="00A9766F">
            <w:pPr>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 xml:space="preserve">Burimi/supozimi </w:t>
            </w:r>
          </w:p>
        </w:tc>
      </w:tr>
      <w:tr w:rsidR="00A9766F" w:rsidRPr="007114AF" w14:paraId="6EDCFBA6" w14:textId="77777777" w:rsidTr="00A976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EDCFBA1"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 xml:space="preserve">Ndërtesat </w:t>
            </w:r>
          </w:p>
        </w:tc>
        <w:tc>
          <w:tcPr>
            <w:tcW w:w="1843" w:type="dxa"/>
            <w:vAlign w:val="center"/>
          </w:tcPr>
          <w:p w14:paraId="6EDCFBA2"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 xml:space="preserve">Izolimi termik </w:t>
            </w:r>
          </w:p>
        </w:tc>
        <w:tc>
          <w:tcPr>
            <w:tcW w:w="1417" w:type="dxa"/>
            <w:vAlign w:val="center"/>
          </w:tcPr>
          <w:p w14:paraId="6EDCFBA3"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50</w:t>
            </w:r>
          </w:p>
        </w:tc>
        <w:tc>
          <w:tcPr>
            <w:tcW w:w="1157" w:type="dxa"/>
            <w:vAlign w:val="center"/>
          </w:tcPr>
          <w:p w14:paraId="6EDCFBA4"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21</w:t>
            </w:r>
          </w:p>
        </w:tc>
        <w:tc>
          <w:tcPr>
            <w:tcW w:w="3663" w:type="dxa"/>
            <w:vAlign w:val="center"/>
          </w:tcPr>
          <w:p w14:paraId="6EDCFBA5" w14:textId="368E7302"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Të dhëna specifike për Shqipërinë për</w:t>
            </w:r>
            <w:r w:rsidR="00CA0B80">
              <w:rPr>
                <w:rFonts w:ascii="Garamond" w:hAnsi="Garamond"/>
                <w:sz w:val="18"/>
                <w:szCs w:val="18"/>
              </w:rPr>
              <w:t xml:space="preserve"> </w:t>
            </w:r>
            <w:r w:rsidRPr="007114AF">
              <w:rPr>
                <w:rFonts w:ascii="Garamond" w:hAnsi="Garamond"/>
                <w:sz w:val="18"/>
                <w:szCs w:val="18"/>
              </w:rPr>
              <w:t xml:space="preserve">koston nga Komunikata e Tretë Kombëtare </w:t>
            </w:r>
          </w:p>
        </w:tc>
      </w:tr>
      <w:tr w:rsidR="00A9766F" w:rsidRPr="007114AF" w14:paraId="6EDCFBAC" w14:textId="77777777" w:rsidTr="00A9766F">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EDCFBA7"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Industria</w:t>
            </w:r>
          </w:p>
        </w:tc>
        <w:tc>
          <w:tcPr>
            <w:tcW w:w="1843" w:type="dxa"/>
            <w:vAlign w:val="center"/>
          </w:tcPr>
          <w:p w14:paraId="6EDCFBA8"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Bojlerë më efikasë</w:t>
            </w:r>
          </w:p>
        </w:tc>
        <w:tc>
          <w:tcPr>
            <w:tcW w:w="1417" w:type="dxa"/>
            <w:vAlign w:val="center"/>
          </w:tcPr>
          <w:p w14:paraId="6EDCFBA9"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225</w:t>
            </w:r>
          </w:p>
        </w:tc>
        <w:tc>
          <w:tcPr>
            <w:tcW w:w="1157" w:type="dxa"/>
            <w:vAlign w:val="center"/>
          </w:tcPr>
          <w:p w14:paraId="6EDCFBAA"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15</w:t>
            </w:r>
          </w:p>
        </w:tc>
        <w:tc>
          <w:tcPr>
            <w:tcW w:w="3663" w:type="dxa"/>
            <w:vAlign w:val="center"/>
          </w:tcPr>
          <w:p w14:paraId="6EDCFBAB"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 xml:space="preserve">Nga modeli GACMO i përdorur për Komunikimin e Tretë Kombëtar </w:t>
            </w:r>
          </w:p>
        </w:tc>
      </w:tr>
      <w:tr w:rsidR="00A9766F" w:rsidRPr="007114AF" w14:paraId="6EDCFBB2" w14:textId="77777777" w:rsidTr="00A976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EDCFBAD"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Industria</w:t>
            </w:r>
          </w:p>
        </w:tc>
        <w:tc>
          <w:tcPr>
            <w:tcW w:w="1843" w:type="dxa"/>
            <w:vAlign w:val="center"/>
          </w:tcPr>
          <w:p w14:paraId="6EDCFBAE"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Ndryshimi i lëndës djegëse</w:t>
            </w:r>
          </w:p>
        </w:tc>
        <w:tc>
          <w:tcPr>
            <w:tcW w:w="1417" w:type="dxa"/>
            <w:vAlign w:val="center"/>
          </w:tcPr>
          <w:p w14:paraId="6EDCFBAF"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52</w:t>
            </w:r>
          </w:p>
        </w:tc>
        <w:tc>
          <w:tcPr>
            <w:tcW w:w="1157" w:type="dxa"/>
            <w:vAlign w:val="center"/>
          </w:tcPr>
          <w:p w14:paraId="6EDCFBB0"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0</w:t>
            </w:r>
          </w:p>
        </w:tc>
        <w:tc>
          <w:tcPr>
            <w:tcW w:w="3663" w:type="dxa"/>
            <w:vAlign w:val="center"/>
          </w:tcPr>
          <w:p w14:paraId="6EDCFBB1"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Duke mos supozuar kosto shtesë për pajisjet me gaz natyror kundrejt pajisjeve me qymyr/naftë dhe që gazi natyror është i disponueshëm në vendet kryesore industriale në kuadrin e bazës.</w:t>
            </w:r>
          </w:p>
        </w:tc>
      </w:tr>
      <w:tr w:rsidR="00A9766F" w:rsidRPr="007114AF" w14:paraId="6EDCFBB8" w14:textId="77777777" w:rsidTr="00A9766F">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EDCFBB3"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Transporti</w:t>
            </w:r>
          </w:p>
        </w:tc>
        <w:tc>
          <w:tcPr>
            <w:tcW w:w="1843" w:type="dxa"/>
            <w:vAlign w:val="center"/>
          </w:tcPr>
          <w:p w14:paraId="6EDCFBB4"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Masa me kosto efektive</w:t>
            </w:r>
          </w:p>
        </w:tc>
        <w:tc>
          <w:tcPr>
            <w:tcW w:w="1417" w:type="dxa"/>
            <w:vAlign w:val="center"/>
          </w:tcPr>
          <w:p w14:paraId="6EDCFBB5"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116</w:t>
            </w:r>
          </w:p>
        </w:tc>
        <w:tc>
          <w:tcPr>
            <w:tcW w:w="1157" w:type="dxa"/>
            <w:vAlign w:val="center"/>
          </w:tcPr>
          <w:p w14:paraId="6EDCFBB6"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195</w:t>
            </w:r>
          </w:p>
        </w:tc>
        <w:tc>
          <w:tcPr>
            <w:tcW w:w="3663" w:type="dxa"/>
            <w:vAlign w:val="center"/>
          </w:tcPr>
          <w:p w14:paraId="6EDCFBB7" w14:textId="450380A3"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Gjithë masat me kosto efektive në</w:t>
            </w:r>
            <w:r w:rsidR="000A2A01" w:rsidRPr="007114AF">
              <w:rPr>
                <w:rFonts w:ascii="Garamond" w:hAnsi="Garamond"/>
                <w:sz w:val="18"/>
                <w:szCs w:val="18"/>
              </w:rPr>
              <w:t xml:space="preserve"> </w:t>
            </w:r>
            <w:r w:rsidRPr="007114AF">
              <w:rPr>
                <w:rFonts w:ascii="Garamond" w:hAnsi="Garamond"/>
                <w:sz w:val="18"/>
                <w:szCs w:val="18"/>
              </w:rPr>
              <w:t>transport MACC; të dhënat e kostos së BE-së, supozon se gazi natyror gjendet në depot e mjeteve pa kosto shtesë për shpërndarjen e gazit.</w:t>
            </w:r>
          </w:p>
        </w:tc>
      </w:tr>
      <w:tr w:rsidR="00A9766F" w:rsidRPr="007114AF" w14:paraId="6EDCFBBE" w14:textId="77777777" w:rsidTr="00A976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EDCFBB9"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Transporti</w:t>
            </w:r>
          </w:p>
        </w:tc>
        <w:tc>
          <w:tcPr>
            <w:tcW w:w="1843" w:type="dxa"/>
            <w:vAlign w:val="center"/>
          </w:tcPr>
          <w:p w14:paraId="6EDCFBBA"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10% biokarbure</w:t>
            </w:r>
          </w:p>
        </w:tc>
        <w:tc>
          <w:tcPr>
            <w:tcW w:w="1417" w:type="dxa"/>
            <w:vAlign w:val="center"/>
          </w:tcPr>
          <w:p w14:paraId="6EDCFBBB"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265</w:t>
            </w:r>
          </w:p>
        </w:tc>
        <w:tc>
          <w:tcPr>
            <w:tcW w:w="1157" w:type="dxa"/>
            <w:vAlign w:val="center"/>
          </w:tcPr>
          <w:p w14:paraId="6EDCFBBC"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456</w:t>
            </w:r>
          </w:p>
        </w:tc>
        <w:tc>
          <w:tcPr>
            <w:tcW w:w="3663" w:type="dxa"/>
            <w:vAlign w:val="center"/>
          </w:tcPr>
          <w:p w14:paraId="6EDCFBBD" w14:textId="77777777" w:rsidR="00A9766F" w:rsidRPr="007114AF" w:rsidRDefault="00A9766F" w:rsidP="00A9766F">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Supozon se një impiant me kapacitet 100 milionë litra biokarbure kushton 250m$ (të dhëna MB)</w:t>
            </w:r>
          </w:p>
        </w:tc>
      </w:tr>
      <w:tr w:rsidR="00A9766F" w:rsidRPr="007114AF" w14:paraId="6EDCFBC4" w14:textId="77777777" w:rsidTr="00A9766F">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EDCFBBF" w14:textId="77777777" w:rsidR="00A9766F" w:rsidRPr="007114AF" w:rsidRDefault="00A9766F" w:rsidP="00A9766F">
            <w:pPr>
              <w:spacing w:after="0"/>
              <w:rPr>
                <w:rFonts w:ascii="Garamond" w:hAnsi="Garamond"/>
                <w:b w:val="0"/>
                <w:sz w:val="18"/>
                <w:szCs w:val="18"/>
              </w:rPr>
            </w:pPr>
            <w:r w:rsidRPr="007114AF">
              <w:rPr>
                <w:rFonts w:ascii="Garamond" w:hAnsi="Garamond"/>
                <w:sz w:val="18"/>
                <w:szCs w:val="18"/>
              </w:rPr>
              <w:t>Totali</w:t>
            </w:r>
          </w:p>
        </w:tc>
        <w:tc>
          <w:tcPr>
            <w:tcW w:w="1843" w:type="dxa"/>
            <w:vAlign w:val="center"/>
          </w:tcPr>
          <w:p w14:paraId="6EDCFBC0"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Gjithë masat e mësipërme</w:t>
            </w:r>
          </w:p>
        </w:tc>
        <w:tc>
          <w:tcPr>
            <w:tcW w:w="1417" w:type="dxa"/>
            <w:vAlign w:val="center"/>
          </w:tcPr>
          <w:p w14:paraId="6EDCFBC1"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708</w:t>
            </w:r>
          </w:p>
        </w:tc>
        <w:tc>
          <w:tcPr>
            <w:tcW w:w="1157" w:type="dxa"/>
            <w:vAlign w:val="center"/>
          </w:tcPr>
          <w:p w14:paraId="6EDCFBC2"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687</w:t>
            </w:r>
          </w:p>
        </w:tc>
        <w:tc>
          <w:tcPr>
            <w:tcW w:w="3663" w:type="dxa"/>
            <w:vAlign w:val="center"/>
          </w:tcPr>
          <w:p w14:paraId="6EDCFBC3" w14:textId="77777777" w:rsidR="00A9766F" w:rsidRPr="007114AF" w:rsidRDefault="00A9766F" w:rsidP="00A9766F">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r>
    </w:tbl>
    <w:p w14:paraId="6EDCFBC5" w14:textId="77777777" w:rsidR="00A9766F" w:rsidRPr="007114AF" w:rsidRDefault="00A9766F" w:rsidP="00206985">
      <w:pPr>
        <w:pStyle w:val="TEKSTI"/>
      </w:pPr>
    </w:p>
    <w:p w14:paraId="6EDCFBC6" w14:textId="77777777" w:rsidR="00A9766F" w:rsidRPr="007114AF" w:rsidRDefault="00A9766F" w:rsidP="00206985">
      <w:pPr>
        <w:pStyle w:val="TEKSTI"/>
      </w:pPr>
      <w:r w:rsidRPr="007114AF">
        <w:t xml:space="preserve">Masat në tabelën 11 përfshijnë ndryshimin e lëndës djegëse në gaz natyror në sektorët e industrisë dhe transportit, çka përputhet me supozimin se gazi natyror do të futet në Shqipëri para vitit 2030, fillimisht për përdorim në sektorin e energjisë. Në INDC-ë nuk përfshihej asnjë kosto investimi lidhur me ndërtimin e një rrjeti të shpërndarjes së gazit që lidhte tubacionin e gazit me zonat kryesore industriale dhe depot e mjeteve, meqë kjo supozohet se do të ndërtohet në kuadrin e skenarit bazë. </w:t>
      </w:r>
    </w:p>
    <w:p w14:paraId="6EDCFBC7" w14:textId="77777777" w:rsidR="00A9766F" w:rsidRPr="007114AF" w:rsidRDefault="00A9766F" w:rsidP="00206985">
      <w:pPr>
        <w:pStyle w:val="TEKSTI"/>
      </w:pPr>
    </w:p>
    <w:p w14:paraId="6EDCFBC8" w14:textId="77777777" w:rsidR="00A9766F" w:rsidRPr="007114AF" w:rsidRDefault="00A9766F" w:rsidP="00206985">
      <w:pPr>
        <w:jc w:val="center"/>
        <w:rPr>
          <w:rFonts w:ascii="Garamond" w:hAnsi="Garamond"/>
        </w:rPr>
      </w:pPr>
      <w:r w:rsidRPr="007114AF">
        <w:rPr>
          <w:rFonts w:ascii="Garamond" w:hAnsi="Garamond"/>
          <w:noProof/>
          <w:lang w:val="en-US" w:eastAsia="en-US"/>
        </w:rPr>
        <w:drawing>
          <wp:inline distT="0" distB="0" distL="0" distR="0" wp14:anchorId="6EDD17B2" wp14:editId="6EDD17B3">
            <wp:extent cx="4991100" cy="3035300"/>
            <wp:effectExtent l="0" t="0" r="0" b="0"/>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91100" cy="3035300"/>
                    </a:xfrm>
                    <a:prstGeom prst="rect">
                      <a:avLst/>
                    </a:prstGeom>
                    <a:noFill/>
                    <a:ln>
                      <a:noFill/>
                    </a:ln>
                  </pic:spPr>
                </pic:pic>
              </a:graphicData>
            </a:graphic>
          </wp:inline>
        </w:drawing>
      </w:r>
    </w:p>
    <w:p w14:paraId="6EDCFBC9" w14:textId="34C31895" w:rsidR="00A9766F" w:rsidRPr="007114AF" w:rsidRDefault="00A9766F" w:rsidP="00206985">
      <w:pPr>
        <w:pStyle w:val="FIGURA"/>
        <w:rPr>
          <w:sz w:val="20"/>
          <w:szCs w:val="20"/>
        </w:rPr>
      </w:pPr>
      <w:r w:rsidRPr="007114AF">
        <w:rPr>
          <w:sz w:val="20"/>
          <w:szCs w:val="20"/>
        </w:rPr>
        <w:t>Figura</w:t>
      </w:r>
      <w:r w:rsidR="00206985"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24</w:t>
      </w:r>
      <w:r w:rsidRPr="007114AF">
        <w:rPr>
          <w:sz w:val="20"/>
          <w:szCs w:val="20"/>
        </w:rPr>
        <w:fldChar w:fldCharType="end"/>
      </w:r>
      <w:r w:rsidR="00CA0B80">
        <w:rPr>
          <w:sz w:val="20"/>
          <w:szCs w:val="20"/>
        </w:rPr>
        <w:t xml:space="preserve"> </w:t>
      </w:r>
      <w:r w:rsidRPr="007114AF">
        <w:rPr>
          <w:sz w:val="20"/>
          <w:szCs w:val="20"/>
        </w:rPr>
        <w:t>–</w:t>
      </w:r>
      <w:r w:rsidR="00CA0B80">
        <w:rPr>
          <w:sz w:val="20"/>
          <w:szCs w:val="20"/>
        </w:rPr>
        <w:t xml:space="preserve"> </w:t>
      </w:r>
      <w:r w:rsidRPr="007114AF">
        <w:rPr>
          <w:sz w:val="20"/>
          <w:szCs w:val="20"/>
        </w:rPr>
        <w:t>Shkarkimet e skenarit bazë dhe zbutës, paketa C (Gg CO</w:t>
      </w:r>
      <w:r w:rsidRPr="007114AF">
        <w:rPr>
          <w:sz w:val="20"/>
          <w:szCs w:val="20"/>
          <w:vertAlign w:val="subscript"/>
        </w:rPr>
        <w:t>2</w:t>
      </w:r>
      <w:r w:rsidRPr="007114AF">
        <w:rPr>
          <w:sz w:val="20"/>
          <w:szCs w:val="20"/>
        </w:rPr>
        <w:t>) (Burimi</w:t>
      </w:r>
      <w:r w:rsidR="00CA0B80">
        <w:rPr>
          <w:sz w:val="20"/>
          <w:szCs w:val="20"/>
        </w:rPr>
        <w:t xml:space="preserve"> </w:t>
      </w:r>
      <w:r w:rsidRPr="007114AF">
        <w:rPr>
          <w:sz w:val="20"/>
          <w:szCs w:val="20"/>
        </w:rPr>
        <w:t>INDC 2015)</w:t>
      </w:r>
    </w:p>
    <w:p w14:paraId="6EDCFBCA" w14:textId="77777777" w:rsidR="00782894" w:rsidRPr="007114AF" w:rsidRDefault="00782894" w:rsidP="00206985">
      <w:pPr>
        <w:pStyle w:val="TEKSTI"/>
      </w:pPr>
      <w:bookmarkStart w:id="80" w:name="_Toc471987581"/>
      <w:bookmarkStart w:id="81" w:name="_Toc484424488"/>
      <w:bookmarkStart w:id="82" w:name="_Toc479083851"/>
      <w:bookmarkStart w:id="83" w:name="_Toc483570090"/>
      <w:bookmarkStart w:id="84" w:name="_Toc450135239"/>
      <w:bookmarkEnd w:id="80"/>
    </w:p>
    <w:p w14:paraId="6EDCFBCB" w14:textId="77777777" w:rsidR="00A9766F" w:rsidRPr="007114AF" w:rsidRDefault="00782894" w:rsidP="00206985">
      <w:pPr>
        <w:pStyle w:val="TEKSTI"/>
        <w:rPr>
          <w:b/>
        </w:rPr>
      </w:pPr>
      <w:r w:rsidRPr="007114AF">
        <w:rPr>
          <w:b/>
        </w:rPr>
        <w:t xml:space="preserve">2.8 </w:t>
      </w:r>
      <w:r w:rsidR="00A9766F" w:rsidRPr="007114AF">
        <w:rPr>
          <w:b/>
        </w:rPr>
        <w:t>Situata aktuale e Shqipërisë në procesin e përshtatjes</w:t>
      </w:r>
      <w:bookmarkEnd w:id="81"/>
      <w:bookmarkEnd w:id="82"/>
      <w:bookmarkEnd w:id="83"/>
    </w:p>
    <w:p w14:paraId="6EDCFBCC" w14:textId="1944B568" w:rsidR="00A9766F" w:rsidRPr="007114AF" w:rsidRDefault="00A9766F" w:rsidP="00206985">
      <w:pPr>
        <w:pStyle w:val="TEKSTI"/>
      </w:pPr>
      <w:r w:rsidRPr="007114AF">
        <w:t>Sipas parimeve të parashikuara në Udhëzimet Teknike për NAP-in, procesi i NAP- it</w:t>
      </w:r>
      <w:r w:rsidR="000A2A01" w:rsidRPr="007114AF">
        <w:t xml:space="preserve"> </w:t>
      </w:r>
      <w:r w:rsidRPr="007114AF">
        <w:t>duhet të ofrojë vlerë të shtuar, përmes mbështetjes në strukturat dhe proceset ekzistuese. Në përputhje me këtë, vlerësimi i situatës konsiderohet si një hap i rëndësishëm fillestar për hartimin e një procesi adekuat të NAP-it, i cili t</w:t>
      </w:r>
      <w:r w:rsidR="00D10DAB" w:rsidRPr="007114AF">
        <w:t>’</w:t>
      </w:r>
      <w:r w:rsidRPr="007114AF">
        <w:t xml:space="preserve">i trajtojë boshllëqet në mënyrën e duhur. </w:t>
      </w:r>
    </w:p>
    <w:p w14:paraId="6EDCFBCD" w14:textId="77777777" w:rsidR="00A9766F" w:rsidRPr="007114AF" w:rsidRDefault="00782894" w:rsidP="00206985">
      <w:pPr>
        <w:pStyle w:val="TEKSTI"/>
        <w:rPr>
          <w:b/>
        </w:rPr>
      </w:pPr>
      <w:bookmarkStart w:id="85" w:name="_Toc484424489"/>
      <w:bookmarkStart w:id="86" w:name="_Toc479083852"/>
      <w:bookmarkStart w:id="87" w:name="_Toc483570091"/>
      <w:r w:rsidRPr="007114AF">
        <w:rPr>
          <w:b/>
        </w:rPr>
        <w:t xml:space="preserve">2.8.1 </w:t>
      </w:r>
      <w:r w:rsidR="00A9766F" w:rsidRPr="007114AF">
        <w:rPr>
          <w:b/>
        </w:rPr>
        <w:t>Analizë e situatës ekzistuese</w:t>
      </w:r>
      <w:bookmarkEnd w:id="85"/>
      <w:bookmarkEnd w:id="86"/>
      <w:bookmarkEnd w:id="87"/>
    </w:p>
    <w:p w14:paraId="6EDCFBCE" w14:textId="59085FE7" w:rsidR="00A9766F" w:rsidRPr="007114AF" w:rsidRDefault="00A9766F" w:rsidP="00206985">
      <w:pPr>
        <w:pStyle w:val="TEKSTI"/>
        <w:rPr>
          <w:bCs/>
          <w:iCs/>
        </w:rPr>
      </w:pPr>
      <w:r w:rsidRPr="007114AF">
        <w:rPr>
          <w:bCs/>
          <w:iCs/>
        </w:rPr>
        <w:t xml:space="preserve">Si një hap fillestar për analizimin e situatës ekzistuese, instrumenti analitik </w:t>
      </w:r>
      <w:r w:rsidR="000A2A01" w:rsidRPr="007114AF">
        <w:rPr>
          <w:bCs/>
          <w:iCs/>
        </w:rPr>
        <w:t>“</w:t>
      </w:r>
      <w:r w:rsidRPr="007114AF">
        <w:rPr>
          <w:bCs/>
          <w:iCs/>
        </w:rPr>
        <w:t>Vlerësimi i situatës për planifikimin kombëtar të përshtatjes (SNAP)</w:t>
      </w:r>
      <w:r w:rsidR="000A2A01" w:rsidRPr="007114AF">
        <w:rPr>
          <w:bCs/>
          <w:iCs/>
        </w:rPr>
        <w:t>”</w:t>
      </w:r>
      <w:r w:rsidRPr="00500FF7">
        <w:rPr>
          <w:bCs/>
          <w:iCs/>
          <w:vertAlign w:val="superscript"/>
        </w:rPr>
        <w:footnoteReference w:id="34"/>
      </w:r>
      <w:r w:rsidRPr="007114AF">
        <w:rPr>
          <w:bCs/>
          <w:iCs/>
        </w:rPr>
        <w:t>, përgatitur nga GIZ-i, është përdorur gjatë një takimipune më 19 shkurt 2015. Instrumenti ofroi një panoramë të kapaciteteve të përshtatjes që ekzistojnë aktualisht, si dhe që mendohet të krijohen në vend. Elementi kryesor i instrumentit SNAP është</w:t>
      </w:r>
      <w:r w:rsidR="000A2A01" w:rsidRPr="007114AF">
        <w:rPr>
          <w:bCs/>
          <w:iCs/>
        </w:rPr>
        <w:t xml:space="preserve"> </w:t>
      </w:r>
      <w:r w:rsidRPr="007114AF">
        <w:rPr>
          <w:bCs/>
          <w:iCs/>
        </w:rPr>
        <w:t>vlerësimi i nevojave dhe kapaciteteve të vendit, i cili mundëson një perspektivë strategjike për procesin e përgjithshëm NAP. Përdorimi i instrumentit SNAP ka ndihmuar në identifikimin e një pikënisjeje të përbashkët, nga e cila palët e interesit të mund të fillojnë të formulojnë një dokument udhërrëfyes për procesin e NAP-it.</w:t>
      </w:r>
    </w:p>
    <w:p w14:paraId="6EDCFBCF" w14:textId="33E3AAB1" w:rsidR="00A9766F" w:rsidRPr="007114AF" w:rsidRDefault="00A9766F" w:rsidP="00206985">
      <w:pPr>
        <w:pStyle w:val="TEKSTI"/>
        <w:rPr>
          <w:bCs/>
          <w:iCs/>
        </w:rPr>
      </w:pPr>
      <w:r w:rsidRPr="007114AF">
        <w:rPr>
          <w:bCs/>
          <w:iCs/>
        </w:rPr>
        <w:t>Ky instrument u zbatua nëpërmjet përfshirjes së palëve të interesit të lidhura me procesin e përshtatjes. Në takimin e punës për</w:t>
      </w:r>
      <w:r w:rsidR="000A2A01" w:rsidRPr="007114AF">
        <w:rPr>
          <w:bCs/>
          <w:iCs/>
        </w:rPr>
        <w:t xml:space="preserve"> </w:t>
      </w:r>
      <w:r w:rsidRPr="007114AF">
        <w:rPr>
          <w:bCs/>
          <w:iCs/>
        </w:rPr>
        <w:t>vlerësimin e situatës u krye një analizë dhe një diskutim i përbashkët, si edhe u plotësua një pyetësor në formë individuale nga secili pjesëmarrës. Pyetësori qe hartuar në bazë të 20 faktorëve të suksesit, që janë parë se kanë pasur rëndësi kryesore në procese të ngjashme në vende të tjera. Faktorët u grupuan në 7 fusha suksesi:</w:t>
      </w:r>
    </w:p>
    <w:p w14:paraId="6EDCFBD0" w14:textId="0D5F8CBD" w:rsidR="00A9766F" w:rsidRPr="007114AF" w:rsidRDefault="00782894" w:rsidP="00206985">
      <w:pPr>
        <w:pStyle w:val="TEKSTI"/>
      </w:pPr>
      <w:r w:rsidRPr="007114AF">
        <w:t xml:space="preserve">- </w:t>
      </w:r>
      <w:r w:rsidR="00A9766F" w:rsidRPr="007114AF">
        <w:t>Informacion për klimën</w:t>
      </w:r>
      <w:r w:rsidR="00500FF7">
        <w:t>;</w:t>
      </w:r>
    </w:p>
    <w:p w14:paraId="6EDCFBD1" w14:textId="25A6DA32" w:rsidR="00A9766F" w:rsidRPr="007114AF" w:rsidRDefault="00782894" w:rsidP="00206985">
      <w:pPr>
        <w:pStyle w:val="TEKSTI"/>
      </w:pPr>
      <w:r w:rsidRPr="007114AF">
        <w:t xml:space="preserve">- </w:t>
      </w:r>
      <w:r w:rsidR="00A9766F" w:rsidRPr="007114AF">
        <w:t>Kapacitetet njerëzorë dhe institucionale</w:t>
      </w:r>
      <w:r w:rsidR="00500FF7">
        <w:t>;</w:t>
      </w:r>
    </w:p>
    <w:p w14:paraId="6EDCFBD2" w14:textId="0D0D7819" w:rsidR="00A9766F" w:rsidRPr="007114AF" w:rsidRDefault="00782894" w:rsidP="00206985">
      <w:pPr>
        <w:pStyle w:val="TEKSTI"/>
      </w:pPr>
      <w:r w:rsidRPr="007114AF">
        <w:t xml:space="preserve">- </w:t>
      </w:r>
      <w:r w:rsidR="00A9766F" w:rsidRPr="007114AF">
        <w:t>Vizioni afatgjatë dhe mandati</w:t>
      </w:r>
      <w:r w:rsidR="00500FF7">
        <w:t>;</w:t>
      </w:r>
    </w:p>
    <w:p w14:paraId="6EDCFBD3" w14:textId="58C518F1" w:rsidR="00A9766F" w:rsidRPr="007114AF" w:rsidRDefault="00782894" w:rsidP="00206985">
      <w:pPr>
        <w:pStyle w:val="TEKSTI"/>
      </w:pPr>
      <w:r w:rsidRPr="007114AF">
        <w:t xml:space="preserve">- </w:t>
      </w:r>
      <w:r w:rsidR="00A9766F" w:rsidRPr="007114AF">
        <w:t>Zbatimi</w:t>
      </w:r>
      <w:r w:rsidR="00500FF7">
        <w:t>;</w:t>
      </w:r>
    </w:p>
    <w:p w14:paraId="6EDCFBD4" w14:textId="1C5AC8CB" w:rsidR="00A9766F" w:rsidRPr="007114AF" w:rsidRDefault="00782894" w:rsidP="00206985">
      <w:pPr>
        <w:pStyle w:val="TEKSTI"/>
      </w:pPr>
      <w:r w:rsidRPr="007114AF">
        <w:t xml:space="preserve">- </w:t>
      </w:r>
      <w:r w:rsidR="00A9766F" w:rsidRPr="007114AF">
        <w:t>Integrimi</w:t>
      </w:r>
      <w:r w:rsidR="00500FF7">
        <w:t>;</w:t>
      </w:r>
    </w:p>
    <w:p w14:paraId="6EDCFBD5" w14:textId="61D5D528" w:rsidR="00A9766F" w:rsidRPr="007114AF" w:rsidRDefault="00782894" w:rsidP="00206985">
      <w:pPr>
        <w:pStyle w:val="TEKSTI"/>
      </w:pPr>
      <w:r w:rsidRPr="007114AF">
        <w:t xml:space="preserve">- </w:t>
      </w:r>
      <w:r w:rsidR="00A9766F" w:rsidRPr="007114AF">
        <w:t>Pjesëmarrja</w:t>
      </w:r>
      <w:r w:rsidR="00500FF7">
        <w:t>;</w:t>
      </w:r>
    </w:p>
    <w:p w14:paraId="6EDCFBD6" w14:textId="77777777" w:rsidR="00A9766F" w:rsidRPr="007114AF" w:rsidRDefault="00782894" w:rsidP="00206985">
      <w:pPr>
        <w:pStyle w:val="TEKSTI"/>
      </w:pPr>
      <w:r w:rsidRPr="007114AF">
        <w:t xml:space="preserve">- </w:t>
      </w:r>
      <w:r w:rsidR="00A9766F" w:rsidRPr="007114AF">
        <w:t>Monitorimi dhe vlerësimi.</w:t>
      </w:r>
    </w:p>
    <w:p w14:paraId="6EDCFBD7" w14:textId="1A349844" w:rsidR="00A9766F" w:rsidRPr="007114AF" w:rsidRDefault="00A9766F" w:rsidP="00206985">
      <w:pPr>
        <w:pStyle w:val="TEKSTI"/>
        <w:rPr>
          <w:bCs/>
          <w:iCs/>
        </w:rPr>
      </w:pPr>
      <w:r w:rsidRPr="007114AF">
        <w:rPr>
          <w:bCs/>
          <w:iCs/>
        </w:rPr>
        <w:t xml:space="preserve">Rezultatet kryesore të analizës së situatës janë kondensuar në një </w:t>
      </w:r>
      <w:r w:rsidR="000A2A01" w:rsidRPr="007114AF">
        <w:rPr>
          <w:bCs/>
          <w:iCs/>
        </w:rPr>
        <w:t>“</w:t>
      </w:r>
      <w:r w:rsidRPr="007114AF">
        <w:rPr>
          <w:bCs/>
          <w:iCs/>
        </w:rPr>
        <w:t>diagram rrjete</w:t>
      </w:r>
      <w:r w:rsidR="000A2A01" w:rsidRPr="007114AF">
        <w:rPr>
          <w:bCs/>
          <w:iCs/>
        </w:rPr>
        <w:t>”</w:t>
      </w:r>
      <w:r w:rsidRPr="007114AF">
        <w:rPr>
          <w:bCs/>
          <w:iCs/>
        </w:rPr>
        <w:t>, si në figurën 25.Vija e kaltër identifikon situatën aktuale, siç u vlerësua nga pjesëmarrësit e takimit të punës, ndërsa vija e kuqe përfaqëson objektivin strategjik, siç e shihnin pjesëmarrësit. Të gjitha kontributet e pjesëmarrëse dokumentohen në një dosje të veçantë vlerësimi që përfshin shpjegimin për secilin kontribut.</w:t>
      </w:r>
    </w:p>
    <w:p w14:paraId="6EDCFBD8" w14:textId="77777777" w:rsidR="00A9766F" w:rsidRPr="007114AF" w:rsidRDefault="00A9766F" w:rsidP="00206985">
      <w:pPr>
        <w:pStyle w:val="TEKSTI"/>
        <w:rPr>
          <w:bCs/>
          <w:iCs/>
        </w:rPr>
      </w:pPr>
      <w:r w:rsidRPr="007114AF">
        <w:rPr>
          <w:bCs/>
          <w:iCs/>
        </w:rPr>
        <w:t>Diagrami rrjetë mundëson këto përfundime të përgjithshme:</w:t>
      </w:r>
    </w:p>
    <w:p w14:paraId="6EDCFBD9" w14:textId="77777777" w:rsidR="00A9766F" w:rsidRPr="007114AF" w:rsidRDefault="00782894" w:rsidP="00206985">
      <w:pPr>
        <w:pStyle w:val="TEKSTI"/>
      </w:pPr>
      <w:r w:rsidRPr="007114AF">
        <w:t xml:space="preserve">- </w:t>
      </w:r>
      <w:r w:rsidR="00A9766F" w:rsidRPr="007114AF">
        <w:t>Në përgjithësi, ekziston një boshllëk i konsiderueshëm midis situatës aktuale dhe objektivit strategjik. Kjo shpjegon një proces ambicioz të NAP-it, ku të trajtohen pak a shumë të gjithë faktorët e suksesit të lartpërmendur.</w:t>
      </w:r>
    </w:p>
    <w:p w14:paraId="6EDCFBDA" w14:textId="279A0C0C" w:rsidR="00A9766F" w:rsidRPr="007114AF" w:rsidRDefault="00782894" w:rsidP="00206985">
      <w:pPr>
        <w:pStyle w:val="TEKSTI"/>
      </w:pPr>
      <w:r w:rsidRPr="007114AF">
        <w:t xml:space="preserve">- </w:t>
      </w:r>
      <w:r w:rsidR="00A9766F" w:rsidRPr="007114AF">
        <w:t xml:space="preserve">Situata aktuale tregon një nivel mbi mesataren për fushën e suksesit </w:t>
      </w:r>
      <w:r w:rsidR="000A2A01" w:rsidRPr="007114AF">
        <w:t>“</w:t>
      </w:r>
      <w:r w:rsidR="00A9766F" w:rsidRPr="007114AF">
        <w:t>vizioni afatgjatë dhe mandati</w:t>
      </w:r>
      <w:r w:rsidR="000A2A01" w:rsidRPr="007114AF">
        <w:t>”</w:t>
      </w:r>
      <w:r w:rsidR="00A9766F" w:rsidRPr="007114AF">
        <w:t xml:space="preserve">. Kjo i detyrohet mandatit të qartë ekzistues i cili është parashikuar nëpërmjet </w:t>
      </w:r>
      <w:r w:rsidR="009717A4">
        <w:t>u</w:t>
      </w:r>
      <w:r w:rsidR="00A9766F" w:rsidRPr="007114AF">
        <w:t>rdhrit të Kryeministrit</w:t>
      </w:r>
      <w:r w:rsidR="00242009" w:rsidRPr="007114AF">
        <w:t xml:space="preserve"> nr. </w:t>
      </w:r>
      <w:r w:rsidR="009717A4">
        <w:t>155, datë 25.</w:t>
      </w:r>
      <w:r w:rsidR="00A9766F" w:rsidRPr="007114AF">
        <w:t>4.2014, për krijimin e Grupit Ndërministror të Punës për Ndryshimet Klimatike, dhe është përforcuar nëpërmjet lançimit të procesit të NAP-it nga zëvendësministri e Mjedisit më 19 shkurt 2015. E kundërta ndodh me dy faktorët e tjerë të suksesit për vizionin afatgjatë (ekzistenca e një plani koherent për përshtatjen dhe mbajtja në konsideratë e ndryshimit klimatik në planin zyrtar) të cilët janë vlerësuar si të dobët.</w:t>
      </w:r>
    </w:p>
    <w:p w14:paraId="6EDCFBDB" w14:textId="77777777" w:rsidR="00A9766F" w:rsidRPr="007114AF" w:rsidRDefault="00782894" w:rsidP="00206985">
      <w:pPr>
        <w:pStyle w:val="TEKSTI"/>
      </w:pPr>
      <w:r w:rsidRPr="007114AF">
        <w:t xml:space="preserve">- </w:t>
      </w:r>
      <w:r w:rsidR="00A9766F" w:rsidRPr="007114AF">
        <w:t>Instrumenti SNAP e vlerëson situatën aktuale për informacionin mbi klimën shumë më poshtë se niveli i nevojshëm. Nga diskutimi doli se ekzistojnë një sërë studimesh, vlerësimesh dhe parashikimesh, por këto nuk njihen dhe nuk janë në dispozicion të ekspertëve të sektorit. Prandaj, e drejta për të marrë informacion duket se përbën një sfidë më të fortë se vetë informacioni.</w:t>
      </w:r>
    </w:p>
    <w:p w14:paraId="6EDCFBDC" w14:textId="38E60F05" w:rsidR="00A9766F" w:rsidRPr="007114AF" w:rsidRDefault="00782894" w:rsidP="00206985">
      <w:pPr>
        <w:pStyle w:val="TEKSTI"/>
      </w:pPr>
      <w:r w:rsidRPr="007114AF">
        <w:rPr>
          <w:b/>
          <w:noProof/>
          <w:sz w:val="20"/>
          <w:szCs w:val="20"/>
          <w:lang w:val="en-US" w:eastAsia="en-US"/>
        </w:rPr>
        <w:drawing>
          <wp:anchor distT="0" distB="0" distL="114300" distR="114300" simplePos="0" relativeHeight="251658242" behindDoc="0" locked="0" layoutInCell="1" allowOverlap="1" wp14:anchorId="6EDD17B4" wp14:editId="6EDD17B5">
            <wp:simplePos x="0" y="0"/>
            <wp:positionH relativeFrom="column">
              <wp:posOffset>61595</wp:posOffset>
            </wp:positionH>
            <wp:positionV relativeFrom="paragraph">
              <wp:posOffset>653415</wp:posOffset>
            </wp:positionV>
            <wp:extent cx="5906770" cy="2933700"/>
            <wp:effectExtent l="0" t="0" r="0" b="0"/>
            <wp:wrapTopAndBottom/>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06770" cy="2933700"/>
                    </a:xfrm>
                    <a:prstGeom prst="rect">
                      <a:avLst/>
                    </a:prstGeom>
                    <a:noFill/>
                  </pic:spPr>
                </pic:pic>
              </a:graphicData>
            </a:graphic>
            <wp14:sizeRelH relativeFrom="margin">
              <wp14:pctWidth>0</wp14:pctWidth>
            </wp14:sizeRelH>
            <wp14:sizeRelV relativeFrom="margin">
              <wp14:pctHeight>0</wp14:pctHeight>
            </wp14:sizeRelV>
          </wp:anchor>
        </w:drawing>
      </w:r>
      <w:r w:rsidRPr="007114AF">
        <w:t xml:space="preserve">- </w:t>
      </w:r>
      <w:r w:rsidR="00A9766F" w:rsidRPr="007114AF">
        <w:t xml:space="preserve">Ndjeshëm nën mesataren për situatën aktuale është fusha e suksesit </w:t>
      </w:r>
      <w:r w:rsidR="000A2A01" w:rsidRPr="007114AF">
        <w:t>“</w:t>
      </w:r>
      <w:r w:rsidR="00A9766F" w:rsidRPr="007114AF">
        <w:t>monitorimi dhe vlerësimi</w:t>
      </w:r>
      <w:r w:rsidR="000A2A01" w:rsidRPr="007114AF">
        <w:t>”</w:t>
      </w:r>
      <w:r w:rsidR="00A9766F" w:rsidRPr="007114AF">
        <w:t>. Kjo nuk përbën habi duke qenë se procesi i NAP-it është ende në fillimet e tij dhe nuk ka filluar ende me monitorimin e progresit të mëtejshëm të tij.</w:t>
      </w:r>
    </w:p>
    <w:p w14:paraId="6EDCFBDD" w14:textId="5BCCECD8" w:rsidR="00A9766F" w:rsidRPr="007114AF" w:rsidRDefault="00A9766F" w:rsidP="00206985">
      <w:pPr>
        <w:pStyle w:val="TEKSTI"/>
      </w:pPr>
      <w:r w:rsidRPr="007114AF">
        <w:rPr>
          <w:b/>
          <w:sz w:val="20"/>
          <w:szCs w:val="20"/>
        </w:rPr>
        <w:t>Diagram rrjetë nga analiza SNAP për Shqipërinë.</w:t>
      </w:r>
      <w:r w:rsidRPr="007114AF">
        <w:t xml:space="preserve"> Siç është përmendur, analiza SNAP ofron potencial për projektimin e një procesi NAP, që u jep zgjidhje boshllëqeve të dukshme dhe shfrytëzon mundësitë ekzistuese. Përfundimet në lidhje me projektimin e procesit të NAP-it janë nxjerrë gjatë takimit të punës,</w:t>
      </w:r>
      <w:r w:rsidR="009717A4">
        <w:t xml:space="preserve"> </w:t>
      </w:r>
      <w:r w:rsidRPr="007114AF">
        <w:t xml:space="preserve">të vlerësimit të situatës nëpërmjet një analize SWOT. Rezultatet e analizës SWOT e nxjerra përgjatë këtij takimi, janë pasqyruar dhe përshtatur në diskutimet e mëpasshme nga të cilat ka dalë dhe diagrami SWOT, që paraqitet në figurën 26. </w:t>
      </w:r>
    </w:p>
    <w:p w14:paraId="6EDCFBDE" w14:textId="77777777" w:rsidR="00206985" w:rsidRPr="007114AF" w:rsidRDefault="00206985" w:rsidP="00206985">
      <w:pPr>
        <w:pStyle w:val="TEKSTI"/>
      </w:pPr>
    </w:p>
    <w:tbl>
      <w:tblPr>
        <w:tblStyle w:val="TableGrid"/>
        <w:tblW w:w="0" w:type="auto"/>
        <w:tblLook w:val="04A0" w:firstRow="1" w:lastRow="0" w:firstColumn="1" w:lastColumn="0" w:noHBand="0" w:noVBand="1"/>
      </w:tblPr>
      <w:tblGrid>
        <w:gridCol w:w="4644"/>
        <w:gridCol w:w="4643"/>
      </w:tblGrid>
      <w:tr w:rsidR="00A9766F" w:rsidRPr="007114AF" w14:paraId="6EDCFBEC" w14:textId="77777777" w:rsidTr="00A9766F">
        <w:tc>
          <w:tcPr>
            <w:tcW w:w="4756" w:type="dxa"/>
          </w:tcPr>
          <w:p w14:paraId="6EDCFBDF" w14:textId="77777777" w:rsidR="00A9766F" w:rsidRPr="007114AF" w:rsidRDefault="00A9766F" w:rsidP="00206985">
            <w:pPr>
              <w:pStyle w:val="Standardtextbody"/>
              <w:spacing w:after="0" w:line="240" w:lineRule="auto"/>
              <w:jc w:val="both"/>
              <w:rPr>
                <w:rFonts w:ascii="Garamond" w:hAnsi="Garamond"/>
                <w:b/>
                <w:lang w:val="sq-AL"/>
              </w:rPr>
            </w:pPr>
            <w:r w:rsidRPr="007114AF">
              <w:rPr>
                <w:rFonts w:ascii="Garamond" w:hAnsi="Garamond"/>
                <w:b/>
                <w:lang w:val="sq-AL"/>
              </w:rPr>
              <w:t>Pikat e forta</w:t>
            </w:r>
          </w:p>
          <w:p w14:paraId="6EDCFBE0" w14:textId="77777777" w:rsidR="00A9766F" w:rsidRPr="007114AF" w:rsidRDefault="00A9766F" w:rsidP="00206985">
            <w:pPr>
              <w:pStyle w:val="Standardtextbody"/>
              <w:spacing w:after="0" w:line="240" w:lineRule="auto"/>
              <w:jc w:val="both"/>
              <w:rPr>
                <w:rFonts w:ascii="Garamond" w:hAnsi="Garamond"/>
                <w:lang w:val="sq-AL"/>
              </w:rPr>
            </w:pPr>
          </w:p>
          <w:p w14:paraId="6EDCFBE1" w14:textId="77777777"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 Këshilli i Ministrave e ka dhënë mandatin për përgatitjen e NAP-it</w:t>
            </w:r>
          </w:p>
          <w:p w14:paraId="6EDCFBE2" w14:textId="33C85945"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w:t>
            </w:r>
            <w:r w:rsidR="008D30FC" w:rsidRPr="007114AF">
              <w:rPr>
                <w:rFonts w:ascii="Garamond" w:hAnsi="Garamond"/>
                <w:lang w:val="sq-AL"/>
              </w:rPr>
              <w:t xml:space="preserve"> </w:t>
            </w:r>
            <w:r w:rsidRPr="007114AF">
              <w:rPr>
                <w:rFonts w:ascii="Garamond" w:hAnsi="Garamond"/>
                <w:lang w:val="sq-AL"/>
              </w:rPr>
              <w:t>Motivim i lartë nga ana e Ministrisë së Mjedisit</w:t>
            </w:r>
          </w:p>
          <w:p w14:paraId="6EDCFBE3" w14:textId="77777777"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 Cilësi e mirë e informacioneve ekzistuese për klimën.</w:t>
            </w:r>
          </w:p>
          <w:p w14:paraId="6EDCFBE4" w14:textId="77777777" w:rsidR="00A9766F" w:rsidRPr="007114AF" w:rsidRDefault="00A9766F" w:rsidP="00206985">
            <w:pPr>
              <w:pStyle w:val="Standardtextbody"/>
              <w:spacing w:after="0" w:line="240" w:lineRule="auto"/>
              <w:jc w:val="both"/>
              <w:rPr>
                <w:rFonts w:ascii="Garamond" w:hAnsi="Garamond"/>
                <w:lang w:val="sq-AL"/>
              </w:rPr>
            </w:pPr>
          </w:p>
        </w:tc>
        <w:tc>
          <w:tcPr>
            <w:tcW w:w="4756" w:type="dxa"/>
          </w:tcPr>
          <w:p w14:paraId="6EDCFBE5" w14:textId="77777777" w:rsidR="00A9766F" w:rsidRPr="007114AF" w:rsidRDefault="00A9766F" w:rsidP="00206985">
            <w:pPr>
              <w:pStyle w:val="Standardtextbody"/>
              <w:spacing w:after="0" w:line="240" w:lineRule="auto"/>
              <w:jc w:val="both"/>
              <w:rPr>
                <w:rFonts w:ascii="Garamond" w:hAnsi="Garamond"/>
                <w:b/>
                <w:lang w:val="sq-AL"/>
              </w:rPr>
            </w:pPr>
            <w:r w:rsidRPr="007114AF">
              <w:rPr>
                <w:rFonts w:ascii="Garamond" w:hAnsi="Garamond"/>
                <w:b/>
                <w:lang w:val="sq-AL"/>
              </w:rPr>
              <w:t>Pikat e dobëta</w:t>
            </w:r>
          </w:p>
          <w:p w14:paraId="6EDCFBE6" w14:textId="77777777" w:rsidR="00A9766F" w:rsidRPr="007114AF" w:rsidRDefault="00A9766F" w:rsidP="00206985">
            <w:pPr>
              <w:pStyle w:val="Standardtextbody"/>
              <w:spacing w:after="0" w:line="240" w:lineRule="auto"/>
              <w:jc w:val="both"/>
              <w:rPr>
                <w:rFonts w:ascii="Garamond" w:hAnsi="Garamond"/>
                <w:lang w:val="sq-AL"/>
              </w:rPr>
            </w:pPr>
          </w:p>
          <w:p w14:paraId="6EDCFBE7" w14:textId="77777777"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 Nuk ka të dhëna të gatshme dhe të përpunueshme për ministritë e linjës</w:t>
            </w:r>
          </w:p>
          <w:p w14:paraId="6EDCFBE8" w14:textId="0F98CB28"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w:t>
            </w:r>
            <w:r w:rsidR="000A2A01" w:rsidRPr="007114AF">
              <w:rPr>
                <w:rFonts w:ascii="Garamond" w:hAnsi="Garamond"/>
                <w:lang w:val="sq-AL"/>
              </w:rPr>
              <w:t xml:space="preserve"> </w:t>
            </w:r>
            <w:r w:rsidRPr="007114AF">
              <w:rPr>
                <w:rFonts w:ascii="Garamond" w:hAnsi="Garamond"/>
                <w:lang w:val="sq-AL"/>
              </w:rPr>
              <w:t>Nuk ka struktura të konsoliduara shtetërore për ndryshimet klimatike</w:t>
            </w:r>
          </w:p>
          <w:p w14:paraId="6EDCFBE9" w14:textId="3748805A"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w:t>
            </w:r>
            <w:r w:rsidR="000A2A01" w:rsidRPr="007114AF">
              <w:rPr>
                <w:rFonts w:ascii="Garamond" w:hAnsi="Garamond"/>
                <w:lang w:val="sq-AL"/>
              </w:rPr>
              <w:t xml:space="preserve"> </w:t>
            </w:r>
            <w:r w:rsidRPr="007114AF">
              <w:rPr>
                <w:rFonts w:ascii="Garamond" w:hAnsi="Garamond"/>
                <w:lang w:val="sq-AL"/>
              </w:rPr>
              <w:t>Struktura të pamjaftueshme bashkërendimi për ndryshimet klimatike / nuk ka angazhim proaktiv nga ministritë e linjës</w:t>
            </w:r>
          </w:p>
          <w:p w14:paraId="6EDCFBEA" w14:textId="77777777"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 Mbizotëron puna e konsulentëve të jashtëm e palidhur me proceset shtetërore.</w:t>
            </w:r>
          </w:p>
          <w:p w14:paraId="6EDCFBEB" w14:textId="77777777" w:rsidR="00A9766F" w:rsidRPr="007114AF" w:rsidRDefault="00A9766F" w:rsidP="00206985">
            <w:pPr>
              <w:pStyle w:val="Standardtextbody"/>
              <w:spacing w:after="0" w:line="240" w:lineRule="auto"/>
              <w:jc w:val="both"/>
              <w:rPr>
                <w:rFonts w:ascii="Garamond" w:hAnsi="Garamond"/>
                <w:lang w:val="sq-AL"/>
              </w:rPr>
            </w:pPr>
          </w:p>
        </w:tc>
      </w:tr>
      <w:tr w:rsidR="00A9766F" w:rsidRPr="007114AF" w14:paraId="6EDCFBFB" w14:textId="77777777" w:rsidTr="00A9766F">
        <w:tc>
          <w:tcPr>
            <w:tcW w:w="4756" w:type="dxa"/>
          </w:tcPr>
          <w:p w14:paraId="6EDCFBED" w14:textId="77777777" w:rsidR="00A9766F" w:rsidRPr="007114AF" w:rsidRDefault="00A9766F" w:rsidP="00206985">
            <w:pPr>
              <w:pStyle w:val="Standardtextbody"/>
              <w:spacing w:after="0" w:line="240" w:lineRule="auto"/>
              <w:jc w:val="both"/>
              <w:rPr>
                <w:rFonts w:ascii="Garamond" w:hAnsi="Garamond"/>
                <w:b/>
                <w:lang w:val="sq-AL"/>
              </w:rPr>
            </w:pPr>
            <w:r w:rsidRPr="007114AF">
              <w:rPr>
                <w:rFonts w:ascii="Garamond" w:hAnsi="Garamond"/>
                <w:b/>
                <w:lang w:val="sq-AL"/>
              </w:rPr>
              <w:t>Mundësitë</w:t>
            </w:r>
          </w:p>
          <w:p w14:paraId="6EDCFBEE" w14:textId="77777777" w:rsidR="00A9766F" w:rsidRPr="007114AF" w:rsidRDefault="00A9766F" w:rsidP="00206985">
            <w:pPr>
              <w:pStyle w:val="Standardtextbody"/>
              <w:spacing w:after="0" w:line="240" w:lineRule="auto"/>
              <w:jc w:val="both"/>
              <w:rPr>
                <w:rFonts w:ascii="Garamond" w:hAnsi="Garamond"/>
                <w:lang w:val="sq-AL"/>
              </w:rPr>
            </w:pPr>
          </w:p>
          <w:p w14:paraId="6EDCFBEF" w14:textId="77777777"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 Këshilli i Ministrave e ka dhënë mandatin për përgatitjen e NAP-it</w:t>
            </w:r>
          </w:p>
          <w:p w14:paraId="6EDCFBF0" w14:textId="47623FCA"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w:t>
            </w:r>
            <w:r w:rsidR="000A2A01" w:rsidRPr="007114AF">
              <w:rPr>
                <w:rFonts w:ascii="Garamond" w:hAnsi="Garamond"/>
                <w:lang w:val="sq-AL"/>
              </w:rPr>
              <w:t xml:space="preserve"> </w:t>
            </w:r>
            <w:r w:rsidRPr="007114AF">
              <w:rPr>
                <w:rFonts w:ascii="Garamond" w:hAnsi="Garamond"/>
                <w:lang w:val="sq-AL"/>
              </w:rPr>
              <w:t>Ka ekspertë të gatshëm jashtë administratës</w:t>
            </w:r>
          </w:p>
          <w:p w14:paraId="6EDCFBF1" w14:textId="78E5B502"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w:t>
            </w:r>
            <w:r w:rsidR="000A2A01" w:rsidRPr="007114AF">
              <w:rPr>
                <w:rFonts w:ascii="Garamond" w:hAnsi="Garamond"/>
                <w:lang w:val="sq-AL"/>
              </w:rPr>
              <w:t xml:space="preserve"> </w:t>
            </w:r>
            <w:r w:rsidRPr="007114AF">
              <w:rPr>
                <w:rFonts w:ascii="Garamond" w:hAnsi="Garamond"/>
                <w:lang w:val="sq-AL"/>
              </w:rPr>
              <w:t>Opsionet teknike dihen në parim</w:t>
            </w:r>
          </w:p>
          <w:p w14:paraId="6EDCFBF2" w14:textId="77777777"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•Ka potenciale për integrimin e përshtatjes ndaj ndryshimive klimatike në disa plane të reja të ardhshme</w:t>
            </w:r>
          </w:p>
          <w:p w14:paraId="6EDCFBF3" w14:textId="77777777"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 Procesi NAP përfiton nga mundësitë e ardhshme për fonde klimatike.</w:t>
            </w:r>
          </w:p>
        </w:tc>
        <w:tc>
          <w:tcPr>
            <w:tcW w:w="4756" w:type="dxa"/>
          </w:tcPr>
          <w:p w14:paraId="6EDCFBF4" w14:textId="77777777" w:rsidR="00A9766F" w:rsidRPr="007114AF" w:rsidRDefault="00A9766F" w:rsidP="00206985">
            <w:pPr>
              <w:pStyle w:val="Standardtextbody"/>
              <w:spacing w:after="0" w:line="240" w:lineRule="auto"/>
              <w:jc w:val="both"/>
              <w:rPr>
                <w:rFonts w:ascii="Garamond" w:hAnsi="Garamond"/>
                <w:b/>
                <w:lang w:val="sq-AL"/>
              </w:rPr>
            </w:pPr>
            <w:r w:rsidRPr="007114AF">
              <w:rPr>
                <w:rFonts w:ascii="Garamond" w:hAnsi="Garamond"/>
                <w:b/>
                <w:lang w:val="sq-AL"/>
              </w:rPr>
              <w:t>Rreziqet</w:t>
            </w:r>
          </w:p>
          <w:p w14:paraId="6EDCFBF5" w14:textId="77777777" w:rsidR="00A9766F" w:rsidRPr="007114AF" w:rsidRDefault="00A9766F" w:rsidP="00206985">
            <w:pPr>
              <w:pStyle w:val="Standardtextbody"/>
              <w:spacing w:after="0" w:line="240" w:lineRule="auto"/>
              <w:jc w:val="both"/>
              <w:rPr>
                <w:rFonts w:ascii="Garamond" w:hAnsi="Garamond"/>
                <w:lang w:val="sq-AL"/>
              </w:rPr>
            </w:pPr>
          </w:p>
          <w:p w14:paraId="6EDCFBF6" w14:textId="77777777"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 Mungesë kapacitetesh në të gjitha fushate qeverisjes shtetërore</w:t>
            </w:r>
          </w:p>
          <w:p w14:paraId="6EDCFBF7" w14:textId="77DBA319"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 Kapacitet i ulët personeli për ndryshimet</w:t>
            </w:r>
            <w:r w:rsidR="000A2A01" w:rsidRPr="007114AF">
              <w:rPr>
                <w:rFonts w:ascii="Garamond" w:hAnsi="Garamond"/>
                <w:lang w:val="sq-AL"/>
              </w:rPr>
              <w:t xml:space="preserve"> </w:t>
            </w:r>
            <w:r w:rsidRPr="007114AF">
              <w:rPr>
                <w:rFonts w:ascii="Garamond" w:hAnsi="Garamond"/>
                <w:lang w:val="sq-AL"/>
              </w:rPr>
              <w:t>klimatike</w:t>
            </w:r>
          </w:p>
          <w:p w14:paraId="6EDCFBF8" w14:textId="4D11B787"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w:t>
            </w:r>
            <w:r w:rsidR="000A2A01" w:rsidRPr="007114AF">
              <w:rPr>
                <w:rFonts w:ascii="Garamond" w:hAnsi="Garamond"/>
                <w:lang w:val="sq-AL"/>
              </w:rPr>
              <w:t xml:space="preserve"> </w:t>
            </w:r>
            <w:r w:rsidRPr="007114AF">
              <w:rPr>
                <w:rFonts w:ascii="Garamond" w:hAnsi="Garamond"/>
                <w:lang w:val="sq-AL"/>
              </w:rPr>
              <w:t>Njohuri relativisht të ulëta për ndryshimet klimatike në ministritë e linjës</w:t>
            </w:r>
          </w:p>
          <w:p w14:paraId="6EDCFBF9" w14:textId="7DFB109C"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w:t>
            </w:r>
            <w:r w:rsidR="000A2A01" w:rsidRPr="007114AF">
              <w:rPr>
                <w:rFonts w:ascii="Garamond" w:hAnsi="Garamond"/>
                <w:lang w:val="sq-AL"/>
              </w:rPr>
              <w:t xml:space="preserve"> </w:t>
            </w:r>
            <w:r w:rsidRPr="007114AF">
              <w:rPr>
                <w:rFonts w:ascii="Garamond" w:hAnsi="Garamond"/>
                <w:lang w:val="sq-AL"/>
              </w:rPr>
              <w:t>Mospranim i rëndësisë së ndryshimeve klimatike nga politikat dhe publiku.</w:t>
            </w:r>
          </w:p>
          <w:p w14:paraId="6EDCFBFA" w14:textId="0F9B1552" w:rsidR="00A9766F" w:rsidRPr="007114AF" w:rsidRDefault="00A9766F" w:rsidP="00206985">
            <w:pPr>
              <w:pStyle w:val="Standardtextbody"/>
              <w:spacing w:after="0" w:line="240" w:lineRule="auto"/>
              <w:jc w:val="both"/>
              <w:rPr>
                <w:rFonts w:ascii="Garamond" w:hAnsi="Garamond"/>
                <w:lang w:val="sq-AL"/>
              </w:rPr>
            </w:pPr>
            <w:r w:rsidRPr="007114AF">
              <w:rPr>
                <w:rFonts w:ascii="Garamond" w:hAnsi="Garamond"/>
                <w:lang w:val="sq-AL"/>
              </w:rPr>
              <w:t>•</w:t>
            </w:r>
            <w:r w:rsidR="000A2A01" w:rsidRPr="007114AF">
              <w:rPr>
                <w:rFonts w:ascii="Garamond" w:hAnsi="Garamond"/>
                <w:lang w:val="sq-AL"/>
              </w:rPr>
              <w:t xml:space="preserve"> </w:t>
            </w:r>
            <w:r w:rsidRPr="007114AF">
              <w:rPr>
                <w:rFonts w:ascii="Garamond" w:hAnsi="Garamond"/>
                <w:lang w:val="sq-AL"/>
              </w:rPr>
              <w:t>Përputhshmëri e kufizuar mes fushave të ndryshme të bërjes së politikave.</w:t>
            </w:r>
          </w:p>
        </w:tc>
      </w:tr>
    </w:tbl>
    <w:p w14:paraId="6EDCFBFC" w14:textId="77777777" w:rsidR="00A9766F" w:rsidRPr="007114AF" w:rsidRDefault="00A9766F" w:rsidP="00206985">
      <w:pPr>
        <w:pStyle w:val="TEKSTI"/>
      </w:pPr>
    </w:p>
    <w:p w14:paraId="6EDCFBFD" w14:textId="77777777" w:rsidR="00A9766F" w:rsidRPr="007114AF" w:rsidRDefault="00A9766F" w:rsidP="00206985">
      <w:pPr>
        <w:pStyle w:val="FIGURA"/>
        <w:rPr>
          <w:sz w:val="20"/>
          <w:szCs w:val="20"/>
        </w:rPr>
      </w:pPr>
      <w:r w:rsidRPr="007114AF">
        <w:rPr>
          <w:sz w:val="20"/>
          <w:szCs w:val="20"/>
        </w:rPr>
        <w:t>Figura</w:t>
      </w:r>
      <w:r w:rsidR="00206985"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25</w:t>
      </w:r>
      <w:r w:rsidRPr="007114AF">
        <w:rPr>
          <w:sz w:val="20"/>
          <w:szCs w:val="20"/>
        </w:rPr>
        <w:fldChar w:fldCharType="end"/>
      </w:r>
      <w:r w:rsidRPr="007114AF">
        <w:rPr>
          <w:sz w:val="20"/>
          <w:szCs w:val="20"/>
        </w:rPr>
        <w:t>6: Analiza SWOT për procesin shqiptar të NAP-it</w:t>
      </w:r>
    </w:p>
    <w:p w14:paraId="6EDCFBFE" w14:textId="77777777" w:rsidR="00A9766F" w:rsidRPr="007114AF" w:rsidRDefault="00A9766F" w:rsidP="00206985">
      <w:pPr>
        <w:pStyle w:val="TEKSTI"/>
      </w:pPr>
    </w:p>
    <w:p w14:paraId="6EDCFBFF" w14:textId="77777777" w:rsidR="00A9766F" w:rsidRPr="007114AF" w:rsidRDefault="00A9766F" w:rsidP="00206985">
      <w:pPr>
        <w:pStyle w:val="TEKSTI"/>
      </w:pPr>
      <w:r w:rsidRPr="007114AF">
        <w:t>Mesazhet kryesore të analizës SWOT mund të përmblidhen si vijon:</w:t>
      </w:r>
    </w:p>
    <w:p w14:paraId="6EDCFC00" w14:textId="77777777" w:rsidR="00A9766F" w:rsidRPr="007114AF" w:rsidRDefault="00782894" w:rsidP="00206985">
      <w:pPr>
        <w:pStyle w:val="TEKSTI"/>
      </w:pPr>
      <w:r w:rsidRPr="007114AF">
        <w:t xml:space="preserve">- </w:t>
      </w:r>
      <w:r w:rsidR="00A9766F" w:rsidRPr="007114AF">
        <w:t>Situata e informacionit ekzistues për klimën është relativisht e mirë, por nuk njihet mirë dhe nuk është e aksesueshme, siç është thënë më parë.</w:t>
      </w:r>
    </w:p>
    <w:p w14:paraId="6EDCFC01" w14:textId="77777777" w:rsidR="00A9766F" w:rsidRPr="007114AF" w:rsidRDefault="00782894" w:rsidP="00206985">
      <w:pPr>
        <w:pStyle w:val="TEKSTI"/>
      </w:pPr>
      <w:r w:rsidRPr="007114AF">
        <w:t xml:space="preserve">- </w:t>
      </w:r>
      <w:r w:rsidR="00A9766F" w:rsidRPr="007114AF">
        <w:t>Studimet, siç është përmendur më lart, ofrojnë baza të mira tematike për procesin e përshtatjes, por nuk janë të lidhura mjaftueshëm me proceset e qeverisë.</w:t>
      </w:r>
    </w:p>
    <w:p w14:paraId="6EDCFC02" w14:textId="1A8423A2" w:rsidR="00A9766F" w:rsidRPr="007114AF" w:rsidRDefault="00782894" w:rsidP="00206985">
      <w:pPr>
        <w:pStyle w:val="TEKSTI"/>
      </w:pPr>
      <w:r w:rsidRPr="007114AF">
        <w:t xml:space="preserve">- </w:t>
      </w:r>
      <w:r w:rsidR="00A9766F" w:rsidRPr="007114AF">
        <w:t>Ndërgjegjësimi i kufizuar për ndryshimet klimatike në nivel politikëbërës</w:t>
      </w:r>
      <w:r w:rsidR="00345C65">
        <w:t>,</w:t>
      </w:r>
      <w:r w:rsidR="00A9766F" w:rsidRPr="007114AF">
        <w:t xml:space="preserve"> si dhe</w:t>
      </w:r>
      <w:r w:rsidR="000A2A01" w:rsidRPr="007114AF">
        <w:t xml:space="preserve"> </w:t>
      </w:r>
      <w:r w:rsidR="00A9766F" w:rsidRPr="007114AF">
        <w:t>njohuritë e limituara</w:t>
      </w:r>
      <w:r w:rsidR="002C011E">
        <w:t xml:space="preserve"> </w:t>
      </w:r>
      <w:r w:rsidR="00A9766F" w:rsidRPr="007114AF">
        <w:t>të publikut e pengojnë të paturit e një procesi të fuqishëm të NAP-it. Politikat për ndryshimet klimatike vijojnë të jenë relativisht në fund të agjendës politike.</w:t>
      </w:r>
    </w:p>
    <w:p w14:paraId="6EDCFC03" w14:textId="77777777" w:rsidR="00A9766F" w:rsidRPr="007114AF" w:rsidRDefault="00782894" w:rsidP="00206985">
      <w:pPr>
        <w:pStyle w:val="TEKSTI"/>
      </w:pPr>
      <w:r w:rsidRPr="007114AF">
        <w:t xml:space="preserve">- </w:t>
      </w:r>
      <w:r w:rsidR="00A9766F" w:rsidRPr="007114AF">
        <w:t>Njohja e ndryshimeve klimatike dhe e procesit të NAP-it në veçanti, mund të përfitojë nga fakti që NAP-i mund të nxisë mundësitë për të marrë financim për klimën në përgjithësi dhe për të përfituar nga Fondi i Gjelbër për Klimën në veçanti.</w:t>
      </w:r>
    </w:p>
    <w:p w14:paraId="6EDCFC04" w14:textId="77777777" w:rsidR="00A9766F" w:rsidRPr="007114AF" w:rsidRDefault="00782894" w:rsidP="00206985">
      <w:pPr>
        <w:pStyle w:val="TEKSTI"/>
      </w:pPr>
      <w:r w:rsidRPr="007114AF">
        <w:t xml:space="preserve">- </w:t>
      </w:r>
      <w:r w:rsidR="00A9766F" w:rsidRPr="007114AF">
        <w:t xml:space="preserve">Një mundësi e rëndësishme lind nga fakti se janë duke u zhvilluar disa plane zhvillimi dhe plane sektoriale të cilët mundësojnë integrimin e ndryshimeve klimatike. Kjo analizohet më tej në kapitullin 4.6. </w:t>
      </w:r>
    </w:p>
    <w:p w14:paraId="6EDCFC05" w14:textId="16D3F29D" w:rsidR="00A9766F" w:rsidRPr="007114AF" w:rsidRDefault="00A9766F" w:rsidP="00206985">
      <w:pPr>
        <w:pStyle w:val="TEKSTI"/>
      </w:pPr>
      <w:r w:rsidRPr="007114AF">
        <w:t>Në bazë të këtij instrumenti SNAP me pjesëmarrje dhe analize SWOT, procesi i NAP-it</w:t>
      </w:r>
      <w:r w:rsidR="00330D80">
        <w:t xml:space="preserve"> </w:t>
      </w:r>
      <w:r w:rsidRPr="007114AF">
        <w:t xml:space="preserve">do të asistojë në plotësimin e boshllëqeve të identifikuara dhe do të përmbushë nevojat përmes zhvillimit të veprimeve prioritare në kapitullin 6.1. </w:t>
      </w:r>
    </w:p>
    <w:p w14:paraId="6EDCFC06" w14:textId="77777777" w:rsidR="00A9766F" w:rsidRPr="007114AF" w:rsidRDefault="00206985" w:rsidP="00206985">
      <w:pPr>
        <w:pStyle w:val="TEKSTI"/>
        <w:rPr>
          <w:b/>
        </w:rPr>
      </w:pPr>
      <w:bookmarkStart w:id="88" w:name="_Toc484424490"/>
      <w:bookmarkStart w:id="89" w:name="_Toc479083853"/>
      <w:bookmarkStart w:id="90" w:name="_Toc483570092"/>
      <w:r w:rsidRPr="007114AF">
        <w:rPr>
          <w:b/>
        </w:rPr>
        <w:t xml:space="preserve">2.8.2 </w:t>
      </w:r>
      <w:r w:rsidR="00A9766F" w:rsidRPr="007114AF">
        <w:rPr>
          <w:b/>
        </w:rPr>
        <w:t>Rezultatet e studimeve të mëparshme, vlerësimet e vulnerabilitetit dhe zhvillimet e koncepteve për përshtatjen.</w:t>
      </w:r>
      <w:bookmarkEnd w:id="88"/>
      <w:bookmarkEnd w:id="89"/>
      <w:bookmarkEnd w:id="90"/>
    </w:p>
    <w:p w14:paraId="6EDCFC07" w14:textId="77777777" w:rsidR="00A9766F" w:rsidRPr="007114AF" w:rsidRDefault="00206985" w:rsidP="00206985">
      <w:pPr>
        <w:pStyle w:val="TEKSTI"/>
        <w:rPr>
          <w:b/>
        </w:rPr>
      </w:pPr>
      <w:r w:rsidRPr="007114AF">
        <w:rPr>
          <w:b/>
        </w:rPr>
        <w:t xml:space="preserve">2.8.2.1 </w:t>
      </w:r>
      <w:r w:rsidR="00A9766F" w:rsidRPr="007114AF">
        <w:rPr>
          <w:b/>
        </w:rPr>
        <w:t xml:space="preserve">Statusi i dijeve për efektet dhe vulnerabilitetin ndaj ndryshimeve klimatike </w:t>
      </w:r>
    </w:p>
    <w:p w14:paraId="6EDCFC08" w14:textId="6C920BD4" w:rsidR="00A9766F" w:rsidRPr="007114AF" w:rsidRDefault="00A9766F" w:rsidP="00206985">
      <w:pPr>
        <w:pStyle w:val="TEKSTI"/>
      </w:pPr>
      <w:r w:rsidRPr="007114AF">
        <w:t xml:space="preserve">Shqipëria ka filluar mjaft herët të analizojë sistematikisht vulnerabilitetin ndaj ndryshimeve klimatike. Studimi i parë në këtë kuadër është kryer me 1993 për </w:t>
      </w:r>
      <w:r w:rsidR="000A2A01" w:rsidRPr="007114AF">
        <w:t>“</w:t>
      </w:r>
      <w:r w:rsidRPr="007114AF">
        <w:t>Rrjedhojat e ndryshimeve klimatike për bregdetin shqiptar</w:t>
      </w:r>
      <w:r w:rsidR="000A2A01" w:rsidRPr="007114AF">
        <w:t>”</w:t>
      </w:r>
      <w:r w:rsidRPr="007114AF">
        <w:footnoteReference w:id="35"/>
      </w:r>
      <w:r w:rsidRPr="007114AF">
        <w:t>, në kuadër të Programit të Menaxhimit të Zonave Bregdetare të UNEP/MAP-it. Komunikimi i Parë (KPK) dhe i Dytë (KDK) Kombëtar i Shqipërisë për UNFCCC-në (KPK-ja në vitin 2002 dhe KDK-ja në 2009) japin në kapitujt e tyre përkatës për vulnerabilitetin, dhe përshtatjen, informacion për skenarët e ndryshimit të klimës, analizën e efektit të ndryshimeve klimatike aktuale dhe të pritura, si edhe për vlerësimin e masave dhe veprimeve të përshtatjes.</w:t>
      </w:r>
      <w:r w:rsidR="000A2A01" w:rsidRPr="007114AF">
        <w:t xml:space="preserve"> </w:t>
      </w:r>
      <w:r w:rsidRPr="007114AF">
        <w:t>Komunikimi i Tretë Kombëtar jep njohuri të përditësuara dhe më të hollësishme për efektet e klimës dhe zgjedhjet alternative për përshtatjen për zonën bregdetare të Shqipërisë.</w:t>
      </w:r>
    </w:p>
    <w:p w14:paraId="6EDCFC09" w14:textId="77777777" w:rsidR="00A9766F" w:rsidRPr="007114AF" w:rsidRDefault="00A9766F" w:rsidP="00206985">
      <w:pPr>
        <w:pStyle w:val="TEKSTI"/>
      </w:pPr>
      <w:r w:rsidRPr="007114AF">
        <w:t>Procesi i komunikimeve kombëtare jo vetëm që është konsideruar si një instrument për raportimin përpara UNFCCC-ës, por edhe për nxitjen e integrimit, nëpërmjet identifikimit dhe integrimit të drejtimeve kryesore të politikave për klimën në proceset kombëtare të planifikimit dhe programimit.</w:t>
      </w:r>
    </w:p>
    <w:p w14:paraId="6EDCFC0A" w14:textId="0AFF2F08" w:rsidR="00A9766F" w:rsidRPr="007114AF" w:rsidRDefault="00A9766F" w:rsidP="00206985">
      <w:pPr>
        <w:pStyle w:val="TEKSTI"/>
      </w:pPr>
      <w:r w:rsidRPr="007114AF">
        <w:t>Analiza e efektit për ndryshimet klimatike aktuale dhe të pritura, si dhe formulimi i</w:t>
      </w:r>
      <w:r w:rsidR="000A2A01" w:rsidRPr="007114AF">
        <w:t xml:space="preserve"> </w:t>
      </w:r>
      <w:r w:rsidRPr="007114AF">
        <w:t>nevojave për përshtatje, janë fokusuar në disa sektorë/sisteme:</w:t>
      </w:r>
    </w:p>
    <w:p w14:paraId="6EDCFC0B" w14:textId="69711F4D" w:rsidR="00A9766F" w:rsidRPr="007114AF" w:rsidRDefault="00782894" w:rsidP="00206985">
      <w:pPr>
        <w:pStyle w:val="TEKSTI"/>
      </w:pPr>
      <w:r w:rsidRPr="007114AF">
        <w:t xml:space="preserve">- </w:t>
      </w:r>
      <w:r w:rsidR="00A9766F" w:rsidRPr="007114AF">
        <w:t>Burimet ujore (KPK, KDK dhe KTK)</w:t>
      </w:r>
      <w:r w:rsidR="00F165B7">
        <w:t>;</w:t>
      </w:r>
    </w:p>
    <w:p w14:paraId="6EDCFC0C" w14:textId="33CAB6EC" w:rsidR="00A9766F" w:rsidRPr="007114AF" w:rsidRDefault="00782894" w:rsidP="00206985">
      <w:pPr>
        <w:pStyle w:val="TEKSTI"/>
      </w:pPr>
      <w:r w:rsidRPr="007114AF">
        <w:t xml:space="preserve">- </w:t>
      </w:r>
      <w:r w:rsidR="00A9766F" w:rsidRPr="007114AF">
        <w:t>Ekosistemet natyrore (KPK, KTK)</w:t>
      </w:r>
      <w:r w:rsidR="00F165B7">
        <w:t>;</w:t>
      </w:r>
    </w:p>
    <w:p w14:paraId="6EDCFC0D" w14:textId="26C43143" w:rsidR="00A9766F" w:rsidRPr="007114AF" w:rsidRDefault="00782894" w:rsidP="00206985">
      <w:pPr>
        <w:pStyle w:val="TEKSTI"/>
      </w:pPr>
      <w:r w:rsidRPr="007114AF">
        <w:t xml:space="preserve">- </w:t>
      </w:r>
      <w:r w:rsidR="00A9766F" w:rsidRPr="007114AF">
        <w:t>Ekosistemet e menaxhuara</w:t>
      </w:r>
      <w:r w:rsidR="00A10282">
        <w:t xml:space="preserve"> </w:t>
      </w:r>
      <w:r w:rsidR="00A9766F" w:rsidRPr="007114AF">
        <w:t>(bujqësia, pylltaria – KPK)</w:t>
      </w:r>
      <w:r w:rsidR="00F165B7">
        <w:t>;</w:t>
      </w:r>
    </w:p>
    <w:p w14:paraId="6EDCFC0E" w14:textId="3F6C04AE" w:rsidR="00A9766F" w:rsidRPr="007114AF" w:rsidRDefault="00782894" w:rsidP="00206985">
      <w:pPr>
        <w:pStyle w:val="TEKSTI"/>
      </w:pPr>
      <w:r w:rsidRPr="007114AF">
        <w:t xml:space="preserve">- </w:t>
      </w:r>
      <w:r w:rsidR="00A9766F" w:rsidRPr="007114AF">
        <w:t>Energjetika, transporti (KPK, KDK)</w:t>
      </w:r>
      <w:r w:rsidR="00F165B7">
        <w:t>;</w:t>
      </w:r>
    </w:p>
    <w:p w14:paraId="6EDCFC0F" w14:textId="2DFC5943" w:rsidR="00A9766F" w:rsidRPr="007114AF" w:rsidRDefault="00782894" w:rsidP="00206985">
      <w:pPr>
        <w:pStyle w:val="TEKSTI"/>
      </w:pPr>
      <w:r w:rsidRPr="007114AF">
        <w:t xml:space="preserve">- </w:t>
      </w:r>
      <w:r w:rsidR="00A9766F" w:rsidRPr="007114AF">
        <w:t>Turizmi (KPK, KDK dhe KTK)</w:t>
      </w:r>
      <w:r w:rsidR="00F165B7">
        <w:t>;</w:t>
      </w:r>
    </w:p>
    <w:p w14:paraId="6EDCFC10" w14:textId="44F925D9" w:rsidR="00A9766F" w:rsidRPr="007114AF" w:rsidRDefault="00782894" w:rsidP="00206985">
      <w:pPr>
        <w:pStyle w:val="TEKSTI"/>
      </w:pPr>
      <w:r w:rsidRPr="007114AF">
        <w:t xml:space="preserve">- </w:t>
      </w:r>
      <w:r w:rsidR="00A9766F" w:rsidRPr="007114AF">
        <w:t>Popullsia (KPK, KDK dhe KTK)</w:t>
      </w:r>
      <w:r w:rsidR="00F165B7">
        <w:t>;</w:t>
      </w:r>
    </w:p>
    <w:p w14:paraId="6EDCFC11" w14:textId="252DCCC0" w:rsidR="00A9766F" w:rsidRPr="007114AF" w:rsidRDefault="00782894" w:rsidP="00206985">
      <w:pPr>
        <w:pStyle w:val="TEKSTI"/>
      </w:pPr>
      <w:r w:rsidRPr="007114AF">
        <w:t xml:space="preserve">- </w:t>
      </w:r>
      <w:r w:rsidR="00A9766F" w:rsidRPr="007114AF">
        <w:t>Shëndetësia (KPK dhe KTK)</w:t>
      </w:r>
      <w:r w:rsidR="00F165B7">
        <w:t>;</w:t>
      </w:r>
    </w:p>
    <w:p w14:paraId="6EDCFC12" w14:textId="77777777" w:rsidR="00A9766F" w:rsidRPr="007114AF" w:rsidRDefault="00782894" w:rsidP="00206985">
      <w:pPr>
        <w:pStyle w:val="TEKSTI"/>
      </w:pPr>
      <w:r w:rsidRPr="007114AF">
        <w:t xml:space="preserve">- </w:t>
      </w:r>
      <w:r w:rsidR="00A9766F" w:rsidRPr="007114AF">
        <w:t>Fatkeqësitë natyrore të lidhura me klimën (KTK).</w:t>
      </w:r>
    </w:p>
    <w:p w14:paraId="6EDCFC13" w14:textId="538169C9" w:rsidR="00A9766F" w:rsidRPr="007114AF" w:rsidRDefault="00A9766F" w:rsidP="00206985">
      <w:pPr>
        <w:pStyle w:val="TEKSTI"/>
      </w:pPr>
      <w:r w:rsidRPr="007114AF">
        <w:t>Krahas komunikimeve kombëtare të gjithanshme, studimet dhe projektet sektoriale dhe rajonale sigurojnë informacion të rëndësishëm për modelimin klimatik, analizën e efekteve, vulnerabilitetet</w:t>
      </w:r>
      <w:r w:rsidR="00A10282">
        <w:t xml:space="preserve"> </w:t>
      </w:r>
      <w:r w:rsidRPr="007114AF">
        <w:t>dhe masat e mundshme të përshtatjes në Shqipëri:</w:t>
      </w:r>
    </w:p>
    <w:p w14:paraId="6EDCFC14" w14:textId="7A6258AD" w:rsidR="00A9766F" w:rsidRPr="007114AF" w:rsidRDefault="00782894" w:rsidP="00206985">
      <w:pPr>
        <w:pStyle w:val="TEKSTI"/>
      </w:pPr>
      <w:r w:rsidRPr="007114AF">
        <w:t xml:space="preserve">- </w:t>
      </w:r>
      <w:r w:rsidR="000A2A01" w:rsidRPr="007114AF">
        <w:t>“</w:t>
      </w:r>
      <w:r w:rsidR="00A9766F" w:rsidRPr="007114AF">
        <w:t>Identifikimi dhe zbatimi i masave</w:t>
      </w:r>
      <w:r w:rsidR="000A2A01" w:rsidRPr="007114AF">
        <w:t xml:space="preserve"> </w:t>
      </w:r>
      <w:r w:rsidR="00A9766F" w:rsidRPr="007114AF">
        <w:t>përshtatëse në grykëderdhjet e Drinit dhe Matit</w:t>
      </w:r>
      <w:r w:rsidR="000A2A01" w:rsidRPr="007114AF">
        <w:t>”</w:t>
      </w:r>
      <w:r w:rsidR="00A9766F" w:rsidRPr="007114AF">
        <w:t xml:space="preserve"> (GDDM)</w:t>
      </w:r>
      <w:r w:rsidR="00A9766F" w:rsidRPr="007114AF">
        <w:footnoteReference w:id="36"/>
      </w:r>
      <w:r w:rsidR="00A9766F" w:rsidRPr="007114AF">
        <w:t>: Në rezultatet e këtij projekti pilot, të mbështetur nga GEF/UNDP/Qeveria shqiptare</w:t>
      </w:r>
      <w:r w:rsidR="00456B31">
        <w:t xml:space="preserve"> </w:t>
      </w:r>
      <w:r w:rsidR="00A9766F" w:rsidRPr="007114AF">
        <w:t xml:space="preserve">përfshihen: </w:t>
      </w:r>
    </w:p>
    <w:p w14:paraId="6EDCFC15" w14:textId="29F0D684" w:rsidR="00A9766F" w:rsidRPr="007114AF" w:rsidRDefault="00A9766F" w:rsidP="00206985">
      <w:pPr>
        <w:pStyle w:val="TEKSTI"/>
      </w:pPr>
      <w:r w:rsidRPr="007114AF">
        <w:t>1. Zhvillimi i kapaciteteve për të monitoruar dhe për t</w:t>
      </w:r>
      <w:r w:rsidR="00D10DAB" w:rsidRPr="007114AF">
        <w:t>’</w:t>
      </w:r>
      <w:r w:rsidRPr="007114AF">
        <w:t>iu përgjigjur efekteve të pritura të ndryshimeve klimatike në GDDM-ë në nivel institucional dhe në nivel komuniteti; 2. Integrimi i rreziqeve</w:t>
      </w:r>
      <w:r w:rsidR="00456B31">
        <w:t xml:space="preserve"> </w:t>
      </w:r>
      <w:r w:rsidRPr="007114AF">
        <w:t>të ndryshimit të klimës dhe veprimeve vendore pilote për përshtatjen bregdetare në programet, planet dhe politikat për ruajtjen dhe zhvillimin e rajonit të GDDM-ës: 3. Zhvillimi i kapaciteteve për menaxhim, monitorim dhe vlerësim përshtatës për nxjerrjen e mësimeve dhe përhapjen e rezultateve të projektit.</w:t>
      </w:r>
    </w:p>
    <w:p w14:paraId="6EDCFC16" w14:textId="5D9897AD" w:rsidR="00A9766F" w:rsidRPr="007114AF" w:rsidRDefault="00782894" w:rsidP="00206985">
      <w:pPr>
        <w:pStyle w:val="TEKSTI"/>
      </w:pPr>
      <w:r w:rsidRPr="007114AF">
        <w:t xml:space="preserve">- </w:t>
      </w:r>
      <w:r w:rsidR="000A2A01" w:rsidRPr="007114AF">
        <w:t>“</w:t>
      </w:r>
      <w:r w:rsidR="00A9766F" w:rsidRPr="007114AF">
        <w:t>Përshtatja ndaj ndryshimeve klimatike në Ballkanin Perëndimor</w:t>
      </w:r>
      <w:r w:rsidR="000A2A01" w:rsidRPr="007114AF">
        <w:t>”</w:t>
      </w:r>
      <w:r w:rsidR="00A9766F" w:rsidRPr="007114AF">
        <w:t>: Ky projekt i mbështetur nga GIZ-i këshillon ministritë përkatëse në Shqipëri, Kosovë, Maqedoni, Malin e Zi dhe Serbi, për hartimin dhe zbatimin e strategjive për përshtatjen ndaj ndryshimeve klimatike. Në mënyrë specifike, projekti synon uljen e rreziqeve të përmbytjeve dhe thatësirës, si edhe fuqizimin e bashkëpunimit rajonal në fushën e menaxhimit të integruar të burimeve ujore.</w:t>
      </w:r>
    </w:p>
    <w:p w14:paraId="6EDCFC17" w14:textId="09CB9252" w:rsidR="00A9766F" w:rsidRPr="007114AF" w:rsidRDefault="00782894" w:rsidP="00206985">
      <w:pPr>
        <w:pStyle w:val="TEKSTI"/>
      </w:pPr>
      <w:r w:rsidRPr="007114AF">
        <w:t xml:space="preserve">- </w:t>
      </w:r>
      <w:r w:rsidR="000A2A01" w:rsidRPr="007114AF">
        <w:t>“</w:t>
      </w:r>
      <w:r w:rsidR="00A9766F" w:rsidRPr="007114AF">
        <w:t>Ulja e vulnerabilitetit ndaj ndryshimeve të klimës në sistemet agrare të Shqipërisë: Vlerësimi i ndikimit dhe alternativat për përshtatjen</w:t>
      </w:r>
      <w:r w:rsidR="000A2A01" w:rsidRPr="007114AF">
        <w:t>”</w:t>
      </w:r>
      <w:r w:rsidR="00A9766F" w:rsidRPr="007114AF">
        <w:t>. Ky projekt i mbështetur nga Banka Botërore, ofron zgjedhje alternative për t</w:t>
      </w:r>
      <w:r w:rsidR="00D10DAB" w:rsidRPr="007114AF">
        <w:t>’</w:t>
      </w:r>
      <w:r w:rsidR="00A9766F" w:rsidRPr="007114AF">
        <w:t>iu përshtatur ndryshimit të klimës, për sektorin agrar dhe atë të burimeve ujore, së bashku me masat konkrete të përshtatjes, për katër zonat e veçanta agroekologjike të Shqipërisë</w:t>
      </w:r>
      <w:r w:rsidR="00A9766F" w:rsidRPr="007114AF">
        <w:footnoteReference w:id="37"/>
      </w:r>
      <w:r w:rsidR="00A9766F" w:rsidRPr="007114AF">
        <w:t>.</w:t>
      </w:r>
    </w:p>
    <w:p w14:paraId="6EDCFC18" w14:textId="4E50BE76" w:rsidR="00A9766F" w:rsidRPr="007114AF" w:rsidRDefault="00782894" w:rsidP="00206985">
      <w:pPr>
        <w:pStyle w:val="TEKSTI"/>
      </w:pPr>
      <w:r w:rsidRPr="007114AF">
        <w:t xml:space="preserve">- </w:t>
      </w:r>
      <w:r w:rsidR="000A2A01" w:rsidRPr="007114AF">
        <w:t>“</w:t>
      </w:r>
      <w:r w:rsidR="00A9766F" w:rsidRPr="007114AF">
        <w:t>Vlerësimi i vulnerabilitetit, rreziqet</w:t>
      </w:r>
      <w:r w:rsidR="000A2A01" w:rsidRPr="007114AF">
        <w:t xml:space="preserve"> </w:t>
      </w:r>
      <w:r w:rsidR="00A9766F" w:rsidRPr="007114AF">
        <w:t>dhe përshtatja në lidhje me ndryshimet klimatike në sektorin energjetik të Shqipërisë</w:t>
      </w:r>
      <w:r w:rsidR="000A2A01" w:rsidRPr="007114AF">
        <w:t>”</w:t>
      </w:r>
      <w:r w:rsidR="00A9766F" w:rsidRPr="007114AF">
        <w:t>: Ky projekt ka ofruar rritje të njohurive teknike dhe të kapaciteteve teknike për të arritur zgjidhje energjetike të qëndrueshme nga aspekti mjedisor dhe me aftësi rimëkëmbëse,</w:t>
      </w:r>
      <w:r w:rsidR="000A2A01" w:rsidRPr="007114AF">
        <w:t xml:space="preserve"> </w:t>
      </w:r>
      <w:r w:rsidR="00A9766F" w:rsidRPr="007114AF">
        <w:t>në kuadër të uljes së varfërisë dhe rritjes ekonomike.</w:t>
      </w:r>
    </w:p>
    <w:p w14:paraId="6EDCFC19" w14:textId="77777777" w:rsidR="00A9766F" w:rsidRPr="007114AF" w:rsidRDefault="00A9766F" w:rsidP="00206985">
      <w:pPr>
        <w:pStyle w:val="TEKSTI"/>
        <w:rPr>
          <w:b/>
        </w:rPr>
      </w:pPr>
      <w:r w:rsidRPr="007114AF">
        <w:rPr>
          <w:b/>
        </w:rPr>
        <w:t>2.8.2.2 Njohuritë ekzistuese për ndryshimet klimatike, efektet e saj dhe vulnerabiliteti i Shqipërisë</w:t>
      </w:r>
    </w:p>
    <w:p w14:paraId="6EDCFC1A" w14:textId="77777777" w:rsidR="00A9766F" w:rsidRPr="007114AF" w:rsidRDefault="00A9766F" w:rsidP="00782894">
      <w:pPr>
        <w:pStyle w:val="TEKSTI"/>
      </w:pPr>
      <w:r w:rsidRPr="007114AF">
        <w:t>Klima e Shqipërisë është një klimë tipike mesdhetare. Karakterizohet nga dimra të butë dhe reshje të bollshme dhe nga vera të nxehta dhe pa shira. Në bazë të relievit dhe të largësisë nga deti, territori i Shqipërisë ndahet në katër zona klimatike: zona fushore mesdhetare, zona kodrinore mesdhetare, zona paramalore mesdhet</w:t>
      </w:r>
      <w:r w:rsidR="00782894" w:rsidRPr="007114AF">
        <w:t>are dhe zona malore mesdhetare.</w:t>
      </w:r>
    </w:p>
    <w:p w14:paraId="6EDCFC1B" w14:textId="77777777" w:rsidR="00A9766F" w:rsidRPr="007114AF" w:rsidRDefault="00782894" w:rsidP="00206985">
      <w:pPr>
        <w:pStyle w:val="TEKSTI"/>
        <w:rPr>
          <w:b/>
        </w:rPr>
      </w:pPr>
      <w:r w:rsidRPr="007114AF">
        <w:rPr>
          <w:noProof/>
          <w:sz w:val="20"/>
          <w:lang w:val="en-US" w:eastAsia="en-US"/>
        </w:rPr>
        <w:drawing>
          <wp:anchor distT="0" distB="0" distL="114300" distR="114300" simplePos="0" relativeHeight="251658245" behindDoc="0" locked="0" layoutInCell="1" allowOverlap="0" wp14:anchorId="6EDD17B6" wp14:editId="6EDD17B7">
            <wp:simplePos x="0" y="0"/>
            <wp:positionH relativeFrom="column">
              <wp:posOffset>2486660</wp:posOffset>
            </wp:positionH>
            <wp:positionV relativeFrom="paragraph">
              <wp:posOffset>60960</wp:posOffset>
            </wp:positionV>
            <wp:extent cx="3434715" cy="208280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34715" cy="2082800"/>
                    </a:xfrm>
                    <a:prstGeom prst="rect">
                      <a:avLst/>
                    </a:prstGeom>
                    <a:noFill/>
                  </pic:spPr>
                </pic:pic>
              </a:graphicData>
            </a:graphic>
            <wp14:sizeRelH relativeFrom="margin">
              <wp14:pctWidth>0</wp14:pctWidth>
            </wp14:sizeRelH>
            <wp14:sizeRelV relativeFrom="margin">
              <wp14:pctHeight>0</wp14:pctHeight>
            </wp14:sizeRelV>
          </wp:anchor>
        </w:drawing>
      </w:r>
      <w:r w:rsidR="00A9766F" w:rsidRPr="007114AF">
        <w:rPr>
          <w:b/>
        </w:rPr>
        <w:t xml:space="preserve">Parashikimet për temperaturat </w:t>
      </w:r>
    </w:p>
    <w:p w14:paraId="6EDCFC1C" w14:textId="77777777" w:rsidR="00A9766F" w:rsidRPr="007114AF" w:rsidRDefault="00A9766F" w:rsidP="00206985">
      <w:pPr>
        <w:pStyle w:val="TEKSTI"/>
      </w:pPr>
      <w:r w:rsidRPr="007114AF">
        <w:t>Të gjitha studimet ekzistuese thonë se Shqipëria ka të ngjarë të ngrohet më shumë sipas skenarëve të IPCC-ës. Figura 27 tregon se vëzhgimet reale të bëra pas vitit 2000, kanë dëshmuar se vlerat e arritura janë të barabarta me ato që qenë parashikuar më parë për vitin 2020.</w:t>
      </w:r>
    </w:p>
    <w:p w14:paraId="6EDCFC1D" w14:textId="77777777" w:rsidR="00A9766F" w:rsidRPr="007114AF" w:rsidRDefault="00A9766F" w:rsidP="00206985">
      <w:pPr>
        <w:pStyle w:val="TEKSTI"/>
      </w:pPr>
      <w:r w:rsidRPr="00A10282">
        <w:rPr>
          <w:highlight w:val="yellow"/>
          <w:vertAlign w:val="superscript"/>
        </w:rPr>
        <w:footnoteReference w:id="38"/>
      </w:r>
      <w:r w:rsidRPr="00A10282">
        <w:rPr>
          <w:highlight w:val="yellow"/>
          <w:vertAlign w:val="superscript"/>
        </w:rPr>
        <w:t>.</w:t>
      </w:r>
      <w:r w:rsidRPr="007114AF">
        <w:t xml:space="preserve"> Në parashikimet për verën, ndryshimi i temperaturës vjetore ka të ngjarë të arrijë deri në 5,3°C (4,6 -6,0°C) deri në vitin 2100. Zona bregdetare nuk ka të ngjarë të ketë temperatura mesatare më të ulëta se 25°C, duke filluar nga viti 2050; temperatura mesatare deri në 30°C do të mbizotërojnë në të gjitha pjesët e kësaj zone nga viti 2100. Skenarët e IPCC-ës parashikojnë rritje më të ulët për temperaturat e dimrit dhe rritje më të larta për pranverën.</w:t>
      </w:r>
    </w:p>
    <w:p w14:paraId="6EDCFC1E" w14:textId="77777777" w:rsidR="00A9766F" w:rsidRPr="007114AF" w:rsidRDefault="00782894" w:rsidP="00782894">
      <w:pPr>
        <w:pStyle w:val="TEKSTI"/>
        <w:rPr>
          <w:b/>
        </w:rPr>
      </w:pPr>
      <w:r w:rsidRPr="007114AF">
        <w:rPr>
          <w:b/>
        </w:rPr>
        <w:t xml:space="preserve">Parashikimet për reshjet </w:t>
      </w:r>
      <w:r w:rsidR="00A9766F" w:rsidRPr="007114AF">
        <w:rPr>
          <w:noProof/>
          <w:lang w:val="en-US" w:eastAsia="en-US"/>
        </w:rPr>
        <w:drawing>
          <wp:anchor distT="0" distB="0" distL="114300" distR="114300" simplePos="0" relativeHeight="251658247" behindDoc="1" locked="0" layoutInCell="1" allowOverlap="1" wp14:anchorId="6EDD17B8" wp14:editId="6EDD17B9">
            <wp:simplePos x="0" y="0"/>
            <wp:positionH relativeFrom="column">
              <wp:posOffset>71120</wp:posOffset>
            </wp:positionH>
            <wp:positionV relativeFrom="paragraph">
              <wp:posOffset>56515</wp:posOffset>
            </wp:positionV>
            <wp:extent cx="3479165" cy="2585085"/>
            <wp:effectExtent l="0" t="0" r="6985" b="5715"/>
            <wp:wrapTight wrapText="bothSides">
              <wp:wrapPolygon edited="0">
                <wp:start x="0" y="0"/>
                <wp:lineTo x="0" y="21489"/>
                <wp:lineTo x="21525" y="21489"/>
                <wp:lineTo x="21525"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79165" cy="2585085"/>
                    </a:xfrm>
                    <a:prstGeom prst="rect">
                      <a:avLst/>
                    </a:prstGeom>
                    <a:noFill/>
                  </pic:spPr>
                </pic:pic>
              </a:graphicData>
            </a:graphic>
          </wp:anchor>
        </w:drawing>
      </w:r>
    </w:p>
    <w:p w14:paraId="6EDCFC1F" w14:textId="77777777" w:rsidR="00A9766F" w:rsidRPr="007114AF" w:rsidRDefault="00A9766F" w:rsidP="00206985">
      <w:pPr>
        <w:pStyle w:val="TEKSTI"/>
      </w:pPr>
      <w:r w:rsidRPr="007114AF">
        <w:t>Figura28:Parashikimet e reshjeve vjetore, pa dhe me ndryshimin e klimës (skenari mesatar). Fusha e përhirtë tregon ndrysheshmërinë e lartë të reshjeve (5%, kuantile 95%), që dëshmon rritjen e mundshme të shpeshtësisë së reshjeve të dendura dhe thatësirës. Burimi: Projektraporti i KTK-së.</w:t>
      </w:r>
    </w:p>
    <w:p w14:paraId="6EDCFC20" w14:textId="5F09312F" w:rsidR="00A9766F" w:rsidRPr="007114AF" w:rsidRDefault="00A9766F" w:rsidP="00206985">
      <w:pPr>
        <w:pStyle w:val="TEKSTI"/>
      </w:pPr>
      <w:r w:rsidRPr="007114AF">
        <w:t>Të gjithë skenarët parashikojnë një pakësim të mundshëm të reshjeve stinore në krahasim me vitin 1990 për të gjitha periudhat krahasuese. Reshjet vjetore ka të ngjarë të pakësohen deri në -8,5% (-56,0 deri në 47,4 mm), deri në vitin 2050; dhe deri në -18,1% (-89,7 deri në 94,9 mm) brenda vitit 2100. Pavarësisht nga trendi i përgjithshëm në rënie, pritet ndryshim më i madh (vjetor dhe stinor), shoqëruar me një rritje të shpeshtësisë së reshjeve ekstreme dhe rreziqe të lidhura me klimën (</w:t>
      </w:r>
      <w:r w:rsidR="00EE091B" w:rsidRPr="007114AF">
        <w:t>f</w:t>
      </w:r>
      <w:r w:rsidRPr="007114AF">
        <w:t>igura 4). Parashikohet se, një herë në 10 vjet, mund të ndodhin dukuri të rrezikshme reshjesh në rajonin bregdetar verior (zona e Shkodrës) ndërsa në rajonin bregdetar të mesëm dhe jugor pritet të ndodhin një herë në 20 vjet. Megjithëse numri i dukurive të reshjeve</w:t>
      </w:r>
      <w:r w:rsidR="000A2A01" w:rsidRPr="007114AF">
        <w:t xml:space="preserve"> </w:t>
      </w:r>
      <w:r w:rsidRPr="007114AF">
        <w:t>ekstreme</w:t>
      </w:r>
      <w:r w:rsidR="000A2A01" w:rsidRPr="007114AF">
        <w:t xml:space="preserve"> </w:t>
      </w:r>
      <w:r w:rsidRPr="007114AF">
        <w:t>pritet të rritet, sa i takon shkallës dhe shpeshtësisë, ulja e niveleve të reshjeve në përgjithësi, do të rrisë numrin e ditëve të njëpasnjëshme pa reshje (thatësirë). Numri maksimal i ditëve me thatësirë ka të ngjarë të jetë më i madh në pjesën veriore (23 ditë) dhe deri në 15 ditë më në jug, brenda vitit 2100 në krahasim me periudhën krahasuese 1960-1990.</w:t>
      </w:r>
    </w:p>
    <w:p w14:paraId="6EDCFC21" w14:textId="77777777" w:rsidR="00A9766F" w:rsidRPr="007114AF" w:rsidRDefault="00A9766F" w:rsidP="00206985">
      <w:pPr>
        <w:pStyle w:val="TEKSTI"/>
        <w:rPr>
          <w:b/>
        </w:rPr>
      </w:pPr>
    </w:p>
    <w:p w14:paraId="6EDCFC22" w14:textId="77777777" w:rsidR="00617388" w:rsidRPr="007114AF" w:rsidRDefault="00617388" w:rsidP="00206985">
      <w:pPr>
        <w:pStyle w:val="TEKSTI"/>
        <w:rPr>
          <w:b/>
        </w:rPr>
      </w:pPr>
    </w:p>
    <w:p w14:paraId="6EDCFC23" w14:textId="77777777" w:rsidR="00617388" w:rsidRPr="007114AF" w:rsidRDefault="00617388" w:rsidP="00206985">
      <w:pPr>
        <w:pStyle w:val="TEKSTI"/>
        <w:rPr>
          <w:b/>
        </w:rPr>
      </w:pPr>
    </w:p>
    <w:p w14:paraId="6EDCFC24" w14:textId="77777777" w:rsidR="00A9766F" w:rsidRPr="007114AF" w:rsidRDefault="00A9766F" w:rsidP="00206985">
      <w:pPr>
        <w:pStyle w:val="TEKSTI"/>
        <w:rPr>
          <w:b/>
        </w:rPr>
      </w:pPr>
      <w:r w:rsidRPr="007114AF">
        <w:rPr>
          <w:b/>
        </w:rPr>
        <w:t xml:space="preserve">Parashikimet për ngritjen e nivelit të detit </w:t>
      </w:r>
    </w:p>
    <w:p w14:paraId="6EDCFC25" w14:textId="77777777" w:rsidR="00A9766F" w:rsidRPr="007114AF" w:rsidRDefault="00A9766F" w:rsidP="00206985">
      <w:pPr>
        <w:pStyle w:val="TEKSTI"/>
      </w:pPr>
      <w:r w:rsidRPr="007114AF">
        <w:t>Rritja e parashikuar e nivelit të detit (shih figurën 29) do të sjellë rreziqe më të larta të përmbytjes për shumicën e zonave urbane në bregdet dhe rritje të rreziqeve të erozionit bregdetar.</w:t>
      </w:r>
    </w:p>
    <w:p w14:paraId="6EDCFC26" w14:textId="77777777" w:rsidR="00A9766F" w:rsidRPr="007114AF" w:rsidRDefault="00A9766F" w:rsidP="00A9766F">
      <w:pPr>
        <w:pStyle w:val="Standardtextbody"/>
        <w:jc w:val="both"/>
        <w:rPr>
          <w:rFonts w:ascii="Garamond" w:hAnsi="Garamond"/>
          <w:lang w:val="sq-AL"/>
        </w:rPr>
      </w:pPr>
      <w:r w:rsidRPr="007114AF">
        <w:rPr>
          <w:rFonts w:ascii="Garamond" w:eastAsiaTheme="minorEastAsia" w:hAnsi="Garamond"/>
          <w:noProof/>
        </w:rPr>
        <w:drawing>
          <wp:anchor distT="0" distB="0" distL="114300" distR="114300" simplePos="0" relativeHeight="251658243" behindDoc="0" locked="0" layoutInCell="1" allowOverlap="1" wp14:anchorId="6EDD17BA" wp14:editId="6EDD17BB">
            <wp:simplePos x="0" y="0"/>
            <wp:positionH relativeFrom="column">
              <wp:posOffset>34290</wp:posOffset>
            </wp:positionH>
            <wp:positionV relativeFrom="paragraph">
              <wp:posOffset>76200</wp:posOffset>
            </wp:positionV>
            <wp:extent cx="3200400" cy="200787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00400" cy="2007870"/>
                    </a:xfrm>
                    <a:prstGeom prst="rect">
                      <a:avLst/>
                    </a:prstGeom>
                    <a:noFill/>
                  </pic:spPr>
                </pic:pic>
              </a:graphicData>
            </a:graphic>
          </wp:anchor>
        </w:drawing>
      </w:r>
    </w:p>
    <w:p w14:paraId="6EDCFC27" w14:textId="6C72EAA2" w:rsidR="00A9766F" w:rsidRPr="007114AF" w:rsidRDefault="00A9766F" w:rsidP="00206985">
      <w:pPr>
        <w:pStyle w:val="FIGURA"/>
      </w:pPr>
      <w:r w:rsidRPr="007114AF">
        <w:t>Figur</w:t>
      </w:r>
      <w:r w:rsidR="00A10282">
        <w:t>a</w:t>
      </w:r>
      <w:r w:rsidRPr="007114AF">
        <w:t xml:space="preserve"> 29: Ndryshimet e mundshme në nivelin mesatar vjetor të detit (cm) </w:t>
      </w:r>
    </w:p>
    <w:p w14:paraId="6EDCFC28" w14:textId="77777777" w:rsidR="00617388" w:rsidRPr="007114AF" w:rsidRDefault="00617388" w:rsidP="00206985">
      <w:pPr>
        <w:pStyle w:val="TEKSTI"/>
        <w:rPr>
          <w:sz w:val="12"/>
        </w:rPr>
      </w:pPr>
    </w:p>
    <w:p w14:paraId="6EDCFC29" w14:textId="43DA529A" w:rsidR="00A9766F" w:rsidRPr="007114AF" w:rsidRDefault="00A9766F" w:rsidP="00206985">
      <w:pPr>
        <w:pStyle w:val="TEKSTI"/>
      </w:pPr>
      <w:r w:rsidRPr="007114AF">
        <w:t>Si pasojë e rritjes së nivelit të detit, niveli i lumenjve pritet të rritet në pjesët e poshtme të baseneve lumore dhe prurjet të ngadalësohen. Gjithsej, deri në vitin 2030 afërsisht 1082,45 km2 (32% e sipërfaqes së zonave bregdetare ose 3,76% e sipërfaqes së vendit) do të vuajë pasojat e drejtpërdrejta të përmbytjeve. Do të humbasin sipërfaqe të mëdha toke bujqësore të cilat nuk do të përdoren dot më, për shkak të mbulimit me ujë dhe të rritjes së sasisë së kripës në të. Shumica e habitat</w:t>
      </w:r>
      <w:r w:rsidR="00773485">
        <w:t>e</w:t>
      </w:r>
      <w:r w:rsidRPr="007114AF">
        <w:t>ve bregdetare, si dunat e rërës, ligatinat me ujë të ëmbël dhe të kripur, kënetat dhe lagunat, do të zhduken</w:t>
      </w:r>
      <w:r w:rsidR="00773485">
        <w:t xml:space="preserve"> </w:t>
      </w:r>
      <w:r w:rsidRPr="007114AF">
        <w:t>ose do të përkeqësohet më tej statusi i tyre. Vija bregdetare e Adriatikut do të futet më në brendësi të tokës, erozioni bregdetar do të intensifikohet, ndërsa migrimi nga ligatinat bregdetare dhe habitatet e tjera në brendësi të tokës</w:t>
      </w:r>
      <w:r w:rsidR="00773485">
        <w:t xml:space="preserve"> </w:t>
      </w:r>
      <w:r w:rsidRPr="007114AF">
        <w:t xml:space="preserve">do të pengohet nga argjinaturat dhe veprat e kullimit të ndërtuara në kuadër të veprave të bonifikimit gjatë viteve </w:t>
      </w:r>
      <w:r w:rsidR="00D10DAB" w:rsidRPr="007114AF">
        <w:t>‘</w:t>
      </w:r>
      <w:r w:rsidRPr="007114AF">
        <w:t>50</w:t>
      </w:r>
      <w:r w:rsidR="00773485">
        <w:t>–</w:t>
      </w:r>
      <w:r w:rsidR="00D10DAB" w:rsidRPr="007114AF">
        <w:t>’</w:t>
      </w:r>
      <w:r w:rsidRPr="007114AF">
        <w:t>60 të shekullit të shkuar.</w:t>
      </w:r>
    </w:p>
    <w:p w14:paraId="6EDCFC2A" w14:textId="5F786F61" w:rsidR="00A9766F" w:rsidRPr="007114AF" w:rsidRDefault="00A9766F" w:rsidP="00206985">
      <w:pPr>
        <w:pStyle w:val="TEKSTI"/>
        <w:rPr>
          <w:b/>
          <w:i/>
        </w:rPr>
      </w:pPr>
      <w:r w:rsidRPr="007114AF">
        <w:rPr>
          <w:b/>
          <w:i/>
        </w:rPr>
        <w:t>SHËNIM</w:t>
      </w:r>
      <w:r w:rsidR="00773485">
        <w:rPr>
          <w:b/>
          <w:i/>
        </w:rPr>
        <w:t>.</w:t>
      </w:r>
      <w:r w:rsidRPr="007114AF">
        <w:rPr>
          <w:b/>
          <w:i/>
        </w:rPr>
        <w:t xml:space="preserve"> Informacione të hollësishme për studimet kërkimore më të fundit për parashikimet e ndryshimeve klimatike dhe efektin e pritur do të jepen në raportin e Komunikimit të Tretë Kombëtar të Shqipërisë për UNFCCC-ën.</w:t>
      </w:r>
    </w:p>
    <w:p w14:paraId="6EDCFC2B" w14:textId="77777777" w:rsidR="00206985" w:rsidRPr="007114AF" w:rsidRDefault="00206985" w:rsidP="00206985">
      <w:pPr>
        <w:pStyle w:val="TEKSTI"/>
        <w:rPr>
          <w:b/>
          <w:sz w:val="20"/>
          <w:szCs w:val="20"/>
        </w:rPr>
      </w:pPr>
    </w:p>
    <w:p w14:paraId="6EDCFC2C" w14:textId="77777777" w:rsidR="00A9766F" w:rsidRPr="007114AF" w:rsidRDefault="00206985" w:rsidP="00206985">
      <w:pPr>
        <w:pStyle w:val="TEKSTI"/>
        <w:rPr>
          <w:b/>
        </w:rPr>
      </w:pPr>
      <w:r w:rsidRPr="007114AF">
        <w:rPr>
          <w:b/>
        </w:rPr>
        <w:t xml:space="preserve">2.8.2.3 </w:t>
      </w:r>
      <w:r w:rsidR="00A9766F" w:rsidRPr="007114AF">
        <w:rPr>
          <w:b/>
        </w:rPr>
        <w:t>Njohuritë ekzistuese për vulnerabilitetin</w:t>
      </w:r>
    </w:p>
    <w:p w14:paraId="6EDCFC2D" w14:textId="0B81B620" w:rsidR="00A9766F" w:rsidRPr="007114AF" w:rsidRDefault="00A9766F" w:rsidP="00206985">
      <w:pPr>
        <w:pStyle w:val="TEKSTI"/>
      </w:pPr>
      <w:r w:rsidRPr="007114AF">
        <w:t>Disa studime, si edhe Komunikimi i Parë, i Dytë dhe i Tretë, japin një pamje të qartë për vulnerabilitetet ndaj</w:t>
      </w:r>
      <w:r w:rsidR="000A2A01" w:rsidRPr="007114AF">
        <w:t xml:space="preserve"> </w:t>
      </w:r>
      <w:r w:rsidRPr="007114AF">
        <w:t xml:space="preserve">ndryshimeve klimatike në Shqipëri. Shumë elemente të prekshmërisë kanë të bëjnë me sektorët e veprimtarive shoqëroro-ekonomike. Përmbledhja e mëposhtme pasqyron kryesisht situatën aktuale, për shembull, ato fusha të vulnerabilitetit që janë të dukshme që tani. Megjithatë, shumica e efekteve mund të parashikohen se do të rriten në shkallë në të ardhmen. </w:t>
      </w:r>
    </w:p>
    <w:p w14:paraId="6EDCFC2E" w14:textId="77777777" w:rsidR="00A9766F" w:rsidRPr="007114AF" w:rsidRDefault="00617388" w:rsidP="00206985">
      <w:pPr>
        <w:pStyle w:val="TEKSTI"/>
      </w:pPr>
      <w:r w:rsidRPr="007114AF">
        <w:rPr>
          <w:b/>
        </w:rPr>
        <w:t xml:space="preserve">- </w:t>
      </w:r>
      <w:r w:rsidR="00A9766F" w:rsidRPr="007114AF">
        <w:rPr>
          <w:b/>
        </w:rPr>
        <w:t>Sistemet hidrologjike:</w:t>
      </w:r>
      <w:r w:rsidR="00A9766F" w:rsidRPr="007114AF">
        <w:t xml:space="preserve"> Ndryshimi i reshjeve ose shkrirja e borës po i ndryshon sistemet hidrologjike, duke prekur burimet ujore në sasi dhe në cilësi (siç është rasti i akuifereve të Matit).</w:t>
      </w:r>
    </w:p>
    <w:p w14:paraId="6EDCFC2F" w14:textId="77777777" w:rsidR="00A9766F" w:rsidRPr="007114AF" w:rsidRDefault="00617388" w:rsidP="00206985">
      <w:pPr>
        <w:pStyle w:val="TEKSTI"/>
      </w:pPr>
      <w:r w:rsidRPr="007114AF">
        <w:rPr>
          <w:b/>
        </w:rPr>
        <w:t xml:space="preserve">- </w:t>
      </w:r>
      <w:r w:rsidR="00A9766F" w:rsidRPr="007114AF">
        <w:rPr>
          <w:b/>
        </w:rPr>
        <w:t>Bujqësia</w:t>
      </w:r>
      <w:r w:rsidR="00A9766F" w:rsidRPr="007114AF">
        <w:t>: Efektet negative të ndryshimit klimatik te rendimentet e kulturave bujqësore, kanë qenë më të shumta se efektet pozitive. Efektet mund të vijnë nga ndryshimi i temperaturave, reshjeve, sistemeve hidrologjike (për shembull, sistemet e ujitjes), cilësisë së tokës, erozionit dhe dukurive të motit ekstrem. Ndryshimet klimatike ka dhënë tashmë efekte negative në rendimentin e grurit, misrit dhe të kulturave të tjera në shumë krahina, si: Shkodra, Lezha, Lushnja, Fieri dhe Vlora. Disa periudha me rritje të shpejtë të çmimeve të ushqimeve dhe drithërave pas dukurive ekstreme të motit, në disa krahina bujqësore, tregojnë dhe ndjeshmërinë e tregjeve të tanishme nga moti ekstrem, ndër faktorë të tjerë.</w:t>
      </w:r>
    </w:p>
    <w:p w14:paraId="6EDCFC30" w14:textId="1F5941AC" w:rsidR="00A9766F" w:rsidRPr="007114AF" w:rsidRDefault="00617388" w:rsidP="00206985">
      <w:pPr>
        <w:pStyle w:val="TEKSTI"/>
      </w:pPr>
      <w:r w:rsidRPr="007114AF">
        <w:rPr>
          <w:b/>
        </w:rPr>
        <w:t xml:space="preserve">- </w:t>
      </w:r>
      <w:r w:rsidR="00A9766F" w:rsidRPr="007114AF">
        <w:rPr>
          <w:b/>
        </w:rPr>
        <w:t>Energjetika:</w:t>
      </w:r>
      <w:r w:rsidR="00A9766F" w:rsidRPr="007114AF">
        <w:t xml:space="preserve"> Përqindja e lartë që zënë burimet hidroenergjetike (lumi Drin prodhon rreth 90% të energjisë elektrike që përdoret nga industria dhe konsumatorët familjarë në Shqipëri) nënkupton efekte të drejtpërdrejta që mund të kenë ndryshimet e sistemeve hidroenergjetike te prodhimi i energjisë. Prodhimi i energjisë elektrike mund të shkojë nga thuajse 6.000 GWh në më pak se një e dyta e kësaj sasie në vite me shumë thatësirë. Ndryshimet klimatike kanë të ngjarë të kenë një efekt negativ në prodhimin hidroenergjetik, deri në vitin 2050; prodhimi mesatar vjetor i energjisë elektrike nga HEC-et e mëdhenj të Shqipërisë, mund të bjerë me rreth 15% dhe nga HEC-et e vegjël</w:t>
      </w:r>
      <w:r w:rsidR="000A2A01" w:rsidRPr="007114AF">
        <w:t xml:space="preserve"> </w:t>
      </w:r>
      <w:r w:rsidR="00A9766F" w:rsidRPr="007114AF">
        <w:t>me rreth 20%.</w:t>
      </w:r>
    </w:p>
    <w:p w14:paraId="6EDCFC31" w14:textId="77777777" w:rsidR="00A9766F" w:rsidRPr="007114AF" w:rsidRDefault="00617388" w:rsidP="00206985">
      <w:pPr>
        <w:pStyle w:val="TEKSTI"/>
      </w:pPr>
      <w:r w:rsidRPr="007114AF">
        <w:rPr>
          <w:b/>
        </w:rPr>
        <w:t xml:space="preserve">- </w:t>
      </w:r>
      <w:r w:rsidR="00A9766F" w:rsidRPr="007114AF">
        <w:rPr>
          <w:b/>
        </w:rPr>
        <w:t>Shëndetësia:</w:t>
      </w:r>
      <w:r w:rsidR="00A9766F" w:rsidRPr="007114AF">
        <w:t xml:space="preserve"> Ka pasur rritje të vdekshmërisë së lidhur me motin e nxehtë dhe me motin e ftohtë në disa rajone, si pasojë e ndryshimeve klimatike. Ndryshimet lokale të temperaturave dhe shirave e kanë modifikuar përhapjen e disa sëmundjeve që transmetohen përmes ujit dhe të disa vektorë sëmundjeve. Megjithatë, statistikat nuk janë ende të qarta lidhur me shkaqet.</w:t>
      </w:r>
    </w:p>
    <w:p w14:paraId="6EDCFC32" w14:textId="003D81A7" w:rsidR="00A9766F" w:rsidRPr="007114AF" w:rsidRDefault="00617388" w:rsidP="00206985">
      <w:pPr>
        <w:pStyle w:val="TEKSTI"/>
      </w:pPr>
      <w:r w:rsidRPr="007114AF">
        <w:rPr>
          <w:b/>
        </w:rPr>
        <w:t xml:space="preserve">- </w:t>
      </w:r>
      <w:r w:rsidR="00A9766F" w:rsidRPr="007114AF">
        <w:rPr>
          <w:b/>
        </w:rPr>
        <w:t>Vulnerabiliteti social:</w:t>
      </w:r>
      <w:r w:rsidR="00A9766F" w:rsidRPr="007114AF">
        <w:t xml:space="preserve"> Pabarazitë dhe vulnerabiliteti social, që vijnë si rrjedhojë e proceseve me zhvillim jo të njëjtë, i rëndojnë rreziqet</w:t>
      </w:r>
      <w:r w:rsidR="00D75679">
        <w:t xml:space="preserve"> </w:t>
      </w:r>
      <w:r w:rsidR="00A9766F" w:rsidRPr="007114AF">
        <w:t>nga ndryshimet klimatike. Personat në rrezik përjashtimi social janë sidomos të prekshëm nga ndryshimet klimatike, siç është parë në vendbanimet e paligjshme në brigjet e lumenjve dhe komunitetet periferike të Tiranës, në kënetë të Durrësit, në Mifol dhe në rrethinat e Vlorës, Shkodrës dhe Lezhës.</w:t>
      </w:r>
    </w:p>
    <w:p w14:paraId="6EDCFC33" w14:textId="3A2388A2" w:rsidR="00A9766F" w:rsidRPr="007114AF" w:rsidRDefault="00617388" w:rsidP="00206985">
      <w:pPr>
        <w:pStyle w:val="TEKSTI"/>
      </w:pPr>
      <w:r w:rsidRPr="007114AF">
        <w:rPr>
          <w:b/>
        </w:rPr>
        <w:t xml:space="preserve">- </w:t>
      </w:r>
      <w:r w:rsidR="00A9766F" w:rsidRPr="007114AF">
        <w:rPr>
          <w:b/>
        </w:rPr>
        <w:t>Pyjet:</w:t>
      </w:r>
      <w:r w:rsidR="00A9766F" w:rsidRPr="007114AF">
        <w:t xml:space="preserve"> Zjarret e pakontrolluara kanë qenë të pranishme përpara disa vjetësh në zonën e lisnajave,</w:t>
      </w:r>
      <w:r w:rsidR="00D75679">
        <w:t xml:space="preserve"> </w:t>
      </w:r>
      <w:r w:rsidR="00A9766F" w:rsidRPr="007114AF">
        <w:t>por nuk ka prova të qarta për shkaqet e tyre (sigurisht që këto zjarre ndihmohen nga efektet e lidhura me klimën).</w:t>
      </w:r>
    </w:p>
    <w:p w14:paraId="6EDCFC34" w14:textId="77777777" w:rsidR="00A9766F" w:rsidRPr="007114AF" w:rsidRDefault="00617388" w:rsidP="00206985">
      <w:pPr>
        <w:pStyle w:val="TEKSTI"/>
      </w:pPr>
      <w:r w:rsidRPr="007114AF">
        <w:rPr>
          <w:b/>
        </w:rPr>
        <w:t xml:space="preserve">- </w:t>
      </w:r>
      <w:r w:rsidR="00A9766F" w:rsidRPr="007114AF">
        <w:rPr>
          <w:b/>
        </w:rPr>
        <w:t>Rreziqet dhe fatkeqësitë e lidhura me klimën:</w:t>
      </w:r>
      <w:r w:rsidR="00A9766F" w:rsidRPr="007114AF">
        <w:t xml:space="preserve"> Rritja e shpeshtësisë së përmbytjeve, thatësirës dhe dukurive të tjera ekstreme i përkeqësojnë faktorët e tjerë, shpesh me rezultate negative për infrastrukturën, sektorët e prodhimit dhe mjetet e jetesës së popullsisë, sidomos për komunitetet në rrezik përjashtimi social. Rreziqet e lidhura me klimën mund të prekin drejtpërdrejt jetën e njerëzve ose tërthorazi, nëpërmjet pasigurisë ushqimore, ndërprerjes së furnizimit me ujë të pijshëm dhe energji elektrike, shkatërrimit të shtëpive etj.</w:t>
      </w:r>
    </w:p>
    <w:p w14:paraId="6EDCFC35" w14:textId="6743AB20" w:rsidR="00A9766F" w:rsidRPr="007114AF" w:rsidRDefault="00617388" w:rsidP="00206985">
      <w:pPr>
        <w:pStyle w:val="TEKSTI"/>
      </w:pPr>
      <w:r w:rsidRPr="007114AF">
        <w:rPr>
          <w:b/>
        </w:rPr>
        <w:t xml:space="preserve">- </w:t>
      </w:r>
      <w:r w:rsidR="00A9766F" w:rsidRPr="007114AF">
        <w:rPr>
          <w:b/>
        </w:rPr>
        <w:t>Ekosistemet:</w:t>
      </w:r>
      <w:r w:rsidR="00A9766F" w:rsidRPr="007114AF">
        <w:t xml:space="preserve"> Ndryshimet e klimës kanë shkaktuar efekte në sistemet natyrore, të cilat janë të dukshme që tani në lagunat dhe zonat e mbrojtura bregdetare (që nga lumi i Bunës deri te lumi i Pavlës), si edhe në basenet lumore në ultësirë (shpeshtësia është më e madhe në lumenjtë Drin, Bunë dhe Vjosë). Dëshmitë për efektet e ndryshimeve klimatike janë më të forta dhe më të plota për sistemet natyrore, përfshirë zonat e mbrojtura bregdetare (p.sh. në Kune</w:t>
      </w:r>
      <w:r w:rsidR="00D75679">
        <w:t>–</w:t>
      </w:r>
      <w:r w:rsidR="00A9766F" w:rsidRPr="007114AF">
        <w:t>Vain).</w:t>
      </w:r>
    </w:p>
    <w:p w14:paraId="6EDCFC36" w14:textId="77777777" w:rsidR="00A9766F" w:rsidRPr="007114AF" w:rsidRDefault="00617388" w:rsidP="00206985">
      <w:pPr>
        <w:pStyle w:val="TEKSTI"/>
      </w:pPr>
      <w:r w:rsidRPr="007114AF">
        <w:rPr>
          <w:b/>
        </w:rPr>
        <w:t xml:space="preserve">- </w:t>
      </w:r>
      <w:r w:rsidR="00A9766F" w:rsidRPr="007114AF">
        <w:rPr>
          <w:b/>
        </w:rPr>
        <w:t>Speciet:</w:t>
      </w:r>
      <w:r w:rsidR="00A9766F" w:rsidRPr="007114AF">
        <w:t xml:space="preserve"> Shumë specie të tokës, ujërave të ëmbla dhe ujërave detare i kanë ndryshuar territoret e tyre, aktivitetet stinore, skemat e shtegtimit, numrin e popullatës dhe ndërveprimet mes specieve, si kundërpërgjigje ndaj ndryshimeve klimatike. E zakonshme po bëhet në Shqipëri hyrja në numër të madh e breshkave të detit </w:t>
      </w:r>
      <w:r w:rsidR="00A9766F" w:rsidRPr="007114AF">
        <w:rPr>
          <w:i/>
        </w:rPr>
        <w:t>Caretta caretta</w:t>
      </w:r>
      <w:r w:rsidR="00A9766F" w:rsidRPr="007114AF">
        <w:t>, në lagunën e Patokut, krahas hyrjeve të tjera të shumta të specieve të huaja (peshq, gaforre etj.).</w:t>
      </w:r>
    </w:p>
    <w:p w14:paraId="6EDCFC37" w14:textId="77777777" w:rsidR="00A9766F" w:rsidRPr="007114AF" w:rsidRDefault="00617388" w:rsidP="00206985">
      <w:pPr>
        <w:pStyle w:val="TEKSTI"/>
      </w:pPr>
      <w:r w:rsidRPr="007114AF">
        <w:rPr>
          <w:b/>
        </w:rPr>
        <w:t xml:space="preserve">- </w:t>
      </w:r>
      <w:r w:rsidR="00A9766F" w:rsidRPr="007114AF">
        <w:rPr>
          <w:b/>
        </w:rPr>
        <w:t>Turizmi:</w:t>
      </w:r>
      <w:r w:rsidR="00A9766F" w:rsidRPr="007114AF">
        <w:t xml:space="preserve"> Ky sektor është i ekspozuar ndaj efekteve të shumta të drejtpërdrejta dhe të tërthorta nga ndryshimi i klimës. Rritja e nivelit të detit do ta rrezikojë infrastrukturën turistike dhe pikat turistike natyrore.</w:t>
      </w:r>
    </w:p>
    <w:p w14:paraId="6EDCFC38" w14:textId="77777777" w:rsidR="00A9766F" w:rsidRPr="007114AF" w:rsidRDefault="00206985" w:rsidP="00206985">
      <w:pPr>
        <w:pStyle w:val="TEKSTI"/>
        <w:rPr>
          <w:b/>
        </w:rPr>
      </w:pPr>
      <w:bookmarkStart w:id="92" w:name="_Toc484424491"/>
      <w:bookmarkStart w:id="93" w:name="_Toc483570093"/>
      <w:r w:rsidRPr="007114AF">
        <w:rPr>
          <w:b/>
        </w:rPr>
        <w:t xml:space="preserve">2.9 </w:t>
      </w:r>
      <w:r w:rsidR="00A9766F" w:rsidRPr="007114AF">
        <w:rPr>
          <w:b/>
        </w:rPr>
        <w:t>Parimet e NAP-it</w:t>
      </w:r>
      <w:bookmarkEnd w:id="92"/>
      <w:bookmarkEnd w:id="93"/>
    </w:p>
    <w:p w14:paraId="6EDCFC39" w14:textId="77777777" w:rsidR="00A9766F" w:rsidRPr="007114AF" w:rsidRDefault="00206985" w:rsidP="00206985">
      <w:pPr>
        <w:pStyle w:val="TEKSTI"/>
        <w:rPr>
          <w:b/>
        </w:rPr>
      </w:pPr>
      <w:bookmarkStart w:id="94" w:name="_Toc484424492"/>
      <w:bookmarkStart w:id="95" w:name="_Toc483570094"/>
      <w:r w:rsidRPr="007114AF">
        <w:rPr>
          <w:b/>
        </w:rPr>
        <w:t xml:space="preserve">2.9.1 </w:t>
      </w:r>
      <w:r w:rsidR="00A9766F" w:rsidRPr="007114AF">
        <w:rPr>
          <w:b/>
        </w:rPr>
        <w:t>Mesazhet kryesore</w:t>
      </w:r>
      <w:bookmarkEnd w:id="94"/>
      <w:bookmarkEnd w:id="95"/>
    </w:p>
    <w:p w14:paraId="6EDCFC3A" w14:textId="77777777" w:rsidR="00A9766F" w:rsidRPr="007114AF" w:rsidRDefault="00A9766F" w:rsidP="00206985">
      <w:pPr>
        <w:pStyle w:val="TEKSTI"/>
      </w:pPr>
      <w:r w:rsidRPr="007114AF">
        <w:t>Procesi i NAP-it për Shqipërinë ndjek këto parime:</w:t>
      </w:r>
    </w:p>
    <w:p w14:paraId="6EDCFC3B" w14:textId="30CADAAD" w:rsidR="00A9766F" w:rsidRPr="007114AF" w:rsidRDefault="00617388" w:rsidP="00206985">
      <w:pPr>
        <w:pStyle w:val="TEKSTI"/>
      </w:pPr>
      <w:r w:rsidRPr="007114AF">
        <w:t xml:space="preserve">- </w:t>
      </w:r>
      <w:r w:rsidR="00A9766F" w:rsidRPr="007114AF">
        <w:t>NAP-i kuptohet kryesisht si një proces që zgjat shumë për të cilin ky dokument ofron elementet kuadër,</w:t>
      </w:r>
      <w:r w:rsidR="000A2A01" w:rsidRPr="007114AF">
        <w:t xml:space="preserve"> </w:t>
      </w:r>
      <w:r w:rsidR="00A9766F" w:rsidRPr="007114AF">
        <w:t>si: parimet, objektivat, treguesit, veprimet prioritare dhe elementet e procesit.</w:t>
      </w:r>
    </w:p>
    <w:p w14:paraId="6EDCFC3C" w14:textId="77777777" w:rsidR="00A9766F" w:rsidRPr="007114AF" w:rsidRDefault="00617388" w:rsidP="00206985">
      <w:pPr>
        <w:pStyle w:val="TEKSTI"/>
      </w:pPr>
      <w:r w:rsidRPr="007114AF">
        <w:t xml:space="preserve">- </w:t>
      </w:r>
      <w:r w:rsidR="00A9766F" w:rsidRPr="007114AF">
        <w:t>Ofron një kuadër për integrimin e synuar.</w:t>
      </w:r>
    </w:p>
    <w:p w14:paraId="6EDCFC3D" w14:textId="77777777" w:rsidR="00A9766F" w:rsidRPr="007114AF" w:rsidRDefault="00617388" w:rsidP="00206985">
      <w:pPr>
        <w:pStyle w:val="TEKSTI"/>
      </w:pPr>
      <w:r w:rsidRPr="007114AF">
        <w:t xml:space="preserve">- </w:t>
      </w:r>
      <w:r w:rsidR="00A9766F" w:rsidRPr="007114AF">
        <w:t>Vendos një kuadër zbatimi.</w:t>
      </w:r>
    </w:p>
    <w:p w14:paraId="6EDCFC3E" w14:textId="77777777" w:rsidR="00A9766F" w:rsidRPr="007114AF" w:rsidRDefault="00617388" w:rsidP="00206985">
      <w:pPr>
        <w:pStyle w:val="TEKSTI"/>
      </w:pPr>
      <w:r w:rsidRPr="007114AF">
        <w:t xml:space="preserve">- </w:t>
      </w:r>
      <w:r w:rsidR="00A9766F" w:rsidRPr="007114AF">
        <w:t>Mbështet mundësinë për të marrë financim sistematik nëpërmjet një dokumenti financiar.</w:t>
      </w:r>
    </w:p>
    <w:p w14:paraId="6EDCFC3F" w14:textId="2E48F0B0" w:rsidR="00A9766F" w:rsidRPr="007114AF" w:rsidRDefault="00617388" w:rsidP="00206985">
      <w:pPr>
        <w:pStyle w:val="TEKSTI"/>
      </w:pPr>
      <w:r w:rsidRPr="007114AF">
        <w:t xml:space="preserve">- </w:t>
      </w:r>
      <w:r w:rsidR="00D75679" w:rsidRPr="007114AF">
        <w:t>Është</w:t>
      </w:r>
      <w:r w:rsidR="00A9766F" w:rsidRPr="007114AF">
        <w:t xml:space="preserve"> një katalizator për pjesëmarrjen dhe ndërgjegjësimin.</w:t>
      </w:r>
    </w:p>
    <w:p w14:paraId="6EDCFC40" w14:textId="77777777" w:rsidR="00A9766F" w:rsidRPr="007114AF" w:rsidRDefault="00617388" w:rsidP="00206985">
      <w:pPr>
        <w:pStyle w:val="TEKSTI"/>
      </w:pPr>
      <w:r w:rsidRPr="007114AF">
        <w:t xml:space="preserve">- </w:t>
      </w:r>
      <w:r w:rsidR="00A9766F" w:rsidRPr="007114AF">
        <w:t>Dokumenti Strategjik BE-IPA II Procesi në lidhje me Strategjinë e BE-së për Përshtatjen ndaj Ndryshimeve Klimatike është një udhëzues i rëndësishëm për integrimin e veprimeve për klimën në kuadër të procesit të anëtarësimit në BE.</w:t>
      </w:r>
    </w:p>
    <w:p w14:paraId="6EDCFC41" w14:textId="77777777" w:rsidR="00A9766F" w:rsidRPr="007114AF" w:rsidRDefault="00206985" w:rsidP="00206985">
      <w:pPr>
        <w:pStyle w:val="TEKSTI"/>
        <w:rPr>
          <w:b/>
        </w:rPr>
      </w:pPr>
      <w:bookmarkStart w:id="96" w:name="_Toc484424493"/>
      <w:bookmarkStart w:id="97" w:name="_Toc483570095"/>
      <w:r w:rsidRPr="007114AF">
        <w:rPr>
          <w:b/>
        </w:rPr>
        <w:t xml:space="preserve">2.9.2 </w:t>
      </w:r>
      <w:r w:rsidR="00A9766F" w:rsidRPr="007114AF">
        <w:rPr>
          <w:b/>
        </w:rPr>
        <w:t>Funksionet dhe parimet e përgjithshme</w:t>
      </w:r>
      <w:bookmarkEnd w:id="96"/>
      <w:bookmarkEnd w:id="97"/>
    </w:p>
    <w:p w14:paraId="6EDCFC42" w14:textId="3F4656AC" w:rsidR="00A9766F" w:rsidRPr="007114AF" w:rsidRDefault="00A9766F" w:rsidP="00206985">
      <w:pPr>
        <w:pStyle w:val="TEKSTI"/>
      </w:pPr>
      <w:r w:rsidRPr="007114AF">
        <w:t>Në përputhje me kuadrin konceptual, siç parashikohet në Udhëzimet Teknike për NAP-in,</w:t>
      </w:r>
      <w:r w:rsidR="000A2A01" w:rsidRPr="007114AF">
        <w:t xml:space="preserve"> </w:t>
      </w:r>
      <w:r w:rsidRPr="007114AF">
        <w:t>NAP-i është projektuar në Shqipëri, si një proces nën drejtimin e Ministrisë së Turizmit dhe Mjedisit në bashkëpunim me Grupin Ndërministror të Punës për Ndryshimet Klimatike. Me anë të këtij procesi, ai mbështetet në orientimet që japin Udhëzimet Teknike, por i zbaton orientimet sipas situatës në Shqipëri në mënyrë të përshtatur,</w:t>
      </w:r>
      <w:r w:rsidR="000A2A01" w:rsidRPr="007114AF">
        <w:t xml:space="preserve"> </w:t>
      </w:r>
      <w:r w:rsidRPr="007114AF">
        <w:t>duke marrë në konsideratë situatën në fushën e përshtatjes ndaj ndryshimeve klimatike. Në këtë</w:t>
      </w:r>
      <w:r w:rsidR="00D75679">
        <w:t xml:space="preserve"> </w:t>
      </w:r>
      <w:r w:rsidRPr="007114AF">
        <w:t>mënyrë, Shqipëria siguron që procesi i NAP-it të ofrojë vlerë të shtuar, siç pritet.</w:t>
      </w:r>
    </w:p>
    <w:p w14:paraId="6EDCFC43" w14:textId="77777777" w:rsidR="00A9766F" w:rsidRPr="007114AF" w:rsidRDefault="00A9766F" w:rsidP="00206985">
      <w:pPr>
        <w:pStyle w:val="TEKSTI"/>
      </w:pPr>
      <w:r w:rsidRPr="007114AF">
        <w:t>Në këtë kontekst, procesi i NAP-it në Shqipëri do të ndjekë funksionet e mëposhtme:</w:t>
      </w:r>
    </w:p>
    <w:p w14:paraId="6EDCFC44" w14:textId="04B02E6E" w:rsidR="00A9766F" w:rsidRPr="007114AF" w:rsidRDefault="00617388" w:rsidP="00206985">
      <w:pPr>
        <w:pStyle w:val="TEKSTI"/>
        <w:rPr>
          <w:rFonts w:cs="Times New Roman"/>
        </w:rPr>
      </w:pPr>
      <w:r w:rsidRPr="007114AF">
        <w:rPr>
          <w:b/>
        </w:rPr>
        <w:t xml:space="preserve">- </w:t>
      </w:r>
      <w:r w:rsidR="00A9766F" w:rsidRPr="007114AF">
        <w:rPr>
          <w:b/>
        </w:rPr>
        <w:t xml:space="preserve">NAP si një proces efektiv: </w:t>
      </w:r>
      <w:r w:rsidR="00A9766F" w:rsidRPr="007114AF">
        <w:t>Siç thuhet edhe</w:t>
      </w:r>
      <w:r w:rsidR="000A2A01" w:rsidRPr="007114AF">
        <w:t xml:space="preserve"> </w:t>
      </w:r>
      <w:r w:rsidR="00A9766F" w:rsidRPr="007114AF">
        <w:t xml:space="preserve">më lart, NAP-i do të ndërtohet si një proces i vazhdueshëm gjatë një periudhe të gjatë kohore (me këtë dokument parashikohet një periudhë prej 20 vjetësh) që përfshin elementet e hartimit të planit, zbatimit të tij dhe nxjerrjes së mësimeve nga përvojat. Ky proces përfshin ministritë e linjës, të cilat do të luajnë një rol proaktiv në integrimin e përshtatjes ndaj ndryshimeve klimatike në portofolat sektorialë përkatës. </w:t>
      </w:r>
    </w:p>
    <w:p w14:paraId="6EDCFC45" w14:textId="0877C9F2" w:rsidR="00A9766F" w:rsidRPr="007114AF" w:rsidRDefault="00617388" w:rsidP="00206985">
      <w:pPr>
        <w:pStyle w:val="TEKSTI"/>
      </w:pPr>
      <w:r w:rsidRPr="007114AF">
        <w:rPr>
          <w:b/>
        </w:rPr>
        <w:t xml:space="preserve">- </w:t>
      </w:r>
      <w:r w:rsidR="00A9766F" w:rsidRPr="007114AF">
        <w:rPr>
          <w:b/>
        </w:rPr>
        <w:t xml:space="preserve">Dokumenti i NAP-it si </w:t>
      </w:r>
      <w:r w:rsidR="000A2A01" w:rsidRPr="007114AF">
        <w:rPr>
          <w:b/>
        </w:rPr>
        <w:t>“</w:t>
      </w:r>
      <w:r w:rsidR="00A9766F" w:rsidRPr="007114AF">
        <w:rPr>
          <w:b/>
        </w:rPr>
        <w:t>një ombrellë</w:t>
      </w:r>
      <w:r w:rsidR="000A2A01" w:rsidRPr="007114AF">
        <w:rPr>
          <w:b/>
        </w:rPr>
        <w:t>”</w:t>
      </w:r>
      <w:r w:rsidR="00D75679">
        <w:rPr>
          <w:b/>
        </w:rPr>
        <w:t xml:space="preserve"> </w:t>
      </w:r>
      <w:r w:rsidR="00A9766F" w:rsidRPr="007114AF">
        <w:rPr>
          <w:b/>
        </w:rPr>
        <w:t xml:space="preserve">që orienton drejtimin dhe veprimet e procesit të NAP-it: </w:t>
      </w:r>
    </w:p>
    <w:p w14:paraId="6EDCFC46" w14:textId="0238EFCC" w:rsidR="00617388" w:rsidRPr="007114AF" w:rsidRDefault="00A9766F" w:rsidP="00206985">
      <w:pPr>
        <w:pStyle w:val="TEKSTI"/>
        <w:rPr>
          <w:b/>
        </w:rPr>
      </w:pPr>
      <w:r w:rsidRPr="007114AF">
        <w:t xml:space="preserve">Në përputhje me parimet e lartpërmendura, dokumenti i NAP-it është formuluar në formë koncize, që të japë orientim për elementet e procesit gjithëpërfshirës, siç janë objektivat dhe treguesit, specifikimet e procesit, qasjet integruese, veprimet prioritare, financimi, strategjitë e informimit dhe përfshirjes, zhvillimi i kapaciteteve, monitorimi dhe rishikimi. Kjo natyrë </w:t>
      </w:r>
      <w:r w:rsidR="000A2A01" w:rsidRPr="007114AF">
        <w:t>“</w:t>
      </w:r>
      <w:r w:rsidRPr="007114AF">
        <w:t>ombrellë</w:t>
      </w:r>
      <w:r w:rsidR="000A2A01" w:rsidRPr="007114AF">
        <w:t>”</w:t>
      </w:r>
      <w:r w:rsidRPr="007114AF">
        <w:t xml:space="preserve"> e dokumentit NAP, justifikohet edhe me faktin se ekzistojnë ose janë duke u përgatitur disa dokumente planifikimi dhe programimi për politikat klimatike, sidomos Komunikimet Kombëtare.</w:t>
      </w:r>
      <w:r w:rsidR="00206985" w:rsidRPr="007114AF">
        <w:rPr>
          <w:b/>
        </w:rPr>
        <w:t xml:space="preserve"> </w:t>
      </w:r>
    </w:p>
    <w:p w14:paraId="6EDCFC47" w14:textId="2428B80B" w:rsidR="00A9766F" w:rsidRPr="007114AF" w:rsidRDefault="00A9766F" w:rsidP="00206985">
      <w:pPr>
        <w:pStyle w:val="TEKSTI"/>
      </w:pPr>
      <w:r w:rsidRPr="007114AF">
        <w:rPr>
          <w:b/>
        </w:rPr>
        <w:t xml:space="preserve">Kuadër për integrimin e synuar: </w:t>
      </w:r>
      <w:r w:rsidRPr="007114AF">
        <w:t>Siç është përmendur, integrimi i përshtatjes ndaj ndryshimeve klimatike në sektorë është një qasje kyçe e parashikuar nga UNFCCC-ja dhe Udhëzimet Teknike të NAP-it</w:t>
      </w:r>
      <w:r w:rsidR="00191838" w:rsidRPr="007114AF">
        <w:t>.</w:t>
      </w:r>
      <w:r w:rsidRPr="007114AF">
        <w:t xml:space="preserve"> Përshtatja ndaj ndryshimeve klimatike është e lidhur ngushtë me planifikimin afatgjatë të zhvillimit urban, burimeve ujore, bujqësisë, ruajtjes së natyrës dhe zhvillimit të territorit. Prandaj përfshirja e përshtatjes klimatike në sektorët e linjës që preken nga ndryshimet klimatike, është një qasje e efektshme. Vetëm në këtë mënyrë përshtatja ndaj ndryshimeve klimatike mund të shndërrohet në kontribues për vendin, dhe mund të ndihmojë në sigurimin e rritjes ekonomike. </w:t>
      </w:r>
    </w:p>
    <w:p w14:paraId="6EDCFC48" w14:textId="6F1D8357" w:rsidR="00A9766F" w:rsidRPr="007114AF" w:rsidRDefault="00617388" w:rsidP="00206985">
      <w:pPr>
        <w:pStyle w:val="TEKSTI"/>
      </w:pPr>
      <w:r w:rsidRPr="007114AF">
        <w:rPr>
          <w:b/>
        </w:rPr>
        <w:t xml:space="preserve">- </w:t>
      </w:r>
      <w:r w:rsidR="00A9766F" w:rsidRPr="007114AF">
        <w:rPr>
          <w:b/>
        </w:rPr>
        <w:t xml:space="preserve">Krijimi i mekanizmave të zbatimit: </w:t>
      </w:r>
      <w:r w:rsidR="00A9766F" w:rsidRPr="007114AF">
        <w:t xml:space="preserve">Studimet dhe strategjitë ekzistuese, sikurse përmendet në kapitullin 3, mbulojnë sektorë dhe aspekte të ndryshme të përshtatjes dhe përfshijnë disa propozime për veprime konkrete, për shembull nëpërmjet </w:t>
      </w:r>
      <w:r w:rsidR="000A2A01" w:rsidRPr="007114AF">
        <w:t>“</w:t>
      </w:r>
      <w:r w:rsidR="00A9766F" w:rsidRPr="007114AF">
        <w:t>fishave të projekteve</w:t>
      </w:r>
      <w:r w:rsidR="000A2A01" w:rsidRPr="007114AF">
        <w:t>”</w:t>
      </w:r>
      <w:r w:rsidR="00A9766F" w:rsidRPr="007114AF">
        <w:t>, për disa prej të cilave është rënë dakord të zbatohen. Megjithatë, në to nuk jepet një kuadër i njëtrajtshëm zbatimi. Ky dokument i NAP-it ofron vlerë të shtuar,</w:t>
      </w:r>
      <w:r w:rsidR="000A2A01" w:rsidRPr="007114AF">
        <w:t xml:space="preserve"> </w:t>
      </w:r>
      <w:r w:rsidR="00A9766F" w:rsidRPr="007114AF">
        <w:t>nëpërmjet vënies në eficiencë të zbatimit. Por kjo nuk shkon përtej veprimeve të ashtuquajtura prioritare, të cilat konsiderohen se janë me rëndësi kryesore për të gjithë procesin e përshtatjes në Shqipëri. Dokumenti NAP përcakton piketat, afatet, aktorët dhe burimet për këto veprime</w:t>
      </w:r>
      <w:r w:rsidR="000A2A01" w:rsidRPr="007114AF">
        <w:t xml:space="preserve"> </w:t>
      </w:r>
      <w:r w:rsidR="00A9766F" w:rsidRPr="007114AF">
        <w:t xml:space="preserve">kryesore në kapitullin 6.1. Një mekanizëm monitorimi do të ndjekë progresin e zbatimit për këto veprime dhe do të mundësojë bërjen e korrigjimeve, nëse del nevoja. </w:t>
      </w:r>
    </w:p>
    <w:p w14:paraId="6EDCFC49" w14:textId="4F31E0C8" w:rsidR="00A9766F" w:rsidRPr="007114AF" w:rsidRDefault="00617388" w:rsidP="00206985">
      <w:pPr>
        <w:pStyle w:val="TEKSTI"/>
      </w:pPr>
      <w:r w:rsidRPr="007114AF">
        <w:rPr>
          <w:b/>
        </w:rPr>
        <w:t xml:space="preserve">- </w:t>
      </w:r>
      <w:r w:rsidR="00A9766F" w:rsidRPr="007114AF">
        <w:rPr>
          <w:b/>
        </w:rPr>
        <w:t>Mbështetje në mënyrë sistematike për financimin:</w:t>
      </w:r>
      <w:r w:rsidR="00206985" w:rsidRPr="007114AF">
        <w:t xml:space="preserve"> </w:t>
      </w:r>
      <w:r w:rsidR="00A9766F" w:rsidRPr="007114AF">
        <w:t>Sigurimi i financimit përbën parakusht për zbatimin dhe pasqyrohet në dokument. Gjithashtu një dokument financiar mbështetës është përgatitur me një grup më të gj</w:t>
      </w:r>
      <w:r w:rsidR="00D75679">
        <w:t>e</w:t>
      </w:r>
      <w:r w:rsidR="00A9766F" w:rsidRPr="007114AF">
        <w:t>rë se GNMPNK-ja, duke përfshirë përfaqësues nga zyrat e planifikimit të buxhetit të ministrive respektive (6.2). Aksesi I mekanizmave të reja të klimës do të operacionalizohet përmes procesit të NAP-it në bashkëpunim të ngushtë me institucionet përkatëse, si dhe do të mbështetet nga donatorë të fushës. Aspekti I marrjes së burimeve shtesë financiare nëpërmjet NAP-it, mund të forcojë njohjen e tij në nivel politik.</w:t>
      </w:r>
      <w:r w:rsidR="000A2A01" w:rsidRPr="007114AF">
        <w:t xml:space="preserve"> </w:t>
      </w:r>
      <w:r w:rsidR="00A9766F" w:rsidRPr="007114AF">
        <w:t>Përveç burimeve ndërkombëtare të financimit, burimet nacionale dhe lokale të buxhetit duhet të hulumtohen sistematikisht, për financimin e përshtatjes ndaj ndryshimeve klimatike.</w:t>
      </w:r>
    </w:p>
    <w:p w14:paraId="6EDCFC4A" w14:textId="5D85016D" w:rsidR="00A9766F" w:rsidRPr="007114AF" w:rsidRDefault="00617388" w:rsidP="00206985">
      <w:pPr>
        <w:pStyle w:val="TEKSTI"/>
      </w:pPr>
      <w:r w:rsidRPr="007114AF">
        <w:rPr>
          <w:b/>
        </w:rPr>
        <w:t xml:space="preserve">- </w:t>
      </w:r>
      <w:r w:rsidR="00A9766F" w:rsidRPr="007114AF">
        <w:rPr>
          <w:b/>
        </w:rPr>
        <w:t>Katalizator për pjesëmarrjen dhe ndërgjegjësimin:</w:t>
      </w:r>
      <w:r w:rsidR="00206985" w:rsidRPr="007114AF">
        <w:t xml:space="preserve"> </w:t>
      </w:r>
      <w:r w:rsidR="00A9766F" w:rsidRPr="007114AF">
        <w:t>Analiza SWOTka identifikuar dobësitë në njohjen publike të ndryshimeve klimatike dhe të nevojave për t</w:t>
      </w:r>
      <w:r w:rsidR="00D10DAB" w:rsidRPr="007114AF">
        <w:t>’</w:t>
      </w:r>
      <w:r w:rsidR="00A9766F" w:rsidRPr="007114AF">
        <w:t>iu përshtatur këtyre ndryshimeve. Procesi i NAP-it</w:t>
      </w:r>
      <w:r w:rsidR="000A2A01" w:rsidRPr="007114AF">
        <w:t xml:space="preserve"> </w:t>
      </w:r>
      <w:r w:rsidR="00A9766F" w:rsidRPr="007114AF">
        <w:t>do të ketë me shumë pjesëmarrje dhe do të vazhdojë të aplikojë aktivitete të informimit dhe përfshirjes së publikut të gjerë dhe të grupeve të veçanta të synuara, si bujqit, sektori privat etj.</w:t>
      </w:r>
    </w:p>
    <w:p w14:paraId="6EDCFC4B" w14:textId="77777777" w:rsidR="00A9766F" w:rsidRPr="007114AF" w:rsidRDefault="00206985" w:rsidP="00206985">
      <w:pPr>
        <w:pStyle w:val="TEKSTI"/>
        <w:rPr>
          <w:b/>
        </w:rPr>
      </w:pPr>
      <w:bookmarkStart w:id="98" w:name="_Toc484424494"/>
      <w:bookmarkStart w:id="99" w:name="_Toc483570096"/>
      <w:r w:rsidRPr="007114AF">
        <w:rPr>
          <w:b/>
        </w:rPr>
        <w:t xml:space="preserve">2.9.3 </w:t>
      </w:r>
      <w:r w:rsidR="00A9766F" w:rsidRPr="007114AF">
        <w:rPr>
          <w:b/>
        </w:rPr>
        <w:t>Lidhja me procesin e paraaderimit në BE</w:t>
      </w:r>
      <w:bookmarkEnd w:id="98"/>
      <w:bookmarkEnd w:id="99"/>
    </w:p>
    <w:p w14:paraId="6EDCFC4C" w14:textId="5AC4C8D5" w:rsidR="00A9766F" w:rsidRPr="007114AF" w:rsidRDefault="00A9766F" w:rsidP="00206985">
      <w:pPr>
        <w:pStyle w:val="TEKSTI"/>
      </w:pPr>
      <w:r w:rsidRPr="007114AF">
        <w:rPr>
          <w:rFonts w:cs="Arial"/>
        </w:rPr>
        <w:t>Shqipërisë i është dhënë statusi i vendit kandidat për shtet anëtar në Bashkimin Evropian dhe po ecën përpara në përafrimin e legjislacionit të brendshëm me kërkesat e BE-së. Për këtë arsye, strategjia e BE-së për përshtatjen ndaj ndryshimeve klimatike, e miratuar nga Komisioni Evropian në prill 2013, do të konsiderohet si një kuadër referimi i rëndësishme, brenda të gjithë procesit të NAP-it. Rëndësi të madhe sa i takon veprimit të programuar dhe mundësisë për të përfituar nga fondet e BE-së, ka Dokumenti Strategjik Orientues për Instrumentin e BE-së për Asistencën Paraaderimi</w:t>
      </w:r>
      <w:bookmarkStart w:id="100" w:name="_Ref453762200"/>
      <w:r w:rsidRPr="007114AF">
        <w:rPr>
          <w:rFonts w:cs="Arial"/>
        </w:rPr>
        <w:t>t</w:t>
      </w:r>
      <w:r w:rsidRPr="007114AF">
        <w:rPr>
          <w:rFonts w:cs="Arial"/>
          <w:vertAlign w:val="superscript"/>
        </w:rPr>
        <w:footnoteReference w:id="39"/>
      </w:r>
      <w:bookmarkEnd w:id="100"/>
      <w:r w:rsidRPr="007114AF">
        <w:rPr>
          <w:rFonts w:cs="Arial"/>
        </w:rPr>
        <w:t xml:space="preserve">, miratuar më 18 gusht 2014. Dokumenti Strategjik për IPA II përcakton objektivat, treguesit dhe veprimet në një kapitull të veçantë </w:t>
      </w:r>
      <w:r w:rsidR="000A2A01" w:rsidRPr="007114AF">
        <w:rPr>
          <w:rFonts w:cs="Arial"/>
        </w:rPr>
        <w:t>“</w:t>
      </w:r>
      <w:r w:rsidRPr="007114AF">
        <w:rPr>
          <w:rFonts w:cs="Arial"/>
        </w:rPr>
        <w:t>Dritarja për mjedisin dhe klimën</w:t>
      </w:r>
      <w:r w:rsidR="000A2A01" w:rsidRPr="007114AF">
        <w:rPr>
          <w:rFonts w:cs="Arial"/>
        </w:rPr>
        <w:t>”</w:t>
      </w:r>
      <w:r w:rsidRPr="007114AF">
        <w:rPr>
          <w:rFonts w:cs="Arial"/>
        </w:rPr>
        <w:t xml:space="preserve"> dhe e përcakton veprimin për klimën si një element ndërsektorial, i cili prek shumicën e sektorëve në Dokumentin Strategjik, sidomos transportin, energjetikën, bujqësinë, zhvillimin rural dhe menaxhimin e fatkeqësive. Shpenzimet e lidhura me klimën do të monitorohen në të gjithë gamën e ndërhyrjeve në Shqipëri, në përputhje me treguesit statistikorë të OECD-DAC-ës për zbutjen e ndryshimeve klimatike dhe përshtatjen ndaj saj. Kjo ofron një potencial të lartë për procesin e përgjithshëm të zbatimit të NAP-it të Shqipërisë.</w:t>
      </w:r>
    </w:p>
    <w:p w14:paraId="6EDCFC4D" w14:textId="47893425" w:rsidR="00A9766F" w:rsidRPr="007114AF" w:rsidRDefault="00206985" w:rsidP="00206985">
      <w:pPr>
        <w:pStyle w:val="TEKSTI"/>
        <w:rPr>
          <w:b/>
        </w:rPr>
      </w:pPr>
      <w:bookmarkStart w:id="101" w:name="_Toc484424495"/>
      <w:r w:rsidRPr="007114AF">
        <w:rPr>
          <w:b/>
        </w:rPr>
        <w:t>3</w:t>
      </w:r>
      <w:r w:rsidR="00D75679">
        <w:rPr>
          <w:b/>
        </w:rPr>
        <w:t>.</w:t>
      </w:r>
      <w:r w:rsidRPr="007114AF">
        <w:rPr>
          <w:b/>
        </w:rPr>
        <w:t xml:space="preserve"> </w:t>
      </w:r>
      <w:r w:rsidR="00A9766F" w:rsidRPr="007114AF">
        <w:rPr>
          <w:b/>
        </w:rPr>
        <w:t>VIZIONI DHE</w:t>
      </w:r>
      <w:r w:rsidR="000A2A01" w:rsidRPr="007114AF">
        <w:rPr>
          <w:b/>
        </w:rPr>
        <w:t xml:space="preserve"> </w:t>
      </w:r>
      <w:r w:rsidR="00A9766F" w:rsidRPr="007114AF">
        <w:rPr>
          <w:b/>
        </w:rPr>
        <w:t>PRIORITETET E STRATEGJISË</w:t>
      </w:r>
      <w:bookmarkEnd w:id="84"/>
      <w:bookmarkEnd w:id="101"/>
    </w:p>
    <w:p w14:paraId="6EDCFC4E" w14:textId="77777777" w:rsidR="00A9766F" w:rsidRPr="007114AF" w:rsidRDefault="00A9766F" w:rsidP="00206985">
      <w:pPr>
        <w:pStyle w:val="TEKSTI"/>
        <w:rPr>
          <w:i/>
        </w:rPr>
      </w:pPr>
      <w:r w:rsidRPr="007114AF">
        <w:t>Vizioni i strategjisë kombëtare të ndryshime klimatike fokusohet fort në tre komponentë kryesorë të ndryshimit të klimës në Shqipëri: masat zbutëse, adaptimi dhe zhvillimi i qëndrueshëm, që kanë rezultuar me vizionin e përgjithshëm si më poshtë:</w:t>
      </w:r>
    </w:p>
    <w:p w14:paraId="6EDCFC4F" w14:textId="246F94E9" w:rsidR="00A9766F" w:rsidRPr="007114AF" w:rsidRDefault="000A2A01" w:rsidP="00206985">
      <w:pPr>
        <w:pStyle w:val="TEKSTI"/>
        <w:rPr>
          <w:i/>
        </w:rPr>
      </w:pPr>
      <w:r w:rsidRPr="007114AF">
        <w:rPr>
          <w:i/>
        </w:rPr>
        <w:t>“</w:t>
      </w:r>
      <w:r w:rsidR="00A9766F" w:rsidRPr="007114AF">
        <w:rPr>
          <w:i/>
        </w:rPr>
        <w:t xml:space="preserve">Duke pranuar se ndryshimi i klimës përfaqëson një kërcënim urgjent dhe potencialisht të pakthyeshëm për shoqëritë njerëzore, sidomos për zonën e Mesdheut, </w:t>
      </w:r>
      <w:r w:rsidR="00A9766F" w:rsidRPr="007114AF">
        <w:rPr>
          <w:b/>
          <w:bCs/>
          <w:i/>
        </w:rPr>
        <w:t>zhvillimi drejt ekonomisë me karbon të ulët është kyç për arritjen e objektivave global</w:t>
      </w:r>
      <w:r w:rsidR="0082368C">
        <w:rPr>
          <w:b/>
          <w:bCs/>
          <w:i/>
        </w:rPr>
        <w:t>ë</w:t>
      </w:r>
      <w:r w:rsidR="00A9766F" w:rsidRPr="007114AF">
        <w:rPr>
          <w:b/>
          <w:bCs/>
          <w:i/>
        </w:rPr>
        <w:t xml:space="preserve"> të zbutjes </w:t>
      </w:r>
      <w:r w:rsidR="00A9766F" w:rsidRPr="007114AF">
        <w:rPr>
          <w:i/>
        </w:rPr>
        <w:t xml:space="preserve">dhe </w:t>
      </w:r>
      <w:r w:rsidR="00A9766F" w:rsidRPr="007114AF">
        <w:rPr>
          <w:b/>
          <w:i/>
        </w:rPr>
        <w:t>për të lejuar një</w:t>
      </w:r>
      <w:r w:rsidR="00D75679">
        <w:rPr>
          <w:b/>
          <w:i/>
        </w:rPr>
        <w:t xml:space="preserve"> </w:t>
      </w:r>
      <w:r w:rsidR="00A9766F" w:rsidRPr="007114AF">
        <w:rPr>
          <w:b/>
          <w:i/>
        </w:rPr>
        <w:t>reagim të përshtatur</w:t>
      </w:r>
      <w:r w:rsidR="00A9766F" w:rsidRPr="007114AF">
        <w:rPr>
          <w:i/>
        </w:rPr>
        <w:t xml:space="preserve"> të brezit të ardhshëm me kosto të arsyeshme mjedisore, ekonomike dhe sociale.</w:t>
      </w:r>
      <w:r w:rsidRPr="007114AF">
        <w:rPr>
          <w:i/>
        </w:rPr>
        <w:t>”</w:t>
      </w:r>
    </w:p>
    <w:p w14:paraId="6EDCFC50" w14:textId="77777777" w:rsidR="00A9766F" w:rsidRPr="007114AF" w:rsidRDefault="00206985" w:rsidP="00206985">
      <w:pPr>
        <w:pStyle w:val="TEKSTI"/>
        <w:rPr>
          <w:b/>
        </w:rPr>
      </w:pPr>
      <w:bookmarkStart w:id="102" w:name="_Toc484424496"/>
      <w:r w:rsidRPr="007114AF">
        <w:rPr>
          <w:b/>
        </w:rPr>
        <w:t xml:space="preserve">3.1 </w:t>
      </w:r>
      <w:r w:rsidR="00A9766F" w:rsidRPr="007114AF">
        <w:rPr>
          <w:b/>
        </w:rPr>
        <w:t>Prioritetet e strategjisë</w:t>
      </w:r>
      <w:bookmarkEnd w:id="102"/>
    </w:p>
    <w:p w14:paraId="6EDCFC51" w14:textId="77777777" w:rsidR="00A9766F" w:rsidRPr="007114AF" w:rsidRDefault="00A9766F" w:rsidP="00206985">
      <w:pPr>
        <w:pStyle w:val="TEKSTI"/>
      </w:pPr>
      <w:r w:rsidRPr="007114AF">
        <w:t xml:space="preserve">Në ndjekje të vizionit të lartpërmendur, janë identifikuar përparësitë e mëposhtme të strategjisë (PS): </w:t>
      </w:r>
    </w:p>
    <w:p w14:paraId="6EDCFC52" w14:textId="77777777" w:rsidR="00A9766F" w:rsidRPr="007114AF" w:rsidRDefault="00617388" w:rsidP="00206985">
      <w:pPr>
        <w:pStyle w:val="TEKSTI"/>
        <w:rPr>
          <w:rFonts w:eastAsiaTheme="minorHAnsi"/>
        </w:rPr>
      </w:pPr>
      <w:r w:rsidRPr="007114AF">
        <w:rPr>
          <w:b/>
        </w:rPr>
        <w:t xml:space="preserve">- </w:t>
      </w:r>
      <w:r w:rsidR="00A9766F" w:rsidRPr="007114AF">
        <w:rPr>
          <w:b/>
        </w:rPr>
        <w:t>SP.1</w:t>
      </w:r>
      <w:r w:rsidR="00206985" w:rsidRPr="007114AF">
        <w:t xml:space="preserve"> </w:t>
      </w:r>
      <w:r w:rsidR="00A9766F" w:rsidRPr="007114AF">
        <w:t>Garantimi i një rritjeje të qëndrueshme të ekonomisë në përputhje me rrugët e shkarkimit GES, të përcaktuara në NDC-ë(Kontributi Kombëtar),dhe shkuarja drejt një pikësynimi në një ekonomi me karbon të ulët për të cilin kontribuojnë të gjithë sektorët.</w:t>
      </w:r>
    </w:p>
    <w:p w14:paraId="6EDCFC53" w14:textId="77777777" w:rsidR="00A9766F" w:rsidRPr="007114AF" w:rsidRDefault="00617388" w:rsidP="00206985">
      <w:pPr>
        <w:pStyle w:val="TEKSTI"/>
      </w:pPr>
      <w:r w:rsidRPr="007114AF">
        <w:rPr>
          <w:b/>
        </w:rPr>
        <w:t xml:space="preserve">- </w:t>
      </w:r>
      <w:r w:rsidR="00A9766F" w:rsidRPr="007114AF">
        <w:rPr>
          <w:b/>
        </w:rPr>
        <w:t>SP.2</w:t>
      </w:r>
      <w:r w:rsidR="00206985" w:rsidRPr="007114AF">
        <w:t xml:space="preserve"> </w:t>
      </w:r>
      <w:r w:rsidR="00A9766F" w:rsidRPr="007114AF">
        <w:t>Ngritja e një sistemi monitorues, raportues dhe verifikues GES, në përputhje me kërkesat e BE-së.</w:t>
      </w:r>
    </w:p>
    <w:p w14:paraId="6EDCFC54" w14:textId="77777777" w:rsidR="00A9766F" w:rsidRPr="007114AF" w:rsidRDefault="00617388" w:rsidP="00206985">
      <w:pPr>
        <w:pStyle w:val="TEKSTI"/>
      </w:pPr>
      <w:r w:rsidRPr="007114AF">
        <w:rPr>
          <w:b/>
        </w:rPr>
        <w:t xml:space="preserve">- </w:t>
      </w:r>
      <w:r w:rsidR="00A9766F" w:rsidRPr="007114AF">
        <w:rPr>
          <w:b/>
        </w:rPr>
        <w:t>SP.3</w:t>
      </w:r>
      <w:r w:rsidR="00206985" w:rsidRPr="007114AF">
        <w:t xml:space="preserve"> </w:t>
      </w:r>
      <w:r w:rsidR="00A9766F" w:rsidRPr="007114AF">
        <w:t>Forcimi i kapacitetit të institucioneve përkatëse dhe bashkëpunimi ndërinstitucional për trajtimin e çështjeve të ndryshimit të klimës.</w:t>
      </w:r>
    </w:p>
    <w:p w14:paraId="6EDCFC55" w14:textId="77777777" w:rsidR="00A9766F" w:rsidRPr="007114AF" w:rsidRDefault="00617388" w:rsidP="00206985">
      <w:pPr>
        <w:pStyle w:val="TEKSTI"/>
      </w:pPr>
      <w:r w:rsidRPr="007114AF">
        <w:rPr>
          <w:b/>
        </w:rPr>
        <w:t xml:space="preserve">- </w:t>
      </w:r>
      <w:r w:rsidR="00A9766F" w:rsidRPr="007114AF">
        <w:rPr>
          <w:b/>
        </w:rPr>
        <w:t>SP.4</w:t>
      </w:r>
      <w:r w:rsidR="00206985" w:rsidRPr="007114AF">
        <w:t xml:space="preserve"> </w:t>
      </w:r>
      <w:r w:rsidR="00A9766F" w:rsidRPr="007114AF">
        <w:t>Integrimi i ndryshimeve klimatike në planifikimin strategjik sektorial.</w:t>
      </w:r>
    </w:p>
    <w:p w14:paraId="6EDCFC56" w14:textId="77777777" w:rsidR="00A9766F" w:rsidRPr="007114AF" w:rsidRDefault="00617388" w:rsidP="00206985">
      <w:pPr>
        <w:pStyle w:val="TEKSTI"/>
      </w:pPr>
      <w:r w:rsidRPr="007114AF">
        <w:rPr>
          <w:b/>
        </w:rPr>
        <w:t xml:space="preserve">- </w:t>
      </w:r>
      <w:r w:rsidR="00A9766F" w:rsidRPr="007114AF">
        <w:rPr>
          <w:b/>
        </w:rPr>
        <w:t>SP.5</w:t>
      </w:r>
      <w:r w:rsidR="00206985" w:rsidRPr="007114AF">
        <w:t xml:space="preserve"> </w:t>
      </w:r>
      <w:r w:rsidR="00A9766F" w:rsidRPr="007114AF">
        <w:t>Përforcimi i kapacitetit dhe ndërgjegjësimit për çështjet e ndryshimit të klimës.</w:t>
      </w:r>
    </w:p>
    <w:p w14:paraId="6EDCFC57" w14:textId="77777777" w:rsidR="00A9766F" w:rsidRPr="007114AF" w:rsidRDefault="00617388" w:rsidP="00206985">
      <w:pPr>
        <w:pStyle w:val="TEKSTI"/>
      </w:pPr>
      <w:r w:rsidRPr="007114AF">
        <w:rPr>
          <w:b/>
        </w:rPr>
        <w:t xml:space="preserve">- </w:t>
      </w:r>
      <w:r w:rsidR="00A9766F" w:rsidRPr="007114AF">
        <w:rPr>
          <w:b/>
        </w:rPr>
        <w:t>SP.6</w:t>
      </w:r>
      <w:r w:rsidR="00206985" w:rsidRPr="007114AF">
        <w:t xml:space="preserve"> </w:t>
      </w:r>
      <w:r w:rsidR="00A9766F" w:rsidRPr="007114AF">
        <w:t>Afrimi me kuadrin ligjor të BE-së për ndryshimin e klimës në gjithë sektorët.</w:t>
      </w:r>
    </w:p>
    <w:p w14:paraId="6EDCFC58" w14:textId="16966424" w:rsidR="00A9766F" w:rsidRPr="007114AF" w:rsidRDefault="00A9766F" w:rsidP="00206985">
      <w:pPr>
        <w:pStyle w:val="TEKSTI"/>
        <w:rPr>
          <w:bCs/>
          <w:iCs/>
        </w:rPr>
      </w:pPr>
      <w:r w:rsidRPr="007114AF">
        <w:t>Objektivat kryesore të politikave specifikohen në paragrafët e mëposhtëm, duke marrë parasysh strategjitë dhe planet kryesore sektoriale dhe ndërsektoriale.</w:t>
      </w:r>
      <w:r w:rsidR="00D75679">
        <w:t xml:space="preserve"> </w:t>
      </w:r>
      <w:r w:rsidRPr="007114AF">
        <w:t>Për</w:t>
      </w:r>
      <w:r w:rsidR="00D75679">
        <w:t xml:space="preserve"> </w:t>
      </w:r>
      <w:r w:rsidRPr="007114AF">
        <w:t>sa i përket përshtatjes, objektivat gjithëpërfshirës dhe indikatorët e NAP-it kontibuojnë në plotësimin e e prioriteteve të strategjisë së lartpërmendura 3-6 (</w:t>
      </w:r>
      <w:r w:rsidR="00D75679" w:rsidRPr="007114AF">
        <w:t>siç</w:t>
      </w:r>
      <w:r w:rsidRPr="007114AF">
        <w:t xml:space="preserve"> jepen dhe në tabelën 16). Sidoqoftë, rezultatet përfundimtare afatgjata të procesit të përshtatjes do të synojnë:</w:t>
      </w:r>
    </w:p>
    <w:p w14:paraId="6EDCFC59" w14:textId="77777777" w:rsidR="00A9766F" w:rsidRPr="007114AF" w:rsidRDefault="00617388" w:rsidP="00206985">
      <w:pPr>
        <w:pStyle w:val="TEKSTI"/>
      </w:pPr>
      <w:r w:rsidRPr="007114AF">
        <w:t xml:space="preserve">- </w:t>
      </w:r>
      <w:r w:rsidR="00A9766F" w:rsidRPr="007114AF">
        <w:t>Zvogëlimin e dëmeve të shkaktuara nga përmbytjet.</w:t>
      </w:r>
    </w:p>
    <w:p w14:paraId="6EDCFC5A" w14:textId="77777777" w:rsidR="00A9766F" w:rsidRPr="007114AF" w:rsidRDefault="00617388" w:rsidP="00206985">
      <w:pPr>
        <w:pStyle w:val="TEKSTI"/>
      </w:pPr>
      <w:r w:rsidRPr="007114AF">
        <w:t xml:space="preserve">- </w:t>
      </w:r>
      <w:r w:rsidR="00A9766F" w:rsidRPr="007114AF">
        <w:t>Përmirësimin e aftësisë rimëkëmbëse të bujqësisë ndaj përmbytjeve.</w:t>
      </w:r>
    </w:p>
    <w:p w14:paraId="6EDCFC5B" w14:textId="77777777" w:rsidR="00A9766F" w:rsidRPr="007114AF" w:rsidRDefault="00617388" w:rsidP="00206985">
      <w:pPr>
        <w:pStyle w:val="TEKSTI"/>
      </w:pPr>
      <w:r w:rsidRPr="007114AF">
        <w:t xml:space="preserve">- </w:t>
      </w:r>
      <w:r w:rsidR="00A9766F" w:rsidRPr="007114AF">
        <w:t>Sigurimin e ujit të pijshëm cilësor pavarësisht ndikimeve nga ndryshimet klimatike.</w:t>
      </w:r>
    </w:p>
    <w:p w14:paraId="6EDCFC5C" w14:textId="77777777" w:rsidR="00A9766F" w:rsidRPr="007114AF" w:rsidRDefault="00206985" w:rsidP="00206985">
      <w:pPr>
        <w:pStyle w:val="TEKSTI"/>
        <w:rPr>
          <w:b/>
        </w:rPr>
      </w:pPr>
      <w:bookmarkStart w:id="103" w:name="_Toc484424497"/>
      <w:r w:rsidRPr="007114AF">
        <w:rPr>
          <w:b/>
        </w:rPr>
        <w:t xml:space="preserve">4 </w:t>
      </w:r>
      <w:r w:rsidR="00A9766F" w:rsidRPr="007114AF">
        <w:rPr>
          <w:b/>
        </w:rPr>
        <w:t>POLITIKAT KRYESORE QË PREKIN NDRYSHIMIN E KLIMËS</w:t>
      </w:r>
      <w:bookmarkEnd w:id="103"/>
    </w:p>
    <w:p w14:paraId="6EDCFC5D" w14:textId="77777777" w:rsidR="00A9766F" w:rsidRPr="007114AF" w:rsidRDefault="00206985" w:rsidP="00206985">
      <w:pPr>
        <w:pStyle w:val="TEKSTI"/>
        <w:rPr>
          <w:b/>
        </w:rPr>
      </w:pPr>
      <w:bookmarkStart w:id="104" w:name="_Toc484424498"/>
      <w:r w:rsidRPr="007114AF">
        <w:rPr>
          <w:b/>
        </w:rPr>
        <w:t xml:space="preserve">4.1 </w:t>
      </w:r>
      <w:r w:rsidR="00A9766F" w:rsidRPr="007114AF">
        <w:rPr>
          <w:b/>
        </w:rPr>
        <w:t>Qasjet specifike të sektorit përmes zbutjes</w:t>
      </w:r>
      <w:bookmarkEnd w:id="104"/>
    </w:p>
    <w:p w14:paraId="6EDCFC5E" w14:textId="77777777" w:rsidR="00A9766F" w:rsidRPr="007114AF" w:rsidRDefault="00A9766F" w:rsidP="00206985">
      <w:pPr>
        <w:pStyle w:val="TEKSTI"/>
      </w:pPr>
      <w:r w:rsidRPr="007114AF">
        <w:t xml:space="preserve">Planet dhe strategjitë ekzistuese janë përmbledhur dhe analizuar në perspektivën e zbutjes së ndryshimeve klimatike, duke trajtuar sinergjitë e shumta, boshllëqet dhe dobësitë, si dhe duke siguruar listën e masave kryesore strategjike, për të garantuar rrugët e zhvillimit me karbon të ulët. </w:t>
      </w:r>
    </w:p>
    <w:p w14:paraId="6EDCFC5F" w14:textId="77777777" w:rsidR="00A9766F" w:rsidRPr="007114AF" w:rsidRDefault="00A9766F" w:rsidP="00206985">
      <w:pPr>
        <w:pStyle w:val="TEKSTI"/>
      </w:pPr>
      <w:r w:rsidRPr="007114AF">
        <w:t>Në kohën e shkrimit, po hartoheshin disa strategji dhe plane, dhe prandaj janë në formë drafti (si në rastin e planit dhe Strategjisë së Transportit, SKZHI-II dhe Komunikimit të Tretë Kombëtar) apo në stadin fillestar (si në rastin e Strategjisë Kombëtare të Energjisë). Ndaj është parashikuar një rishikim periodik i kësaj strategjienë dritën e zhvillimit të strategjive kryesore sektoriale në rrjedhën e viteve të ardhshme.</w:t>
      </w:r>
    </w:p>
    <w:p w14:paraId="6EDCFC60" w14:textId="77777777" w:rsidR="00A9766F" w:rsidRPr="007114AF" w:rsidRDefault="00A9766F" w:rsidP="00206985">
      <w:pPr>
        <w:pStyle w:val="TEKSTI"/>
      </w:pPr>
      <w:r w:rsidRPr="007114AF">
        <w:t>Tabela më poshtë rendit strategjitë, planet dhe ligjet e analizuara me vlefshmërinë e tyre, institucionet përgjegjëse dhe versionin e përdorur në kohën e shkrimit.</w:t>
      </w:r>
    </w:p>
    <w:p w14:paraId="6EDCFC61" w14:textId="04188821" w:rsidR="00A9766F" w:rsidRPr="007114AF" w:rsidRDefault="00A9766F" w:rsidP="00206985">
      <w:pPr>
        <w:pStyle w:val="TEKSTI"/>
      </w:pPr>
      <w:r w:rsidRPr="007114AF">
        <w:t xml:space="preserve">Përveç strategjive dhe planeve të përmendura në tabelë, janë marrë në konsideratë një seri raportesh dhe analizash të renditura në </w:t>
      </w:r>
      <w:r w:rsidR="00D75679">
        <w:t>a</w:t>
      </w:r>
      <w:r w:rsidRPr="007114AF">
        <w:t>neksin 1. Mes tyre, vëmendje e veçantë i është kushtuar Komunikimit të Tretë Kombëtar, që ndonëse nuk mund të konsiderohet plan operativ, siguron tregues të dobishëm për veprimet e masave zbutëse që janë marrë në konsideratë në hartimin e strategjisë dhe planit.</w:t>
      </w:r>
    </w:p>
    <w:p w14:paraId="6EDCFC62" w14:textId="77777777" w:rsidR="00617388" w:rsidRPr="007114AF" w:rsidRDefault="00617388" w:rsidP="00617388">
      <w:pPr>
        <w:pStyle w:val="FIGURA"/>
        <w:rPr>
          <w:sz w:val="12"/>
          <w:szCs w:val="20"/>
        </w:rPr>
      </w:pPr>
    </w:p>
    <w:p w14:paraId="6EDCFC63" w14:textId="77777777" w:rsidR="00206985" w:rsidRPr="007114AF" w:rsidRDefault="00A9766F" w:rsidP="00617388">
      <w:pPr>
        <w:pStyle w:val="FIGURA"/>
        <w:rPr>
          <w:sz w:val="20"/>
          <w:szCs w:val="20"/>
        </w:rPr>
      </w:pPr>
      <w:r w:rsidRPr="007114AF">
        <w:rPr>
          <w:sz w:val="20"/>
          <w:szCs w:val="20"/>
        </w:rPr>
        <w:t>Tabela</w:t>
      </w:r>
      <w:r w:rsidR="00617388" w:rsidRPr="007114AF">
        <w:rPr>
          <w:sz w:val="20"/>
          <w:szCs w:val="20"/>
        </w:rPr>
        <w:t xml:space="preserve"> </w:t>
      </w:r>
      <w:r w:rsidRPr="007114AF">
        <w:rPr>
          <w:sz w:val="20"/>
          <w:szCs w:val="20"/>
        </w:rPr>
        <w:fldChar w:fldCharType="begin"/>
      </w:r>
      <w:r w:rsidRPr="007114AF">
        <w:rPr>
          <w:sz w:val="20"/>
          <w:szCs w:val="20"/>
        </w:rPr>
        <w:instrText xml:space="preserve"> SEQ Table \* ARABIC </w:instrText>
      </w:r>
      <w:r w:rsidRPr="007114AF">
        <w:rPr>
          <w:sz w:val="20"/>
          <w:szCs w:val="20"/>
        </w:rPr>
        <w:fldChar w:fldCharType="separate"/>
      </w:r>
      <w:r w:rsidRPr="007114AF">
        <w:rPr>
          <w:sz w:val="20"/>
          <w:szCs w:val="20"/>
        </w:rPr>
        <w:t>12</w:t>
      </w:r>
      <w:r w:rsidRPr="007114AF">
        <w:rPr>
          <w:sz w:val="20"/>
          <w:szCs w:val="20"/>
        </w:rPr>
        <w:fldChar w:fldCharType="end"/>
      </w:r>
      <w:r w:rsidRPr="007114AF">
        <w:rPr>
          <w:sz w:val="20"/>
          <w:szCs w:val="20"/>
        </w:rPr>
        <w:t xml:space="preserve"> – Lista e strategjive, ligjeve dhe planeve të përfshira në dokumentin e SKNK-ës</w:t>
      </w:r>
      <w:r w:rsidR="00206985" w:rsidRPr="007114AF">
        <w:rPr>
          <w:sz w:val="20"/>
          <w:szCs w:val="20"/>
        </w:rPr>
        <w:t xml:space="preserve"> </w:t>
      </w:r>
    </w:p>
    <w:tbl>
      <w:tblPr>
        <w:tblStyle w:val="GridTable1Light-Accent11"/>
        <w:tblW w:w="5000" w:type="pct"/>
        <w:tblLayout w:type="fixed"/>
        <w:tblLook w:val="05A0" w:firstRow="1" w:lastRow="0" w:firstColumn="1" w:lastColumn="1" w:noHBand="0" w:noVBand="1"/>
      </w:tblPr>
      <w:tblGrid>
        <w:gridCol w:w="4229"/>
        <w:gridCol w:w="137"/>
        <w:gridCol w:w="1503"/>
        <w:gridCol w:w="1248"/>
        <w:gridCol w:w="147"/>
        <w:gridCol w:w="2023"/>
      </w:tblGrid>
      <w:tr w:rsidR="00A9766F" w:rsidRPr="007114AF" w14:paraId="6EDCFC68" w14:textId="77777777" w:rsidTr="00D7567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51" w:type="pct"/>
            <w:gridSpan w:val="2"/>
            <w:shd w:val="clear" w:color="auto" w:fill="C6D9F1" w:themeFill="text2" w:themeFillTint="33"/>
            <w:vAlign w:val="center"/>
            <w:hideMark/>
          </w:tcPr>
          <w:p w14:paraId="6EDCFC64" w14:textId="77777777" w:rsidR="00A9766F" w:rsidRPr="007114AF" w:rsidRDefault="00A9766F" w:rsidP="00206985">
            <w:pPr>
              <w:spacing w:after="0"/>
              <w:rPr>
                <w:rFonts w:ascii="Garamond" w:hAnsi="Garamond"/>
                <w:sz w:val="18"/>
                <w:szCs w:val="18"/>
              </w:rPr>
            </w:pPr>
            <w:r w:rsidRPr="007114AF">
              <w:rPr>
                <w:rFonts w:ascii="Garamond" w:hAnsi="Garamond"/>
                <w:sz w:val="18"/>
                <w:szCs w:val="18"/>
              </w:rPr>
              <w:t>Dokumenti</w:t>
            </w:r>
          </w:p>
        </w:tc>
        <w:tc>
          <w:tcPr>
            <w:tcW w:w="809" w:type="pct"/>
            <w:shd w:val="clear" w:color="auto" w:fill="C6D9F1" w:themeFill="text2" w:themeFillTint="33"/>
            <w:vAlign w:val="center"/>
            <w:hideMark/>
          </w:tcPr>
          <w:p w14:paraId="6EDCFC65" w14:textId="77777777" w:rsidR="00A9766F" w:rsidRPr="007114AF" w:rsidRDefault="00A9766F" w:rsidP="00206985">
            <w:pPr>
              <w:spacing w:after="0"/>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 xml:space="preserve">Vlefshmëria </w:t>
            </w:r>
          </w:p>
        </w:tc>
        <w:tc>
          <w:tcPr>
            <w:tcW w:w="751" w:type="pct"/>
            <w:gridSpan w:val="2"/>
            <w:shd w:val="clear" w:color="auto" w:fill="C6D9F1" w:themeFill="text2" w:themeFillTint="33"/>
            <w:vAlign w:val="center"/>
            <w:hideMark/>
          </w:tcPr>
          <w:p w14:paraId="6EDCFC66" w14:textId="77777777" w:rsidR="00A9766F" w:rsidRPr="007114AF" w:rsidRDefault="00A9766F" w:rsidP="00206985">
            <w:pPr>
              <w:spacing w:after="0"/>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Institucionet*</w:t>
            </w:r>
          </w:p>
        </w:tc>
        <w:tc>
          <w:tcPr>
            <w:cnfStyle w:val="000100000000" w:firstRow="0" w:lastRow="0" w:firstColumn="0" w:lastColumn="1" w:oddVBand="0" w:evenVBand="0" w:oddHBand="0" w:evenHBand="0" w:firstRowFirstColumn="0" w:firstRowLastColumn="0" w:lastRowFirstColumn="0" w:lastRowLastColumn="0"/>
            <w:tcW w:w="1090" w:type="pct"/>
            <w:shd w:val="clear" w:color="auto" w:fill="C6D9F1" w:themeFill="text2" w:themeFillTint="33"/>
            <w:vAlign w:val="center"/>
          </w:tcPr>
          <w:p w14:paraId="6EDCFC67" w14:textId="77777777" w:rsidR="00A9766F" w:rsidRPr="007114AF" w:rsidRDefault="00A9766F" w:rsidP="00206985">
            <w:pPr>
              <w:spacing w:after="0"/>
              <w:rPr>
                <w:rFonts w:ascii="Garamond" w:hAnsi="Garamond"/>
                <w:sz w:val="18"/>
                <w:szCs w:val="18"/>
              </w:rPr>
            </w:pPr>
            <w:r w:rsidRPr="007114AF">
              <w:rPr>
                <w:rFonts w:ascii="Garamond" w:hAnsi="Garamond"/>
                <w:sz w:val="18"/>
                <w:szCs w:val="18"/>
              </w:rPr>
              <w:t>Versioni aktual</w:t>
            </w:r>
          </w:p>
        </w:tc>
      </w:tr>
      <w:tr w:rsidR="00A9766F" w:rsidRPr="007114AF" w14:paraId="6EDCFC6A" w14:textId="77777777" w:rsidTr="00A9766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C6D9F1" w:themeFill="text2" w:themeFillTint="33"/>
            <w:noWrap/>
            <w:vAlign w:val="center"/>
          </w:tcPr>
          <w:p w14:paraId="6EDCFC69" w14:textId="77777777" w:rsidR="00A9766F" w:rsidRPr="007114AF" w:rsidRDefault="00A9766F" w:rsidP="00206985">
            <w:pPr>
              <w:spacing w:after="0"/>
              <w:rPr>
                <w:rFonts w:ascii="Garamond" w:hAnsi="Garamond"/>
                <w:sz w:val="18"/>
                <w:szCs w:val="18"/>
              </w:rPr>
            </w:pPr>
            <w:r w:rsidRPr="007114AF">
              <w:rPr>
                <w:rFonts w:ascii="Garamond" w:hAnsi="Garamond"/>
                <w:sz w:val="18"/>
                <w:szCs w:val="18"/>
              </w:rPr>
              <w:t xml:space="preserve">Ndërsektorial </w:t>
            </w:r>
          </w:p>
        </w:tc>
      </w:tr>
      <w:tr w:rsidR="00A9766F" w:rsidRPr="007114AF" w14:paraId="6EDCFC6F"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noWrap/>
            <w:vAlign w:val="center"/>
            <w:hideMark/>
          </w:tcPr>
          <w:p w14:paraId="6EDCFC6B"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Kontributi i Kombëtar i Pikësynuar (INDC) në kuadrin e UNFCCC-ëS</w:t>
            </w:r>
          </w:p>
        </w:tc>
        <w:tc>
          <w:tcPr>
            <w:tcW w:w="882" w:type="pct"/>
            <w:gridSpan w:val="2"/>
            <w:vAlign w:val="center"/>
            <w:hideMark/>
          </w:tcPr>
          <w:p w14:paraId="6EDCFC6C"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2015-2030</w:t>
            </w:r>
          </w:p>
        </w:tc>
        <w:tc>
          <w:tcPr>
            <w:tcW w:w="672" w:type="pct"/>
            <w:vAlign w:val="center"/>
            <w:hideMark/>
          </w:tcPr>
          <w:p w14:paraId="6EDCFC6D"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MIE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6E"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25 gusht 2015</w:t>
            </w:r>
          </w:p>
        </w:tc>
      </w:tr>
      <w:tr w:rsidR="00A9766F" w:rsidRPr="007114AF" w14:paraId="6EDCFC74"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70"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 xml:space="preserve">Strategjia Mjedisore Ndërsektoriale (SMNS) </w:t>
            </w:r>
          </w:p>
        </w:tc>
        <w:tc>
          <w:tcPr>
            <w:tcW w:w="882" w:type="pct"/>
            <w:gridSpan w:val="2"/>
            <w:vAlign w:val="center"/>
            <w:hideMark/>
          </w:tcPr>
          <w:p w14:paraId="6EDCFC71"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2015-2020</w:t>
            </w:r>
          </w:p>
        </w:tc>
        <w:tc>
          <w:tcPr>
            <w:tcW w:w="672" w:type="pct"/>
            <w:vAlign w:val="center"/>
            <w:hideMark/>
          </w:tcPr>
          <w:p w14:paraId="6EDCFC72"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MIE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73"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Nuk ka datë në dokument</w:t>
            </w:r>
          </w:p>
        </w:tc>
      </w:tr>
      <w:tr w:rsidR="00A9766F" w:rsidRPr="007114AF" w14:paraId="6EDCFC79"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75"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 xml:space="preserve">Strategjia Kombëtare për Integrimin e Zhvillimit (SKZHI-II) </w:t>
            </w:r>
          </w:p>
        </w:tc>
        <w:tc>
          <w:tcPr>
            <w:tcW w:w="882" w:type="pct"/>
            <w:gridSpan w:val="2"/>
            <w:vAlign w:val="center"/>
            <w:hideMark/>
          </w:tcPr>
          <w:p w14:paraId="6EDCFC76"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2015-2020</w:t>
            </w:r>
          </w:p>
        </w:tc>
        <w:tc>
          <w:tcPr>
            <w:tcW w:w="672" w:type="pct"/>
            <w:vAlign w:val="center"/>
            <w:hideMark/>
          </w:tcPr>
          <w:p w14:paraId="6EDCFC77"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QSh</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78"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Drafti i dytë korrik 2015</w:t>
            </w:r>
          </w:p>
        </w:tc>
      </w:tr>
      <w:tr w:rsidR="00A9766F" w:rsidRPr="007114AF" w14:paraId="6EDCFC7E"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tcPr>
          <w:p w14:paraId="6EDCFC7A"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Projektligj për Ndryshimin e Klimës</w:t>
            </w:r>
          </w:p>
        </w:tc>
        <w:tc>
          <w:tcPr>
            <w:tcW w:w="882" w:type="pct"/>
            <w:gridSpan w:val="2"/>
            <w:vAlign w:val="center"/>
          </w:tcPr>
          <w:p w14:paraId="6EDCFC7B"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color w:val="000000" w:themeColor="text1"/>
                <w:sz w:val="18"/>
                <w:szCs w:val="18"/>
              </w:rPr>
              <w:t xml:space="preserve">Nga hyrja në fuqi deri në rishikim </w:t>
            </w:r>
          </w:p>
        </w:tc>
        <w:tc>
          <w:tcPr>
            <w:tcW w:w="672" w:type="pct"/>
            <w:vAlign w:val="center"/>
          </w:tcPr>
          <w:p w14:paraId="6EDCFC7C"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MM</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7D"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Drafti i tretë (Janar 2018)</w:t>
            </w:r>
          </w:p>
        </w:tc>
      </w:tr>
      <w:tr w:rsidR="00A9766F" w:rsidRPr="007114AF" w14:paraId="6EDCFC83"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tcPr>
          <w:p w14:paraId="6EDCFC7F"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 xml:space="preserve">Plani Kombëtar i Territorit (PKT) </w:t>
            </w:r>
          </w:p>
        </w:tc>
        <w:tc>
          <w:tcPr>
            <w:tcW w:w="882" w:type="pct"/>
            <w:gridSpan w:val="2"/>
            <w:vAlign w:val="center"/>
          </w:tcPr>
          <w:p w14:paraId="6EDCFC80"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8"/>
                <w:szCs w:val="18"/>
              </w:rPr>
            </w:pPr>
            <w:r w:rsidRPr="007114AF">
              <w:rPr>
                <w:rFonts w:ascii="Garamond" w:hAnsi="Garamond"/>
                <w:color w:val="000000" w:themeColor="text1"/>
                <w:sz w:val="18"/>
                <w:szCs w:val="18"/>
              </w:rPr>
              <w:t>2015-2030</w:t>
            </w:r>
          </w:p>
        </w:tc>
        <w:tc>
          <w:tcPr>
            <w:tcW w:w="672" w:type="pct"/>
            <w:vAlign w:val="center"/>
          </w:tcPr>
          <w:p w14:paraId="6EDCFC81" w14:textId="57CDA123"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eastAsia="Times New Roman" w:hAnsi="Garamond" w:cs="Calibri"/>
                <w:sz w:val="18"/>
                <w:szCs w:val="18"/>
                <w:shd w:val="clear" w:color="auto" w:fill="FFFFFF"/>
              </w:rPr>
              <w:t>AKPT</w:t>
            </w:r>
            <w:r w:rsidR="00D75679">
              <w:rPr>
                <w:rFonts w:ascii="Garamond" w:eastAsia="Times New Roman" w:hAnsi="Garamond" w:cs="Calibri"/>
                <w:sz w:val="18"/>
                <w:szCs w:val="18"/>
                <w:shd w:val="clear" w:color="auto" w:fill="FFFFFF"/>
              </w:rPr>
              <w:t xml:space="preserve"> </w:t>
            </w:r>
            <w:r w:rsidRPr="007114AF">
              <w:rPr>
                <w:rFonts w:ascii="Garamond" w:eastAsia="Times New Roman" w:hAnsi="Garamond" w:cs="Calibri"/>
                <w:sz w:val="18"/>
                <w:szCs w:val="18"/>
                <w:shd w:val="clear" w:color="auto" w:fill="FFFFFF"/>
              </w:rPr>
              <w:t>dhe</w:t>
            </w:r>
            <w:r w:rsidR="00D75679">
              <w:rPr>
                <w:rFonts w:ascii="Garamond" w:eastAsia="Times New Roman" w:hAnsi="Garamond" w:cs="Calibri"/>
                <w:sz w:val="18"/>
                <w:szCs w:val="18"/>
                <w:shd w:val="clear" w:color="auto" w:fill="FFFFFF"/>
              </w:rPr>
              <w:t xml:space="preserve"> </w:t>
            </w:r>
            <w:r w:rsidRPr="007114AF">
              <w:rPr>
                <w:rFonts w:ascii="Garamond" w:eastAsia="Times New Roman" w:hAnsi="Garamond" w:cs="Calibri"/>
                <w:sz w:val="18"/>
                <w:szCs w:val="18"/>
                <w:shd w:val="clear" w:color="auto" w:fill="FFFFFF"/>
              </w:rPr>
              <w:t>MZHU</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82" w14:textId="02756148" w:rsidR="00A9766F" w:rsidRPr="007114AF" w:rsidRDefault="00A9766F" w:rsidP="00206985">
            <w:pPr>
              <w:spacing w:after="0"/>
              <w:rPr>
                <w:rFonts w:ascii="Garamond" w:hAnsi="Garamond"/>
                <w:b w:val="0"/>
                <w:sz w:val="18"/>
                <w:szCs w:val="18"/>
              </w:rPr>
            </w:pPr>
            <w:r w:rsidRPr="007114AF">
              <w:rPr>
                <w:rFonts w:ascii="Garamond" w:hAnsi="Garamond"/>
                <w:sz w:val="18"/>
                <w:szCs w:val="18"/>
              </w:rPr>
              <w:t>Aprovuar me VKM</w:t>
            </w:r>
            <w:r w:rsidR="00242009" w:rsidRPr="007114AF">
              <w:rPr>
                <w:rFonts w:ascii="Garamond" w:hAnsi="Garamond"/>
                <w:sz w:val="18"/>
                <w:szCs w:val="18"/>
              </w:rPr>
              <w:t xml:space="preserve"> nr. </w:t>
            </w:r>
            <w:r w:rsidRPr="007114AF">
              <w:rPr>
                <w:rFonts w:ascii="Garamond" w:hAnsi="Garamond"/>
                <w:sz w:val="18"/>
                <w:szCs w:val="18"/>
              </w:rPr>
              <w:t>881, datë 14.12.2016</w:t>
            </w:r>
          </w:p>
        </w:tc>
      </w:tr>
      <w:tr w:rsidR="00A9766F" w:rsidRPr="007114AF" w14:paraId="6EDCFC88"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tcPr>
          <w:p w14:paraId="6EDCFC84" w14:textId="77777777" w:rsidR="00A9766F" w:rsidRPr="007114AF" w:rsidRDefault="00A9766F" w:rsidP="00206985">
            <w:pPr>
              <w:spacing w:after="0"/>
              <w:rPr>
                <w:rFonts w:ascii="Garamond" w:hAnsi="Garamond"/>
                <w:sz w:val="18"/>
                <w:szCs w:val="18"/>
              </w:rPr>
            </w:pPr>
            <w:r w:rsidRPr="007114AF">
              <w:rPr>
                <w:rFonts w:ascii="Garamond" w:hAnsi="Garamond"/>
                <w:color w:val="000000" w:themeColor="text1"/>
                <w:sz w:val="18"/>
                <w:szCs w:val="18"/>
              </w:rPr>
              <w:t>Plani i integruar ndërsektorial për bregdetin.</w:t>
            </w:r>
          </w:p>
        </w:tc>
        <w:tc>
          <w:tcPr>
            <w:tcW w:w="882" w:type="pct"/>
            <w:gridSpan w:val="2"/>
          </w:tcPr>
          <w:p w14:paraId="6EDCFC85"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8"/>
                <w:szCs w:val="18"/>
              </w:rPr>
            </w:pPr>
            <w:r w:rsidRPr="007114AF">
              <w:rPr>
                <w:rFonts w:ascii="Garamond" w:hAnsi="Garamond"/>
                <w:color w:val="000000" w:themeColor="text1"/>
                <w:sz w:val="18"/>
                <w:szCs w:val="18"/>
              </w:rPr>
              <w:t>2015-2030</w:t>
            </w:r>
          </w:p>
        </w:tc>
        <w:tc>
          <w:tcPr>
            <w:tcW w:w="672" w:type="pct"/>
          </w:tcPr>
          <w:p w14:paraId="6EDCFC86" w14:textId="3E56B8E0"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shd w:val="clear" w:color="auto" w:fill="FFFFFF"/>
              </w:rPr>
            </w:pPr>
            <w:r w:rsidRPr="007114AF">
              <w:rPr>
                <w:rFonts w:ascii="Garamond" w:hAnsi="Garamond"/>
                <w:color w:val="000000" w:themeColor="text1"/>
                <w:sz w:val="18"/>
                <w:szCs w:val="18"/>
              </w:rPr>
              <w:t>AKPT dhe</w:t>
            </w:r>
            <w:r w:rsidR="000A2A01" w:rsidRPr="007114AF">
              <w:rPr>
                <w:rFonts w:ascii="Garamond" w:hAnsi="Garamond"/>
                <w:color w:val="000000" w:themeColor="text1"/>
                <w:sz w:val="18"/>
                <w:szCs w:val="18"/>
              </w:rPr>
              <w:t xml:space="preserve"> </w:t>
            </w:r>
            <w:r w:rsidRPr="007114AF">
              <w:rPr>
                <w:rFonts w:ascii="Garamond" w:hAnsi="Garamond"/>
                <w:color w:val="000000" w:themeColor="text1"/>
                <w:sz w:val="18"/>
                <w:szCs w:val="18"/>
              </w:rPr>
              <w:t>MZHU</w:t>
            </w:r>
          </w:p>
        </w:tc>
        <w:tc>
          <w:tcPr>
            <w:cnfStyle w:val="000100000000" w:firstRow="0" w:lastRow="0" w:firstColumn="0" w:lastColumn="1" w:oddVBand="0" w:evenVBand="0" w:oddHBand="0" w:evenHBand="0" w:firstRowFirstColumn="0" w:firstRowLastColumn="0" w:lastRowFirstColumn="0" w:lastRowLastColumn="0"/>
            <w:tcW w:w="1168" w:type="pct"/>
            <w:gridSpan w:val="2"/>
          </w:tcPr>
          <w:p w14:paraId="6EDCFC87" w14:textId="77777777" w:rsidR="00A9766F" w:rsidRPr="007114AF" w:rsidRDefault="00A9766F" w:rsidP="00206985">
            <w:pPr>
              <w:spacing w:after="0"/>
              <w:rPr>
                <w:rFonts w:ascii="Garamond" w:hAnsi="Garamond"/>
                <w:sz w:val="18"/>
                <w:szCs w:val="18"/>
              </w:rPr>
            </w:pPr>
            <w:r w:rsidRPr="007114AF">
              <w:rPr>
                <w:rFonts w:ascii="Garamond" w:hAnsi="Garamond"/>
                <w:color w:val="000000" w:themeColor="text1"/>
                <w:sz w:val="18"/>
                <w:szCs w:val="18"/>
              </w:rPr>
              <w:t>Dhjetor 2016</w:t>
            </w:r>
          </w:p>
        </w:tc>
      </w:tr>
      <w:tr w:rsidR="00A9766F" w:rsidRPr="007114AF" w14:paraId="6EDCFC8A" w14:textId="77777777" w:rsidTr="00A9766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C6D9F1" w:themeFill="text2" w:themeFillTint="33"/>
            <w:vAlign w:val="center"/>
          </w:tcPr>
          <w:p w14:paraId="6EDCFC89" w14:textId="77777777" w:rsidR="00A9766F" w:rsidRPr="007114AF" w:rsidRDefault="00A9766F" w:rsidP="00206985">
            <w:pPr>
              <w:spacing w:after="0"/>
              <w:rPr>
                <w:rFonts w:ascii="Garamond" w:hAnsi="Garamond"/>
                <w:sz w:val="18"/>
                <w:szCs w:val="18"/>
              </w:rPr>
            </w:pPr>
            <w:r w:rsidRPr="007114AF">
              <w:rPr>
                <w:rFonts w:ascii="Garamond" w:hAnsi="Garamond"/>
                <w:sz w:val="18"/>
                <w:szCs w:val="18"/>
              </w:rPr>
              <w:t xml:space="preserve">Sektori i energjisë </w:t>
            </w:r>
          </w:p>
        </w:tc>
      </w:tr>
      <w:tr w:rsidR="00A9766F" w:rsidRPr="007114AF" w14:paraId="6EDCFC8F"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8B"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NAMA- Zëvendësimi i lëndëve djegëse fosile me mbetje të parrezikshme në industrinë e çimentos në Shqipëri</w:t>
            </w:r>
          </w:p>
        </w:tc>
        <w:tc>
          <w:tcPr>
            <w:tcW w:w="882" w:type="pct"/>
            <w:gridSpan w:val="2"/>
            <w:vAlign w:val="center"/>
            <w:hideMark/>
          </w:tcPr>
          <w:p w14:paraId="6EDCFC8C"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2015-2020</w:t>
            </w:r>
          </w:p>
        </w:tc>
        <w:tc>
          <w:tcPr>
            <w:tcW w:w="672" w:type="pct"/>
            <w:vAlign w:val="center"/>
            <w:hideMark/>
          </w:tcPr>
          <w:p w14:paraId="6EDCFC8D"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MIE /ME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8E"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Nuk ka datë në dokument</w:t>
            </w:r>
          </w:p>
        </w:tc>
      </w:tr>
      <w:tr w:rsidR="00A9766F" w:rsidRPr="007114AF" w14:paraId="6EDCFC94"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90"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 xml:space="preserve">NAMA-Financimi i mekanizmit për eficiencën e energjisë në ndërtesa </w:t>
            </w:r>
          </w:p>
        </w:tc>
        <w:tc>
          <w:tcPr>
            <w:tcW w:w="882" w:type="pct"/>
            <w:gridSpan w:val="2"/>
            <w:vAlign w:val="center"/>
            <w:hideMark/>
          </w:tcPr>
          <w:p w14:paraId="6EDCFC91"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2015-2020</w:t>
            </w:r>
          </w:p>
        </w:tc>
        <w:tc>
          <w:tcPr>
            <w:tcW w:w="672" w:type="pct"/>
            <w:vAlign w:val="center"/>
            <w:hideMark/>
          </w:tcPr>
          <w:p w14:paraId="6EDCFC92"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MIE /ME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93"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10 dhjetor 2014</w:t>
            </w:r>
          </w:p>
        </w:tc>
      </w:tr>
      <w:tr w:rsidR="00A9766F" w:rsidRPr="007114AF" w14:paraId="6EDCFC99"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95" w14:textId="1F4C6072" w:rsidR="00A9766F" w:rsidRPr="007114AF" w:rsidRDefault="00A9766F" w:rsidP="00206985">
            <w:pPr>
              <w:spacing w:after="0"/>
              <w:rPr>
                <w:rFonts w:ascii="Garamond" w:hAnsi="Garamond"/>
                <w:b w:val="0"/>
                <w:sz w:val="18"/>
                <w:szCs w:val="18"/>
              </w:rPr>
            </w:pPr>
            <w:r w:rsidRPr="007114AF">
              <w:rPr>
                <w:rFonts w:ascii="Garamond" w:hAnsi="Garamond"/>
                <w:sz w:val="18"/>
                <w:szCs w:val="18"/>
              </w:rPr>
              <w:t>Plani i Parë Kombëtar i</w:t>
            </w:r>
            <w:r w:rsidR="000A2A01" w:rsidRPr="007114AF">
              <w:rPr>
                <w:rFonts w:ascii="Garamond" w:hAnsi="Garamond"/>
                <w:sz w:val="18"/>
                <w:szCs w:val="18"/>
              </w:rPr>
              <w:t xml:space="preserve"> </w:t>
            </w:r>
            <w:r w:rsidRPr="007114AF">
              <w:rPr>
                <w:rFonts w:ascii="Garamond" w:hAnsi="Garamond"/>
                <w:sz w:val="18"/>
                <w:szCs w:val="18"/>
              </w:rPr>
              <w:t>Veprimit për Eficiencën e Energjisë (PKVEE)</w:t>
            </w:r>
          </w:p>
        </w:tc>
        <w:tc>
          <w:tcPr>
            <w:tcW w:w="882" w:type="pct"/>
            <w:gridSpan w:val="2"/>
            <w:noWrap/>
            <w:vAlign w:val="center"/>
            <w:hideMark/>
          </w:tcPr>
          <w:p w14:paraId="6EDCFC96"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2010-2018</w:t>
            </w:r>
          </w:p>
        </w:tc>
        <w:tc>
          <w:tcPr>
            <w:tcW w:w="672" w:type="pct"/>
            <w:vAlign w:val="center"/>
            <w:hideMark/>
          </w:tcPr>
          <w:p w14:paraId="6EDCFC97"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MIE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98"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Miratuar 2011</w:t>
            </w:r>
          </w:p>
        </w:tc>
      </w:tr>
      <w:tr w:rsidR="00A9766F" w:rsidRPr="007114AF" w14:paraId="6EDCFC9E"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9A" w14:textId="77777777" w:rsidR="00A9766F" w:rsidRPr="007114AF" w:rsidRDefault="00A9766F" w:rsidP="00206985">
            <w:pPr>
              <w:spacing w:after="0"/>
              <w:rPr>
                <w:rFonts w:ascii="Garamond" w:hAnsi="Garamond"/>
                <w:b w:val="0"/>
                <w:color w:val="000000" w:themeColor="text1"/>
                <w:sz w:val="18"/>
                <w:szCs w:val="18"/>
              </w:rPr>
            </w:pPr>
            <w:r w:rsidRPr="007114AF">
              <w:rPr>
                <w:rFonts w:ascii="Garamond" w:hAnsi="Garamond"/>
                <w:color w:val="000000" w:themeColor="text1"/>
                <w:sz w:val="18"/>
                <w:szCs w:val="18"/>
              </w:rPr>
              <w:t xml:space="preserve">Plani i Veprimit për Burimet e Rinovueshme të Energjisë në Shqipëri (BERBER) </w:t>
            </w:r>
          </w:p>
        </w:tc>
        <w:tc>
          <w:tcPr>
            <w:tcW w:w="882" w:type="pct"/>
            <w:gridSpan w:val="2"/>
            <w:noWrap/>
            <w:vAlign w:val="center"/>
            <w:hideMark/>
          </w:tcPr>
          <w:p w14:paraId="6EDCFC9B"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8"/>
                <w:szCs w:val="18"/>
              </w:rPr>
            </w:pPr>
            <w:r w:rsidRPr="007114AF">
              <w:rPr>
                <w:rFonts w:ascii="Garamond" w:hAnsi="Garamond"/>
                <w:color w:val="000000" w:themeColor="text1"/>
                <w:sz w:val="18"/>
                <w:szCs w:val="18"/>
              </w:rPr>
              <w:t>2015-2020</w:t>
            </w:r>
          </w:p>
        </w:tc>
        <w:tc>
          <w:tcPr>
            <w:tcW w:w="672" w:type="pct"/>
            <w:noWrap/>
            <w:vAlign w:val="center"/>
            <w:hideMark/>
          </w:tcPr>
          <w:p w14:paraId="6EDCFC9C"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8"/>
                <w:szCs w:val="18"/>
              </w:rPr>
            </w:pPr>
            <w:r w:rsidRPr="007114AF">
              <w:rPr>
                <w:rFonts w:ascii="Garamond" w:hAnsi="Garamond"/>
                <w:color w:val="000000" w:themeColor="text1"/>
                <w:sz w:val="18"/>
                <w:szCs w:val="18"/>
              </w:rPr>
              <w:t>MIE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9D" w14:textId="77777777" w:rsidR="00A9766F" w:rsidRPr="007114AF" w:rsidRDefault="00A9766F" w:rsidP="00206985">
            <w:pPr>
              <w:spacing w:after="0"/>
              <w:rPr>
                <w:rFonts w:ascii="Garamond" w:hAnsi="Garamond"/>
                <w:b w:val="0"/>
                <w:color w:val="000000" w:themeColor="text1"/>
                <w:sz w:val="18"/>
                <w:szCs w:val="18"/>
              </w:rPr>
            </w:pPr>
            <w:r w:rsidRPr="007114AF">
              <w:rPr>
                <w:rFonts w:ascii="Garamond" w:hAnsi="Garamond"/>
                <w:color w:val="000000" w:themeColor="text1"/>
                <w:sz w:val="18"/>
                <w:szCs w:val="18"/>
              </w:rPr>
              <w:t>Janar2016 (miratuar nga Këshilli i Ministrave)</w:t>
            </w:r>
          </w:p>
        </w:tc>
      </w:tr>
      <w:tr w:rsidR="00A9766F" w:rsidRPr="007114AF" w14:paraId="6EDCFCA3"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tcPr>
          <w:p w14:paraId="6EDCFC9F" w14:textId="77777777" w:rsidR="00A9766F" w:rsidRPr="007114AF" w:rsidRDefault="00A9766F" w:rsidP="00206985">
            <w:pPr>
              <w:spacing w:after="0"/>
              <w:rPr>
                <w:rFonts w:ascii="Garamond" w:hAnsi="Garamond"/>
                <w:b w:val="0"/>
                <w:color w:val="000000" w:themeColor="text1"/>
                <w:sz w:val="18"/>
                <w:szCs w:val="18"/>
              </w:rPr>
            </w:pPr>
            <w:r w:rsidRPr="007114AF">
              <w:rPr>
                <w:rFonts w:ascii="Garamond" w:hAnsi="Garamond"/>
                <w:color w:val="000000" w:themeColor="text1"/>
                <w:sz w:val="18"/>
                <w:szCs w:val="18"/>
              </w:rPr>
              <w:t xml:space="preserve">Ligji 124/2015 për Eficiencën e Energjisë </w:t>
            </w:r>
          </w:p>
        </w:tc>
        <w:tc>
          <w:tcPr>
            <w:tcW w:w="882" w:type="pct"/>
            <w:gridSpan w:val="2"/>
            <w:noWrap/>
          </w:tcPr>
          <w:p w14:paraId="6EDCFCA0"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color w:val="000000" w:themeColor="text1"/>
                <w:sz w:val="18"/>
                <w:szCs w:val="18"/>
              </w:rPr>
              <w:t>Nga hyrja në fuqi deri në rishikim</w:t>
            </w:r>
          </w:p>
        </w:tc>
        <w:tc>
          <w:tcPr>
            <w:tcW w:w="672" w:type="pct"/>
            <w:vAlign w:val="center"/>
          </w:tcPr>
          <w:p w14:paraId="6EDCFCA1"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8"/>
                <w:szCs w:val="18"/>
              </w:rPr>
            </w:pPr>
            <w:r w:rsidRPr="007114AF">
              <w:rPr>
                <w:rFonts w:ascii="Garamond" w:hAnsi="Garamond"/>
                <w:color w:val="000000" w:themeColor="text1"/>
                <w:sz w:val="18"/>
                <w:szCs w:val="18"/>
              </w:rPr>
              <w:t>MIE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A2" w14:textId="77777777" w:rsidR="00A9766F" w:rsidRPr="007114AF" w:rsidRDefault="00A9766F" w:rsidP="00206985">
            <w:pPr>
              <w:spacing w:after="0"/>
              <w:rPr>
                <w:rFonts w:ascii="Garamond" w:hAnsi="Garamond"/>
                <w:b w:val="0"/>
                <w:color w:val="000000" w:themeColor="text1"/>
                <w:sz w:val="18"/>
                <w:szCs w:val="18"/>
              </w:rPr>
            </w:pPr>
            <w:r w:rsidRPr="007114AF">
              <w:rPr>
                <w:rFonts w:ascii="Garamond" w:hAnsi="Garamond"/>
                <w:color w:val="000000" w:themeColor="text1"/>
                <w:sz w:val="18"/>
                <w:szCs w:val="18"/>
              </w:rPr>
              <w:t>Miratuar nga Kuvendi i Shqipërisë dhe Presidenti në nëntor 2015</w:t>
            </w:r>
          </w:p>
        </w:tc>
      </w:tr>
      <w:tr w:rsidR="00A9766F" w:rsidRPr="007114AF" w14:paraId="6EDCFCA8"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tcPr>
          <w:p w14:paraId="6EDCFCA4" w14:textId="77777777" w:rsidR="00A9766F" w:rsidRPr="007114AF" w:rsidRDefault="00A9766F" w:rsidP="00206985">
            <w:pPr>
              <w:spacing w:after="0"/>
              <w:rPr>
                <w:rFonts w:ascii="Garamond" w:hAnsi="Garamond"/>
                <w:b w:val="0"/>
                <w:color w:val="000000" w:themeColor="text1"/>
                <w:sz w:val="18"/>
                <w:szCs w:val="18"/>
              </w:rPr>
            </w:pPr>
            <w:r w:rsidRPr="007114AF">
              <w:rPr>
                <w:rFonts w:ascii="Garamond" w:hAnsi="Garamond"/>
                <w:color w:val="000000" w:themeColor="text1"/>
                <w:sz w:val="18"/>
                <w:szCs w:val="18"/>
              </w:rPr>
              <w:t>Projektligj për Burimet e Energjisë së Rinovueshme</w:t>
            </w:r>
          </w:p>
        </w:tc>
        <w:tc>
          <w:tcPr>
            <w:tcW w:w="882" w:type="pct"/>
            <w:gridSpan w:val="2"/>
            <w:noWrap/>
          </w:tcPr>
          <w:p w14:paraId="6EDCFCA5"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color w:val="000000" w:themeColor="text1"/>
                <w:sz w:val="18"/>
                <w:szCs w:val="18"/>
              </w:rPr>
              <w:t>Nga hyrja në fuqi deri në rishikim</w:t>
            </w:r>
          </w:p>
        </w:tc>
        <w:tc>
          <w:tcPr>
            <w:tcW w:w="672" w:type="pct"/>
            <w:vAlign w:val="center"/>
          </w:tcPr>
          <w:p w14:paraId="6EDCFCA6"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8"/>
                <w:szCs w:val="18"/>
              </w:rPr>
            </w:pPr>
            <w:r w:rsidRPr="007114AF">
              <w:rPr>
                <w:rFonts w:ascii="Garamond" w:hAnsi="Garamond"/>
                <w:color w:val="000000" w:themeColor="text1"/>
                <w:sz w:val="18"/>
                <w:szCs w:val="18"/>
              </w:rPr>
              <w:t>MIE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A7" w14:textId="77777777" w:rsidR="00A9766F" w:rsidRPr="007114AF" w:rsidRDefault="00A9766F" w:rsidP="00206985">
            <w:pPr>
              <w:spacing w:after="0"/>
              <w:rPr>
                <w:rFonts w:ascii="Garamond" w:hAnsi="Garamond"/>
                <w:b w:val="0"/>
                <w:color w:val="000000" w:themeColor="text1"/>
                <w:sz w:val="18"/>
                <w:szCs w:val="18"/>
              </w:rPr>
            </w:pPr>
            <w:r w:rsidRPr="007114AF">
              <w:rPr>
                <w:rFonts w:ascii="Garamond" w:hAnsi="Garamond"/>
                <w:color w:val="000000" w:themeColor="text1"/>
                <w:sz w:val="18"/>
                <w:szCs w:val="18"/>
              </w:rPr>
              <w:t>Drafti shtator 2015</w:t>
            </w:r>
          </w:p>
        </w:tc>
      </w:tr>
      <w:tr w:rsidR="00A9766F" w:rsidRPr="007114AF" w14:paraId="6EDCFCAD"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tcPr>
          <w:p w14:paraId="6EDCFCA9"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Projektligj për Performancën e Energjisë në Ndërtesa (PEN).</w:t>
            </w:r>
          </w:p>
        </w:tc>
        <w:tc>
          <w:tcPr>
            <w:tcW w:w="882" w:type="pct"/>
            <w:gridSpan w:val="2"/>
            <w:noWrap/>
          </w:tcPr>
          <w:p w14:paraId="6EDCFCAA"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color w:val="000000" w:themeColor="text1"/>
                <w:sz w:val="18"/>
                <w:szCs w:val="18"/>
              </w:rPr>
              <w:t>Nga hyrja në fuqi deri në rishikim</w:t>
            </w:r>
          </w:p>
        </w:tc>
        <w:tc>
          <w:tcPr>
            <w:tcW w:w="672" w:type="pct"/>
            <w:vAlign w:val="center"/>
          </w:tcPr>
          <w:p w14:paraId="6EDCFCAB"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MIE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AC"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Draftifinal – 15 dhjetor 2015</w:t>
            </w:r>
          </w:p>
        </w:tc>
      </w:tr>
      <w:tr w:rsidR="00A9766F" w:rsidRPr="007114AF" w14:paraId="6EDCFCAF" w14:textId="77777777" w:rsidTr="00A9766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C6D9F1" w:themeFill="text2" w:themeFillTint="33"/>
            <w:vAlign w:val="center"/>
          </w:tcPr>
          <w:p w14:paraId="6EDCFCAE" w14:textId="77777777" w:rsidR="00A9766F" w:rsidRPr="007114AF" w:rsidRDefault="00A9766F" w:rsidP="00206985">
            <w:pPr>
              <w:spacing w:after="0"/>
              <w:rPr>
                <w:rFonts w:ascii="Garamond" w:hAnsi="Garamond"/>
                <w:sz w:val="18"/>
                <w:szCs w:val="18"/>
              </w:rPr>
            </w:pPr>
            <w:r w:rsidRPr="007114AF">
              <w:rPr>
                <w:rFonts w:ascii="Garamond" w:hAnsi="Garamond"/>
                <w:sz w:val="18"/>
                <w:szCs w:val="18"/>
              </w:rPr>
              <w:t>Sektori i Transportit</w:t>
            </w:r>
          </w:p>
        </w:tc>
      </w:tr>
      <w:tr w:rsidR="00A9766F" w:rsidRPr="007114AF" w14:paraId="6EDCFCB4" w14:textId="77777777" w:rsidTr="00D75679">
        <w:trPr>
          <w:trHeight w:val="7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B0" w14:textId="7B508D67" w:rsidR="00A9766F" w:rsidRPr="007114AF" w:rsidRDefault="00A9766F" w:rsidP="00206985">
            <w:pPr>
              <w:spacing w:after="0"/>
              <w:rPr>
                <w:rFonts w:ascii="Garamond" w:hAnsi="Garamond"/>
                <w:b w:val="0"/>
                <w:sz w:val="18"/>
                <w:szCs w:val="18"/>
              </w:rPr>
            </w:pPr>
            <w:r w:rsidRPr="007114AF">
              <w:rPr>
                <w:rFonts w:ascii="Garamond" w:hAnsi="Garamond"/>
                <w:sz w:val="18"/>
                <w:szCs w:val="18"/>
              </w:rPr>
              <w:t>Strategjia dhe Plani i Veprimit i</w:t>
            </w:r>
            <w:r w:rsidR="000A2A01" w:rsidRPr="007114AF">
              <w:rPr>
                <w:rFonts w:ascii="Garamond" w:hAnsi="Garamond"/>
                <w:sz w:val="18"/>
                <w:szCs w:val="18"/>
              </w:rPr>
              <w:t xml:space="preserve"> </w:t>
            </w:r>
            <w:r w:rsidRPr="007114AF">
              <w:rPr>
                <w:rFonts w:ascii="Garamond" w:hAnsi="Garamond"/>
                <w:sz w:val="18"/>
                <w:szCs w:val="18"/>
              </w:rPr>
              <w:t>Sektorit të Transportit (SSTPV)</w:t>
            </w:r>
          </w:p>
        </w:tc>
        <w:tc>
          <w:tcPr>
            <w:tcW w:w="882" w:type="pct"/>
            <w:gridSpan w:val="2"/>
            <w:noWrap/>
            <w:vAlign w:val="center"/>
            <w:hideMark/>
          </w:tcPr>
          <w:p w14:paraId="6EDCFCB1"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2016-2020</w:t>
            </w:r>
          </w:p>
        </w:tc>
        <w:tc>
          <w:tcPr>
            <w:tcW w:w="672" w:type="pct"/>
            <w:noWrap/>
            <w:vAlign w:val="center"/>
            <w:hideMark/>
          </w:tcPr>
          <w:p w14:paraId="6EDCFCB2"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MTI</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B3"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Draft 0.1 – 31 janar 2016</w:t>
            </w:r>
          </w:p>
        </w:tc>
      </w:tr>
      <w:tr w:rsidR="00A9766F" w:rsidRPr="007114AF" w14:paraId="6EDCFCB9"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B5"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Plani për Transport të Qëndrueshëm (TECTQ) – Dokumenti bazë.</w:t>
            </w:r>
          </w:p>
        </w:tc>
        <w:tc>
          <w:tcPr>
            <w:tcW w:w="882" w:type="pct"/>
            <w:gridSpan w:val="2"/>
            <w:noWrap/>
            <w:vAlign w:val="center"/>
            <w:hideMark/>
          </w:tcPr>
          <w:p w14:paraId="6EDCFCB6"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2016-2020</w:t>
            </w:r>
          </w:p>
        </w:tc>
        <w:tc>
          <w:tcPr>
            <w:tcW w:w="672" w:type="pct"/>
            <w:vAlign w:val="center"/>
            <w:hideMark/>
          </w:tcPr>
          <w:p w14:paraId="6EDCFCB7"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MTI</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B8" w14:textId="1811D323" w:rsidR="00A9766F" w:rsidRPr="007114AF" w:rsidRDefault="00A9766F" w:rsidP="0082368C">
            <w:pPr>
              <w:spacing w:after="0"/>
              <w:rPr>
                <w:rFonts w:ascii="Garamond" w:hAnsi="Garamond"/>
                <w:b w:val="0"/>
                <w:bCs w:val="0"/>
                <w:sz w:val="18"/>
                <w:szCs w:val="18"/>
              </w:rPr>
            </w:pPr>
            <w:r w:rsidRPr="007114AF">
              <w:rPr>
                <w:rFonts w:ascii="Garamond" w:hAnsi="Garamond" w:cs="Georgia"/>
                <w:color w:val="000000"/>
                <w:sz w:val="18"/>
                <w:szCs w:val="18"/>
              </w:rPr>
              <w:t>Raporti i Objektivave të Qëndruesh</w:t>
            </w:r>
            <w:r w:rsidR="0082368C">
              <w:rPr>
                <w:rFonts w:ascii="Garamond" w:hAnsi="Garamond" w:cs="Georgia"/>
                <w:color w:val="000000"/>
                <w:sz w:val="18"/>
                <w:szCs w:val="18"/>
              </w:rPr>
              <w:t>ë</w:t>
            </w:r>
            <w:r w:rsidRPr="007114AF">
              <w:rPr>
                <w:rFonts w:ascii="Garamond" w:hAnsi="Garamond" w:cs="Georgia"/>
                <w:color w:val="000000"/>
                <w:sz w:val="18"/>
                <w:szCs w:val="18"/>
              </w:rPr>
              <w:t>m – 05 maj 2015</w:t>
            </w:r>
          </w:p>
        </w:tc>
      </w:tr>
      <w:tr w:rsidR="00A9766F" w:rsidRPr="007114AF" w14:paraId="6EDCFCBB" w14:textId="77777777" w:rsidTr="00A9766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C6D9F1" w:themeFill="text2" w:themeFillTint="33"/>
            <w:vAlign w:val="center"/>
          </w:tcPr>
          <w:p w14:paraId="6EDCFCBA" w14:textId="77777777" w:rsidR="00A9766F" w:rsidRPr="007114AF" w:rsidRDefault="00A9766F" w:rsidP="00206985">
            <w:pPr>
              <w:spacing w:after="0"/>
              <w:rPr>
                <w:rFonts w:ascii="Garamond" w:hAnsi="Garamond"/>
                <w:sz w:val="18"/>
                <w:szCs w:val="18"/>
              </w:rPr>
            </w:pPr>
            <w:r w:rsidRPr="007114AF">
              <w:rPr>
                <w:rFonts w:ascii="Garamond" w:hAnsi="Garamond"/>
                <w:sz w:val="18"/>
                <w:szCs w:val="18"/>
              </w:rPr>
              <w:t>Bujqësia dhe LUCF-ja</w:t>
            </w:r>
          </w:p>
        </w:tc>
      </w:tr>
      <w:tr w:rsidR="00A9766F" w:rsidRPr="007114AF" w14:paraId="6EDCFCC0"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BC"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Strategjia ndërsektoriale për Bujqësinë dhe zhvillimin rural në Shqipëri (SNBZHR)</w:t>
            </w:r>
          </w:p>
        </w:tc>
        <w:tc>
          <w:tcPr>
            <w:tcW w:w="882" w:type="pct"/>
            <w:gridSpan w:val="2"/>
            <w:vAlign w:val="center"/>
            <w:hideMark/>
          </w:tcPr>
          <w:p w14:paraId="6EDCFCBD"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2014-2020</w:t>
            </w:r>
          </w:p>
        </w:tc>
        <w:tc>
          <w:tcPr>
            <w:tcW w:w="672" w:type="pct"/>
            <w:noWrap/>
            <w:vAlign w:val="center"/>
            <w:hideMark/>
          </w:tcPr>
          <w:p w14:paraId="6EDCFCBE"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lang w:eastAsia="de-DE"/>
              </w:rPr>
              <w:t>MBZHR</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BF"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Versioni i fundit qershor 2014</w:t>
            </w:r>
          </w:p>
        </w:tc>
      </w:tr>
      <w:tr w:rsidR="00A9766F" w:rsidRPr="007114AF" w14:paraId="6EDCFCC5"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C1" w14:textId="2ECDEF03" w:rsidR="00A9766F" w:rsidRPr="007114AF" w:rsidRDefault="00A9766F" w:rsidP="00206985">
            <w:pPr>
              <w:spacing w:after="0"/>
              <w:rPr>
                <w:rFonts w:ascii="Garamond" w:hAnsi="Garamond"/>
                <w:b w:val="0"/>
                <w:sz w:val="18"/>
                <w:szCs w:val="18"/>
              </w:rPr>
            </w:pPr>
            <w:r w:rsidRPr="007114AF">
              <w:rPr>
                <w:rFonts w:ascii="Garamond" w:hAnsi="Garamond"/>
                <w:sz w:val="18"/>
                <w:szCs w:val="18"/>
              </w:rPr>
              <w:t xml:space="preserve">Programi i Zhvillimit Rural </w:t>
            </w:r>
            <w:r w:rsidR="00C6608F" w:rsidRPr="007114AF">
              <w:rPr>
                <w:rFonts w:ascii="Garamond" w:hAnsi="Garamond"/>
                <w:sz w:val="18"/>
                <w:szCs w:val="18"/>
              </w:rPr>
              <w:t>2014–2020</w:t>
            </w:r>
            <w:r w:rsidRPr="007114AF">
              <w:rPr>
                <w:rFonts w:ascii="Garamond" w:hAnsi="Garamond"/>
                <w:sz w:val="18"/>
                <w:szCs w:val="18"/>
              </w:rPr>
              <w:t>në kuadrin e Instrumentit për Asistencë para Anëtarësimit (IPARD)</w:t>
            </w:r>
          </w:p>
        </w:tc>
        <w:tc>
          <w:tcPr>
            <w:tcW w:w="882" w:type="pct"/>
            <w:gridSpan w:val="2"/>
            <w:vAlign w:val="center"/>
            <w:hideMark/>
          </w:tcPr>
          <w:p w14:paraId="6EDCFCC2"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2014-2020</w:t>
            </w:r>
          </w:p>
        </w:tc>
        <w:tc>
          <w:tcPr>
            <w:tcW w:w="672" w:type="pct"/>
            <w:vAlign w:val="center"/>
            <w:hideMark/>
          </w:tcPr>
          <w:p w14:paraId="6EDCFCC3"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lang w:eastAsia="de-DE"/>
              </w:rPr>
              <w:t>MBZHR</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C4"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28 Maj 2015</w:t>
            </w:r>
          </w:p>
        </w:tc>
      </w:tr>
      <w:tr w:rsidR="00A9766F" w:rsidRPr="007114AF" w14:paraId="6EDCFCCA"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hideMark/>
          </w:tcPr>
          <w:p w14:paraId="6EDCFCC6"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Dokumenti i Politikave Strategjike për Mbrojtjen e Biodiversitetit (DPSMB)</w:t>
            </w:r>
          </w:p>
        </w:tc>
        <w:tc>
          <w:tcPr>
            <w:tcW w:w="882" w:type="pct"/>
            <w:gridSpan w:val="2"/>
            <w:vAlign w:val="center"/>
            <w:hideMark/>
          </w:tcPr>
          <w:p w14:paraId="6EDCFCC7"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2016-2020</w:t>
            </w:r>
          </w:p>
        </w:tc>
        <w:tc>
          <w:tcPr>
            <w:tcW w:w="672" w:type="pct"/>
            <w:vAlign w:val="center"/>
            <w:hideMark/>
          </w:tcPr>
          <w:p w14:paraId="6EDCFCC8"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C9" w14:textId="6623FD76" w:rsidR="00A9766F" w:rsidRPr="007114AF" w:rsidRDefault="00A9766F" w:rsidP="00206985">
            <w:pPr>
              <w:spacing w:after="0"/>
              <w:rPr>
                <w:rFonts w:ascii="Garamond" w:hAnsi="Garamond"/>
                <w:b w:val="0"/>
                <w:sz w:val="18"/>
                <w:szCs w:val="18"/>
              </w:rPr>
            </w:pPr>
            <w:r w:rsidRPr="007114AF">
              <w:rPr>
                <w:rFonts w:ascii="Garamond" w:hAnsi="Garamond"/>
                <w:sz w:val="18"/>
                <w:szCs w:val="18"/>
              </w:rPr>
              <w:t>Miratuar me VKM</w:t>
            </w:r>
            <w:r w:rsidR="00242009" w:rsidRPr="007114AF">
              <w:rPr>
                <w:rFonts w:ascii="Garamond" w:hAnsi="Garamond"/>
                <w:sz w:val="18"/>
                <w:szCs w:val="18"/>
              </w:rPr>
              <w:t xml:space="preserve"> nr. </w:t>
            </w:r>
            <w:r w:rsidRPr="007114AF">
              <w:rPr>
                <w:rFonts w:ascii="Garamond" w:hAnsi="Garamond"/>
                <w:sz w:val="18"/>
                <w:szCs w:val="18"/>
              </w:rPr>
              <w:t>31 datë 20 janar 2016</w:t>
            </w:r>
          </w:p>
        </w:tc>
      </w:tr>
      <w:tr w:rsidR="00A9766F" w:rsidRPr="007114AF" w14:paraId="6EDCFCCF"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vAlign w:val="center"/>
          </w:tcPr>
          <w:p w14:paraId="6EDCFCCB" w14:textId="77777777" w:rsidR="00A9766F" w:rsidRPr="007114AF" w:rsidRDefault="00A9766F" w:rsidP="00206985">
            <w:pPr>
              <w:spacing w:after="0"/>
              <w:rPr>
                <w:rFonts w:ascii="Garamond" w:hAnsi="Garamond"/>
                <w:b w:val="0"/>
                <w:sz w:val="18"/>
                <w:szCs w:val="18"/>
              </w:rPr>
            </w:pPr>
            <w:r w:rsidRPr="007114AF">
              <w:rPr>
                <w:rFonts w:ascii="Garamond" w:hAnsi="Garamond"/>
                <w:sz w:val="18"/>
                <w:szCs w:val="18"/>
              </w:rPr>
              <w:t>Projektligj për Administrimin e Fondit Kombëtar të Pyjeve dhe Kullotave në Republikën e Shqipërisë.</w:t>
            </w:r>
          </w:p>
        </w:tc>
        <w:tc>
          <w:tcPr>
            <w:tcW w:w="882" w:type="pct"/>
            <w:gridSpan w:val="2"/>
            <w:vAlign w:val="center"/>
          </w:tcPr>
          <w:p w14:paraId="6EDCFCCC"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color w:val="000000" w:themeColor="text1"/>
                <w:sz w:val="18"/>
                <w:szCs w:val="18"/>
              </w:rPr>
              <w:t>Nga hyrja në fuqi deri në rishikim</w:t>
            </w:r>
          </w:p>
        </w:tc>
        <w:tc>
          <w:tcPr>
            <w:tcW w:w="672" w:type="pct"/>
            <w:vAlign w:val="center"/>
          </w:tcPr>
          <w:p w14:paraId="6EDCFCCD"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ME</w:t>
            </w:r>
          </w:p>
        </w:tc>
        <w:tc>
          <w:tcPr>
            <w:cnfStyle w:val="000100000000" w:firstRow="0" w:lastRow="0" w:firstColumn="0" w:lastColumn="1" w:oddVBand="0" w:evenVBand="0" w:oddHBand="0" w:evenHBand="0" w:firstRowFirstColumn="0" w:firstRowLastColumn="0" w:lastRowFirstColumn="0" w:lastRowLastColumn="0"/>
            <w:tcW w:w="1168" w:type="pct"/>
            <w:gridSpan w:val="2"/>
            <w:vAlign w:val="center"/>
          </w:tcPr>
          <w:p w14:paraId="6EDCFCCE" w14:textId="77777777" w:rsidR="00A9766F" w:rsidRPr="007114AF" w:rsidRDefault="00A9766F" w:rsidP="00206985">
            <w:pPr>
              <w:spacing w:after="0"/>
              <w:rPr>
                <w:rFonts w:ascii="Garamond" w:hAnsi="Garamond"/>
                <w:b w:val="0"/>
                <w:sz w:val="18"/>
                <w:szCs w:val="18"/>
              </w:rPr>
            </w:pPr>
            <w:r w:rsidRPr="007114AF">
              <w:rPr>
                <w:rFonts w:ascii="Garamond" w:hAnsi="Garamond"/>
                <w:color w:val="000000" w:themeColor="text1"/>
                <w:sz w:val="18"/>
                <w:szCs w:val="18"/>
              </w:rPr>
              <w:t>Drafti janar 2015</w:t>
            </w:r>
          </w:p>
        </w:tc>
      </w:tr>
      <w:tr w:rsidR="00A9766F" w:rsidRPr="007114AF" w14:paraId="6EDCFCD4"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tcPr>
          <w:p w14:paraId="6EDCFCD0" w14:textId="77777777" w:rsidR="00A9766F" w:rsidRPr="007114AF" w:rsidRDefault="00A9766F" w:rsidP="00206985">
            <w:pPr>
              <w:spacing w:after="0"/>
              <w:rPr>
                <w:rFonts w:ascii="Garamond" w:hAnsi="Garamond"/>
                <w:sz w:val="18"/>
                <w:szCs w:val="18"/>
              </w:rPr>
            </w:pPr>
            <w:r w:rsidRPr="007114AF">
              <w:rPr>
                <w:rFonts w:ascii="Garamond" w:hAnsi="Garamond"/>
                <w:sz w:val="18"/>
                <w:szCs w:val="18"/>
              </w:rPr>
              <w:t>Sektori i ujit</w:t>
            </w:r>
          </w:p>
        </w:tc>
        <w:tc>
          <w:tcPr>
            <w:tcW w:w="882" w:type="pct"/>
            <w:gridSpan w:val="2"/>
          </w:tcPr>
          <w:p w14:paraId="6EDCFCD1"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8"/>
                <w:szCs w:val="18"/>
              </w:rPr>
            </w:pPr>
          </w:p>
        </w:tc>
        <w:tc>
          <w:tcPr>
            <w:tcW w:w="672" w:type="pct"/>
          </w:tcPr>
          <w:p w14:paraId="6EDCFCD2"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c>
          <w:tcPr>
            <w:cnfStyle w:val="000100000000" w:firstRow="0" w:lastRow="0" w:firstColumn="0" w:lastColumn="1" w:oddVBand="0" w:evenVBand="0" w:oddHBand="0" w:evenHBand="0" w:firstRowFirstColumn="0" w:firstRowLastColumn="0" w:lastRowFirstColumn="0" w:lastRowLastColumn="0"/>
            <w:tcW w:w="1168" w:type="pct"/>
            <w:gridSpan w:val="2"/>
          </w:tcPr>
          <w:p w14:paraId="6EDCFCD3" w14:textId="77777777" w:rsidR="00A9766F" w:rsidRPr="007114AF" w:rsidRDefault="00A9766F" w:rsidP="00206985">
            <w:pPr>
              <w:spacing w:after="0"/>
              <w:rPr>
                <w:rFonts w:ascii="Garamond" w:hAnsi="Garamond"/>
                <w:color w:val="000000" w:themeColor="text1"/>
                <w:sz w:val="18"/>
                <w:szCs w:val="18"/>
              </w:rPr>
            </w:pPr>
          </w:p>
        </w:tc>
      </w:tr>
      <w:tr w:rsidR="00A9766F" w:rsidRPr="007114AF" w14:paraId="6EDCFCD9" w14:textId="77777777" w:rsidTr="00D75679">
        <w:trPr>
          <w:trHeight w:val="20"/>
        </w:trPr>
        <w:tc>
          <w:tcPr>
            <w:cnfStyle w:val="001000000000" w:firstRow="0" w:lastRow="0" w:firstColumn="1" w:lastColumn="0" w:oddVBand="0" w:evenVBand="0" w:oddHBand="0" w:evenHBand="0" w:firstRowFirstColumn="0" w:firstRowLastColumn="0" w:lastRowFirstColumn="0" w:lastRowLastColumn="0"/>
            <w:tcW w:w="2277" w:type="pct"/>
          </w:tcPr>
          <w:p w14:paraId="6EDCFCD5" w14:textId="77777777" w:rsidR="00A9766F" w:rsidRPr="007114AF" w:rsidRDefault="00A9766F" w:rsidP="00206985">
            <w:pPr>
              <w:spacing w:after="0"/>
              <w:rPr>
                <w:rFonts w:ascii="Garamond" w:hAnsi="Garamond"/>
                <w:sz w:val="18"/>
                <w:szCs w:val="18"/>
              </w:rPr>
            </w:pPr>
            <w:r w:rsidRPr="007114AF">
              <w:rPr>
                <w:rFonts w:ascii="Garamond" w:hAnsi="Garamond"/>
                <w:sz w:val="18"/>
                <w:szCs w:val="18"/>
              </w:rPr>
              <w:t>Strategjia Kombëtare për Menaxhimin e Integruar të Burimeve Ujore</w:t>
            </w:r>
          </w:p>
        </w:tc>
        <w:tc>
          <w:tcPr>
            <w:tcW w:w="882" w:type="pct"/>
            <w:gridSpan w:val="2"/>
          </w:tcPr>
          <w:p w14:paraId="6EDCFCD6"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8"/>
                <w:szCs w:val="18"/>
              </w:rPr>
            </w:pPr>
          </w:p>
        </w:tc>
        <w:tc>
          <w:tcPr>
            <w:tcW w:w="672" w:type="pct"/>
          </w:tcPr>
          <w:p w14:paraId="6EDCFCD7" w14:textId="77777777" w:rsidR="00A9766F" w:rsidRPr="007114AF" w:rsidRDefault="00A9766F" w:rsidP="00206985">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lang w:eastAsia="de-DE"/>
              </w:rPr>
              <w:t>MBZHR</w:t>
            </w:r>
          </w:p>
        </w:tc>
        <w:tc>
          <w:tcPr>
            <w:cnfStyle w:val="000100000000" w:firstRow="0" w:lastRow="0" w:firstColumn="0" w:lastColumn="1" w:oddVBand="0" w:evenVBand="0" w:oddHBand="0" w:evenHBand="0" w:firstRowFirstColumn="0" w:firstRowLastColumn="0" w:lastRowFirstColumn="0" w:lastRowLastColumn="0"/>
            <w:tcW w:w="1168" w:type="pct"/>
            <w:gridSpan w:val="2"/>
          </w:tcPr>
          <w:p w14:paraId="6EDCFCD8" w14:textId="2B981E82" w:rsidR="00A9766F" w:rsidRPr="007114AF" w:rsidRDefault="00A9766F" w:rsidP="00206985">
            <w:pPr>
              <w:spacing w:after="0"/>
              <w:rPr>
                <w:rFonts w:ascii="Garamond" w:hAnsi="Garamond"/>
                <w:color w:val="000000" w:themeColor="text1"/>
                <w:sz w:val="18"/>
                <w:szCs w:val="18"/>
              </w:rPr>
            </w:pPr>
            <w:r w:rsidRPr="007114AF">
              <w:rPr>
                <w:rFonts w:ascii="Garamond" w:hAnsi="Garamond"/>
                <w:color w:val="000000" w:themeColor="text1"/>
                <w:sz w:val="18"/>
                <w:szCs w:val="18"/>
              </w:rPr>
              <w:t>Drafti</w:t>
            </w:r>
            <w:r w:rsidR="000A2A01" w:rsidRPr="007114AF">
              <w:rPr>
                <w:rFonts w:ascii="Garamond" w:hAnsi="Garamond"/>
                <w:color w:val="000000" w:themeColor="text1"/>
                <w:sz w:val="18"/>
                <w:szCs w:val="18"/>
              </w:rPr>
              <w:t xml:space="preserve"> </w:t>
            </w:r>
            <w:r w:rsidRPr="007114AF">
              <w:rPr>
                <w:rFonts w:ascii="Garamond" w:hAnsi="Garamond"/>
                <w:color w:val="000000" w:themeColor="text1"/>
                <w:sz w:val="18"/>
                <w:szCs w:val="18"/>
              </w:rPr>
              <w:t>21 dhjetor 2016</w:t>
            </w:r>
          </w:p>
        </w:tc>
      </w:tr>
    </w:tbl>
    <w:p w14:paraId="6EDCFCDA" w14:textId="77777777" w:rsidR="00A9766F" w:rsidRPr="007114AF" w:rsidRDefault="00A9766F" w:rsidP="00206985">
      <w:pPr>
        <w:pStyle w:val="TEKSTI"/>
      </w:pPr>
    </w:p>
    <w:p w14:paraId="6EDCFCDC" w14:textId="77777777" w:rsidR="00A9766F" w:rsidRPr="007114AF" w:rsidRDefault="00617388" w:rsidP="00206985">
      <w:pPr>
        <w:pStyle w:val="TEKSTI"/>
        <w:rPr>
          <w:b/>
        </w:rPr>
      </w:pPr>
      <w:bookmarkStart w:id="105" w:name="_Toc484424499"/>
      <w:r w:rsidRPr="007114AF">
        <w:rPr>
          <w:b/>
        </w:rPr>
        <w:t xml:space="preserve">4.1.1 </w:t>
      </w:r>
      <w:r w:rsidR="00A9766F" w:rsidRPr="007114AF">
        <w:rPr>
          <w:b/>
        </w:rPr>
        <w:t>Strategji dhe plane ndërsektoriale</w:t>
      </w:r>
      <w:bookmarkEnd w:id="105"/>
    </w:p>
    <w:p w14:paraId="6EDCFCDD" w14:textId="5E53A538" w:rsidR="00A9766F" w:rsidRPr="007114AF" w:rsidRDefault="00A9766F" w:rsidP="00206985">
      <w:pPr>
        <w:pStyle w:val="TEKSTI"/>
        <w:rPr>
          <w:rFonts w:eastAsia="Times New Roman" w:cs="Calibri"/>
        </w:rPr>
      </w:pPr>
      <w:r w:rsidRPr="007114AF">
        <w:t xml:space="preserve">Strategjia e Dytë Kombëtare për Zhvillim dhe Integrim (SKZHI-II), Strategjia Mjedisore Ndërsektoriale (SMNS) dhe </w:t>
      </w:r>
      <w:r w:rsidRPr="007114AF">
        <w:rPr>
          <w:rFonts w:cs="Arial"/>
        </w:rPr>
        <w:t xml:space="preserve">Plani Kombëtar i Territorit (PKT) </w:t>
      </w:r>
      <w:r w:rsidR="000A2A01" w:rsidRPr="007114AF">
        <w:rPr>
          <w:rFonts w:cs="Arial"/>
        </w:rPr>
        <w:t>“</w:t>
      </w:r>
      <w:r w:rsidRPr="007114AF">
        <w:rPr>
          <w:rFonts w:cs="Arial"/>
        </w:rPr>
        <w:t>Shqipëria 2030</w:t>
      </w:r>
      <w:r w:rsidR="000A2A01" w:rsidRPr="007114AF">
        <w:rPr>
          <w:rFonts w:cs="Arial"/>
        </w:rPr>
        <w:t>”</w:t>
      </w:r>
      <w:r w:rsidRPr="007114AF">
        <w:rPr>
          <w:rFonts w:cs="Arial"/>
        </w:rPr>
        <w:t xml:space="preserve"> janë </w:t>
      </w:r>
      <w:r w:rsidRPr="007114AF">
        <w:t>strategjitë kryesore ndërsektoriale që trajtojnë, ndër të tjera, çështje që lidhen me zbutjen e ndryshimit të klimës, duke përfshirë veprime dhe masa për të trajtuar drejtpërdrejt apo tërthorazi, çështjet e ndryshimit të klimës. SKZHI-II, që ishte ende në formë drafti në kohën e shkrimit, paraqet vizionin e Shqipërisë për zhvillimin e saj kombëtar, social, demokratik dhe ekonomik gjatë periudhës 2015</w:t>
      </w:r>
      <w:r w:rsidR="00D75679">
        <w:t>–</w:t>
      </w:r>
      <w:r w:rsidRPr="007114AF">
        <w:t>2020, si dhe aspiratat e saj për Integrimin Evropian. Strategjia Mjedisore Ndërsektoriale 2015</w:t>
      </w:r>
      <w:r w:rsidR="00D75679">
        <w:t>–</w:t>
      </w:r>
      <w:r w:rsidRPr="007114AF">
        <w:t xml:space="preserve">2020, miratuar së fundmi, fokusohet te çështjet mjedisore në përgjithësi, përfshirë ndryshimin e klimës, ndërsa </w:t>
      </w:r>
      <w:r w:rsidRPr="007114AF">
        <w:rPr>
          <w:rFonts w:cs="Arial"/>
        </w:rPr>
        <w:t>Plani Kombëtar i Territorit (PKT)</w:t>
      </w:r>
      <w:r w:rsidR="000A2A01" w:rsidRPr="007114AF">
        <w:rPr>
          <w:rFonts w:cs="Arial"/>
        </w:rPr>
        <w:t xml:space="preserve"> “</w:t>
      </w:r>
      <w:r w:rsidRPr="007114AF">
        <w:rPr>
          <w:rFonts w:cs="Arial"/>
        </w:rPr>
        <w:t>Shqipëria 2030</w:t>
      </w:r>
      <w:r w:rsidR="000A2A01" w:rsidRPr="007114AF">
        <w:rPr>
          <w:rFonts w:cs="Arial"/>
        </w:rPr>
        <w:t>”</w:t>
      </w:r>
      <w:r w:rsidRPr="007114AF">
        <w:rPr>
          <w:rFonts w:cs="Arial"/>
        </w:rPr>
        <w:t xml:space="preserve"> përfaqëson një </w:t>
      </w:r>
      <w:r w:rsidRPr="007114AF">
        <w:rPr>
          <w:rFonts w:eastAsia="Times New Roman" w:cs="Calibri"/>
          <w:shd w:val="clear" w:color="auto" w:fill="FFFFFF"/>
        </w:rPr>
        <w:t xml:space="preserve">instrument me rëndësi të planifikimit të territorit në Shqipëri, dhe fokusohet në zhvillimin e qëndrueshëm </w:t>
      </w:r>
      <w:r w:rsidRPr="007114AF">
        <w:rPr>
          <w:rFonts w:eastAsia="Times New Roman" w:cs="Calibri"/>
        </w:rPr>
        <w:t xml:space="preserve">strategjik të territorit, përmes përdorimit racional të tokës, menaxhimit të përgjegjshëm të burimeve të tij natyrore dhe mbrojtjes së mjedisit. </w:t>
      </w:r>
    </w:p>
    <w:p w14:paraId="6EDCFCDE" w14:textId="77777777" w:rsidR="00A9766F" w:rsidRPr="007114AF" w:rsidRDefault="00A9766F" w:rsidP="00206985">
      <w:pPr>
        <w:pStyle w:val="TEKSTI"/>
        <w:rPr>
          <w:b/>
          <w:i/>
          <w:u w:val="single"/>
        </w:rPr>
      </w:pPr>
      <w:r w:rsidRPr="007114AF">
        <w:rPr>
          <w:b/>
          <w:i/>
          <w:u w:val="single"/>
        </w:rPr>
        <w:t xml:space="preserve">Draftstrategjia Mjedisore Ndërsektoriale (SMNS) </w:t>
      </w:r>
    </w:p>
    <w:p w14:paraId="6EDCFCDF" w14:textId="77777777" w:rsidR="00A9766F" w:rsidRPr="007114AF" w:rsidRDefault="00A9766F" w:rsidP="00206985">
      <w:pPr>
        <w:pStyle w:val="TEKSTI"/>
        <w:rPr>
          <w:i/>
        </w:rPr>
      </w:pPr>
      <w:r w:rsidRPr="007114AF">
        <w:rPr>
          <w:i/>
        </w:rPr>
        <w:t xml:space="preserve">Vlefshmëria: 2015-2020 </w:t>
      </w:r>
    </w:p>
    <w:p w14:paraId="6EDCFCE0" w14:textId="765DB087" w:rsidR="00A9766F" w:rsidRPr="007114AF" w:rsidRDefault="00A9766F" w:rsidP="00206985">
      <w:pPr>
        <w:pStyle w:val="TEKSTI"/>
      </w:pPr>
      <w:r w:rsidRPr="007114AF">
        <w:t xml:space="preserve">Vizioni i përgjithshëm i dokumentit është </w:t>
      </w:r>
      <w:r w:rsidR="000A2A01" w:rsidRPr="007114AF">
        <w:t>“</w:t>
      </w:r>
      <w:r w:rsidRPr="007114AF">
        <w:t>një vend me zhvillim të qëndrueshëm social dhe ekonomik, ndërsa mbron burimet natyrore nga ndotja dhe degradimi, përmes menaxhimit të integruar dhe promovimit të vlerave, duke i vënë në dobi të prosperitetit ekonomik. Ky vizion bazohet në parimin e zhvillimit të integruar, ku mbrojtja dhe përmirësimi i gjendjes afatmesme mjedisore garanton sigurinë</w:t>
      </w:r>
      <w:r w:rsidR="000A2A01" w:rsidRPr="007114AF">
        <w:t xml:space="preserve"> </w:t>
      </w:r>
      <w:r w:rsidRPr="007114AF">
        <w:t>e rritjes ekonomike dhe mirëqenies sociale.</w:t>
      </w:r>
      <w:r w:rsidR="000A2A01" w:rsidRPr="007114AF">
        <w:t>”</w:t>
      </w:r>
    </w:p>
    <w:p w14:paraId="6EDCFCE1" w14:textId="405B77DA" w:rsidR="00A9766F" w:rsidRPr="007114AF" w:rsidRDefault="00A9766F" w:rsidP="00206985">
      <w:pPr>
        <w:pStyle w:val="TEKSTI"/>
      </w:pPr>
      <w:r w:rsidRPr="007114AF">
        <w:t>Strategjia siguron një listë veprimesh dhe masash për temat kryesore, si vijojnë: ndryshimi i klimës, cilësia e ajrit, produktet kimike, ujërat, menaxhimi, mbrojtja e natyrës, pyjet dhe kullotat, me synim mbrojtjen e mjedisit, me disa veprime të fokusuara veçanërisht te përshtatja dhe zbutja e ndryshimeve klimatike, për periudhën afatmesme (2015</w:t>
      </w:r>
      <w:r w:rsidR="00D75679">
        <w:t>–</w:t>
      </w:r>
      <w:r w:rsidRPr="007114AF">
        <w:t>2017) dhe afatgjatë (2017</w:t>
      </w:r>
      <w:r w:rsidR="00D75679">
        <w:t>–</w:t>
      </w:r>
      <w:r w:rsidRPr="007114AF">
        <w:t>2020).</w:t>
      </w:r>
    </w:p>
    <w:p w14:paraId="6EDCFCE2" w14:textId="77777777" w:rsidR="00A9766F" w:rsidRPr="007114AF" w:rsidRDefault="00A9766F" w:rsidP="00206985">
      <w:pPr>
        <w:pStyle w:val="TEKSTI"/>
      </w:pPr>
      <w:r w:rsidRPr="007114AF">
        <w:t xml:space="preserve">Shumë nga masat e shumta të përfshira në dokument ndikojnë pozitivisht në zbutjen e ndryshimit të klimës, ndonëse nuk synojnë në mënyrë eksplicite atë qëllim. Masa të tilla janë përfshirë në sektorë të ndryshëm: </w:t>
      </w:r>
    </w:p>
    <w:p w14:paraId="6EDCFCE3" w14:textId="6FD23F31" w:rsidR="00A9766F" w:rsidRPr="007114AF" w:rsidRDefault="00617388" w:rsidP="00206985">
      <w:pPr>
        <w:pStyle w:val="TEKSTI"/>
      </w:pPr>
      <w:r w:rsidRPr="007114AF">
        <w:rPr>
          <w:b/>
        </w:rPr>
        <w:t xml:space="preserve">- </w:t>
      </w:r>
      <w:r w:rsidR="00A9766F" w:rsidRPr="007114AF">
        <w:rPr>
          <w:b/>
        </w:rPr>
        <w:t>Cilësia e ajrit dhe shkarkimet</w:t>
      </w:r>
      <w:r w:rsidR="00A9766F" w:rsidRPr="007114AF">
        <w:t>: planifikimi më i mirë urban (sidomos në qytetet më të ndotura Tiranë dhe Durrës), optimizimi i trafikut, përmirësimi i transportit publik për të zëvendësuar mjetet private, dhe përdorimi i mjeteve alternative të transportit rrugor, kontrolli i shkarkimeve të gazrave të mjeteve</w:t>
      </w:r>
      <w:r w:rsidR="00CA77E2">
        <w:t xml:space="preserve"> </w:t>
      </w:r>
      <w:r w:rsidR="00A9766F" w:rsidRPr="007114AF">
        <w:t>etj., dhe shtimi i sipërfaqeve të gjelbra;</w:t>
      </w:r>
    </w:p>
    <w:p w14:paraId="6EDCFCE4" w14:textId="77777777" w:rsidR="00A9766F" w:rsidRPr="007114AF" w:rsidRDefault="00617388" w:rsidP="00206985">
      <w:pPr>
        <w:pStyle w:val="TEKSTI"/>
      </w:pPr>
      <w:r w:rsidRPr="007114AF">
        <w:rPr>
          <w:b/>
        </w:rPr>
        <w:t xml:space="preserve">- </w:t>
      </w:r>
      <w:r w:rsidR="00A9766F" w:rsidRPr="007114AF">
        <w:rPr>
          <w:b/>
        </w:rPr>
        <w:t>Kimikatet</w:t>
      </w:r>
      <w:r w:rsidR="00A9766F" w:rsidRPr="007114AF">
        <w:t>: menaxhim më i mirë i produkteve kimike për mbrojtjen/fertilizimin e bimëve, duke përfshirë këtu padyshim plehrat azotike që janë përgjegjëse për shkarkimet GES;</w:t>
      </w:r>
    </w:p>
    <w:p w14:paraId="6EDCFCE5" w14:textId="41495845" w:rsidR="00A9766F" w:rsidRPr="007114AF" w:rsidRDefault="00617388" w:rsidP="00206985">
      <w:pPr>
        <w:pStyle w:val="TEKSTI"/>
      </w:pPr>
      <w:r w:rsidRPr="007114AF">
        <w:rPr>
          <w:b/>
        </w:rPr>
        <w:t xml:space="preserve">- </w:t>
      </w:r>
      <w:r w:rsidR="00A9766F" w:rsidRPr="007114AF">
        <w:rPr>
          <w:b/>
        </w:rPr>
        <w:t>Zonat e mbrojtura</w:t>
      </w:r>
      <w:r w:rsidR="00A9766F" w:rsidRPr="007114AF">
        <w:t xml:space="preserve">: rritja e sipërfaqes dhe përmirësimi i menaxhimit të atyre ekzistuese, identifikimi dhe ngritja e rrjetit </w:t>
      </w:r>
      <w:r w:rsidR="000A2A01" w:rsidRPr="007114AF">
        <w:t>“</w:t>
      </w:r>
      <w:r w:rsidR="00A9766F" w:rsidRPr="007114AF">
        <w:t>Natura 2000</w:t>
      </w:r>
      <w:r w:rsidR="000A2A01" w:rsidRPr="007114AF">
        <w:t>”</w:t>
      </w:r>
      <w:r w:rsidR="00A9766F" w:rsidRPr="007114AF">
        <w:t xml:space="preserve"> të Zonave Speciale të Konservimit me rëndësi për Bashkimin Evropian, për të siguruar një gjendje të favorshme konservimi, si dhe rritja e potencialit të izolimit të karbonit të ekosistemit natyror;</w:t>
      </w:r>
    </w:p>
    <w:p w14:paraId="6EDCFCE6" w14:textId="77777777" w:rsidR="00A9766F" w:rsidRPr="007114AF" w:rsidRDefault="00617388" w:rsidP="00206985">
      <w:pPr>
        <w:pStyle w:val="TEKSTI"/>
      </w:pPr>
      <w:r w:rsidRPr="007114AF">
        <w:rPr>
          <w:b/>
        </w:rPr>
        <w:t xml:space="preserve">- </w:t>
      </w:r>
      <w:r w:rsidR="00A9766F" w:rsidRPr="007114AF">
        <w:rPr>
          <w:b/>
        </w:rPr>
        <w:t>Pyjet dhe kullotat</w:t>
      </w:r>
      <w:r w:rsidR="00A9766F" w:rsidRPr="007114AF">
        <w:t>: përmirësimi i pyjeve me plane menaxhimi të qëndrueshme dhe multifunksionale dhe pyllëzimi, parandalimi i prerjeve të paligjshme përmes kontrollit të Policisë Pyjore, parandalimi i zjarreve, ripyllëzimi i pyjeve bregdetare dhe të brendshme për të shmangur erozionin e tokës me pasojë humbjen e karbonit, parandalimi i degradimit të mëtejshëm, si dhe mbrojtja e biodiversitetit, duke siguruar potencialin maksimal për të përmbushur funksionet ekologjike, dhe për të rritur sekuestrimin e karbonit;</w:t>
      </w:r>
    </w:p>
    <w:p w14:paraId="6EDCFCE7" w14:textId="77777777" w:rsidR="00A9766F" w:rsidRPr="007114AF" w:rsidRDefault="00617388" w:rsidP="00206985">
      <w:pPr>
        <w:pStyle w:val="TEKSTI"/>
        <w:rPr>
          <w:b/>
        </w:rPr>
      </w:pPr>
      <w:r w:rsidRPr="007114AF">
        <w:rPr>
          <w:b/>
        </w:rPr>
        <w:t xml:space="preserve">- </w:t>
      </w:r>
      <w:r w:rsidR="00A9766F" w:rsidRPr="007114AF">
        <w:rPr>
          <w:b/>
        </w:rPr>
        <w:t>Burimet ujore</w:t>
      </w:r>
      <w:r w:rsidR="00A9766F" w:rsidRPr="007114AF">
        <w:t>: përfshirja e çështjeve të ndryshimit të klimës në gjithë dokumentet strategjike të menaxhimit të ujit, menaxhimi më i mirë i burimeve ujore, për reduktimin e efekteve të përmbytjeve dhe thatësive dhe humbjeve pasuese të tokës.</w:t>
      </w:r>
    </w:p>
    <w:p w14:paraId="6EDCFCE8" w14:textId="77777777" w:rsidR="00A9766F" w:rsidRPr="007114AF" w:rsidRDefault="00A9766F" w:rsidP="00206985">
      <w:pPr>
        <w:pStyle w:val="TEKSTI"/>
        <w:rPr>
          <w:b/>
          <w:i/>
          <w:u w:val="single"/>
        </w:rPr>
      </w:pPr>
      <w:r w:rsidRPr="007114AF">
        <w:rPr>
          <w:b/>
          <w:i/>
          <w:u w:val="single"/>
        </w:rPr>
        <w:t>Strategjia Kombëtare për Zhvillim dhe Integrim (SKZHI-II)</w:t>
      </w:r>
    </w:p>
    <w:p w14:paraId="6EDCFCE9" w14:textId="77777777" w:rsidR="00A9766F" w:rsidRPr="007114AF" w:rsidRDefault="00A9766F" w:rsidP="00206985">
      <w:pPr>
        <w:pStyle w:val="TEKSTI"/>
        <w:rPr>
          <w:i/>
        </w:rPr>
      </w:pPr>
      <w:r w:rsidRPr="007114AF">
        <w:rPr>
          <w:i/>
        </w:rPr>
        <w:t xml:space="preserve">Vlefshmëria: 2015-2020 </w:t>
      </w:r>
    </w:p>
    <w:p w14:paraId="6EDCFCEA" w14:textId="6FCF3BC0" w:rsidR="00A9766F" w:rsidRPr="007114AF" w:rsidRDefault="00A9766F" w:rsidP="00206985">
      <w:pPr>
        <w:pStyle w:val="TEKSTI"/>
      </w:pPr>
      <w:r w:rsidRPr="007114AF">
        <w:t xml:space="preserve">Vizioni i përgjithshëm i dokumentit është </w:t>
      </w:r>
      <w:r w:rsidR="000A2A01" w:rsidRPr="007114AF">
        <w:t>“</w:t>
      </w:r>
      <w:r w:rsidRPr="007114AF">
        <w:t>Shqipëria –</w:t>
      </w:r>
      <w:r w:rsidR="00CA77E2">
        <w:t xml:space="preserve"> </w:t>
      </w:r>
      <w:r w:rsidRPr="007114AF">
        <w:t>një demokraci vibruese në udhën drejt integrimit me Bashkimin Evropian, me një ekonomi konkurruese, të fortë dhe të qëndrueshme, si dhe me garanci të të drejtave themelore dhe lirive të njeriut</w:t>
      </w:r>
      <w:r w:rsidR="000A2A01" w:rsidRPr="007114AF">
        <w:t>”</w:t>
      </w:r>
      <w:r w:rsidRPr="007114AF">
        <w:t xml:space="preserve">. </w:t>
      </w:r>
    </w:p>
    <w:p w14:paraId="6EDCFCEB" w14:textId="7C3425D0" w:rsidR="00A9766F" w:rsidRPr="007114AF" w:rsidRDefault="00A9766F" w:rsidP="00206985">
      <w:pPr>
        <w:pStyle w:val="TEKSTI"/>
        <w:rPr>
          <w:iCs/>
        </w:rPr>
      </w:pPr>
      <w:r w:rsidRPr="007114AF">
        <w:t>Strategjia identifikon gjashtë përparësi kyçe të qeverisë,</w:t>
      </w:r>
      <w:r w:rsidR="00CA77E2">
        <w:t xml:space="preserve"> </w:t>
      </w:r>
      <w:r w:rsidRPr="007114AF">
        <w:t>synimi kryesor i të cilave është integrimi në BE</w:t>
      </w:r>
      <w:r w:rsidRPr="007114AF">
        <w:rPr>
          <w:iCs/>
        </w:rPr>
        <w:t>: (1) shërbime publike novatore dhe të përqendruara te qytetarët (qeverisja e mirë</w:t>
      </w:r>
      <w:r w:rsidRPr="007114AF">
        <w:t>); (2) furnizimi me kosto efektive me energji elektrike (energji); (3) rritja e novacionit dhe konkurrencës (investime të huaja direkte); (4) rritja e disponueshmërisë së tokës së ujitur dhe të kulluar (uji dhe bujqësia); (5) rritja e qëndrueshmërisë së tregjeve të tokës (pronat);</w:t>
      </w:r>
      <w:r w:rsidR="000A2A01" w:rsidRPr="007114AF">
        <w:t xml:space="preserve"> </w:t>
      </w:r>
      <w:r w:rsidRPr="007114AF">
        <w:t>(6) reforma strukturore e taksave.</w:t>
      </w:r>
    </w:p>
    <w:p w14:paraId="6EDCFCEC" w14:textId="77777777" w:rsidR="00A9766F" w:rsidRPr="007114AF" w:rsidRDefault="00A9766F" w:rsidP="00206985">
      <w:pPr>
        <w:pStyle w:val="TEKSTI"/>
        <w:rPr>
          <w:iCs/>
          <w:lang w:eastAsia="en-US"/>
        </w:rPr>
      </w:pPr>
      <w:r w:rsidRPr="007114AF">
        <w:rPr>
          <w:lang w:eastAsia="en-CA"/>
        </w:rPr>
        <w:t xml:space="preserve">Synimet e strategjisë mbështeten nga katër shtylla: Zhvillimi përmes stabilitetit makroekonomik dhe fiskal- përbën </w:t>
      </w:r>
      <w:r w:rsidRPr="007114AF">
        <w:rPr>
          <w:b/>
          <w:bCs/>
          <w:lang w:eastAsia="en-CA"/>
        </w:rPr>
        <w:t xml:space="preserve">Shtyllën 1 </w:t>
      </w:r>
      <w:r w:rsidRPr="007114AF">
        <w:rPr>
          <w:lang w:eastAsia="en-CA"/>
        </w:rPr>
        <w:t xml:space="preserve">të mbështetjes mbi të cilën do të arrihet vizioni i SKZHI-II; Rritja përmes shtimit të konkurrencës- përbën </w:t>
      </w:r>
      <w:r w:rsidRPr="007114AF">
        <w:rPr>
          <w:b/>
          <w:bCs/>
          <w:lang w:eastAsia="en-CA"/>
        </w:rPr>
        <w:t>Shtyllën 2</w:t>
      </w:r>
      <w:r w:rsidRPr="007114AF">
        <w:rPr>
          <w:lang w:eastAsia="en-CA"/>
        </w:rPr>
        <w:t xml:space="preserve">; Investimi te njerëzit dhe kohezioni social- përbën </w:t>
      </w:r>
      <w:r w:rsidRPr="007114AF">
        <w:rPr>
          <w:b/>
          <w:bCs/>
          <w:lang w:eastAsia="en-CA"/>
        </w:rPr>
        <w:t xml:space="preserve">Shtyllën 3; </w:t>
      </w:r>
      <w:r w:rsidRPr="007114AF">
        <w:rPr>
          <w:bCs/>
          <w:lang w:eastAsia="en-CA"/>
        </w:rPr>
        <w:t xml:space="preserve">Zhvillimi përmes përdorimit të qëndrueshëm të burimeve- përbën </w:t>
      </w:r>
      <w:r w:rsidRPr="007114AF">
        <w:rPr>
          <w:b/>
          <w:bCs/>
          <w:lang w:eastAsia="en-CA"/>
        </w:rPr>
        <w:t>Shtyllën 4</w:t>
      </w:r>
      <w:r w:rsidRPr="007114AF">
        <w:rPr>
          <w:lang w:eastAsia="en-CA"/>
        </w:rPr>
        <w:t xml:space="preserve">. </w:t>
      </w:r>
    </w:p>
    <w:p w14:paraId="6EDCFCED" w14:textId="77777777" w:rsidR="00A9766F" w:rsidRPr="007114AF" w:rsidRDefault="00A9766F" w:rsidP="00206985">
      <w:pPr>
        <w:pStyle w:val="TEKSTI"/>
      </w:pPr>
      <w:r w:rsidRPr="007114AF">
        <w:t xml:space="preserve">Strategjia bazohet ndër të tjera te </w:t>
      </w:r>
      <w:r w:rsidRPr="007114AF">
        <w:rPr>
          <w:b/>
        </w:rPr>
        <w:t>Parimet e Qëndrueshmërisë</w:t>
      </w:r>
      <w:r w:rsidRPr="007114AF">
        <w:t>. SKZHI-II bazohet në zbatimin e parimeve të pranuara botërisht të zhvillimit të qëndrueshëm, përfshirë ato të Deklaratës së Komisionit Evropian për Parimet Udhëheqëse për Zhvillimin e Qëndrueshëm.</w:t>
      </w:r>
      <w:r w:rsidRPr="007114AF">
        <w:rPr>
          <w:rStyle w:val="FootnoteReference"/>
        </w:rPr>
        <w:footnoteReference w:id="40"/>
      </w:r>
      <w:r w:rsidRPr="007114AF">
        <w:t>Ndër shumë parime të përfshira te qëndrueshmëria, theks i veçantë i jepet ruajtjes mjedisore, përmes promovimit të prodhimit dhe konsumit të qëndrueshëm, parandalimit të degradimit mjedisor, integrimit të çështjeve mjedisore në gjithë strategjitë sektoriale, në nocionin e përgjegjësisë së përbashkët sociale, si dhe në zbatimin e parimit parandalues në aktivitetet e planifikuara</w:t>
      </w:r>
      <w:r w:rsidRPr="007114AF">
        <w:rPr>
          <w:rStyle w:val="FootnoteReference"/>
        </w:rPr>
        <w:footnoteReference w:id="41"/>
      </w:r>
      <w:r w:rsidRPr="007114AF">
        <w:t>.</w:t>
      </w:r>
    </w:p>
    <w:p w14:paraId="6EDCFCEE" w14:textId="77777777" w:rsidR="00A9766F" w:rsidRPr="007114AF" w:rsidRDefault="00A9766F" w:rsidP="00206985">
      <w:pPr>
        <w:pStyle w:val="TEKSTI"/>
      </w:pPr>
      <w:r w:rsidRPr="007114AF">
        <w:t xml:space="preserve">Mes gjashtë përparësive, përparësia 6 synon të </w:t>
      </w:r>
      <w:r w:rsidRPr="007114AF">
        <w:rPr>
          <w:b/>
          <w:i/>
        </w:rPr>
        <w:t xml:space="preserve">sigurojë rritje përmes ndërlidhjes dhe përdorimit të qëndrueshëm të burimeve. </w:t>
      </w:r>
      <w:r w:rsidRPr="007114AF">
        <w:t>Ajo parashikon investime në infrastrukturën e vendit – energji, transport, burime natyrore dhe mjedis, bujqësi, miniera, turizëm, ujë – që do të zgjerojnë mundësitë për biznesin dhe ekonominë, do të rrisin mirëqenien e qytetarëve shqiptarë, si dhe do ta çojnë përpara vendin në udhën e tij të integrimit në sistemet evropiane përmes:</w:t>
      </w:r>
    </w:p>
    <w:p w14:paraId="6EDCFCEF" w14:textId="77777777" w:rsidR="00A9766F" w:rsidRPr="007114AF" w:rsidRDefault="00617388" w:rsidP="00206985">
      <w:pPr>
        <w:pStyle w:val="TEKSTI"/>
      </w:pPr>
      <w:r w:rsidRPr="007114AF">
        <w:t xml:space="preserve">- </w:t>
      </w:r>
      <w:r w:rsidR="00A9766F" w:rsidRPr="007114AF">
        <w:t xml:space="preserve">një sistemi energjie me kosto efektive dhe të qëndrueshme bazuar te parimet e tregut </w:t>
      </w:r>
    </w:p>
    <w:p w14:paraId="6EDCFCF0" w14:textId="6C350343" w:rsidR="00A9766F" w:rsidRPr="007114AF" w:rsidRDefault="00617388" w:rsidP="00206985">
      <w:pPr>
        <w:pStyle w:val="TEKSTI"/>
      </w:pPr>
      <w:r w:rsidRPr="007114AF">
        <w:t xml:space="preserve">- </w:t>
      </w:r>
      <w:r w:rsidR="00A9766F" w:rsidRPr="007114AF">
        <w:t>një sistemi</w:t>
      </w:r>
      <w:r w:rsidR="00E132F0">
        <w:t xml:space="preserve"> </w:t>
      </w:r>
      <w:r w:rsidR="00A9766F" w:rsidRPr="007114AF">
        <w:t>transporti kombëtar dhe të integruar</w:t>
      </w:r>
    </w:p>
    <w:p w14:paraId="6EDCFCF1" w14:textId="77777777" w:rsidR="00A9766F" w:rsidRPr="007114AF" w:rsidRDefault="00617388" w:rsidP="00206985">
      <w:pPr>
        <w:pStyle w:val="TEKSTI"/>
      </w:pPr>
      <w:r w:rsidRPr="007114AF">
        <w:t xml:space="preserve">- </w:t>
      </w:r>
      <w:r w:rsidR="00A9766F" w:rsidRPr="007114AF">
        <w:t>një sektori bujqësor dhe agroushqimor më të diversifikuar</w:t>
      </w:r>
    </w:p>
    <w:p w14:paraId="6EDCFCF2" w14:textId="4CF7F93E" w:rsidR="00A9766F" w:rsidRPr="007114AF" w:rsidRDefault="00617388" w:rsidP="00206985">
      <w:pPr>
        <w:pStyle w:val="TEKSTI"/>
      </w:pPr>
      <w:r w:rsidRPr="007114AF">
        <w:rPr>
          <w:rFonts w:eastAsia="MS Mincho"/>
        </w:rPr>
        <w:t xml:space="preserve">- </w:t>
      </w:r>
      <w:r w:rsidR="00A9766F" w:rsidRPr="007114AF">
        <w:rPr>
          <w:rFonts w:eastAsia="MS Mincho"/>
        </w:rPr>
        <w:t xml:space="preserve">një mjedisi të </w:t>
      </w:r>
      <w:r w:rsidR="00E132F0" w:rsidRPr="007114AF">
        <w:rPr>
          <w:rFonts w:eastAsia="MS Mincho"/>
        </w:rPr>
        <w:t>shënd</w:t>
      </w:r>
      <w:r w:rsidR="00E132F0">
        <w:rPr>
          <w:rFonts w:eastAsia="MS Mincho"/>
        </w:rPr>
        <w:t>etsh</w:t>
      </w:r>
      <w:r w:rsidR="00A9766F" w:rsidRPr="007114AF">
        <w:rPr>
          <w:rFonts w:eastAsia="MS Mincho"/>
        </w:rPr>
        <w:t xml:space="preserve">ëm dhe të qëndrueshëm </w:t>
      </w:r>
    </w:p>
    <w:p w14:paraId="6EDCFCF3" w14:textId="77777777" w:rsidR="00A9766F" w:rsidRPr="007114AF" w:rsidRDefault="00617388" w:rsidP="00206985">
      <w:pPr>
        <w:pStyle w:val="TEKSTI"/>
      </w:pPr>
      <w:r w:rsidRPr="007114AF">
        <w:t xml:space="preserve">- </w:t>
      </w:r>
      <w:r w:rsidR="00A9766F" w:rsidRPr="007114AF">
        <w:t>një industrie minierash të qëndrueshme dhe të diversifikuar</w:t>
      </w:r>
    </w:p>
    <w:p w14:paraId="6EDCFCF4" w14:textId="77777777" w:rsidR="00A9766F" w:rsidRPr="007114AF" w:rsidRDefault="00617388" w:rsidP="00206985">
      <w:pPr>
        <w:pStyle w:val="TEKSTI"/>
      </w:pPr>
      <w:r w:rsidRPr="007114AF">
        <w:t xml:space="preserve">- </w:t>
      </w:r>
      <w:r w:rsidR="00A9766F" w:rsidRPr="007114AF">
        <w:t xml:space="preserve">sisteme të zgjeruara dhe të përmirësuara të furnizimit me ujë dhe të menaxhimit të ujit </w:t>
      </w:r>
    </w:p>
    <w:p w14:paraId="6EDCFCF5" w14:textId="77777777" w:rsidR="00A9766F" w:rsidRPr="007114AF" w:rsidRDefault="00617388" w:rsidP="00206985">
      <w:pPr>
        <w:pStyle w:val="TEKSTI"/>
      </w:pPr>
      <w:r w:rsidRPr="007114AF">
        <w:t xml:space="preserve">- </w:t>
      </w:r>
      <w:r w:rsidR="00A9766F" w:rsidRPr="007114AF">
        <w:t xml:space="preserve">forcimin e planifikimit të territorit, hapësirës dhe të banesave. </w:t>
      </w:r>
    </w:p>
    <w:p w14:paraId="6EDCFCF6" w14:textId="77777777" w:rsidR="00A9766F" w:rsidRPr="007114AF" w:rsidRDefault="00A9766F" w:rsidP="00206985">
      <w:pPr>
        <w:pStyle w:val="TEKSTI"/>
        <w:rPr>
          <w:lang w:eastAsia="en-CA"/>
        </w:rPr>
      </w:pPr>
      <w:r w:rsidRPr="007114AF">
        <w:rPr>
          <w:lang w:eastAsia="en-CA"/>
        </w:rPr>
        <w:t xml:space="preserve">Veprimet që ndikojnë pozitivisht në zbutjen e ndryshimit të klimës në kuadrin e </w:t>
      </w:r>
      <w:r w:rsidRPr="007114AF">
        <w:rPr>
          <w:b/>
          <w:lang w:eastAsia="en-CA"/>
        </w:rPr>
        <w:t>Shtyllës 4: Rritja përmes Përdorimit të Qëndrueshëm të Burimeve</w:t>
      </w:r>
      <w:r w:rsidRPr="007114AF">
        <w:rPr>
          <w:lang w:eastAsia="en-CA"/>
        </w:rPr>
        <w:t xml:space="preserve">, synojnë: </w:t>
      </w:r>
    </w:p>
    <w:p w14:paraId="6EDCFCF7" w14:textId="3C29DF32" w:rsidR="00A9766F" w:rsidRPr="007114AF" w:rsidRDefault="00617388" w:rsidP="00206985">
      <w:pPr>
        <w:pStyle w:val="TEKSTI"/>
        <w:rPr>
          <w:rFonts w:eastAsia="MS Mincho"/>
          <w:lang w:eastAsia="en-GB"/>
        </w:rPr>
      </w:pPr>
      <w:r w:rsidRPr="007114AF">
        <w:t xml:space="preserve">- </w:t>
      </w:r>
      <w:r w:rsidR="00A9766F" w:rsidRPr="007114AF">
        <w:t xml:space="preserve">Nënsektorin e energjive të rinovueshme dhe eficiencën e energjisë: (1) duke arritur angazhimet e Shqipërisë në kuadrin e nismës së BE-së </w:t>
      </w:r>
      <w:r w:rsidR="000A2A01" w:rsidRPr="007114AF">
        <w:t>“</w:t>
      </w:r>
      <w:r w:rsidR="00A9766F" w:rsidRPr="007114AF">
        <w:t>Paketa për Klimën dhe Energjinë 2020</w:t>
      </w:r>
      <w:r w:rsidR="000A2A01" w:rsidRPr="007114AF">
        <w:t>”</w:t>
      </w:r>
      <w:r w:rsidR="00A9766F" w:rsidRPr="007114AF">
        <w:t xml:space="preserve"> për rritjen e përdorimit të burimeve të rinovueshme; (2) përmirësimi i eficiencës së energjisë dhe reduktimin e shkarkimeve CO</w:t>
      </w:r>
      <w:r w:rsidR="00A9766F" w:rsidRPr="007114AF">
        <w:rPr>
          <w:vertAlign w:val="subscript"/>
        </w:rPr>
        <w:t>2</w:t>
      </w:r>
      <w:r w:rsidR="00A9766F" w:rsidRPr="007114AF">
        <w:t xml:space="preserve">; (3) diversifikimi i burimeve të rinovueshme në vend, jo vetëm nga burimet hidroenergjetike, por edhe nga era, dielli, biomasa dhe burimet gjeotermale; (4) menaxhimi i kërkesës për energji përmes rritjes së eficiencës së përdorimit të energjisë, sidomos në banesa. </w:t>
      </w:r>
    </w:p>
    <w:p w14:paraId="6EDCFCF8" w14:textId="77777777" w:rsidR="00A9766F" w:rsidRPr="007114AF" w:rsidRDefault="00617388" w:rsidP="00206985">
      <w:pPr>
        <w:pStyle w:val="TEKSTI"/>
        <w:rPr>
          <w:rFonts w:eastAsia="Calibri" w:cs="Arial"/>
        </w:rPr>
      </w:pPr>
      <w:r w:rsidRPr="007114AF">
        <w:t xml:space="preserve">- </w:t>
      </w:r>
      <w:r w:rsidR="00A9766F" w:rsidRPr="007114AF">
        <w:t>Reduktimi i humbjeve të energjisë elektrike në rrjetin e shpërndarjes deri në 14%.</w:t>
      </w:r>
    </w:p>
    <w:p w14:paraId="6EDCFCF9" w14:textId="250281A9" w:rsidR="00A9766F" w:rsidRPr="007114AF" w:rsidRDefault="00A9766F" w:rsidP="00206985">
      <w:pPr>
        <w:pStyle w:val="TEKSTI"/>
      </w:pPr>
      <w:r w:rsidRPr="007114AF">
        <w:t>Deri në vitin 2020, të arrihet një rritje e pesëfishtë në vëllimin e</w:t>
      </w:r>
      <w:r w:rsidR="00E132F0">
        <w:t xml:space="preserve"> </w:t>
      </w:r>
      <w:r w:rsidRPr="007114AF">
        <w:t>pasagjerëve krahasuar me nivelet e vitit 2013, dhe një rritje e dyfishtë në transportin hekurudhor të mallrave mbi nivelet e vitit 2013 (me theks te transporti rajonal),</w:t>
      </w:r>
      <w:r w:rsidR="00E132F0">
        <w:t xml:space="preserve"> </w:t>
      </w:r>
      <w:r w:rsidRPr="007114AF">
        <w:t>përmes rindërtimit të hekurudhës që lidh Tiranë</w:t>
      </w:r>
      <w:r w:rsidR="00E132F0">
        <w:t>–</w:t>
      </w:r>
      <w:r w:rsidRPr="007114AF">
        <w:t>Durrës, Vorë</w:t>
      </w:r>
      <w:r w:rsidR="00E132F0">
        <w:t>–</w:t>
      </w:r>
      <w:r w:rsidRPr="007114AF">
        <w:t>Hani</w:t>
      </w:r>
      <w:r w:rsidR="00E132F0">
        <w:t xml:space="preserve"> i </w:t>
      </w:r>
      <w:r w:rsidRPr="007114AF">
        <w:t>Hotit, Durrës</w:t>
      </w:r>
      <w:r w:rsidR="00E132F0">
        <w:t>–</w:t>
      </w:r>
      <w:r w:rsidRPr="007114AF">
        <w:t>Elbasan, Rrogozhinë</w:t>
      </w:r>
      <w:r w:rsidR="00E132F0">
        <w:t>–</w:t>
      </w:r>
      <w:r w:rsidRPr="007114AF">
        <w:t>Vlorë dhe Elbasan</w:t>
      </w:r>
      <w:r w:rsidR="00E132F0">
        <w:t>–</w:t>
      </w:r>
      <w:r w:rsidRPr="007114AF">
        <w:t>Pogradec</w:t>
      </w:r>
      <w:r w:rsidR="00E132F0">
        <w:t>–</w:t>
      </w:r>
      <w:r w:rsidRPr="007114AF">
        <w:t>Kufi me Maqedoninë</w:t>
      </w:r>
      <w:r w:rsidRPr="007114AF">
        <w:rPr>
          <w:rStyle w:val="FootnoteReference"/>
          <w:rFonts w:eastAsia="MS Mincho"/>
          <w:bCs/>
        </w:rPr>
        <w:footnoteReference w:id="42"/>
      </w:r>
      <w:r w:rsidRPr="007114AF">
        <w:rPr>
          <w:rFonts w:eastAsia="MS Mincho"/>
          <w:bCs/>
        </w:rPr>
        <w:t>.</w:t>
      </w:r>
    </w:p>
    <w:p w14:paraId="6EDCFCFA" w14:textId="77777777" w:rsidR="00A9766F" w:rsidRPr="007114AF" w:rsidRDefault="00617388" w:rsidP="00206985">
      <w:pPr>
        <w:pStyle w:val="TEKSTI"/>
        <w:rPr>
          <w:rFonts w:eastAsia="Calibri" w:cs="Arial"/>
        </w:rPr>
      </w:pPr>
      <w:r w:rsidRPr="007114AF">
        <w:t xml:space="preserve">- </w:t>
      </w:r>
      <w:r w:rsidR="00A9766F" w:rsidRPr="007114AF">
        <w:t>Arritja e targetit prej 38% në përdorimin e energjisë së rinovueshme krahasuar me konsumin përfundimtar total të energjisë, përmes miratimit dhe zbatimit të Planit Kombëtar të Veprimit për Energjinë e Rinovueshme.</w:t>
      </w:r>
    </w:p>
    <w:p w14:paraId="6EDCFCFB" w14:textId="77777777" w:rsidR="00A9766F" w:rsidRPr="007114AF" w:rsidRDefault="00617388" w:rsidP="00206985">
      <w:pPr>
        <w:pStyle w:val="TEKSTI"/>
        <w:rPr>
          <w:i/>
        </w:rPr>
      </w:pPr>
      <w:r w:rsidRPr="007114AF">
        <w:t xml:space="preserve">- </w:t>
      </w:r>
      <w:r w:rsidR="00A9766F" w:rsidRPr="007114AF">
        <w:t>Nxit prodhimin e qëndrueshëm të ushqimit dhe cilësinë, duke zhvilluar një sektor konkurrues dhe novator agroushqimor që është i aftë të përballojnë trysnitë e konkurrencës.</w:t>
      </w:r>
    </w:p>
    <w:p w14:paraId="6EDCFCFC" w14:textId="77777777" w:rsidR="00A9766F" w:rsidRPr="007114AF" w:rsidRDefault="00617388" w:rsidP="00206985">
      <w:pPr>
        <w:pStyle w:val="TEKSTI"/>
        <w:rPr>
          <w:i/>
        </w:rPr>
      </w:pPr>
      <w:r w:rsidRPr="007114AF">
        <w:t xml:space="preserve">- </w:t>
      </w:r>
      <w:r w:rsidR="00A9766F" w:rsidRPr="007114AF">
        <w:t>Siguron menaxhimin e qëndrueshëm të burimeve natyrore dhe ndërmerr veprime për klimën përmes:</w:t>
      </w:r>
    </w:p>
    <w:p w14:paraId="6EDCFCFD" w14:textId="77777777" w:rsidR="00A9766F" w:rsidRPr="007114AF" w:rsidRDefault="00617388" w:rsidP="00206985">
      <w:pPr>
        <w:pStyle w:val="TEKSTI"/>
      </w:pPr>
      <w:r w:rsidRPr="007114AF">
        <w:t xml:space="preserve">- </w:t>
      </w:r>
      <w:r w:rsidR="00A9766F" w:rsidRPr="007114AF">
        <w:t xml:space="preserve">Menaxhimit më të mirë të pyjeve dhe ujërave, si dhe zbatimit të metodave të prodhimit bujqësor në mbrojtjen e mjedisit dhe zbutjen e ndryshimeve të klimës; </w:t>
      </w:r>
    </w:p>
    <w:p w14:paraId="6EDCFCFE" w14:textId="77777777" w:rsidR="00A9766F" w:rsidRPr="007114AF" w:rsidRDefault="00617388" w:rsidP="00206985">
      <w:pPr>
        <w:pStyle w:val="TEKSTI"/>
      </w:pPr>
      <w:r w:rsidRPr="007114AF">
        <w:t xml:space="preserve">- </w:t>
      </w:r>
      <w:r w:rsidR="00A9766F" w:rsidRPr="007114AF">
        <w:t>Një rritjeje t</w:t>
      </w:r>
      <w:r w:rsidR="00A9766F" w:rsidRPr="007114AF">
        <w:rPr>
          <w:rFonts w:eastAsia="MS Mincho" w:cs="MS Mincho"/>
        </w:rPr>
        <w:t>ë</w:t>
      </w:r>
      <w:r w:rsidR="00A9766F" w:rsidRPr="007114AF">
        <w:t xml:space="preserve"> synuar e numrit të fermave organike të certifikuara deri në vitin 2020; </w:t>
      </w:r>
    </w:p>
    <w:p w14:paraId="6EDCFCFF" w14:textId="77777777" w:rsidR="00A9766F" w:rsidRPr="007114AF" w:rsidRDefault="00617388" w:rsidP="00206985">
      <w:pPr>
        <w:pStyle w:val="TEKSTI"/>
      </w:pPr>
      <w:r w:rsidRPr="007114AF">
        <w:t xml:space="preserve">- </w:t>
      </w:r>
      <w:r w:rsidR="00A9766F" w:rsidRPr="007114AF">
        <w:t>Një rritjeje në numrin e fermerëve që përfitojnë nga infrastruktura e ujitjes, me 300,000 deri në vitin 2020.</w:t>
      </w:r>
    </w:p>
    <w:p w14:paraId="6EDCFD00" w14:textId="77777777" w:rsidR="00A9766F" w:rsidRPr="007114AF" w:rsidRDefault="00617388" w:rsidP="00206985">
      <w:pPr>
        <w:pStyle w:val="TEKSTI"/>
        <w:rPr>
          <w:rFonts w:eastAsia="MS Mincho"/>
          <w:lang w:eastAsia="en-GB"/>
        </w:rPr>
      </w:pPr>
      <w:r w:rsidRPr="007114AF">
        <w:rPr>
          <w:rFonts w:eastAsia="MS Mincho"/>
        </w:rPr>
        <w:t xml:space="preserve">- </w:t>
      </w:r>
      <w:r w:rsidR="00A9766F" w:rsidRPr="007114AF">
        <w:rPr>
          <w:rFonts w:eastAsia="MS Mincho"/>
        </w:rPr>
        <w:t xml:space="preserve">Reagimit ndaj ndryshimit të klimës dhe kontributit për mbrojtjen e shtresës së ozonit deri në vitin 2020 përmes: </w:t>
      </w:r>
    </w:p>
    <w:p w14:paraId="6EDCFD01"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Pikësynimit për reduktimin me 8% të GES-it krahasuar me skenarin bazë</w:t>
      </w:r>
      <w:r w:rsidR="00A9766F" w:rsidRPr="007114AF">
        <w:rPr>
          <w:rFonts w:eastAsia="MS Mincho"/>
          <w:vertAlign w:val="superscript"/>
        </w:rPr>
        <w:footnoteReference w:id="43"/>
      </w:r>
      <w:r w:rsidR="00A9766F" w:rsidRPr="007114AF">
        <w:rPr>
          <w:rFonts w:eastAsia="MS Mincho"/>
        </w:rPr>
        <w:t xml:space="preserve">; </w:t>
      </w:r>
    </w:p>
    <w:p w14:paraId="6EDCFD02" w14:textId="77777777" w:rsidR="00A9766F" w:rsidRPr="007114AF" w:rsidRDefault="00617388" w:rsidP="00206985">
      <w:pPr>
        <w:pStyle w:val="TEKSTI"/>
        <w:rPr>
          <w:rFonts w:eastAsia="MS Mincho"/>
          <w:lang w:eastAsia="en-GB"/>
        </w:rPr>
      </w:pPr>
      <w:r w:rsidRPr="007114AF">
        <w:rPr>
          <w:rFonts w:eastAsia="MS Mincho"/>
        </w:rPr>
        <w:t xml:space="preserve">- </w:t>
      </w:r>
      <w:r w:rsidR="00A9766F" w:rsidRPr="007114AF">
        <w:rPr>
          <w:rFonts w:eastAsia="MS Mincho"/>
        </w:rPr>
        <w:t>Pikësynimit për reduktimin me 40% të sasisë së HCFC-ës (</w:t>
      </w:r>
      <w:r w:rsidR="00A9766F" w:rsidRPr="007114AF">
        <w:rPr>
          <w:rFonts w:eastAsia="TTE21F03E8t00" w:cs="TTE21F03E8t00"/>
          <w:color w:val="262626"/>
          <w:lang w:eastAsia="en-CA"/>
        </w:rPr>
        <w:t>hidroklorofluorokarboni)</w:t>
      </w:r>
      <w:r w:rsidR="00A9766F" w:rsidRPr="007114AF">
        <w:rPr>
          <w:rFonts w:eastAsia="MS Mincho"/>
        </w:rPr>
        <w:t xml:space="preserve">. </w:t>
      </w:r>
    </w:p>
    <w:p w14:paraId="6EDCFD03" w14:textId="77777777" w:rsidR="00A9766F" w:rsidRPr="007114AF" w:rsidRDefault="00617388" w:rsidP="00206985">
      <w:pPr>
        <w:pStyle w:val="TEKSTI"/>
        <w:rPr>
          <w:rFonts w:eastAsia="MS Mincho"/>
          <w:lang w:eastAsia="en-GB"/>
        </w:rPr>
      </w:pPr>
      <w:r w:rsidRPr="007114AF">
        <w:rPr>
          <w:rFonts w:eastAsia="MS Mincho"/>
        </w:rPr>
        <w:t xml:space="preserve">- </w:t>
      </w:r>
      <w:r w:rsidR="00A9766F" w:rsidRPr="007114AF">
        <w:rPr>
          <w:rFonts w:eastAsia="MS Mincho"/>
        </w:rPr>
        <w:t xml:space="preserve">Rritja dhe forcimi i mbrojtjes së natyrës përmes: </w:t>
      </w:r>
    </w:p>
    <w:p w14:paraId="6EDCFD04"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Pikësynimit për rritje me 17% të sipërfaqes së zonave të mbrojtura të territorit, përmes përmirësimit dhe menaxhimit të integruar të zonave të mbrojtura.</w:t>
      </w:r>
    </w:p>
    <w:p w14:paraId="6EDCFD05" w14:textId="7F16F735"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 xml:space="preserve">Ngritja e rrjetit ekologjik </w:t>
      </w:r>
      <w:r w:rsidR="000A2A01" w:rsidRPr="007114AF">
        <w:rPr>
          <w:rFonts w:eastAsia="MS Mincho"/>
        </w:rPr>
        <w:t>“</w:t>
      </w:r>
      <w:r w:rsidR="00A9766F" w:rsidRPr="007114AF">
        <w:rPr>
          <w:rFonts w:eastAsia="MS Mincho"/>
        </w:rPr>
        <w:t>Natura 2000</w:t>
      </w:r>
      <w:r w:rsidR="000A2A01" w:rsidRPr="007114AF">
        <w:rPr>
          <w:rFonts w:eastAsia="MS Mincho"/>
        </w:rPr>
        <w:t>”</w:t>
      </w:r>
      <w:r w:rsidR="00A9766F" w:rsidRPr="007114AF">
        <w:rPr>
          <w:rFonts w:eastAsia="MS Mincho"/>
        </w:rPr>
        <w:t>.</w:t>
      </w:r>
    </w:p>
    <w:p w14:paraId="6EDCFD06"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Sigurimi i statusit të konservimit për 5% të specieve dhe habitateve të rrezikuara.</w:t>
      </w:r>
    </w:p>
    <w:p w14:paraId="6EDCFD07" w14:textId="77777777" w:rsidR="00A9766F" w:rsidRPr="007114AF" w:rsidRDefault="00617388" w:rsidP="00206985">
      <w:pPr>
        <w:pStyle w:val="TEKSTI"/>
        <w:rPr>
          <w:rFonts w:eastAsia="MS Mincho"/>
          <w:lang w:eastAsia="en-GB"/>
        </w:rPr>
      </w:pPr>
      <w:r w:rsidRPr="007114AF">
        <w:t xml:space="preserve">- </w:t>
      </w:r>
      <w:r w:rsidR="00A9766F" w:rsidRPr="007114AF">
        <w:t xml:space="preserve">Forcimi i menaxhimit dhe ruajtjes së burimeve pyjore dhe kullotave përmes: </w:t>
      </w:r>
    </w:p>
    <w:p w14:paraId="6EDCFD08"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Një pikësynimi për reduktimin 40% të prerjeve të paligjshme deri në vitin 2020.</w:t>
      </w:r>
    </w:p>
    <w:p w14:paraId="6EDCFD09"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Arritjes së mbulimit 100% me plane menaxhimi për gjithë ekonomitë pyjore në mbarë vendin.</w:t>
      </w:r>
    </w:p>
    <w:p w14:paraId="6EDCFD0A"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Rehabilitimit të 25% të zonave të degraduara.</w:t>
      </w:r>
    </w:p>
    <w:p w14:paraId="6EDCFD0B" w14:textId="779BA082" w:rsidR="00A9766F" w:rsidRPr="007114AF" w:rsidRDefault="00617388" w:rsidP="00206985">
      <w:pPr>
        <w:pStyle w:val="TEKSTI"/>
      </w:pPr>
      <w:r w:rsidRPr="007114AF">
        <w:t xml:space="preserve">- </w:t>
      </w:r>
      <w:r w:rsidR="00A9766F" w:rsidRPr="007114AF">
        <w:t>Zhvillimi i turizmit të qëndrueshëm në Shqipëri, që ndikon</w:t>
      </w:r>
      <w:r w:rsidR="00CA77E2">
        <w:t xml:space="preserve"> </w:t>
      </w:r>
      <w:r w:rsidR="00A9766F" w:rsidRPr="007114AF">
        <w:t>në mënyrë indirekte pozitivisht në ndryshimin e klimës, duke qenë se ruan ekosistemet natyrore.</w:t>
      </w:r>
    </w:p>
    <w:p w14:paraId="6EDCFD0C" w14:textId="77777777" w:rsidR="00A9766F" w:rsidRPr="007114AF" w:rsidRDefault="00617388" w:rsidP="00206985">
      <w:pPr>
        <w:pStyle w:val="TEKSTI"/>
      </w:pPr>
      <w:r w:rsidRPr="007114AF">
        <w:t xml:space="preserve">- </w:t>
      </w:r>
      <w:r w:rsidR="00A9766F" w:rsidRPr="007114AF">
        <w:t>Forcimi i menaxhimit të përdorimit të ujit, me qëllim që të reduktohen përmbytjet dhe fenomeni i erozionit dhe humbjes së tokës, përmes:</w:t>
      </w:r>
    </w:p>
    <w:p w14:paraId="6EDCFD0D"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Rehabilitimit dhe modernizimit të infrastrukturës ekzistuese lidhur me ujitjen, kullimin dhe mbrojtjen nga përmbytjet.</w:t>
      </w:r>
    </w:p>
    <w:p w14:paraId="6EDCFD0E"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Zhvillimit dhe zbatimit të mekanizmave për menaxhimin e qëndrueshëm të ujitjes, kullimit dhe sistemeve të mbrojtjes nga përmbytjet(përmirësimi cilësor i funksionalitetit të sistemit të kullimit).</w:t>
      </w:r>
    </w:p>
    <w:p w14:paraId="6EDCFD0F"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Përgatitjes dhe zbatimit të planeve të menaxhimit të baseneve të lumenjve.</w:t>
      </w:r>
    </w:p>
    <w:p w14:paraId="6EDCFD10"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Koordinimit dhe menaxhimit të përdorimit të ujërave në kontekstin e çështjeve që lidhen me ndryshimin/zbutjen e klimës.</w:t>
      </w:r>
    </w:p>
    <w:p w14:paraId="6EDCFD11" w14:textId="77777777" w:rsidR="00A9766F" w:rsidRPr="007114AF" w:rsidRDefault="00617388" w:rsidP="00206985">
      <w:pPr>
        <w:pStyle w:val="TEKSTI"/>
        <w:rPr>
          <w:rFonts w:eastAsia="MS Mincho"/>
        </w:rPr>
      </w:pPr>
      <w:r w:rsidRPr="007114AF">
        <w:rPr>
          <w:rFonts w:eastAsia="MS Mincho"/>
        </w:rPr>
        <w:t xml:space="preserve">- </w:t>
      </w:r>
      <w:r w:rsidR="00A9766F" w:rsidRPr="007114AF">
        <w:rPr>
          <w:rFonts w:eastAsia="MS Mincho"/>
        </w:rPr>
        <w:t>Rehabilitimit të shtretërve të dëmtuar të lumenjve.</w:t>
      </w:r>
    </w:p>
    <w:p w14:paraId="6EDCFD12" w14:textId="77777777" w:rsidR="00A9766F" w:rsidRPr="007114AF" w:rsidRDefault="00A9766F" w:rsidP="00206985">
      <w:pPr>
        <w:pStyle w:val="TEKSTI"/>
        <w:rPr>
          <w:rFonts w:cs="Arial"/>
          <w:b/>
        </w:rPr>
      </w:pPr>
      <w:r w:rsidRPr="007114AF">
        <w:rPr>
          <w:rFonts w:cs="Arial"/>
          <w:b/>
          <w:i/>
          <w:u w:val="single"/>
        </w:rPr>
        <w:t>Plani Kombëtari Territorit (PKT)</w:t>
      </w:r>
    </w:p>
    <w:p w14:paraId="6EDCFD13" w14:textId="77777777" w:rsidR="00A9766F" w:rsidRPr="007114AF" w:rsidRDefault="00A9766F" w:rsidP="00206985">
      <w:pPr>
        <w:pStyle w:val="TEKSTI"/>
        <w:rPr>
          <w:rStyle w:val="Heading1Char"/>
          <w:rFonts w:ascii="Garamond" w:hAnsi="Garamond"/>
          <w:b w:val="0"/>
          <w:i/>
        </w:rPr>
      </w:pPr>
      <w:r w:rsidRPr="007114AF">
        <w:rPr>
          <w:rFonts w:cs="Arial"/>
          <w:i/>
        </w:rPr>
        <w:t>Vlefshmëria: 2015-2030</w:t>
      </w:r>
    </w:p>
    <w:p w14:paraId="6EDCFD14" w14:textId="2869967C" w:rsidR="00A9766F" w:rsidRPr="007114AF" w:rsidRDefault="00A9766F" w:rsidP="00206985">
      <w:pPr>
        <w:pStyle w:val="TEKSTI"/>
        <w:rPr>
          <w:rFonts w:cs="Arial"/>
        </w:rPr>
      </w:pPr>
      <w:r w:rsidRPr="007114AF">
        <w:rPr>
          <w:rFonts w:cs="Arial"/>
        </w:rPr>
        <w:t xml:space="preserve">Plani Kombëtari Territorit (PKT) </w:t>
      </w:r>
      <w:r w:rsidR="000A2A01" w:rsidRPr="007114AF">
        <w:rPr>
          <w:rFonts w:cs="Arial"/>
        </w:rPr>
        <w:t>“</w:t>
      </w:r>
      <w:r w:rsidRPr="007114AF">
        <w:rPr>
          <w:rFonts w:cs="Arial"/>
        </w:rPr>
        <w:t>Shqipëria 2030</w:t>
      </w:r>
      <w:r w:rsidR="000A2A01" w:rsidRPr="007114AF">
        <w:rPr>
          <w:rFonts w:cs="Arial"/>
        </w:rPr>
        <w:t>”</w:t>
      </w:r>
      <w:r w:rsidRPr="007114AF">
        <w:rPr>
          <w:rFonts w:cs="Arial"/>
        </w:rPr>
        <w:t xml:space="preserve"> </w:t>
      </w:r>
      <w:r w:rsidRPr="007114AF">
        <w:rPr>
          <w:rFonts w:eastAsia="Times New Roman" w:cs="Calibri"/>
          <w:shd w:val="clear" w:color="auto" w:fill="FFFFFF"/>
        </w:rPr>
        <w:t xml:space="preserve">është përgatitur nga Agjencia Kombëtare për Planifikimin e Territorit dhe ish Ministria e Zhvillimit Urban, në përputhje me Ligjin 107/2014 </w:t>
      </w:r>
      <w:r w:rsidR="000A2A01" w:rsidRPr="007114AF">
        <w:rPr>
          <w:rFonts w:eastAsia="Times New Roman" w:cs="Calibri"/>
          <w:shd w:val="clear" w:color="auto" w:fill="FFFFFF"/>
        </w:rPr>
        <w:t>“</w:t>
      </w:r>
      <w:r w:rsidRPr="007114AF">
        <w:rPr>
          <w:rFonts w:eastAsia="Times New Roman" w:cs="Calibri"/>
          <w:shd w:val="clear" w:color="auto" w:fill="FFFFFF"/>
        </w:rPr>
        <w:t>Për planifikimin dhe zhvillimin e territorit</w:t>
      </w:r>
      <w:r w:rsidR="000A2A01" w:rsidRPr="007114AF">
        <w:rPr>
          <w:rFonts w:eastAsia="Times New Roman" w:cs="Calibri"/>
          <w:shd w:val="clear" w:color="auto" w:fill="FFFFFF"/>
        </w:rPr>
        <w:t>”</w:t>
      </w:r>
      <w:r w:rsidRPr="007114AF">
        <w:rPr>
          <w:rFonts w:eastAsia="Times New Roman" w:cs="Calibri"/>
          <w:shd w:val="clear" w:color="auto" w:fill="FFFFFF"/>
        </w:rPr>
        <w:t>. Ai përfaqëson një instrument me rëndësi të planifikimit të territorit</w:t>
      </w:r>
      <w:r w:rsidR="00CA77E2">
        <w:rPr>
          <w:rFonts w:eastAsia="Times New Roman" w:cs="Calibri"/>
          <w:shd w:val="clear" w:color="auto" w:fill="FFFFFF"/>
        </w:rPr>
        <w:t xml:space="preserve"> </w:t>
      </w:r>
      <w:r w:rsidRPr="007114AF">
        <w:rPr>
          <w:rFonts w:eastAsia="Times New Roman" w:cs="Calibri"/>
          <w:shd w:val="clear" w:color="auto" w:fill="FFFFFF"/>
        </w:rPr>
        <w:t xml:space="preserve">në Shqipëri, që i trajton çështjet sektoriale në mënyrë të integruar, në kuadrin e synimit për planifikimin e territorit shqiptar (61 bashki të organizuara në 4 zona kryesore) si i tërë. </w:t>
      </w:r>
    </w:p>
    <w:p w14:paraId="6EDCFD15" w14:textId="79EEF141" w:rsidR="00A9766F" w:rsidRPr="007114AF" w:rsidRDefault="00A9766F" w:rsidP="00206985">
      <w:pPr>
        <w:pStyle w:val="TEKSTI"/>
        <w:rPr>
          <w:rFonts w:eastAsia="Times New Roman" w:cs="Calibri"/>
        </w:rPr>
      </w:pPr>
      <w:r w:rsidRPr="007114AF">
        <w:rPr>
          <w:rFonts w:eastAsia="Times New Roman" w:cs="Calibri"/>
          <w:shd w:val="clear" w:color="auto" w:fill="FFFFFF"/>
        </w:rPr>
        <w:t xml:space="preserve">Synimi kryesor i </w:t>
      </w:r>
      <w:r w:rsidRPr="007114AF">
        <w:rPr>
          <w:rFonts w:cs="Arial"/>
        </w:rPr>
        <w:t>PKT-ës</w:t>
      </w:r>
      <w:r w:rsidR="00CA77E2">
        <w:rPr>
          <w:rFonts w:cs="Arial"/>
        </w:rPr>
        <w:t xml:space="preserve"> </w:t>
      </w:r>
      <w:r w:rsidRPr="007114AF">
        <w:rPr>
          <w:rFonts w:eastAsia="Times New Roman" w:cs="Calibri"/>
          <w:shd w:val="clear" w:color="auto" w:fill="FFFFFF"/>
        </w:rPr>
        <w:t xml:space="preserve">është përgatitja e një kuadri zhvillimi hapësinor për </w:t>
      </w:r>
      <w:r w:rsidRPr="007114AF">
        <w:rPr>
          <w:rFonts w:eastAsia="Times New Roman" w:cs="Calibri"/>
        </w:rPr>
        <w:t>territorin shqiptar, me qëllim që të rritet mirëqenia e qytetarëve dhe rritja ekonomike e vendit, duke zvogëluar pabarazinë, duke forcuar partneritetin strategjik me vendet fqinje</w:t>
      </w:r>
      <w:r w:rsidR="00CA77E2">
        <w:rPr>
          <w:rFonts w:eastAsia="Times New Roman" w:cs="Calibri"/>
        </w:rPr>
        <w:t xml:space="preserve"> </w:t>
      </w:r>
      <w:r w:rsidRPr="007114AF">
        <w:rPr>
          <w:rFonts w:eastAsia="Times New Roman" w:cs="Calibri"/>
        </w:rPr>
        <w:t xml:space="preserve">dhe zbatimin e politikave që forcojnë konkurrencën e sektorëve ekonomikë, duke siguruar kështu integrimin në Bashkimin Evropian. </w:t>
      </w:r>
      <w:r w:rsidRPr="007114AF">
        <w:rPr>
          <w:rFonts w:cs="Arial"/>
        </w:rPr>
        <w:t>PKT-ja</w:t>
      </w:r>
      <w:r w:rsidR="00CA77E2">
        <w:rPr>
          <w:rFonts w:cs="Arial"/>
        </w:rPr>
        <w:t xml:space="preserve"> </w:t>
      </w:r>
      <w:r w:rsidRPr="007114AF">
        <w:rPr>
          <w:rFonts w:eastAsia="Times New Roman" w:cs="Calibri"/>
        </w:rPr>
        <w:t xml:space="preserve">përfaqëson bazën për harmonizimin e politikave ndërsektoriale dhe siguron kuadrin strategjik për zhvillimin e qëndrueshëm të territorit për 15 vitet e ardhshme, duke siguruar një zhvillim të balancuar ekonomik dhe social, përmes përdorimit racional të tokës, menaxhimit të përgjegjshëm të burimeve të saj natyrore dhe mbrojtjes së mjedisit. </w:t>
      </w:r>
    </w:p>
    <w:p w14:paraId="6EDCFD16" w14:textId="5EAA3F5A" w:rsidR="00A9766F" w:rsidRPr="007114AF" w:rsidRDefault="00A9766F" w:rsidP="00206985">
      <w:pPr>
        <w:pStyle w:val="TEKSTI"/>
        <w:rPr>
          <w:rFonts w:eastAsia="Times New Roman" w:cs="Calibri"/>
        </w:rPr>
      </w:pPr>
      <w:r w:rsidRPr="007114AF">
        <w:rPr>
          <w:rFonts w:cs="Arial"/>
        </w:rPr>
        <w:t>PKT-ja</w:t>
      </w:r>
      <w:r w:rsidR="00CA77E2">
        <w:rPr>
          <w:rFonts w:cs="Arial"/>
        </w:rPr>
        <w:t xml:space="preserve"> </w:t>
      </w:r>
      <w:r w:rsidRPr="007114AF">
        <w:rPr>
          <w:rFonts w:eastAsia="Times New Roman" w:cs="Calibri"/>
        </w:rPr>
        <w:t>përfshin shumë masa që ndikojnë pozitivisht në zbutjen e ndryshimit të klimës në sektorë të ndryshëm.</w:t>
      </w:r>
    </w:p>
    <w:p w14:paraId="6EDCFD17" w14:textId="77777777" w:rsidR="00A9766F" w:rsidRPr="007114AF" w:rsidRDefault="00A9766F" w:rsidP="00206985">
      <w:pPr>
        <w:pStyle w:val="TEKSTI"/>
        <w:rPr>
          <w:rFonts w:eastAsia="Times New Roman" w:cs="Calibri"/>
        </w:rPr>
      </w:pPr>
      <w:r w:rsidRPr="007114AF">
        <w:rPr>
          <w:rFonts w:eastAsia="Times New Roman" w:cs="Calibri"/>
        </w:rPr>
        <w:t>Energjia:</w:t>
      </w:r>
    </w:p>
    <w:p w14:paraId="6EDCFD18" w14:textId="77777777" w:rsidR="00A9766F" w:rsidRPr="007114AF" w:rsidRDefault="00617388" w:rsidP="00206985">
      <w:pPr>
        <w:pStyle w:val="TEKSTI"/>
      </w:pPr>
      <w:r w:rsidRPr="007114AF">
        <w:t xml:space="preserve">- </w:t>
      </w:r>
      <w:r w:rsidR="00A9766F" w:rsidRPr="007114AF">
        <w:t>Zhvillimi i infrastrukturës së energjisë për të rritur energjinë e rinovueshme;</w:t>
      </w:r>
    </w:p>
    <w:p w14:paraId="6EDCFD19" w14:textId="77777777" w:rsidR="00A9766F" w:rsidRPr="007114AF" w:rsidRDefault="00617388" w:rsidP="00206985">
      <w:pPr>
        <w:pStyle w:val="TEKSTI"/>
      </w:pPr>
      <w:r w:rsidRPr="007114AF">
        <w:t xml:space="preserve">- </w:t>
      </w:r>
      <w:r w:rsidR="00A9766F" w:rsidRPr="007114AF">
        <w:t>Realizimi i korridoreve të energjisë për integrimin e rrjetit të shpërndarjes së energjisë elektrike dhe gazit me korridoret e transportit, duke realizuar unifikimin e korridoreve të infrastrukturës;</w:t>
      </w:r>
    </w:p>
    <w:p w14:paraId="6EDCFD1A" w14:textId="444D3962" w:rsidR="00A9766F" w:rsidRPr="007114AF" w:rsidRDefault="00617388" w:rsidP="00206985">
      <w:pPr>
        <w:pStyle w:val="TEKSTI"/>
      </w:pPr>
      <w:r w:rsidRPr="007114AF">
        <w:t xml:space="preserve">- </w:t>
      </w:r>
      <w:r w:rsidR="00A9766F" w:rsidRPr="007114AF">
        <w:t>Përmirësimi i furnizimit me energji elektrike në rajonin perëndimor, skajet</w:t>
      </w:r>
      <w:r w:rsidR="00CA77E2">
        <w:t xml:space="preserve"> </w:t>
      </w:r>
      <w:r w:rsidR="00A9766F" w:rsidRPr="007114AF">
        <w:t>verilindore dhe në juglindje të vendit, duke shtuar qasjen në rrjetin kombëtar;</w:t>
      </w:r>
    </w:p>
    <w:p w14:paraId="6EDCFD1B" w14:textId="2985E339" w:rsidR="00A9766F" w:rsidRPr="007114AF" w:rsidRDefault="00617388" w:rsidP="00206985">
      <w:pPr>
        <w:pStyle w:val="TEKSTI"/>
      </w:pPr>
      <w:r w:rsidRPr="007114AF">
        <w:t xml:space="preserve">- </w:t>
      </w:r>
      <w:r w:rsidR="00A9766F" w:rsidRPr="007114AF">
        <w:t>Forcimi i rrjetit të furnizimit me energji elektrike për t</w:t>
      </w:r>
      <w:r w:rsidR="00D10DAB" w:rsidRPr="007114AF">
        <w:t>’</w:t>
      </w:r>
      <w:r w:rsidR="00A9766F" w:rsidRPr="007114AF">
        <w:t>i shërbyer grupeve specifike për kërkesat në zonat industriale, zonave përpunuese të paraqitura si zona të lira ekonomike, dhe të tjera të ngjashme;</w:t>
      </w:r>
    </w:p>
    <w:p w14:paraId="6EDCFD1C" w14:textId="77777777" w:rsidR="00A9766F" w:rsidRPr="007114AF" w:rsidRDefault="00617388" w:rsidP="00206985">
      <w:pPr>
        <w:pStyle w:val="TEKSTI"/>
      </w:pPr>
      <w:r w:rsidRPr="007114AF">
        <w:t xml:space="preserve">- </w:t>
      </w:r>
      <w:r w:rsidR="00A9766F" w:rsidRPr="007114AF">
        <w:t>Një integrim më i mirë në rrjetin e jugut dhe juglindjes së Shqipërisë;</w:t>
      </w:r>
    </w:p>
    <w:p w14:paraId="6EDCFD1D" w14:textId="51329F42" w:rsidR="00A9766F" w:rsidRPr="007114AF" w:rsidRDefault="00617388" w:rsidP="00206985">
      <w:pPr>
        <w:pStyle w:val="TEKSTI"/>
      </w:pPr>
      <w:r w:rsidRPr="007114AF">
        <w:t xml:space="preserve">- </w:t>
      </w:r>
      <w:r w:rsidR="00A9766F" w:rsidRPr="007114AF">
        <w:t>Përfundimi i projektit të Gazsjellësit Trans-Adriatik</w:t>
      </w:r>
      <w:r w:rsidR="000A2A01" w:rsidRPr="007114AF">
        <w:t xml:space="preserve"> </w:t>
      </w:r>
      <w:r w:rsidR="00A9766F" w:rsidRPr="007114AF">
        <w:t>(TAP);</w:t>
      </w:r>
    </w:p>
    <w:p w14:paraId="6EDCFD1E" w14:textId="77777777" w:rsidR="00A9766F" w:rsidRPr="007114AF" w:rsidRDefault="00617388" w:rsidP="00206985">
      <w:pPr>
        <w:pStyle w:val="TEKSTI"/>
      </w:pPr>
      <w:r w:rsidRPr="007114AF">
        <w:t xml:space="preserve">- </w:t>
      </w:r>
      <w:r w:rsidR="00A9766F" w:rsidRPr="007114AF">
        <w:t>Realizimi i projektit të Gazsjellësit Jon-Adriatik (IAP).</w:t>
      </w:r>
    </w:p>
    <w:p w14:paraId="6EDCFD1F" w14:textId="77777777" w:rsidR="00A9766F" w:rsidRPr="007114AF" w:rsidRDefault="00A9766F" w:rsidP="00206985">
      <w:pPr>
        <w:pStyle w:val="TEKSTI"/>
        <w:rPr>
          <w:rFonts w:eastAsia="Times New Roman" w:cs="Calibri"/>
        </w:rPr>
      </w:pPr>
      <w:r w:rsidRPr="007114AF">
        <w:rPr>
          <w:rFonts w:eastAsia="Times New Roman" w:cs="Calibri"/>
        </w:rPr>
        <w:t>Transporti:</w:t>
      </w:r>
    </w:p>
    <w:p w14:paraId="6EDCFD20" w14:textId="379B0AA9" w:rsidR="00A9766F" w:rsidRPr="007114AF" w:rsidRDefault="00617388" w:rsidP="00206985">
      <w:pPr>
        <w:pStyle w:val="TEKSTI"/>
      </w:pPr>
      <w:r w:rsidRPr="007114AF">
        <w:t xml:space="preserve">- </w:t>
      </w:r>
      <w:r w:rsidR="00A9766F" w:rsidRPr="007114AF">
        <w:t>Reduktimi i shkarkimeve ndotëse (CO</w:t>
      </w:r>
      <w:r w:rsidR="00A9766F" w:rsidRPr="007114AF">
        <w:rPr>
          <w:vertAlign w:val="subscript"/>
        </w:rPr>
        <w:t>2</w:t>
      </w:r>
      <w:r w:rsidR="00A9766F" w:rsidRPr="007114AF">
        <w:t>) deri në vitin 2030,përmes investimeve në teknologji, inovacionit</w:t>
      </w:r>
      <w:r w:rsidR="00CA77E2">
        <w:t xml:space="preserve"> </w:t>
      </w:r>
      <w:r w:rsidR="00A9766F" w:rsidRPr="007114AF">
        <w:t>dhe ndërtimit të kapacitetit, në përputhje me objektivin evropian</w:t>
      </w:r>
      <w:r w:rsidR="00CA77E2">
        <w:t xml:space="preserve"> </w:t>
      </w:r>
      <w:r w:rsidR="00A9766F" w:rsidRPr="007114AF">
        <w:t>për vitin 2030, për reduktimin e shkarkimeve me 60% për transportin në përgjithësi;</w:t>
      </w:r>
    </w:p>
    <w:p w14:paraId="6EDCFD21" w14:textId="77777777" w:rsidR="00A9766F" w:rsidRPr="007114AF" w:rsidRDefault="00617388" w:rsidP="00206985">
      <w:pPr>
        <w:pStyle w:val="TEKSTI"/>
        <w:rPr>
          <w:rFonts w:cs="Calibri"/>
        </w:rPr>
      </w:pPr>
      <w:r w:rsidRPr="007114AF">
        <w:rPr>
          <w:rFonts w:cs="Calibri"/>
        </w:rPr>
        <w:t xml:space="preserve">- </w:t>
      </w:r>
      <w:r w:rsidR="00A9766F" w:rsidRPr="007114AF">
        <w:rPr>
          <w:rFonts w:cs="Calibri"/>
        </w:rPr>
        <w:t xml:space="preserve">Stimulimi i sistemit inteligjent të zhvillimit urban me sisteme transporti multimodale dhe miqësore me mjedisin, nëpërmjet lidhjeve të linjave hekurudhore me </w:t>
      </w:r>
      <w:r w:rsidR="00A9766F" w:rsidRPr="007114AF">
        <w:t xml:space="preserve">portet dhe </w:t>
      </w:r>
      <w:r w:rsidR="00A9766F" w:rsidRPr="007114AF">
        <w:rPr>
          <w:rFonts w:cs="Calibri"/>
        </w:rPr>
        <w:t>aeroportet kryesore;</w:t>
      </w:r>
    </w:p>
    <w:p w14:paraId="6EDCFD22" w14:textId="77777777" w:rsidR="00A9766F" w:rsidRPr="007114AF" w:rsidRDefault="00617388" w:rsidP="00206985">
      <w:pPr>
        <w:pStyle w:val="TEKSTI"/>
        <w:rPr>
          <w:rFonts w:eastAsiaTheme="majorEastAsia" w:cstheme="majorBidi"/>
          <w:bCs/>
          <w:sz w:val="28"/>
          <w:szCs w:val="28"/>
        </w:rPr>
      </w:pPr>
      <w:r w:rsidRPr="007114AF">
        <w:t xml:space="preserve">- </w:t>
      </w:r>
      <w:r w:rsidR="00A9766F" w:rsidRPr="007114AF">
        <w:t>Nxitja e përdorimit të teknologjive të reja miqësore me mjedisin në transport, si përdorimi i energjisë elektrike, hidrogjenit dhe teknologjive hibride, për transportin e mallrave në distanca të largëta;</w:t>
      </w:r>
    </w:p>
    <w:p w14:paraId="6EDCFD23" w14:textId="77777777" w:rsidR="00A9766F" w:rsidRPr="007114AF" w:rsidRDefault="00617388" w:rsidP="00206985">
      <w:pPr>
        <w:pStyle w:val="TEKSTI"/>
        <w:rPr>
          <w:rFonts w:eastAsiaTheme="majorEastAsia" w:cstheme="majorBidi"/>
          <w:bCs/>
          <w:sz w:val="28"/>
          <w:szCs w:val="28"/>
        </w:rPr>
      </w:pPr>
      <w:r w:rsidRPr="007114AF">
        <w:t xml:space="preserve">- </w:t>
      </w:r>
      <w:r w:rsidR="00A9766F" w:rsidRPr="007114AF">
        <w:t>Promovimi i transportit publik urban dhe infrastrukturës alternative të transportit, si rrugët për biçikleta;</w:t>
      </w:r>
    </w:p>
    <w:p w14:paraId="6EDCFD24" w14:textId="77777777" w:rsidR="00A9766F" w:rsidRPr="007114AF" w:rsidRDefault="00617388" w:rsidP="00206985">
      <w:pPr>
        <w:pStyle w:val="TEKSTI"/>
        <w:rPr>
          <w:rFonts w:cs="Calibri"/>
        </w:rPr>
      </w:pPr>
      <w:r w:rsidRPr="007114AF">
        <w:t xml:space="preserve">- </w:t>
      </w:r>
      <w:r w:rsidR="00A9766F" w:rsidRPr="007114AF">
        <w:t>Ristrukturimi i sistemit hekurudhor për linjat kombëtare që lidhin Shqipërinë me Ballkanin dhe Evropën, si dhe ndërtimi i linjave hekurudhore dhe sistemeve rrugore efikase për të mbështetur lëvizjen ndërqytetëse, në distancë të gjatë dhe ndërkufitare;</w:t>
      </w:r>
    </w:p>
    <w:p w14:paraId="6EDCFD25" w14:textId="77777777" w:rsidR="00A9766F" w:rsidRPr="007114AF" w:rsidRDefault="00617388" w:rsidP="00206985">
      <w:pPr>
        <w:pStyle w:val="TEKSTI"/>
        <w:rPr>
          <w:rFonts w:cs="Calibri"/>
        </w:rPr>
      </w:pPr>
      <w:r w:rsidRPr="007114AF">
        <w:t xml:space="preserve">- </w:t>
      </w:r>
      <w:r w:rsidR="00A9766F" w:rsidRPr="007114AF">
        <w:t>Forcimi i strukturave ekzistuese të porteve dhe aeroporteve.</w:t>
      </w:r>
    </w:p>
    <w:p w14:paraId="6EDCFD26" w14:textId="77777777" w:rsidR="00A9766F" w:rsidRPr="007114AF" w:rsidRDefault="00A9766F" w:rsidP="00617388">
      <w:pPr>
        <w:pStyle w:val="TEKSTI"/>
      </w:pPr>
      <w:r w:rsidRPr="007114AF">
        <w:t>Bujqësia:</w:t>
      </w:r>
    </w:p>
    <w:p w14:paraId="6EDCFD27" w14:textId="77777777" w:rsidR="00A9766F" w:rsidRPr="007114AF" w:rsidRDefault="00617388" w:rsidP="00206985">
      <w:pPr>
        <w:pStyle w:val="TEKSTI"/>
      </w:pPr>
      <w:r w:rsidRPr="007114AF">
        <w:t xml:space="preserve">- </w:t>
      </w:r>
      <w:r w:rsidR="00A9766F" w:rsidRPr="007114AF">
        <w:t>Ngritja dhe konsolidimi i qendrave kërkimore për analizën e produkteve bujqësore;</w:t>
      </w:r>
    </w:p>
    <w:p w14:paraId="6EDCFD28" w14:textId="77777777" w:rsidR="00A9766F" w:rsidRPr="007114AF" w:rsidRDefault="00617388" w:rsidP="00206985">
      <w:pPr>
        <w:pStyle w:val="TEKSTI"/>
      </w:pPr>
      <w:r w:rsidRPr="007114AF">
        <w:t xml:space="preserve">- </w:t>
      </w:r>
      <w:r w:rsidR="00A9766F" w:rsidRPr="007114AF">
        <w:t>Ndërtimi i strukturave me kapacitet të mjaftueshëm për mbledhjen, përpunimin dhe paketimin e produkteve të ndryshme bujqësore, të mbledhura nga fermerët vendorë;</w:t>
      </w:r>
    </w:p>
    <w:p w14:paraId="6EDCFD29" w14:textId="77777777" w:rsidR="00A9766F" w:rsidRPr="007114AF" w:rsidRDefault="00617388" w:rsidP="00206985">
      <w:pPr>
        <w:pStyle w:val="TEKSTI"/>
      </w:pPr>
      <w:r w:rsidRPr="007114AF">
        <w:t xml:space="preserve">- </w:t>
      </w:r>
      <w:r w:rsidR="00A9766F" w:rsidRPr="007114AF">
        <w:t>Krijimi i tregjeve vendore për promovimin dhe marketingun e produkteve bio-organike;</w:t>
      </w:r>
    </w:p>
    <w:p w14:paraId="6EDCFD2A" w14:textId="77777777" w:rsidR="00A9766F" w:rsidRPr="007114AF" w:rsidRDefault="00617388" w:rsidP="00206985">
      <w:pPr>
        <w:pStyle w:val="TEKSTI"/>
      </w:pPr>
      <w:r w:rsidRPr="007114AF">
        <w:t xml:space="preserve">- </w:t>
      </w:r>
      <w:r w:rsidR="00A9766F" w:rsidRPr="007114AF">
        <w:t>Mbrojtja dhe ruajtja e zonave të thella të përshtatshme për kultivimin e bimëve aromatiko-mjekësore, si dhe sigurimi i mbështetjes për të garantuar vazhdimin e kultivimit dhe mbledhjes së llojeve të ndryshme të bimëve aromatike-mjekësore, të përdorura gjerësisht në tregun farmaceutik;</w:t>
      </w:r>
    </w:p>
    <w:p w14:paraId="6EDCFD2B" w14:textId="77777777" w:rsidR="00A9766F" w:rsidRPr="007114AF" w:rsidRDefault="00617388" w:rsidP="00206985">
      <w:pPr>
        <w:pStyle w:val="TEKSTI"/>
      </w:pPr>
      <w:r w:rsidRPr="007114AF">
        <w:t xml:space="preserve">- </w:t>
      </w:r>
      <w:r w:rsidR="00A9766F" w:rsidRPr="007114AF">
        <w:t>Promovimi i lidhjeve kërkimore dhe zhvilluese mes qendrave të inovacionit dhe fermave/qendrave të përpunimit të ushqimit, me qëllim që të krijohen qendra bujqësore të nivelit të lartë.</w:t>
      </w:r>
    </w:p>
    <w:p w14:paraId="6EDCFD2C" w14:textId="77777777" w:rsidR="00A9766F" w:rsidRPr="007114AF" w:rsidRDefault="00A9766F" w:rsidP="00206985">
      <w:pPr>
        <w:pStyle w:val="TEKSTI"/>
        <w:rPr>
          <w:rFonts w:eastAsia="Times New Roman" w:cs="Calibri"/>
        </w:rPr>
      </w:pPr>
      <w:r w:rsidRPr="007114AF">
        <w:rPr>
          <w:rFonts w:eastAsia="Times New Roman" w:cs="Calibri"/>
        </w:rPr>
        <w:t xml:space="preserve">LUCF-ja: </w:t>
      </w:r>
    </w:p>
    <w:p w14:paraId="6EDCFD2D" w14:textId="77777777" w:rsidR="00A9766F" w:rsidRPr="007114AF" w:rsidRDefault="008D6C6A" w:rsidP="00206985">
      <w:pPr>
        <w:pStyle w:val="TEKSTI"/>
      </w:pPr>
      <w:r w:rsidRPr="007114AF">
        <w:t xml:space="preserve">- </w:t>
      </w:r>
      <w:r w:rsidR="00A9766F" w:rsidRPr="007114AF">
        <w:t>Ruajtja e ekosistemeve, biodiversitetit dhe burimeve natyrore në zonat e gjelbra, duke balancuar efektet e sistemeve të banesave dhe aktiviteteve ekonomike;</w:t>
      </w:r>
    </w:p>
    <w:p w14:paraId="6EDCFD2E" w14:textId="77777777" w:rsidR="00A9766F" w:rsidRPr="007114AF" w:rsidRDefault="008D6C6A" w:rsidP="00206985">
      <w:pPr>
        <w:pStyle w:val="TEKSTI"/>
      </w:pPr>
      <w:r w:rsidRPr="007114AF">
        <w:t xml:space="preserve">- </w:t>
      </w:r>
      <w:r w:rsidR="00A9766F" w:rsidRPr="007114AF">
        <w:t>Rritja e zonave natyrore dhe hapja e korridoreve parësorë që lidhin luginat natyrore përgjatë lumenjve;</w:t>
      </w:r>
    </w:p>
    <w:p w14:paraId="6EDCFD2F" w14:textId="1D6C0F36" w:rsidR="00A9766F" w:rsidRPr="007114AF" w:rsidRDefault="008D6C6A" w:rsidP="00206985">
      <w:pPr>
        <w:pStyle w:val="TEKSTI"/>
      </w:pPr>
      <w:r w:rsidRPr="007114AF">
        <w:t xml:space="preserve">- </w:t>
      </w:r>
      <w:r w:rsidR="00A9766F" w:rsidRPr="007114AF">
        <w:t>Njohja e tri zonave strategjike, si tr</w:t>
      </w:r>
      <w:r w:rsidR="000B5C70" w:rsidRPr="007114AF">
        <w:t>i</w:t>
      </w:r>
      <w:r w:rsidR="00A9766F" w:rsidRPr="007114AF">
        <w:t xml:space="preserve"> parqe kombëtare, zhvillimit të të cilave i duhet dhënë përparësi për ruajtjen dhe mbrojtjen e vlerave të peizazhit natyror: parku i Alpeve, parku i</w:t>
      </w:r>
      <w:r w:rsidR="00AB1F4E" w:rsidRPr="007114AF">
        <w:t xml:space="preserve"> </w:t>
      </w:r>
      <w:r w:rsidR="00A9766F" w:rsidRPr="007114AF">
        <w:t>Bunës, parku i Vjosës;</w:t>
      </w:r>
    </w:p>
    <w:p w14:paraId="6EDCFD30" w14:textId="3ADD5C20" w:rsidR="00A9766F" w:rsidRPr="007114AF" w:rsidRDefault="008D6C6A" w:rsidP="00206985">
      <w:pPr>
        <w:pStyle w:val="TEKSTI"/>
      </w:pPr>
      <w:r w:rsidRPr="007114AF">
        <w:t xml:space="preserve">- </w:t>
      </w:r>
      <w:r w:rsidR="00A9766F" w:rsidRPr="007114AF">
        <w:t xml:space="preserve">Zbatimi i projektit </w:t>
      </w:r>
      <w:r w:rsidR="000A2A01" w:rsidRPr="007114AF">
        <w:t>“</w:t>
      </w:r>
      <w:r w:rsidR="00A9766F" w:rsidRPr="007114AF">
        <w:t>Rrjeti kombëtar i biçikletave, që hyn dhe kalon në zona natyrore, historike dhe të trashëgimisë kulturore</w:t>
      </w:r>
      <w:r w:rsidR="000A2A01" w:rsidRPr="007114AF">
        <w:t>”</w:t>
      </w:r>
      <w:r w:rsidR="00A9766F" w:rsidRPr="007114AF">
        <w:t>;</w:t>
      </w:r>
    </w:p>
    <w:p w14:paraId="6EDCFD31" w14:textId="77777777" w:rsidR="00A9766F" w:rsidRPr="007114AF" w:rsidRDefault="008D6C6A" w:rsidP="00206985">
      <w:pPr>
        <w:pStyle w:val="TEKSTI"/>
      </w:pPr>
      <w:r w:rsidRPr="007114AF">
        <w:t xml:space="preserve">- </w:t>
      </w:r>
      <w:r w:rsidR="00A9766F" w:rsidRPr="007114AF">
        <w:t>Projektet e ripyllëzimit dhe rigjenerimit në zonat e degraduara nga erozioni dhe ndodhitë e përmbytjeve.</w:t>
      </w:r>
    </w:p>
    <w:p w14:paraId="6EDCFD32" w14:textId="3F7922EA" w:rsidR="00A9766F" w:rsidRPr="007114AF" w:rsidRDefault="00A9766F" w:rsidP="00206985">
      <w:pPr>
        <w:pStyle w:val="TEKSTI"/>
        <w:rPr>
          <w:b/>
          <w:u w:val="single"/>
        </w:rPr>
      </w:pPr>
      <w:r w:rsidRPr="007114AF">
        <w:rPr>
          <w:b/>
          <w:u w:val="single"/>
        </w:rPr>
        <w:t xml:space="preserve">Projektligj për </w:t>
      </w:r>
      <w:r w:rsidR="00CE5F15" w:rsidRPr="007114AF">
        <w:rPr>
          <w:b/>
          <w:u w:val="single"/>
        </w:rPr>
        <w:t xml:space="preserve">ndryshimet klimatike </w:t>
      </w:r>
    </w:p>
    <w:p w14:paraId="6EDCFD33" w14:textId="77777777" w:rsidR="00A9766F" w:rsidRPr="007114AF" w:rsidRDefault="00A9766F" w:rsidP="00206985">
      <w:pPr>
        <w:pStyle w:val="TEKSTI"/>
        <w:rPr>
          <w:i/>
        </w:rPr>
      </w:pPr>
      <w:r w:rsidRPr="007114AF">
        <w:rPr>
          <w:i/>
        </w:rPr>
        <w:t>Vlefshmëria: Nga hyrja në fuqi (pritet brenda vitit 2019) deri në rishikim</w:t>
      </w:r>
    </w:p>
    <w:p w14:paraId="6EDCFD34" w14:textId="51F4C2DF" w:rsidR="00A9766F" w:rsidRPr="007114AF" w:rsidRDefault="00A9766F" w:rsidP="00206985">
      <w:pPr>
        <w:pStyle w:val="TEKSTI"/>
      </w:pPr>
      <w:r w:rsidRPr="007114AF">
        <w:t>Qeveria e Shqipërisë po punon aktualisht për të përfunduar një ligj mbi ndryshimet</w:t>
      </w:r>
      <w:r w:rsidR="00CA77E2">
        <w:t xml:space="preserve"> </w:t>
      </w:r>
      <w:r w:rsidRPr="007114AF">
        <w:t>klimatike, me qëllim që të përmbushë detyrimet kombëtare në kuadrin e UNFCCC-ës, duke pasur parasysh detyrimet e ardhshme të Marrëveshjes së Parisit, si dhe për të garantuar një kuadër institucional efektiv në nivel kombëtar që kontribuon për zbutjen e shkarkimeve GES të vendit, dhe ruan e shton përthithësit dhe sekuestruesit e karbonit.</w:t>
      </w:r>
    </w:p>
    <w:p w14:paraId="6EDCFD35" w14:textId="77777777" w:rsidR="00A9766F" w:rsidRPr="007114AF" w:rsidRDefault="00A9766F" w:rsidP="00206985">
      <w:pPr>
        <w:pStyle w:val="TEKSTI"/>
      </w:pPr>
      <w:r w:rsidRPr="007114AF">
        <w:t xml:space="preserve">Synimi i ligjit është që të krijojë një bazë ligjore në Republikën e Shqipërisë, për përmbushjen e detyrimeve kombëtare në kuadrin e UNFCCC-ës dhe garantimin e masave efektive për zbutjen dhe përshtatjen ndaj ndryshimit të klimës, si në nivel kombëtar ashtu dhe vendor, si dhe veprimet matëse/monitoruese, raportuese dhe verifikuese që lidhen me to. </w:t>
      </w:r>
    </w:p>
    <w:p w14:paraId="6EDCFD36" w14:textId="77777777" w:rsidR="00A9766F" w:rsidRPr="007114AF" w:rsidRDefault="00A9766F" w:rsidP="00206985">
      <w:pPr>
        <w:pStyle w:val="TEKSTI"/>
      </w:pPr>
      <w:r w:rsidRPr="007114AF">
        <w:t>Ligji fokusohet te rregullimi i aktiviteteve që lidhen me shkarkimet dhe përthithjen e GES-it, si dhe me matjen, monitorimin, raportimin dhe verifikimin e tyre në lidhje me operatorët e instalimeve të mëdha, sektorin e transportit, referuar veçanërisht aviacionit, aktiviteteve të transportit të mallrave dhe atij rrugor, energjisë dhe sektorit të ndërtimeve, substancave holluese të ozonit dhe gazet e fluorit, pylltarisë dhe bujqësisë, si dhe kapjes nëpërmjet përthithësve të karbonit dhe magazinimit gjeologjik.</w:t>
      </w:r>
    </w:p>
    <w:p w14:paraId="6EDCFD37" w14:textId="77777777" w:rsidR="00A9766F" w:rsidRPr="007114AF" w:rsidRDefault="008D6C6A" w:rsidP="00206985">
      <w:pPr>
        <w:pStyle w:val="TEKSTI"/>
        <w:rPr>
          <w:b/>
        </w:rPr>
      </w:pPr>
      <w:bookmarkStart w:id="106" w:name="_Toc471987585"/>
      <w:bookmarkStart w:id="107" w:name="_Toc450135241"/>
      <w:bookmarkStart w:id="108" w:name="_Toc484424500"/>
      <w:bookmarkEnd w:id="106"/>
      <w:r w:rsidRPr="007114AF">
        <w:rPr>
          <w:b/>
        </w:rPr>
        <w:t xml:space="preserve">4.1.2 </w:t>
      </w:r>
      <w:r w:rsidR="00A9766F" w:rsidRPr="007114AF">
        <w:rPr>
          <w:b/>
        </w:rPr>
        <w:t>Energ</w:t>
      </w:r>
      <w:bookmarkEnd w:id="107"/>
      <w:r w:rsidR="00A9766F" w:rsidRPr="007114AF">
        <w:rPr>
          <w:b/>
        </w:rPr>
        <w:t>jia</w:t>
      </w:r>
      <w:bookmarkEnd w:id="108"/>
    </w:p>
    <w:p w14:paraId="6EDCFD38" w14:textId="55CCAAC3" w:rsidR="00A9766F" w:rsidRPr="007114AF" w:rsidRDefault="00A9766F" w:rsidP="00206985">
      <w:pPr>
        <w:pStyle w:val="TEKSTI"/>
      </w:pPr>
      <w:r w:rsidRPr="007114AF">
        <w:t xml:space="preserve">Kuadri kryesor i politikës i cili duhet konsideruar brenda dokumentit të </w:t>
      </w:r>
      <w:r w:rsidR="000A2A01" w:rsidRPr="007114AF">
        <w:t xml:space="preserve">SKNK&amp;P-së </w:t>
      </w:r>
      <w:r w:rsidRPr="007114AF">
        <w:t>për sektorin e energjisë është INDC-ja shqiptare, i cili u dorëzua në shtator 2015, dhe përshkruan uljen e intensitetit të shkarkimeve deri në vitin 2030. Përveç këtij, një tjetër dokument i rëndësishëm është Plani i Veprimit BER, i cili është miratuar nga Këshilli i Ministrave në janar 2016, dhe institucionet përgjegjëse për zbatimin dhe monitorimin e tij janë: Ministria e Infrastrukturës dhe Energjisë (MIE) me Agjencitë e saj të varësisë – Agjencia Kombëtare e Burimeve Natyrore (AKBN).</w:t>
      </w:r>
    </w:p>
    <w:p w14:paraId="6EDCFD39" w14:textId="30207651" w:rsidR="00A9766F" w:rsidRPr="007114AF" w:rsidRDefault="00A9766F" w:rsidP="00206985">
      <w:pPr>
        <w:pStyle w:val="TEKSTI"/>
      </w:pPr>
      <w:r w:rsidRPr="007114AF">
        <w:t>Dokumenti i SKNK&amp;PV-ës fokusohen në P</w:t>
      </w:r>
      <w:r w:rsidRPr="007114AF">
        <w:rPr>
          <w:color w:val="000000"/>
        </w:rPr>
        <w:t>lanin e dytë dhe të tretë Kombëtar të Veprimit për Efi</w:t>
      </w:r>
      <w:r w:rsidR="00CA77E2">
        <w:rPr>
          <w:color w:val="000000"/>
        </w:rPr>
        <w:t>ci</w:t>
      </w:r>
      <w:r w:rsidRPr="007114AF">
        <w:rPr>
          <w:color w:val="000000"/>
        </w:rPr>
        <w:t>encën e Energjisë për Shqipërinë, 2017-2020</w:t>
      </w:r>
      <w:r w:rsidRPr="007114AF">
        <w:t>.</w:t>
      </w:r>
    </w:p>
    <w:p w14:paraId="6EDCFD3A" w14:textId="3E9D48C8" w:rsidR="00A9766F" w:rsidRPr="007114AF" w:rsidRDefault="00A9766F" w:rsidP="00206985">
      <w:pPr>
        <w:pStyle w:val="TEKSTI"/>
        <w:rPr>
          <w:strike/>
          <w:highlight w:val="yellow"/>
        </w:rPr>
      </w:pPr>
      <w:r w:rsidRPr="007114AF">
        <w:t>Veç PKVEE-së, tre janë ligjet kryesore të cilat rregullojnë sektorin: Ligji</w:t>
      </w:r>
      <w:r w:rsidR="00242009" w:rsidRPr="007114AF">
        <w:t xml:space="preserve"> nr. </w:t>
      </w:r>
      <w:r w:rsidRPr="007114AF">
        <w:t xml:space="preserve">7/2007 </w:t>
      </w:r>
      <w:r w:rsidR="000A2A01" w:rsidRPr="007114AF">
        <w:t>“</w:t>
      </w:r>
      <w:r w:rsidRPr="007114AF">
        <w:t>Per nxitjen e përdorimit të energjisë së rinovueshme</w:t>
      </w:r>
      <w:r w:rsidR="000A2A01" w:rsidRPr="007114AF">
        <w:t>”</w:t>
      </w:r>
      <w:r w:rsidRPr="007114AF">
        <w:t>, Ligji 124/2015 mbi Eficiencën e Energjisë dhe Ligji</w:t>
      </w:r>
      <w:r w:rsidR="00242009" w:rsidRPr="007114AF">
        <w:t xml:space="preserve"> nr. </w:t>
      </w:r>
      <w:r w:rsidRPr="007114AF">
        <w:t xml:space="preserve">116/2016 </w:t>
      </w:r>
      <w:r w:rsidR="000A2A01" w:rsidRPr="007114AF">
        <w:t>“</w:t>
      </w:r>
      <w:r w:rsidRPr="007114AF">
        <w:t>Për performancën e energjisë së ndërtesave. Së bashku, këto ligje sigurojnë themelin mbi të cilin mund të ndërtohet një kuadër më i plotë rregullator, mund të sigurojnë strukturën institucionale dhe mbështetje financiare, si dhe të zbatojnë masat e parashikuara brenda PKVEE-ës dhe Planit të Veprimit BER. Për më tepër, ligjet përafrojnë shumë kërkesa të legjislacionit të BE-së.</w:t>
      </w:r>
    </w:p>
    <w:p w14:paraId="6EDCFD3B" w14:textId="24E6DA13" w:rsidR="00A9766F" w:rsidRPr="007114AF" w:rsidRDefault="00A9766F" w:rsidP="00206985">
      <w:pPr>
        <w:pStyle w:val="TEKSTI"/>
      </w:pPr>
      <w:r w:rsidRPr="007114AF">
        <w:rPr>
          <w:bCs/>
        </w:rPr>
        <w:t>S</w:t>
      </w:r>
      <w:r w:rsidRPr="007114AF">
        <w:t>ë fundi</w:t>
      </w:r>
      <w:r w:rsidRPr="007114AF">
        <w:rPr>
          <w:bCs/>
        </w:rPr>
        <w:t xml:space="preserve">, merren parasysh dhe </w:t>
      </w:r>
      <w:r w:rsidRPr="007114AF">
        <w:rPr>
          <w:rFonts w:cs="Calibri"/>
          <w:color w:val="222222"/>
          <w:shd w:val="clear" w:color="auto" w:fill="FFFFFF"/>
        </w:rPr>
        <w:t>Masat Zbutëse të Përshtatshme për Vendin</w:t>
      </w:r>
      <w:r w:rsidR="007114AF">
        <w:rPr>
          <w:rFonts w:cs="Calibri"/>
          <w:color w:val="222222"/>
          <w:shd w:val="clear" w:color="auto" w:fill="FFFFFF"/>
        </w:rPr>
        <w:t xml:space="preserve"> </w:t>
      </w:r>
      <w:r w:rsidRPr="007114AF">
        <w:rPr>
          <w:bCs/>
        </w:rPr>
        <w:t>(NAMA-t)</w:t>
      </w:r>
      <w:r w:rsidRPr="007114AF">
        <w:t xml:space="preserve">. NAMA-t i referohen një sërë politikash dhe veprimesh të cilat ndërmarrin vendet si pjesë e një angazhimi, për të reduktuar shkarkimet e gazit me efektin serrë nën UNFCCC-ë. NAMA-t mund të marrin forma të ndryshme në varësi të vendit në zhvillim, i cili i propozon, ato zakonisht kërkojnë asistencë financiare dhe teknike nga vendet e zhvilluara për të reduktuar shkarkimet. Qeveria shqiptare ka aprovuar dy NAMA-t, një që merret me përdorimin e mbetjeve si burim energjie në industrinë e çimentos dhe tjetra që merret me mekanizmin e financimit për përmirësimin e eficiencës së energjisë në banesa. </w:t>
      </w:r>
    </w:p>
    <w:p w14:paraId="6EDCFD3C" w14:textId="270B244C" w:rsidR="00A9766F" w:rsidRPr="007114AF" w:rsidRDefault="00A9766F" w:rsidP="00206985">
      <w:pPr>
        <w:pStyle w:val="TEKSTI"/>
      </w:pPr>
      <w:r w:rsidRPr="007114AF">
        <w:t>Gjatë analizës së mjeteve ekzistuese të politikave, është marrë gjithashtu në konsideratë si referencë Plani i Procesit të Uljes së Karbonit në Shqipëri, i cili u hartua nën projektin e LOCSEE</w:t>
      </w:r>
      <w:r w:rsidRPr="007114AF">
        <w:rPr>
          <w:rStyle w:val="FootnoteReference"/>
        </w:rPr>
        <w:footnoteReference w:id="44"/>
      </w:r>
      <w:r w:rsidRPr="007114AF">
        <w:t>-së. Ky dokument nuk është një plan i plotë, por i jep sugjerime të përgjithshme Qeverisë shqiptare, se si të vendosë objektivin e zhvillimit të një procesi të uljes së karbonit në Shqipëri, në bazë të objektivave dhe planeve ekzistuese (të përshkruara në PKVEE dhe BER)</w:t>
      </w:r>
      <w:r w:rsidR="00F9476F">
        <w:t>,</w:t>
      </w:r>
      <w:r w:rsidRPr="007114AF">
        <w:t xml:space="preserve"> si dhe çështjeve të tjera përkatëse.</w:t>
      </w:r>
    </w:p>
    <w:p w14:paraId="6EDCFD3D" w14:textId="77777777" w:rsidR="00A9766F" w:rsidRPr="007114AF" w:rsidRDefault="00A9766F" w:rsidP="00206985">
      <w:pPr>
        <w:pStyle w:val="TEKSTI"/>
        <w:rPr>
          <w:b/>
          <w:bCs/>
          <w:i/>
          <w:u w:val="single"/>
        </w:rPr>
      </w:pPr>
      <w:r w:rsidRPr="007114AF">
        <w:rPr>
          <w:b/>
          <w:i/>
          <w:u w:val="single"/>
        </w:rPr>
        <w:t>Kontributi Kombëtar i Pikësynuar i Shqipërisë (INDC)</w:t>
      </w:r>
    </w:p>
    <w:p w14:paraId="6EDCFD3E" w14:textId="3AE82B9F" w:rsidR="00A9766F" w:rsidRPr="007114AF" w:rsidRDefault="00A9766F" w:rsidP="00206985">
      <w:pPr>
        <w:pStyle w:val="TEKSTI"/>
        <w:rPr>
          <w:i/>
        </w:rPr>
      </w:pPr>
      <w:r w:rsidRPr="007114AF">
        <w:rPr>
          <w:i/>
        </w:rPr>
        <w:t>Vlefshmëria: 2016</w:t>
      </w:r>
      <w:r w:rsidR="00CA77E2">
        <w:t>–</w:t>
      </w:r>
      <w:r w:rsidRPr="007114AF">
        <w:rPr>
          <w:i/>
        </w:rPr>
        <w:t>2030</w:t>
      </w:r>
    </w:p>
    <w:p w14:paraId="6EDCFD3F" w14:textId="636FE078" w:rsidR="00A9766F" w:rsidRPr="007114AF" w:rsidRDefault="00A9766F" w:rsidP="00206985">
      <w:pPr>
        <w:pStyle w:val="TEKSTI"/>
      </w:pPr>
      <w:r w:rsidRPr="007114AF">
        <w:t>Ky dokument përcakton karakteristikat kryesore të Kontributit Kombëtar të Pikësynuar</w:t>
      </w:r>
      <w:r w:rsidR="00C3034E">
        <w:t xml:space="preserve"> </w:t>
      </w:r>
      <w:r w:rsidRPr="007114AF">
        <w:t>nga Shqipëria në Procesin e Marrëveshjes së Parisit, dërguar pranë Sekretariatit të UNFCCC-ës, në shtator 2015. INDC-ja</w:t>
      </w:r>
      <w:r w:rsidR="00CA77E2">
        <w:t xml:space="preserve"> </w:t>
      </w:r>
      <w:r w:rsidRPr="007114AF">
        <w:t>përfaqëson një deklaratë nga një Palë e UNFCCC-ës mbi kontributin e saj kundrejt zbutjes së ndryshimeve klimatike, sipas Marrëveshjes së Parisit. Në INDC-në e saj, Shqipëria shpreh angazhimin e saj për uljen e shkarkimeve CO</w:t>
      </w:r>
      <w:r w:rsidRPr="007114AF">
        <w:rPr>
          <w:vertAlign w:val="subscript"/>
        </w:rPr>
        <w:t>2</w:t>
      </w:r>
      <w:r w:rsidRPr="007114AF">
        <w:t xml:space="preserve"> krahasuar me skenarin bazë gjatë periudhës 2016 dhe 2030 në masën 11.5%. Kjo ulje nënkupton ulje 708 kt CO</w:t>
      </w:r>
      <w:r w:rsidRPr="007114AF">
        <w:rPr>
          <w:vertAlign w:val="subscript"/>
        </w:rPr>
        <w:t>2</w:t>
      </w:r>
      <w:r w:rsidR="00646375">
        <w:rPr>
          <w:vertAlign w:val="subscript"/>
        </w:rPr>
        <w:t xml:space="preserve"> </w:t>
      </w:r>
      <w:r w:rsidRPr="007114AF">
        <w:t>deri në vitin 2030. Sipas dokumentit, kjo është në përputhje me normën vjetore për frymë të shkarkimit të gazit të 2 ton CO</w:t>
      </w:r>
      <w:r w:rsidRPr="007114AF">
        <w:rPr>
          <w:vertAlign w:val="subscript"/>
        </w:rPr>
        <w:t>2</w:t>
      </w:r>
      <w:r w:rsidRPr="007114AF">
        <w:t>, deri në vitin 2050. Karakteristikat kryesore të INDC-ës janë:</w:t>
      </w:r>
    </w:p>
    <w:p w14:paraId="6EDCFD40" w14:textId="77777777" w:rsidR="00A9766F" w:rsidRPr="007114AF" w:rsidRDefault="008D6C6A" w:rsidP="00206985">
      <w:pPr>
        <w:pStyle w:val="TEKSTI"/>
      </w:pPr>
      <w:r w:rsidRPr="007114AF">
        <w:t xml:space="preserve">- </w:t>
      </w:r>
      <w:r w:rsidR="00A9766F" w:rsidRPr="007114AF">
        <w:t>Përqendrimi vetëm mbi CO</w:t>
      </w:r>
      <w:r w:rsidR="00A9766F" w:rsidRPr="007114AF">
        <w:rPr>
          <w:vertAlign w:val="subscript"/>
        </w:rPr>
        <w:t>2</w:t>
      </w:r>
      <w:r w:rsidR="00A9766F" w:rsidRPr="007114AF">
        <w:t xml:space="preserve"> dhe në sektorët e energjisë dhe industrisë;</w:t>
      </w:r>
    </w:p>
    <w:p w14:paraId="6EDCFD41" w14:textId="4A3A17C2" w:rsidR="00A9766F" w:rsidRPr="007114AF" w:rsidRDefault="008D6C6A" w:rsidP="00206985">
      <w:pPr>
        <w:pStyle w:val="TEKSTI"/>
      </w:pPr>
      <w:r w:rsidRPr="007114AF">
        <w:t xml:space="preserve">- </w:t>
      </w:r>
      <w:r w:rsidR="00A9766F" w:rsidRPr="007114AF">
        <w:t xml:space="preserve">Synimi për të shitur kreditet e karbonit deri në vitin 2030, në kuadër të një </w:t>
      </w:r>
      <w:r w:rsidR="000A2A01" w:rsidRPr="007114AF">
        <w:t>“</w:t>
      </w:r>
      <w:r w:rsidR="00A9766F" w:rsidRPr="007114AF">
        <w:t>mekanizmi</w:t>
      </w:r>
      <w:r w:rsidR="000A2A01" w:rsidRPr="007114AF">
        <w:t xml:space="preserve"> </w:t>
      </w:r>
      <w:r w:rsidR="00A9766F" w:rsidRPr="007114AF">
        <w:t>të tregut ndërkombëtar</w:t>
      </w:r>
      <w:r w:rsidR="000A2A01" w:rsidRPr="007114AF">
        <w:t>”</w:t>
      </w:r>
      <w:r w:rsidR="00A9766F" w:rsidRPr="007114AF">
        <w:t xml:space="preserve"> </w:t>
      </w:r>
      <w:r w:rsidR="000A2A01" w:rsidRPr="007114AF">
        <w:t>“</w:t>
      </w:r>
      <w:r w:rsidR="00A9766F" w:rsidRPr="007114AF">
        <w:t>kushtëzuar nga të pasurit e rregullave efektive të kontabilitetit, të zhvilluara nën UNFCCC-ën për të siguruar integritetin mjedisor të mekanizmave</w:t>
      </w:r>
      <w:r w:rsidR="000A2A01" w:rsidRPr="007114AF">
        <w:t>”</w:t>
      </w:r>
      <w:r w:rsidR="00A9766F" w:rsidRPr="007114AF">
        <w:t>;</w:t>
      </w:r>
    </w:p>
    <w:p w14:paraId="6EDCFD42" w14:textId="77777777" w:rsidR="00A9766F" w:rsidRPr="007114AF" w:rsidRDefault="008D6C6A" w:rsidP="00206985">
      <w:pPr>
        <w:pStyle w:val="TEKSTI"/>
      </w:pPr>
      <w:r w:rsidRPr="007114AF">
        <w:t xml:space="preserve">- </w:t>
      </w:r>
      <w:r w:rsidR="00A9766F" w:rsidRPr="007114AF">
        <w:t xml:space="preserve">Synimi për të zhvilluar një strategji Mjedisore dhe të Ndryshimeve Klimatike, të bashkërenduar nga Ministria e Turizmit dhe Mjedisit. </w:t>
      </w:r>
    </w:p>
    <w:p w14:paraId="6EDCFD43" w14:textId="26F24970" w:rsidR="00A9766F" w:rsidRPr="007114AF" w:rsidRDefault="00A9766F" w:rsidP="00206985">
      <w:pPr>
        <w:pStyle w:val="TEKSTI"/>
      </w:pPr>
      <w:r w:rsidRPr="007114AF">
        <w:t xml:space="preserve">Dispozita kryesore dhe zyrtare është përcaktimi i objektivit të uljes së shkarkimeve, të përcaktuara si ulje kundrejt një kufiri bazë të shkarkimit, të llogaritur me anë të një skenari bazë. Duke iu referuar përkufizimit, ky objektiv do të ndikojë pozitivisht në zbutjen e ndryshimeve klimatike, në qoftë se përfshihet në mënyrë efektive në planifikimin e politikave në Shqipëri, dhe në qoftë se ushtrimi i modelimit, i cili mbështet këtë objektiv kryhet në mënyrë korrekte. Objektivi përcaktohet si më tej: </w:t>
      </w:r>
      <w:r w:rsidR="000A2A01" w:rsidRPr="007114AF">
        <w:t>“</w:t>
      </w:r>
      <w:r w:rsidRPr="007114AF">
        <w:t>të ulë shkarkimet CO</w:t>
      </w:r>
      <w:r w:rsidRPr="007114AF">
        <w:rPr>
          <w:vertAlign w:val="subscript"/>
        </w:rPr>
        <w:t>2</w:t>
      </w:r>
      <w:r w:rsidRPr="007114AF">
        <w:t xml:space="preserve"> në krahasim me skenarin bazë gjatë periudhës të vitit 2016 dhe 2030 në masën 11.5%</w:t>
      </w:r>
      <w:r w:rsidR="000A2A01" w:rsidRPr="007114AF">
        <w:t>”</w:t>
      </w:r>
      <w:r w:rsidRPr="007114AF">
        <w:t>. Uljet duhet të kryhen në sektorin e industrisë dhe energjisë, duke zbatuar mundësitë e zbutjes së kostos efektive, të identifikuara në KTK-ën dhe PKVEE-në, duke përfshirë futjen në masën 10% të biokarbureve në përzierjen e karburantit të transportit deri në vitin 2030.</w:t>
      </w:r>
    </w:p>
    <w:p w14:paraId="6EDCFD44" w14:textId="77777777" w:rsidR="00A9766F" w:rsidRPr="007114AF" w:rsidRDefault="00A9766F" w:rsidP="00206985">
      <w:pPr>
        <w:pStyle w:val="TEKSTI"/>
      </w:pPr>
      <w:r w:rsidRPr="007114AF">
        <w:t xml:space="preserve">Synimi i shprehur nga Shqipëria për të marrë pjesë në një treg ndërkombëtar karboni ka gjithashtu një potencial të mirë për të kontribuar në uljen e shkarkimeve GES në një mënyrë me kosto efektive. </w:t>
      </w:r>
    </w:p>
    <w:p w14:paraId="6EDCFD45" w14:textId="77777777" w:rsidR="00A9766F" w:rsidRPr="007114AF" w:rsidRDefault="00A9766F" w:rsidP="00206985">
      <w:pPr>
        <w:pStyle w:val="TEKSTI"/>
        <w:rPr>
          <w:b/>
          <w:i/>
          <w:u w:val="single"/>
        </w:rPr>
      </w:pPr>
      <w:r w:rsidRPr="007114AF">
        <w:rPr>
          <w:b/>
          <w:i/>
          <w:u w:val="single"/>
        </w:rPr>
        <w:t>NAMA: Zëvendësimi i lëndëve djegëse fosile me mbetje të parrezikshme në industrinë shqiptare të çimentos</w:t>
      </w:r>
    </w:p>
    <w:p w14:paraId="6EDCFD46" w14:textId="77777777" w:rsidR="00A9766F" w:rsidRPr="007114AF" w:rsidRDefault="00A9766F" w:rsidP="00206985">
      <w:pPr>
        <w:pStyle w:val="TEKSTI"/>
        <w:rPr>
          <w:bCs/>
          <w:i/>
        </w:rPr>
      </w:pPr>
      <w:r w:rsidRPr="007114AF">
        <w:rPr>
          <w:bCs/>
          <w:i/>
        </w:rPr>
        <w:t xml:space="preserve">Vlefshmëria: 2015 -2017 </w:t>
      </w:r>
      <w:r w:rsidRPr="007114AF">
        <w:rPr>
          <w:i/>
        </w:rPr>
        <w:t>(me synimin për të vazhduar edhe pas kësaj periudhe)</w:t>
      </w:r>
    </w:p>
    <w:p w14:paraId="6EDCFD47" w14:textId="59F65660" w:rsidR="00A9766F" w:rsidRPr="007114AF" w:rsidRDefault="00A9766F" w:rsidP="00206985">
      <w:pPr>
        <w:pStyle w:val="TEKSTI"/>
        <w:rPr>
          <w:b/>
          <w:bCs/>
        </w:rPr>
      </w:pPr>
      <w:r w:rsidRPr="007114AF">
        <w:t xml:space="preserve">Ky është një nga dy </w:t>
      </w:r>
      <w:r w:rsidRPr="007114AF">
        <w:rPr>
          <w:rFonts w:cs="Calibri"/>
          <w:color w:val="222222"/>
          <w:shd w:val="clear" w:color="auto" w:fill="FFFFFF"/>
        </w:rPr>
        <w:t>Masat Zbutëse të Përshtatshme për Vendin</w:t>
      </w:r>
      <w:r w:rsidR="00C3034E">
        <w:rPr>
          <w:rFonts w:cs="Calibri"/>
          <w:color w:val="222222"/>
          <w:shd w:val="clear" w:color="auto" w:fill="FFFFFF"/>
        </w:rPr>
        <w:t xml:space="preserve"> </w:t>
      </w:r>
      <w:r w:rsidRPr="007114AF">
        <w:t xml:space="preserve">(NAMA), të aprovuara nga qeveria shqiptare. Veprimi propozon organizimin e grumbullimit të mbetjeve në mënyrë të tillë që të çojë në përdorimin e mbetjeve, në vend të lëndëve djegëse fosile në furra, nga industria shqiptare e çimentos. Kjo do të ndihmojë në uljen e ndotjes lokale, për shkak të mbetjeve dhe depozitimit të jashtëligjshëm të tyre, uljen e shkarkimeve të karbonit dhe varësisë nga lëndët djegëse fosile. Masa përmblidhet në një subvencion në sektorin e grumbullimit të mbetjeve. </w:t>
      </w:r>
    </w:p>
    <w:p w14:paraId="6EDCFD48" w14:textId="724B9DEC" w:rsidR="00A9766F" w:rsidRPr="007114AF" w:rsidRDefault="00A9766F" w:rsidP="00206985">
      <w:pPr>
        <w:pStyle w:val="TEKSTI"/>
      </w:pPr>
      <w:r w:rsidRPr="007114AF">
        <w:t>Sipas studimit që mbështet tek</w:t>
      </w:r>
      <w:r w:rsidR="00C3034E">
        <w:t xml:space="preserve"> </w:t>
      </w:r>
      <w:r w:rsidRPr="007114AF">
        <w:t>NAMA-t, i gjithë veprimi do të zvogëlonte më mënyrë efektive shkarkimet e karbonit nga këta sektorë. Masa është një plan (pilot) i vetëkontrolluar, i cili zëvendëson lëndën djegëse fosile me mbetje në procesin prodhues të industrisë së çimentos në Shqipëri. Sidoqoftë, në dokument, janë veçuar fazat e mëposhtme:</w:t>
      </w:r>
    </w:p>
    <w:p w14:paraId="6EDCFD49" w14:textId="77777777" w:rsidR="00A9766F" w:rsidRPr="007114AF" w:rsidRDefault="008D6C6A" w:rsidP="00206985">
      <w:pPr>
        <w:pStyle w:val="TEKSTI"/>
      </w:pPr>
      <w:r w:rsidRPr="007114AF">
        <w:t xml:space="preserve">- </w:t>
      </w:r>
      <w:r w:rsidR="00A9766F" w:rsidRPr="007114AF">
        <w:t>Komponenti 1: Studimi i mundësive teknologjike dhe mundësia e përdorimit të mbetjeve të ngurta të bashkisë si lëndë djegëse alternative në industrinë e çimentos.</w:t>
      </w:r>
    </w:p>
    <w:p w14:paraId="6EDCFD4A" w14:textId="77777777" w:rsidR="00A9766F" w:rsidRPr="007114AF" w:rsidRDefault="008D6C6A" w:rsidP="00206985">
      <w:pPr>
        <w:pStyle w:val="TEKSTI"/>
      </w:pPr>
      <w:r w:rsidRPr="007114AF">
        <w:t xml:space="preserve">- </w:t>
      </w:r>
      <w:r w:rsidR="00A9766F" w:rsidRPr="007114AF">
        <w:t>Komponenti 2: Investimi në qendra riciklimi në nivel bashkie.</w:t>
      </w:r>
    </w:p>
    <w:p w14:paraId="6EDCFD4B" w14:textId="77777777" w:rsidR="00A9766F" w:rsidRPr="007114AF" w:rsidRDefault="008D6C6A" w:rsidP="00206985">
      <w:pPr>
        <w:pStyle w:val="TEKSTI"/>
      </w:pPr>
      <w:r w:rsidRPr="007114AF">
        <w:t xml:space="preserve">- </w:t>
      </w:r>
      <w:r w:rsidR="00A9766F" w:rsidRPr="007114AF">
        <w:t>Komponenti 3: Vënia në punë e qendrave të riciklimit.</w:t>
      </w:r>
    </w:p>
    <w:p w14:paraId="6EDCFD4C" w14:textId="77777777" w:rsidR="00A9766F" w:rsidRPr="007114AF" w:rsidRDefault="008D6C6A" w:rsidP="00206985">
      <w:pPr>
        <w:pStyle w:val="TEKSTI"/>
      </w:pPr>
      <w:r w:rsidRPr="007114AF">
        <w:t xml:space="preserve">- </w:t>
      </w:r>
      <w:r w:rsidR="00A9766F" w:rsidRPr="007114AF">
        <w:t>Komponenti 4: Ngritja e kapaciteteve në sektorët përkatës të sistemit të menaxhimit të mbetjeve.</w:t>
      </w:r>
    </w:p>
    <w:p w14:paraId="6EDCFD4D" w14:textId="77777777" w:rsidR="00A9766F" w:rsidRPr="007114AF" w:rsidRDefault="008D6C6A" w:rsidP="00206985">
      <w:pPr>
        <w:pStyle w:val="TEKSTI"/>
      </w:pPr>
      <w:r w:rsidRPr="007114AF">
        <w:t xml:space="preserve">- </w:t>
      </w:r>
      <w:r w:rsidR="00A9766F" w:rsidRPr="007114AF">
        <w:t>Dokumenti diskuton gjithashtu mundësitë e financimit dhe MRV-ës.</w:t>
      </w:r>
    </w:p>
    <w:p w14:paraId="6EDCFD4E" w14:textId="77777777" w:rsidR="00A9766F" w:rsidRPr="007114AF" w:rsidRDefault="00A9766F" w:rsidP="00206985">
      <w:pPr>
        <w:pStyle w:val="TEKSTI"/>
        <w:rPr>
          <w:b/>
          <w:i/>
          <w:u w:val="single"/>
        </w:rPr>
      </w:pPr>
      <w:r w:rsidRPr="007114AF">
        <w:rPr>
          <w:b/>
          <w:i/>
          <w:u w:val="single"/>
        </w:rPr>
        <w:t>Plani i Parë i Veprimit në Nivel Kombëtar mbi Eficiencën e Energjisë (2011)</w:t>
      </w:r>
    </w:p>
    <w:p w14:paraId="6EDCFD4F" w14:textId="530EFC16" w:rsidR="00A9766F" w:rsidRPr="007114AF" w:rsidRDefault="00A9766F" w:rsidP="00206985">
      <w:pPr>
        <w:pStyle w:val="TEKSTI"/>
        <w:rPr>
          <w:i/>
        </w:rPr>
      </w:pPr>
      <w:r w:rsidRPr="007114AF">
        <w:rPr>
          <w:i/>
        </w:rPr>
        <w:t>Vlefshmëria: 2010</w:t>
      </w:r>
      <w:r w:rsidR="00C3034E">
        <w:t>–</w:t>
      </w:r>
      <w:r w:rsidRPr="007114AF">
        <w:rPr>
          <w:i/>
        </w:rPr>
        <w:t>2018</w:t>
      </w:r>
    </w:p>
    <w:p w14:paraId="6EDCFD50" w14:textId="3B92CB39" w:rsidR="00A9766F" w:rsidRPr="007114AF" w:rsidRDefault="00A9766F" w:rsidP="00206985">
      <w:pPr>
        <w:pStyle w:val="TEKSTI"/>
      </w:pPr>
      <w:r w:rsidRPr="007114AF">
        <w:t>PKVEE-ja e parë</w:t>
      </w:r>
      <w:r w:rsidR="00C3034E">
        <w:t xml:space="preserve"> </w:t>
      </w:r>
      <w:r w:rsidRPr="007114AF">
        <w:t>për Shqipërinë u zhvillua në përputhje me përafrimin e Direktivës 2006/32/EC të BE-së në vitin 2009, me Vendim të Këshillit të Ministrave të Komunitetit të Energjisë. Plani u miratua nga Qeveria e Shqipërisë në shtator 2011 dhe parashikonte realizimin e kursimeve të energjisë vjetore kumulative në masën 3% në vitin 2012, dhe 9% në vitin 2018, të llogaritura si një përqindje e konsumit të energjisë përfundimtare mesatare të periudhës pesëvjeçare, duke përfshirë vitet 2004</w:t>
      </w:r>
      <w:r w:rsidR="00E64584">
        <w:t>–</w:t>
      </w:r>
      <w:r w:rsidRPr="007114AF">
        <w:t xml:space="preserve">2008. </w:t>
      </w:r>
    </w:p>
    <w:p w14:paraId="6EDCFD51" w14:textId="2C91257A" w:rsidR="00A9766F" w:rsidRPr="007114AF" w:rsidRDefault="00A9766F" w:rsidP="00206985">
      <w:pPr>
        <w:pStyle w:val="TEKSTI"/>
      </w:pPr>
      <w:r w:rsidRPr="007114AF">
        <w:t>PKVEE-ja</w:t>
      </w:r>
      <w:r w:rsidR="00C3034E">
        <w:t xml:space="preserve"> </w:t>
      </w:r>
      <w:r w:rsidRPr="007114AF">
        <w:t>e parë është një plan afatshkurtër, i cili përcakton objektivat e eficiencës së energjisë dhe mbledhjen e masave ekzistuese dhe të planifikuara në sektorët e banesave, terciarë (privatë dhe publikë), sektorët industrialë dhe ata të transportit, me një potencial për të kontribuar në arritjen e një objektivi të tillë.</w:t>
      </w:r>
    </w:p>
    <w:p w14:paraId="6EDCFD52" w14:textId="72343005" w:rsidR="00A9766F" w:rsidRPr="007114AF" w:rsidRDefault="00A9766F" w:rsidP="00206985">
      <w:pPr>
        <w:pStyle w:val="TEKSTI"/>
      </w:pPr>
      <w:r w:rsidRPr="007114AF">
        <w:t>Kontributi pozitiv kryesor në ndryshimet klimatike është ai i vendosjes së objektivave për eficiencën e energjisë (ulje në masën 9% deri në vitin 2018 në lidhje me konsumin mesatar gjatë periudhës 2004</w:t>
      </w:r>
      <w:r w:rsidR="00E64584">
        <w:t>–</w:t>
      </w:r>
      <w:r w:rsidRPr="007114AF">
        <w:t>2008, ose një ulje të konsumit të energjisë me 168 Ktoe), i cili pritet të sjellë uljen e shkarkimeve të karbonit me 332.8 ton</w:t>
      </w:r>
      <w:r w:rsidR="00B8345A">
        <w:t>ë</w:t>
      </w:r>
      <w:r w:rsidRPr="007114AF">
        <w:t xml:space="preserve"> të CO</w:t>
      </w:r>
      <w:r w:rsidRPr="007114AF">
        <w:rPr>
          <w:vertAlign w:val="subscript"/>
        </w:rPr>
        <w:t>2</w:t>
      </w:r>
      <w:r w:rsidRPr="007114AF">
        <w:t>/vit deri në vitin 2018.</w:t>
      </w:r>
    </w:p>
    <w:p w14:paraId="6EDCFD53" w14:textId="77777777" w:rsidR="00A9766F" w:rsidRPr="007114AF" w:rsidRDefault="00A9766F" w:rsidP="00206985">
      <w:pPr>
        <w:pStyle w:val="TEKSTI"/>
      </w:pPr>
      <w:r w:rsidRPr="007114AF">
        <w:t>Objektivat e para të PKVEE-së ishin menduar të arriheshin me anë të një sërë masash politike. Lista është mjaft e gjatë, duke qenë se përfshin të gjithë gamën e politikave ekzistuese dhe atyre të planifikuara, në lidhje me eficiencën e energjisë, si dhe përfshin masat specifike sektoriale dhe ato ndërsektoriale.</w:t>
      </w:r>
    </w:p>
    <w:p w14:paraId="6EDCFD54" w14:textId="6939D7CB" w:rsidR="00A9766F" w:rsidRPr="007114AF" w:rsidRDefault="00A9766F" w:rsidP="00206985">
      <w:pPr>
        <w:pStyle w:val="TEKSTI"/>
      </w:pPr>
      <w:r w:rsidRPr="007114AF">
        <w:t>Për banesat, ka kërkesa minimale për cilësinë termike të banesave të reja, të cilat mbulojnë shtëpi me një familje, banesa me shumë familje si dhe sektorin e shërbimit privat. Specifikimi i standardeve mbështetet nga masa ndihmëse që garantojnë zbatimin efektiv të standardeve. Do të ketë më shumë masa mbështetëse, specifike, për secilin nënsektor: një program mbështetës për instalimin e ngrohjes diellore të ujit në shtëpitë me një familje (me një linjë të veçantë krediti dhe trajnim për instaluesit); përafrimin e rregullave të BE-së për administrimin e bashkëpronësisë për banesat me shumë familje, duke siguruar një kuadër më të favorshëm ligjor për përmirësimin e banesave; një skemë subvencionimi që mbështet përmirësime të tilla, me kusht që të veprojnë në përputhje me standardet e eficiencës së energjisë, dhe që rritet me vlerën e eficiencës së energjisë të përmirësimit. Përdorimi i energjisë së banesave, pritet të jetë gjithashtu, subjekt i standardeve minimale të energjisë për pajisjet dhe për një skemë të etiketimit për pajisje të tilla. Në të njëjtën mënyrë, zyrat në sektorin privat do t</w:t>
      </w:r>
      <w:r w:rsidR="00D10DAB" w:rsidRPr="007114AF">
        <w:t>’</w:t>
      </w:r>
      <w:r w:rsidRPr="007114AF">
        <w:t xml:space="preserve">iu nënshtrohen standardeve minimale për pajisje zyre dhe për një skemë të etiketimit të pajisjeve në fjalë. </w:t>
      </w:r>
    </w:p>
    <w:p w14:paraId="6EDCFD55" w14:textId="7A74D2E4" w:rsidR="00A9766F" w:rsidRPr="007114AF" w:rsidRDefault="00A9766F" w:rsidP="00206985">
      <w:pPr>
        <w:pStyle w:val="TEKSTI"/>
      </w:pPr>
      <w:r w:rsidRPr="007114AF">
        <w:t>Sektori</w:t>
      </w:r>
      <w:r w:rsidR="00B8345A">
        <w:t xml:space="preserve"> </w:t>
      </w:r>
      <w:r w:rsidRPr="007114AF">
        <w:t xml:space="preserve">publik </w:t>
      </w:r>
      <w:r w:rsidRPr="007114AF">
        <w:rPr>
          <w:rStyle w:val="FootnoteReference"/>
        </w:rPr>
        <w:footnoteReference w:id="45"/>
      </w:r>
      <w:r w:rsidRPr="007114AF">
        <w:t xml:space="preserve"> pritet që të zbatojë standarde më të rrepta të eficiencës së energjisë në ndërtesa, standarde më të rrepta se sa sektori privat (</w:t>
      </w:r>
      <w:r w:rsidR="000A2A01" w:rsidRPr="007114AF">
        <w:t>“</w:t>
      </w:r>
      <w:r w:rsidRPr="007114AF">
        <w:t>të përdoret sa më pak energji të jetë e mundur nga ana teknike</w:t>
      </w:r>
      <w:r w:rsidR="000A2A01" w:rsidRPr="007114AF">
        <w:t>”</w:t>
      </w:r>
      <w:r w:rsidRPr="007114AF">
        <w:t>). Kjo do të shoqërohet me rinovimin e ndërtesave publike (si ato që janë në pronësi të shtetit ashtu edhe atyre që janë në pronësi të bashkive). Masa të tjera specifike</w:t>
      </w:r>
      <w:r w:rsidR="00B8345A">
        <w:t xml:space="preserve"> </w:t>
      </w:r>
      <w:r w:rsidRPr="007114AF">
        <w:t>sektoriale për sektorin publik kanë të bëjnë me nxitjen e kontraktimit dhe prokurimit që synon, ndërtesat publike dhe ndriçimin me eficiencë energjie, si dhe me trajnimin e stafit të administrimit të ndërtesave mbi eficiencën e energjisë.</w:t>
      </w:r>
    </w:p>
    <w:p w14:paraId="6EDCFD56" w14:textId="7DAFE0D5" w:rsidR="00A9766F" w:rsidRPr="007114AF" w:rsidRDefault="00A9766F" w:rsidP="00206985">
      <w:pPr>
        <w:pStyle w:val="TEKSTI"/>
      </w:pPr>
      <w:r w:rsidRPr="007114AF">
        <w:t>Sektori i industrisë do të jetë përfituesi i masave të veçanta që përfshijnë një skemë auditimi të energjisë, kërkesa minimale për eficiencën e motorëve elektrikë, sistemet e ndriçimit dhe furrave industriale (zbatimin e direktivës së BE-së); ndërtimin</w:t>
      </w:r>
      <w:r w:rsidR="00B8345A">
        <w:t xml:space="preserve"> </w:t>
      </w:r>
      <w:r w:rsidRPr="007114AF">
        <w:t>e një impianti të kombinuar me ngrohje dhe energji (NKE) për përdorim industrial, dhënien e informacionit dhe trajnimit</w:t>
      </w:r>
      <w:r w:rsidR="00B8345A">
        <w:t>,</w:t>
      </w:r>
      <w:r w:rsidRPr="007114AF">
        <w:t xml:space="preserve"> si dhe monitorimin</w:t>
      </w:r>
      <w:r w:rsidR="00B8345A">
        <w:t xml:space="preserve"> </w:t>
      </w:r>
      <w:r w:rsidRPr="007114AF">
        <w:t>e kuadrit ligjor; përfshirjen e kërkesave të eficiencës</w:t>
      </w:r>
      <w:r w:rsidR="00B8345A">
        <w:t xml:space="preserve"> </w:t>
      </w:r>
      <w:r w:rsidRPr="007114AF">
        <w:t>së energjisë në lejen mjedisore, për të punuar në fabrika të reja, në industri intensive të energjisë; promovimin</w:t>
      </w:r>
      <w:r w:rsidR="00B8345A">
        <w:t xml:space="preserve"> </w:t>
      </w:r>
      <w:r w:rsidRPr="007114AF">
        <w:t>e marrëveshjeve vullnetare.</w:t>
      </w:r>
    </w:p>
    <w:p w14:paraId="6EDCFD57" w14:textId="77777777" w:rsidR="00A9766F" w:rsidRPr="007114AF" w:rsidRDefault="00A9766F" w:rsidP="00206985">
      <w:pPr>
        <w:pStyle w:val="TEKSTI"/>
      </w:pPr>
      <w:r w:rsidRPr="007114AF">
        <w:t>Një numër masash janë parashikuar edhe për sektorin e transportit: etiketimin e makinave me energji; një taksë mbi përmbajtjen e CO</w:t>
      </w:r>
      <w:r w:rsidRPr="007114AF">
        <w:rPr>
          <w:vertAlign w:val="subscript"/>
        </w:rPr>
        <w:t>2</w:t>
      </w:r>
      <w:r w:rsidRPr="007114AF">
        <w:t xml:space="preserve">; fushata informuese; promovim të ndarjes së mënyrës së transportit (përmirësimi i transportit publik, përmirësimi hekurudhor; promovimi i lëvizjes në këmbë dhe me biçikleta). Për transportin tregtar janë parashikuar kurse patente për makinat </w:t>
      </w:r>
      <w:r w:rsidRPr="007114AF">
        <w:rPr>
          <w:rFonts w:cstheme="minorHAnsi"/>
        </w:rPr>
        <w:t>ekologjike</w:t>
      </w:r>
      <w:r w:rsidRPr="007114AF">
        <w:t xml:space="preserve"> për shoferët e kamionëve, dhe përmirësimi i transportit hekurudhor të mallrave. </w:t>
      </w:r>
    </w:p>
    <w:p w14:paraId="6EDCFD58" w14:textId="2823FB89" w:rsidR="00A9766F" w:rsidRPr="007114AF" w:rsidRDefault="00A9766F" w:rsidP="00206985">
      <w:pPr>
        <w:pStyle w:val="TEKSTI"/>
      </w:pPr>
      <w:r w:rsidRPr="007114AF">
        <w:t>Së fundi, do të ketë një sërë masash të ndërlidhura: politika informacioni për përdoruesit përfundimtarë</w:t>
      </w:r>
      <w:r w:rsidR="000A2A01" w:rsidRPr="007114AF">
        <w:t xml:space="preserve"> </w:t>
      </w:r>
      <w:r w:rsidRPr="007114AF">
        <w:t xml:space="preserve">(familjarët, punëtorët në sektorin privat/shërbimin publik), të tilla si: fushatat e ndërgjegjësimit; edukimi dhe trajnimi i audituesve të energjisë dhe administratorëve të banesave; certifikimi i energjisë së banesave. </w:t>
      </w:r>
    </w:p>
    <w:p w14:paraId="6EDCFD59" w14:textId="77777777" w:rsidR="00A9766F" w:rsidRPr="007114AF" w:rsidRDefault="00A9766F" w:rsidP="00206985">
      <w:pPr>
        <w:pStyle w:val="TEKSTI"/>
      </w:pPr>
      <w:r w:rsidRPr="007114AF">
        <w:t xml:space="preserve">Shqipëria u përball me një sërë sfidash në zbatimin e masave të përfshira në PKVEE-n e parë. Shumica e masave kishin të nevojshëm bashkëpunimin e ministrive dhe subjekteve të tjera jashtë Ministrisë së Energjisë dhe Industrisë. Sidoqoftë, vizioni, bashkërendimi dhe hartimi i planit ndërministror munguan, duke penguar integrimin e masave brenda planeve sektoriale të një kuadri më të gjerë. Gjithashtu u vonua miratimi i Ligjit për Eficiencën e Energjisë – i nevojshëm për të siguruar kuadrin ligjor dhe rregullator për krijimin e tregjeve të shërbimit të energjisë, një agjenci e dedikuar për EE-në, dhe një fond i EE-së. Për më tepër, disa masa nuk mund të realizoheshin brenda afateve kohore të propozuara dhe nuk iu nënshtruan një vlerësimi të detajuar të ndikimit. </w:t>
      </w:r>
    </w:p>
    <w:p w14:paraId="6EDCFD5A" w14:textId="77777777" w:rsidR="00A9766F" w:rsidRPr="007114AF" w:rsidRDefault="00A9766F" w:rsidP="00206985">
      <w:pPr>
        <w:pStyle w:val="TEKSTI"/>
      </w:pPr>
      <w:r w:rsidRPr="007114AF">
        <w:t>Pavarësisht vështirësive të lartpërmendura, është arritur deri diku progres mbi EE-në në Shqipëri. U bënë një numër projektesh pilote për restaurimin e ndërtesave publike, u zhvilluan disa trajnime për auditues dhe administratorë të energjisë dhe me mbështetjen e instituteve ndërkombëtare të financimit (IFI) dhe donatorëve; banka vendase dhanë kredi për masat e eficiencës së energjisë, kryesisht për përmirësimin e veshjes së banesave. PNUD-i ka mbështetur gjithashtu një përdorim të konsiderueshëm të ngrohjeve diellore të ujit (SWH).</w:t>
      </w:r>
    </w:p>
    <w:p w14:paraId="6EDCFD5B" w14:textId="0D26F958" w:rsidR="00A9766F" w:rsidRPr="007114AF" w:rsidRDefault="00A9766F" w:rsidP="00206985">
      <w:pPr>
        <w:pStyle w:val="TEKSTI"/>
      </w:pPr>
      <w:r w:rsidRPr="007114AF">
        <w:t>Përgatitja e Planit të dytë dhe të tretë Kombëtar të Veprimit për Eficiencën e Energjisë u zhvillua me asistencën e BERZH-it. PKVEE-ja e</w:t>
      </w:r>
      <w:r w:rsidR="006C3337">
        <w:t xml:space="preserve"> </w:t>
      </w:r>
      <w:r w:rsidRPr="007114AF">
        <w:t xml:space="preserve">dytë dhe e tretë u përgatitën në një dokument në përputhje të plotë me formatin e Sekretariatit të Energjisë për Komunitetin. </w:t>
      </w:r>
    </w:p>
    <w:p w14:paraId="6EDCFD5C" w14:textId="6C290DE6" w:rsidR="00A9766F" w:rsidRPr="007114AF" w:rsidRDefault="00A9766F" w:rsidP="00206985">
      <w:pPr>
        <w:pStyle w:val="TEKSTI"/>
      </w:pPr>
      <w:r w:rsidRPr="007114AF">
        <w:t>Projektligji përfundimtar i PKVEE-së</w:t>
      </w:r>
      <w:r w:rsidR="006C3337">
        <w:t xml:space="preserve"> </w:t>
      </w:r>
      <w:r w:rsidRPr="007114AF">
        <w:t>së dytë dhe të tretë përfundoi në fund të muajit prill 2016, dhe pas marrjes së mendimeve nga departamentet e MIE-t, dokumenti është gati për t</w:t>
      </w:r>
      <w:r w:rsidR="00D10DAB" w:rsidRPr="007114AF">
        <w:t>’</w:t>
      </w:r>
      <w:r w:rsidRPr="007114AF">
        <w:t>iu dërguar për mendim</w:t>
      </w:r>
      <w:r w:rsidR="000A2A01" w:rsidRPr="007114AF">
        <w:t xml:space="preserve"> </w:t>
      </w:r>
      <w:r w:rsidRPr="007114AF">
        <w:t xml:space="preserve">institucioneve të linjës, pra nuk ishte ende i disponueshëm në kohën kur </w:t>
      </w:r>
      <w:r w:rsidR="006C3337" w:rsidRPr="007114AF">
        <w:t>është</w:t>
      </w:r>
      <w:r w:rsidRPr="007114AF">
        <w:t xml:space="preserve"> shkruar dokumenti i</w:t>
      </w:r>
      <w:r w:rsidR="006C3337">
        <w:t xml:space="preserve"> </w:t>
      </w:r>
      <w:r w:rsidRPr="007114AF">
        <w:t xml:space="preserve">SKNK&amp;P-ës. </w:t>
      </w:r>
    </w:p>
    <w:p w14:paraId="6EDCFD5D" w14:textId="7E071C39" w:rsidR="00A9766F" w:rsidRPr="007114AF" w:rsidRDefault="00A9766F" w:rsidP="00206985">
      <w:pPr>
        <w:pStyle w:val="TEKSTI"/>
      </w:pPr>
      <w:r w:rsidRPr="007114AF">
        <w:t>Projektligji vuri në dukje se objektivi i vitit 2018 bie ndjeshëm me 169 ktoe (ose 9%) të cilat ishin brenda PKVEEPKVEE-s së parë për të njëjtin vit. Megjithatë, për shkak të afatit të shkurtër të mbetur përpara përmbushjes së tij përfundimtare dhe kërkesave të mbetura për zhvillimin e legjislacionit dytësor dhe rregulloreve, si dhe arkitekturën e nevojshme për zbatimin e skemave, ky objektiv nuk konsiderohet realist. Prandaj, projektligji i dytë dhe i tretë i PKVEEPKVEE-s</w:t>
      </w:r>
      <w:r w:rsidR="006C3337">
        <w:t xml:space="preserve"> </w:t>
      </w:r>
      <w:r w:rsidRPr="007114AF">
        <w:t>me shumë gjasa, do të propozojë, se deri në vitin 2020, kursimet kumulative të energjisë përfundimtare t</w:t>
      </w:r>
      <w:r w:rsidR="00D10DAB" w:rsidRPr="007114AF">
        <w:t>’</w:t>
      </w:r>
      <w:r w:rsidRPr="007114AF">
        <w:t xml:space="preserve">i afrohen këtij niveli me një objektiv të kursimit të energjisë përfundimtare në masën 123.7 ktoe (ose 6.8%). </w:t>
      </w:r>
    </w:p>
    <w:p w14:paraId="6EDCFD5E" w14:textId="6FE14A7F" w:rsidR="00A9766F" w:rsidRPr="007114AF" w:rsidRDefault="00A9766F" w:rsidP="00206985">
      <w:pPr>
        <w:pStyle w:val="TEKSTI"/>
        <w:rPr>
          <w:b/>
          <w:u w:val="single"/>
        </w:rPr>
      </w:pPr>
      <w:r w:rsidRPr="007114AF">
        <w:rPr>
          <w:b/>
          <w:u w:val="single"/>
        </w:rPr>
        <w:t>Plani i Dyt</w:t>
      </w:r>
      <w:r w:rsidR="001F4085">
        <w:rPr>
          <w:b/>
          <w:u w:val="single"/>
        </w:rPr>
        <w:t>ë</w:t>
      </w:r>
      <w:r w:rsidRPr="007114AF">
        <w:rPr>
          <w:b/>
          <w:u w:val="single"/>
        </w:rPr>
        <w:t xml:space="preserve"> dhe </w:t>
      </w:r>
      <w:r w:rsidR="001F4085">
        <w:rPr>
          <w:b/>
          <w:u w:val="single"/>
        </w:rPr>
        <w:t>i</w:t>
      </w:r>
      <w:r w:rsidRPr="007114AF">
        <w:rPr>
          <w:b/>
          <w:u w:val="single"/>
        </w:rPr>
        <w:t xml:space="preserve"> Tret</w:t>
      </w:r>
      <w:r w:rsidR="001F4085">
        <w:rPr>
          <w:b/>
          <w:u w:val="single"/>
        </w:rPr>
        <w:t>ë</w:t>
      </w:r>
      <w:r w:rsidRPr="007114AF">
        <w:rPr>
          <w:b/>
          <w:u w:val="single"/>
        </w:rPr>
        <w:t xml:space="preserve"> i Veprimit Kombëtar mbi Eficiencën e Energjisë (2017</w:t>
      </w:r>
      <w:r w:rsidR="006C3337" w:rsidRPr="001F4085">
        <w:rPr>
          <w:u w:val="single"/>
        </w:rPr>
        <w:t>–</w:t>
      </w:r>
      <w:r w:rsidRPr="007114AF">
        <w:rPr>
          <w:b/>
          <w:u w:val="single"/>
        </w:rPr>
        <w:t>2020)</w:t>
      </w:r>
    </w:p>
    <w:p w14:paraId="6EDCFD5F" w14:textId="1597BE34" w:rsidR="00A9766F" w:rsidRPr="007114AF" w:rsidRDefault="00A9766F" w:rsidP="00206985">
      <w:pPr>
        <w:pStyle w:val="TEKSTI"/>
      </w:pPr>
      <w:r w:rsidRPr="007114AF">
        <w:t>Vlefshmëria: 2017</w:t>
      </w:r>
      <w:r w:rsidR="001F4085">
        <w:t>–</w:t>
      </w:r>
      <w:r w:rsidRPr="007114AF">
        <w:t>2020</w:t>
      </w:r>
    </w:p>
    <w:p w14:paraId="6EDCFD60" w14:textId="77777777" w:rsidR="00A9766F" w:rsidRPr="007114AF" w:rsidRDefault="00A9766F" w:rsidP="00206985">
      <w:pPr>
        <w:pStyle w:val="TEKSTI"/>
        <w:rPr>
          <w:b/>
        </w:rPr>
      </w:pPr>
      <w:r w:rsidRPr="007114AF">
        <w:rPr>
          <w:b/>
        </w:rPr>
        <w:t>Përmbledhje ekzekutive</w:t>
      </w:r>
    </w:p>
    <w:p w14:paraId="6EDCFD61" w14:textId="48D64147" w:rsidR="00A9766F" w:rsidRPr="007114AF" w:rsidRDefault="00A9766F" w:rsidP="00206985">
      <w:pPr>
        <w:pStyle w:val="TEKSTI"/>
        <w:rPr>
          <w:b/>
        </w:rPr>
      </w:pPr>
      <w:bookmarkStart w:id="109" w:name="_Toc438130651"/>
      <w:bookmarkStart w:id="110" w:name="_Toc438130704"/>
      <w:bookmarkStart w:id="111" w:name="_Toc438131074"/>
      <w:bookmarkStart w:id="112" w:name="_Toc430026810"/>
      <w:bookmarkStart w:id="113" w:name="_Toc430026811"/>
      <w:bookmarkStart w:id="114" w:name="_Toc430026822"/>
      <w:bookmarkStart w:id="115" w:name="_Toc430026852"/>
      <w:bookmarkStart w:id="116" w:name="_Toc432784629"/>
      <w:bookmarkStart w:id="117" w:name="_Toc432784630"/>
      <w:bookmarkStart w:id="118" w:name="_Toc438130663"/>
      <w:bookmarkStart w:id="119" w:name="_Toc438130716"/>
      <w:bookmarkStart w:id="120" w:name="_Toc438131086"/>
      <w:bookmarkStart w:id="121" w:name="_Toc438130664"/>
      <w:bookmarkStart w:id="122" w:name="_Toc438130717"/>
      <w:bookmarkStart w:id="123" w:name="_Toc438131087"/>
      <w:bookmarkStart w:id="124" w:name="_Ref443323314"/>
      <w:bookmarkStart w:id="125" w:name="_Toc448735055"/>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7114AF">
        <w:rPr>
          <w:b/>
        </w:rPr>
        <w:t>Politika Kombëtare për Efi</w:t>
      </w:r>
      <w:r w:rsidR="001F4085">
        <w:rPr>
          <w:b/>
        </w:rPr>
        <w:t>ci</w:t>
      </w:r>
      <w:r w:rsidRPr="007114AF">
        <w:rPr>
          <w:b/>
        </w:rPr>
        <w:t>iencën e Energjisë</w:t>
      </w:r>
      <w:bookmarkEnd w:id="124"/>
      <w:bookmarkEnd w:id="125"/>
    </w:p>
    <w:p w14:paraId="6EDCFD62" w14:textId="7444C856" w:rsidR="00A9766F" w:rsidRPr="007114AF" w:rsidRDefault="00A9766F" w:rsidP="00206985">
      <w:pPr>
        <w:pStyle w:val="TEKSTI"/>
      </w:pPr>
      <w:r w:rsidRPr="007114AF">
        <w:t>Sektori i energjisë konsiderohet nga Qeveria e Shqipërisë si një sektor strategjik për zhvillimin ekonomik të vendit.</w:t>
      </w:r>
      <w:r w:rsidR="000A2A01" w:rsidRPr="007114AF">
        <w:t xml:space="preserve"> </w:t>
      </w:r>
      <w:r w:rsidRPr="007114AF">
        <w:t>Për të ofruar një kuadër parimesh operative që mundësojnë planifikimin e politikave qeveritare, në mënyrë të koordinuar, koherente dhe të integruar, Shqipëria ka miratuar një Sistem Planifikimi të Integruar (SPI).</w:t>
      </w:r>
      <w:r w:rsidR="000A2A01" w:rsidRPr="007114AF">
        <w:t xml:space="preserve"> </w:t>
      </w:r>
      <w:r w:rsidRPr="007114AF">
        <w:t>Një karakteristikë kryesore e SPI-së është Strategjia e dytë Kombëtare për Zhvillim dhe Integrim (SKZHI-II), e cila përshkruan objektivat kombëtar</w:t>
      </w:r>
      <w:r w:rsidR="0082368C">
        <w:t>ë</w:t>
      </w:r>
      <w:r w:rsidRPr="007114AF">
        <w:t xml:space="preserve"> të zhvillimit social, demokratik dhe ekonomik për periudhën 2015</w:t>
      </w:r>
      <w:r w:rsidR="001F4085">
        <w:t>–</w:t>
      </w:r>
      <w:r w:rsidRPr="007114AF">
        <w:t>2020.</w:t>
      </w:r>
    </w:p>
    <w:p w14:paraId="6EDCFD63" w14:textId="6706B11B" w:rsidR="00A9766F" w:rsidRPr="007114AF" w:rsidRDefault="00A9766F" w:rsidP="00206985">
      <w:pPr>
        <w:pStyle w:val="TEKSTI"/>
      </w:pPr>
      <w:r w:rsidRPr="007114AF">
        <w:t>SKZHI-II identifikon furnizimin me energji, në mënyrë të sigurt dhe me kosto efektive, si një objektiv kryesor të politikave për Shqipërinë.</w:t>
      </w:r>
      <w:r w:rsidR="000A2A01" w:rsidRPr="007114AF">
        <w:t xml:space="preserve"> </w:t>
      </w:r>
      <w:r w:rsidRPr="007114AF">
        <w:t>Kjo është përcaktuar në kuadër të qëllimeve më të gjera ekonomike, që përfshijnë një normë rritjeje reale të përkohshme e të synuar të Prodhimit të Brendshëm Bruto (PBB) prej 4.9%, deri në 2020.</w:t>
      </w:r>
      <w:r w:rsidR="000A2A01" w:rsidRPr="007114AF">
        <w:t xml:space="preserve"> </w:t>
      </w:r>
      <w:r w:rsidRPr="007114AF">
        <w:t>Kjo është në kontrast me një normë rritjeje të ngadalësuar, megjithëse pozitive, ndërmjet 2009 dhe 2013, e shkaktuar pjesërisht nga efektet e krizës financiare globale të 2008</w:t>
      </w:r>
      <w:r w:rsidR="001F4085">
        <w:t>–</w:t>
      </w:r>
      <w:r w:rsidRPr="007114AF">
        <w:t xml:space="preserve">2009 që ende vazhdojnë. </w:t>
      </w:r>
    </w:p>
    <w:p w14:paraId="6EDCFD64" w14:textId="1D446435" w:rsidR="00A9766F" w:rsidRPr="007114AF" w:rsidRDefault="00A9766F" w:rsidP="00206985">
      <w:pPr>
        <w:pStyle w:val="TEKSTI"/>
      </w:pPr>
      <w:r w:rsidRPr="007114AF">
        <w:t xml:space="preserve">Konsumi final i energjisë në Shqipëri u rrit në mënyrë graduale, ndërmjet 2007 dhe 2011, përpara se të tkurrej në 2012, që përkon me një ngadalësim të ekonomisë shqiptare, siç paraqitet në </w:t>
      </w:r>
      <w:r w:rsidRPr="007114AF">
        <w:fldChar w:fldCharType="begin"/>
      </w:r>
      <w:r w:rsidRPr="007114AF">
        <w:instrText xml:space="preserve"> REF _Ref443402584 \h  \* MERGEFORMAT </w:instrText>
      </w:r>
      <w:r w:rsidRPr="007114AF">
        <w:fldChar w:fldCharType="separate"/>
      </w:r>
      <w:r w:rsidR="00CF00FE">
        <w:rPr>
          <w:b/>
        </w:rPr>
        <w:t>f</w:t>
      </w:r>
      <w:r w:rsidRPr="007114AF">
        <w:rPr>
          <w:b/>
        </w:rPr>
        <w:t>igur</w:t>
      </w:r>
      <w:r w:rsidR="00CF00FE">
        <w:rPr>
          <w:b/>
        </w:rPr>
        <w:t>ën</w:t>
      </w:r>
      <w:r w:rsidRPr="007114AF">
        <w:rPr>
          <w:b/>
        </w:rPr>
        <w:t xml:space="preserve"> 26</w:t>
      </w:r>
      <w:r w:rsidRPr="007114AF">
        <w:fldChar w:fldCharType="end"/>
      </w:r>
      <w:r w:rsidRPr="007114AF">
        <w:t>.</w:t>
      </w:r>
      <w:r w:rsidR="000A2A01" w:rsidRPr="007114AF">
        <w:t xml:space="preserve"> </w:t>
      </w:r>
      <w:r w:rsidRPr="007114AF">
        <w:t>Kjo rënie e konsumit në 2012 ishte veçanërisht e dukshme në nën-sektorin e ndërtimit dhe sektorin e transportit, të cilët janë të ndjeshëm ndaj prodhimit ekonomik.</w:t>
      </w:r>
      <w:r w:rsidR="000A2A01" w:rsidRPr="007114AF">
        <w:t xml:space="preserve"> </w:t>
      </w:r>
      <w:r w:rsidRPr="007114AF">
        <w:t>Megjithatë, pavarësisht se rritja e PBB-së mbeti e ulët, prapëseprapë konsumi i energjisë u rrit në mënyrë të shpejtë, në 2013, kryesisht për shkak të rritjes së kërkesës në sektorin e banesave.</w:t>
      </w:r>
      <w:r w:rsidR="000A2A01" w:rsidRPr="007114AF">
        <w:t xml:space="preserve"> </w:t>
      </w:r>
      <w:r w:rsidRPr="007114AF">
        <w:t>Më pas, në 2014, konsumi pësoi një rritje të madhe të mëtejshme, kryesisht në sajë të sektorit të hekurit dhe çelikut.</w:t>
      </w:r>
      <w:r w:rsidR="000A2A01" w:rsidRPr="007114AF">
        <w:t xml:space="preserve"> </w:t>
      </w:r>
      <w:r w:rsidRPr="007114AF">
        <w:t>Si përmbledhje, gjatë periudhës 2009-2014, konsumi final i energjisë u rrit nga 1,871 ktoe në 2,070 ktoe.</w:t>
      </w:r>
      <w:r w:rsidR="000A2A01" w:rsidRPr="007114AF">
        <w:t xml:space="preserve"> </w:t>
      </w:r>
      <w:r w:rsidRPr="007114AF">
        <w:t>Kjo përfaqëson një rritje prej rreth 11%, por norma e rritjes nuk ishte e qëndrueshme gjatë periudhës.</w:t>
      </w:r>
    </w:p>
    <w:p w14:paraId="6EDCFD65" w14:textId="77777777" w:rsidR="00206985" w:rsidRPr="007114AF" w:rsidRDefault="00206985" w:rsidP="00206985">
      <w:pPr>
        <w:pStyle w:val="TEKSTI"/>
        <w:rPr>
          <w:b/>
        </w:rPr>
      </w:pPr>
      <w:bookmarkStart w:id="126" w:name="_Ref443402584"/>
    </w:p>
    <w:p w14:paraId="6EDCFD66" w14:textId="21472011" w:rsidR="00A9766F" w:rsidRPr="007114AF" w:rsidRDefault="00A9766F" w:rsidP="00206985">
      <w:pPr>
        <w:pStyle w:val="FIGURA"/>
        <w:rPr>
          <w:sz w:val="20"/>
          <w:szCs w:val="20"/>
        </w:rPr>
      </w:pPr>
      <w:r w:rsidRPr="007114AF">
        <w:rPr>
          <w:sz w:val="20"/>
          <w:szCs w:val="20"/>
        </w:rPr>
        <w:t>Figura</w:t>
      </w:r>
      <w:r w:rsidR="000A2A01" w:rsidRPr="007114AF">
        <w:rPr>
          <w:sz w:val="20"/>
          <w:szCs w:val="20"/>
        </w:rPr>
        <w:t xml:space="preserve"> </w:t>
      </w:r>
      <w:r w:rsidRPr="007114AF">
        <w:rPr>
          <w:sz w:val="20"/>
          <w:szCs w:val="20"/>
        </w:rPr>
        <w:fldChar w:fldCharType="begin"/>
      </w:r>
      <w:r w:rsidRPr="007114AF">
        <w:rPr>
          <w:sz w:val="20"/>
          <w:szCs w:val="20"/>
        </w:rPr>
        <w:instrText xml:space="preserve"> SEQ Figure \* ARABIC </w:instrText>
      </w:r>
      <w:r w:rsidRPr="007114AF">
        <w:rPr>
          <w:sz w:val="20"/>
          <w:szCs w:val="20"/>
        </w:rPr>
        <w:fldChar w:fldCharType="separate"/>
      </w:r>
      <w:r w:rsidRPr="007114AF">
        <w:rPr>
          <w:sz w:val="20"/>
          <w:szCs w:val="20"/>
        </w:rPr>
        <w:t>26</w:t>
      </w:r>
      <w:r w:rsidRPr="007114AF">
        <w:rPr>
          <w:sz w:val="20"/>
          <w:szCs w:val="20"/>
        </w:rPr>
        <w:fldChar w:fldCharType="end"/>
      </w:r>
      <w:bookmarkEnd w:id="126"/>
      <w:r w:rsidRPr="007114AF">
        <w:rPr>
          <w:sz w:val="20"/>
          <w:szCs w:val="20"/>
        </w:rPr>
        <w:t xml:space="preserve"> Konsumi final i energjisë gjatë periudhës së shqyrtuar</w:t>
      </w:r>
    </w:p>
    <w:p w14:paraId="6EDCFD67" w14:textId="77777777" w:rsidR="00A9766F" w:rsidRPr="007114AF" w:rsidRDefault="00A9766F" w:rsidP="00206985">
      <w:pPr>
        <w:jc w:val="center"/>
        <w:rPr>
          <w:rFonts w:ascii="Garamond" w:hAnsi="Garamond"/>
        </w:rPr>
      </w:pPr>
      <w:r w:rsidRPr="007114AF">
        <w:rPr>
          <w:rFonts w:ascii="Garamond" w:hAnsi="Garamond"/>
          <w:noProof/>
          <w:lang w:val="en-US" w:eastAsia="en-US"/>
        </w:rPr>
        <w:drawing>
          <wp:inline distT="0" distB="0" distL="0" distR="0" wp14:anchorId="6EDD17BC" wp14:editId="6EDD17BD">
            <wp:extent cx="3686174" cy="2257425"/>
            <wp:effectExtent l="0" t="0" r="0" b="0"/>
            <wp:docPr id="2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srcRect/>
                    <a:stretch>
                      <a:fillRect/>
                    </a:stretch>
                  </pic:blipFill>
                  <pic:spPr bwMode="auto">
                    <a:xfrm>
                      <a:off x="0" y="0"/>
                      <a:ext cx="3692016" cy="2261003"/>
                    </a:xfrm>
                    <a:prstGeom prst="rect">
                      <a:avLst/>
                    </a:prstGeom>
                    <a:noFill/>
                  </pic:spPr>
                </pic:pic>
              </a:graphicData>
            </a:graphic>
          </wp:inline>
        </w:drawing>
      </w:r>
    </w:p>
    <w:p w14:paraId="6EDCFD68" w14:textId="11BFCD79" w:rsidR="00A9766F" w:rsidRPr="007114AF" w:rsidRDefault="00A9766F" w:rsidP="00206985">
      <w:pPr>
        <w:pStyle w:val="TEKSTI"/>
      </w:pPr>
      <w:r w:rsidRPr="007114AF">
        <w:t>Burimi: Bilanci Energjetik i Shqipërisë 2009</w:t>
      </w:r>
      <w:r w:rsidR="00CF00FE">
        <w:t>–</w:t>
      </w:r>
      <w:r w:rsidRPr="007114AF">
        <w:t>2014, AKBN; INSTAT</w:t>
      </w:r>
    </w:p>
    <w:p w14:paraId="6EDCFD69" w14:textId="0D4A7BAE" w:rsidR="00A9766F" w:rsidRPr="007114AF" w:rsidRDefault="00A9766F" w:rsidP="00206985">
      <w:pPr>
        <w:pStyle w:val="TEKSTI"/>
      </w:pPr>
      <w:r w:rsidRPr="007114AF">
        <w:t>Plani i Parë Kombëtar i Veprimit për Efi</w:t>
      </w:r>
      <w:r w:rsidR="00CF00FE">
        <w:t>ci</w:t>
      </w:r>
      <w:r w:rsidRPr="007114AF">
        <w:t xml:space="preserve">iencën e Energjisë në Shqipëri u hartua në përputhje me transpozimin e Direktivës së Bashkimit Evropian (BE) 2006/32/KE (Direktiva e Shërbimeve Energjetike </w:t>
      </w:r>
      <w:r w:rsidR="0082368C">
        <w:t>–</w:t>
      </w:r>
      <w:r w:rsidRPr="007114AF">
        <w:t xml:space="preserve"> DSHE) dhe me </w:t>
      </w:r>
      <w:r w:rsidR="0082368C">
        <w:t>v</w:t>
      </w:r>
      <w:r w:rsidRPr="007114AF">
        <w:t>endimin e Këshillit Ministerial të Komunitet</w:t>
      </w:r>
      <w:r w:rsidR="00D43DF3" w:rsidRPr="007114AF">
        <w:t xml:space="preserve">it të Energjisë të vitit 2009. </w:t>
      </w:r>
      <w:r w:rsidRPr="007114AF">
        <w:t>Plani u miratua nga Qeveria e Shqipërisë, në shtator 2011, dhe parashikoi arritjen e kursimeve vjetore të energjisë prej 3% në vitin 2012</w:t>
      </w:r>
      <w:r w:rsidRPr="007114AF">
        <w:rPr>
          <w:vertAlign w:val="superscript"/>
        </w:rPr>
        <w:footnoteReference w:id="46"/>
      </w:r>
      <w:r w:rsidRPr="007114AF">
        <w:t xml:space="preserve"> dhe 9% në vitin 2018, të llogaritura si përqindje e konsumit mesatar final të energjisë për periudhën pesëvjeçare 2004-2008 (përfshirë). </w:t>
      </w:r>
    </w:p>
    <w:p w14:paraId="6EDCFD6A" w14:textId="6E7BDE88" w:rsidR="00A9766F" w:rsidRPr="007114AF" w:rsidRDefault="00A9766F" w:rsidP="00206985">
      <w:pPr>
        <w:pStyle w:val="TEKSTI"/>
      </w:pPr>
      <w:r w:rsidRPr="007114AF">
        <w:t>Me VKM</w:t>
      </w:r>
      <w:r w:rsidR="00CF00FE">
        <w:t>-në</w:t>
      </w:r>
      <w:r w:rsidR="00242009" w:rsidRPr="007114AF">
        <w:t xml:space="preserve"> nr. </w:t>
      </w:r>
      <w:r w:rsidRPr="007114AF">
        <w:t>348</w:t>
      </w:r>
      <w:r w:rsidR="00CF00FE">
        <w:t>, datë 11.</w:t>
      </w:r>
      <w:r w:rsidRPr="007114AF">
        <w:t xml:space="preserve">5.2016 </w:t>
      </w:r>
      <w:r w:rsidR="000A2A01" w:rsidRPr="007114AF">
        <w:t>“</w:t>
      </w:r>
      <w:r w:rsidRPr="007114AF">
        <w:t xml:space="preserve"> Për Miratimin e Strategjisë Kombëtare për zhvillim dhe integrim 2015</w:t>
      </w:r>
      <w:r w:rsidR="00CF00FE">
        <w:t>–</w:t>
      </w:r>
      <w:r w:rsidRPr="007114AF">
        <w:t>2020</w:t>
      </w:r>
      <w:r w:rsidR="000A2A01" w:rsidRPr="007114AF">
        <w:t>”</w:t>
      </w:r>
      <w:r w:rsidRPr="007114AF">
        <w:t xml:space="preserve"> për sektorin e energjisë, SKZHI 2015</w:t>
      </w:r>
      <w:r w:rsidR="00CF00FE">
        <w:t>–</w:t>
      </w:r>
      <w:r w:rsidRPr="007114AF">
        <w:t>2020 nxjerr në pah objektiva strategjik</w:t>
      </w:r>
      <w:r w:rsidR="0082368C">
        <w:t>ë</w:t>
      </w:r>
      <w:r w:rsidRPr="007114AF">
        <w:t xml:space="preserve"> shtesë, të cilat përfshijnë një numër objektivash që kanë rëndësi për zbatimin e masave për efi</w:t>
      </w:r>
      <w:r w:rsidR="00CF00FE">
        <w:t>c</w:t>
      </w:r>
      <w:r w:rsidRPr="007114AF">
        <w:t>iencën e energjisë:</w:t>
      </w:r>
    </w:p>
    <w:p w14:paraId="6EDCFD6B" w14:textId="6B77DDED" w:rsidR="00A9766F" w:rsidRPr="007114AF" w:rsidRDefault="008D6C6A" w:rsidP="00206985">
      <w:pPr>
        <w:pStyle w:val="TEKSTI"/>
      </w:pPr>
      <w:r w:rsidRPr="007114AF">
        <w:t xml:space="preserve">- </w:t>
      </w:r>
      <w:r w:rsidR="00A9766F" w:rsidRPr="007114AF">
        <w:t>Uljen e intensitetit të energjisë me mbi 12.5%, deri në 2020, krahasuar me nivelin e 2012</w:t>
      </w:r>
      <w:r w:rsidR="00AB4345">
        <w:t>-s</w:t>
      </w:r>
      <w:r w:rsidR="00A9766F" w:rsidRPr="007114AF">
        <w:t>;</w:t>
      </w:r>
    </w:p>
    <w:p w14:paraId="6EDCFD6C" w14:textId="67F64D58" w:rsidR="00A9766F" w:rsidRPr="007114AF" w:rsidRDefault="008D6C6A" w:rsidP="00206985">
      <w:pPr>
        <w:pStyle w:val="TEKSTI"/>
      </w:pPr>
      <w:r w:rsidRPr="007114AF">
        <w:t xml:space="preserve">- </w:t>
      </w:r>
      <w:r w:rsidR="00A9766F" w:rsidRPr="007114AF">
        <w:t>Plotësimi i angazhimeve të Shqipërisë në kuadrin e iniciativës 20/20/20, me përmirësimi i efi</w:t>
      </w:r>
      <w:r w:rsidR="00CF00FE">
        <w:t>ci</w:t>
      </w:r>
      <w:r w:rsidR="00A9766F" w:rsidRPr="007114AF">
        <w:t>encës së energjisë dhe ulja e emetimeve të karbonit (CO2);</w:t>
      </w:r>
    </w:p>
    <w:p w14:paraId="6EDCFD6D" w14:textId="20B32B49" w:rsidR="00A9766F" w:rsidRPr="007114AF" w:rsidRDefault="008D6C6A" w:rsidP="00206985">
      <w:pPr>
        <w:pStyle w:val="TEKSTI"/>
      </w:pPr>
      <w:r w:rsidRPr="007114AF">
        <w:t xml:space="preserve">- </w:t>
      </w:r>
      <w:r w:rsidR="00A9766F" w:rsidRPr="007114AF">
        <w:t>Menaxhimi i kërkesës për energji përmes rritjes së efi</w:t>
      </w:r>
      <w:r w:rsidR="00AB4345">
        <w:t>ci</w:t>
      </w:r>
      <w:r w:rsidR="00A9766F" w:rsidRPr="007114AF">
        <w:t>encës të përdorimit të energjisë, sidomos në sektorin e ndërtesave;</w:t>
      </w:r>
    </w:p>
    <w:p w14:paraId="6EDCFD6E" w14:textId="77777777" w:rsidR="00A9766F" w:rsidRPr="007114AF" w:rsidRDefault="008D6C6A" w:rsidP="00206985">
      <w:pPr>
        <w:pStyle w:val="TEKSTI"/>
      </w:pPr>
      <w:r w:rsidRPr="007114AF">
        <w:t xml:space="preserve">- </w:t>
      </w:r>
      <w:r w:rsidR="00A9766F" w:rsidRPr="007114AF">
        <w:t>Uljen e humbjeve të energjisë elektrike në rrjetin e shpërndarjes deri në 14%, deri në 2018;</w:t>
      </w:r>
    </w:p>
    <w:p w14:paraId="6EDCFD6F" w14:textId="71400B5F" w:rsidR="00A9766F" w:rsidRPr="007114AF" w:rsidRDefault="00A9766F" w:rsidP="00206985">
      <w:pPr>
        <w:pStyle w:val="TEKSTI"/>
      </w:pPr>
      <w:r w:rsidRPr="007114AF">
        <w:t xml:space="preserve">Në lidhje me ndryshimet klimatike, Shqipëria ka paraqitur </w:t>
      </w:r>
      <w:r w:rsidRPr="007114AF">
        <w:rPr>
          <w:i/>
        </w:rPr>
        <w:t>objektivin e saj kombëtar të pikësynuar</w:t>
      </w:r>
      <w:r w:rsidRPr="007114AF">
        <w:t xml:space="preserve"> (INDC), i cili është pjesë e procesit të Konventës Kuadër të Kombeve të Bashkuara për Ndryshimet Klimatike (UNFCCC), për përcaktimin dhe përmbushjen e objektivave për uljen e emetimeve në nivel ndërkombëtar.</w:t>
      </w:r>
      <w:r w:rsidR="000A2A01" w:rsidRPr="007114AF">
        <w:t xml:space="preserve"> </w:t>
      </w:r>
      <w:r w:rsidRPr="007114AF">
        <w:t>Në përputhje me vendimin 1/CP.19 dhe vendimin 1/CP.20 të UNFCCC-së, INDC-të e vendeve përcaktojnë objektivat që lidhen me uljen e emetimeve, mbi bazën e kushteve ekonomike dhe industriale vendase.</w:t>
      </w:r>
      <w:r w:rsidR="000A2A01" w:rsidRPr="007114AF">
        <w:t xml:space="preserve"> </w:t>
      </w:r>
      <w:r w:rsidRPr="007114AF">
        <w:t>Shqipëria ka përcaktuar një objektiv të skenarit bazë, i cili synon një nivel kursimesh (ulje të emetimeve të CO</w:t>
      </w:r>
      <w:r w:rsidRPr="007114AF">
        <w:rPr>
          <w:vertAlign w:val="subscript"/>
        </w:rPr>
        <w:t>2</w:t>
      </w:r>
      <w:r w:rsidRPr="007114AF">
        <w:t xml:space="preserve"> me 11.5%, deri në 2030) nën nivelin e trajektores së parashikuar të skenarit bazë.</w:t>
      </w:r>
    </w:p>
    <w:p w14:paraId="6EDCFD70" w14:textId="471A6F0D" w:rsidR="00A9766F" w:rsidRPr="007114AF" w:rsidRDefault="00A9766F" w:rsidP="00206985">
      <w:pPr>
        <w:pStyle w:val="TEKSTI"/>
      </w:pPr>
      <w:r w:rsidRPr="007114AF">
        <w:t>Për të përmirësuar performancën e sektorit të energjisë në Shqipëri dhe për të përmbushur objektivat e mësipër</w:t>
      </w:r>
      <w:r w:rsidR="0082368C">
        <w:t>ë</w:t>
      </w:r>
      <w:r w:rsidRPr="007114AF">
        <w:t>m, ka zhvillime të konsiderueshme.</w:t>
      </w:r>
      <w:r w:rsidR="000A2A01" w:rsidRPr="007114AF">
        <w:t xml:space="preserve"> </w:t>
      </w:r>
      <w:r w:rsidRPr="007114AF">
        <w:t>Për këtë qëllim, Plani Kombëtar i Veprimit për Burimet e Energjisë së Rinovueshme (PKVBER), për periudhën 2015-2020, u miratua nga Këshilli i Ministrave më 20 janar 2016, i cili përcakton planin për arritjen e objektivit të vitit 2020, që 38% e konsumit final të energjisë të jetë nga burimet e energjive të rinovueshme.</w:t>
      </w:r>
    </w:p>
    <w:p w14:paraId="6EDCFD71" w14:textId="253799A9" w:rsidR="00A9766F" w:rsidRPr="007114AF" w:rsidRDefault="00A9766F" w:rsidP="00206985">
      <w:pPr>
        <w:pStyle w:val="TEKSTI"/>
      </w:pPr>
      <w:r w:rsidRPr="007114AF">
        <w:t>Në lidhje me Efiçiencën e Energjisë (EE), ligji i referimit për efi</w:t>
      </w:r>
      <w:r w:rsidR="00AB4345">
        <w:t>c</w:t>
      </w:r>
      <w:r w:rsidRPr="007114AF">
        <w:t>iencën e energjisë (ligji</w:t>
      </w:r>
      <w:r w:rsidR="00242009" w:rsidRPr="007114AF">
        <w:t xml:space="preserve"> nr. </w:t>
      </w:r>
      <w:r w:rsidRPr="007114AF">
        <w:t>124/2015) u miratua në nëntor 2015, i cili transpozon shumë prej kërkesave të Direktivës 2012/27/BE (</w:t>
      </w:r>
      <w:r w:rsidR="000A2A01" w:rsidRPr="007114AF">
        <w:t>“</w:t>
      </w:r>
      <w:r w:rsidRPr="007114AF">
        <w:t>Direktiva për Efiçiencën e Energjisë</w:t>
      </w:r>
      <w:r w:rsidR="000A2A01" w:rsidRPr="007114AF">
        <w:t>”</w:t>
      </w:r>
      <w:r w:rsidRPr="007114AF">
        <w:t>).</w:t>
      </w:r>
      <w:r w:rsidR="000A2A01" w:rsidRPr="007114AF">
        <w:t xml:space="preserve"> </w:t>
      </w:r>
      <w:r w:rsidRPr="007114AF">
        <w:t>Në mënyrë të ngjashme ligji</w:t>
      </w:r>
      <w:r w:rsidR="00242009" w:rsidRPr="007114AF">
        <w:t xml:space="preserve"> nr. </w:t>
      </w:r>
      <w:r w:rsidRPr="007114AF">
        <w:t xml:space="preserve">116/2016 </w:t>
      </w:r>
      <w:r w:rsidR="00AB4345">
        <w:t>“</w:t>
      </w:r>
      <w:r w:rsidRPr="007114AF">
        <w:t xml:space="preserve">Për </w:t>
      </w:r>
      <w:r w:rsidR="00AB4345" w:rsidRPr="007114AF">
        <w:t xml:space="preserve">performancën energjetike të ndërtesave </w:t>
      </w:r>
      <w:r w:rsidRPr="007114AF">
        <w:t>(PEN)</w:t>
      </w:r>
      <w:r w:rsidR="00AB4345">
        <w:t>”</w:t>
      </w:r>
      <w:r w:rsidRPr="007114AF">
        <w:t xml:space="preserve">, i cili transpozon </w:t>
      </w:r>
      <w:r w:rsidR="00AB4345">
        <w:t>d</w:t>
      </w:r>
      <w:r w:rsidRPr="007114AF">
        <w:t>irektivën 2010/31/BE (</w:t>
      </w:r>
      <w:r w:rsidR="000A2A01" w:rsidRPr="007114AF">
        <w:t>“</w:t>
      </w:r>
      <w:r w:rsidRPr="007114AF">
        <w:t xml:space="preserve">Direktiva për </w:t>
      </w:r>
      <w:r w:rsidR="00AB4345" w:rsidRPr="007114AF">
        <w:t>performancën energjetike të ndërtesave</w:t>
      </w:r>
      <w:r w:rsidR="000A2A01" w:rsidRPr="007114AF">
        <w:t>”</w:t>
      </w:r>
      <w:r w:rsidRPr="007114AF">
        <w:t xml:space="preserve">) </w:t>
      </w:r>
      <w:r w:rsidR="00AB4345">
        <w:t>–</w:t>
      </w:r>
      <w:r w:rsidRPr="007114AF">
        <w:t xml:space="preserve"> një</w:t>
      </w:r>
      <w:r w:rsidR="00AB4345">
        <w:t xml:space="preserve"> </w:t>
      </w:r>
      <w:r w:rsidRPr="007114AF">
        <w:t>fushë me potencial të lartë në Shqipëri, janë referenca të qarta për zhvillimin e efi</w:t>
      </w:r>
      <w:r w:rsidR="00AB4345">
        <w:t>ci</w:t>
      </w:r>
      <w:r w:rsidRPr="007114AF">
        <w:t>encës se energjisë.</w:t>
      </w:r>
    </w:p>
    <w:p w14:paraId="6EDCFD72" w14:textId="1F9F8352" w:rsidR="00A9766F" w:rsidRPr="007114AF" w:rsidRDefault="00A9766F" w:rsidP="00206985">
      <w:pPr>
        <w:pStyle w:val="TEKSTI"/>
      </w:pPr>
      <w:r w:rsidRPr="007114AF">
        <w:t>Së bashku, këto ligje krijojnë bazën mbi të cilën mund të ngrihet një kuadër rregullator më i plotë, mund të krijohet struktura institucionale dhe mbështetja financiare, si dhe të zbatohen në mënyrë të suksesshme masat e parashikuara në kuadër të kësaj PKVEE-je të re.</w:t>
      </w:r>
      <w:r w:rsidR="000A2A01" w:rsidRPr="007114AF">
        <w:t xml:space="preserve"> </w:t>
      </w:r>
      <w:r w:rsidRPr="007114AF">
        <w:t>Në të vërtetë, ligji për efi</w:t>
      </w:r>
      <w:r w:rsidR="00AB4345">
        <w:t>ci</w:t>
      </w:r>
      <w:r w:rsidRPr="007114AF">
        <w:t>iencën e energjisë parashikon një detyrim ligjor, i cili mungonte më parë, për Agjencinë për Efi</w:t>
      </w:r>
      <w:r w:rsidR="00AB4345">
        <w:t>c</w:t>
      </w:r>
      <w:r w:rsidRPr="007114AF">
        <w:t>iencën e Energjisë që të hartojë një PKVEE për Shqipërinë.</w:t>
      </w:r>
      <w:r w:rsidR="000A2A01" w:rsidRPr="007114AF">
        <w:t xml:space="preserve"> </w:t>
      </w:r>
    </w:p>
    <w:p w14:paraId="6EDCFD73" w14:textId="20393F6C" w:rsidR="00A9766F" w:rsidRPr="007114AF" w:rsidRDefault="00A9766F" w:rsidP="00206985">
      <w:pPr>
        <w:pStyle w:val="TEKSTI"/>
      </w:pPr>
      <w:r w:rsidRPr="007114AF">
        <w:t>PKVEE parashikon një plan sesi këto zhvillime do të arrijnë objektivat e Shqipërisë për efi</w:t>
      </w:r>
      <w:r w:rsidR="00AB4345">
        <w:t>c</w:t>
      </w:r>
      <w:r w:rsidRPr="007114AF">
        <w:t>iencën e energjisë dhe përmbushin detyrimet e saj</w:t>
      </w:r>
      <w:r w:rsidR="000A2A01" w:rsidRPr="007114AF">
        <w:t xml:space="preserve"> </w:t>
      </w:r>
      <w:r w:rsidRPr="007114AF">
        <w:t xml:space="preserve">në kuadër të </w:t>
      </w:r>
      <w:r w:rsidR="00AB4345">
        <w:t>d</w:t>
      </w:r>
      <w:r w:rsidRPr="007114AF">
        <w:t>irektivës 2012/27/BE (</w:t>
      </w:r>
      <w:r w:rsidR="000A2A01" w:rsidRPr="007114AF">
        <w:t>“</w:t>
      </w:r>
      <w:r w:rsidRPr="007114AF">
        <w:t>DEE</w:t>
      </w:r>
      <w:r w:rsidR="000A2A01" w:rsidRPr="007114AF">
        <w:t>”</w:t>
      </w:r>
      <w:r w:rsidRPr="007114AF">
        <w:t>), e cila u miratua nga Komuniteti i Energjisë, më 16 tetor 2015, duke mbuluar edhe aspektet përkatëse të DPEN-së.</w:t>
      </w:r>
    </w:p>
    <w:p w14:paraId="6EDCFD74" w14:textId="77777777" w:rsidR="00A9766F" w:rsidRPr="007114AF" w:rsidRDefault="00A9766F" w:rsidP="00206985">
      <w:pPr>
        <w:pStyle w:val="TEKSTI"/>
        <w:rPr>
          <w:b/>
        </w:rPr>
      </w:pPr>
      <w:bookmarkStart w:id="127" w:name="_Ref443488517"/>
      <w:bookmarkStart w:id="128" w:name="_Toc448735056"/>
      <w:r w:rsidRPr="007114AF">
        <w:rPr>
          <w:b/>
        </w:rPr>
        <w:t>Pikat kryesore të PKVEE-së</w:t>
      </w:r>
      <w:bookmarkEnd w:id="127"/>
      <w:bookmarkEnd w:id="128"/>
    </w:p>
    <w:p w14:paraId="6EDCFD75" w14:textId="0F2AD39E" w:rsidR="00A9766F" w:rsidRPr="007114AF" w:rsidRDefault="00A9766F" w:rsidP="00206985">
      <w:pPr>
        <w:pStyle w:val="TEKSTI"/>
      </w:pPr>
      <w:r w:rsidRPr="007114AF">
        <w:t>Kjo PKVEE e re për Shqipërinë rishikon arritjet e PKVEE-së I, për periudhën 2010</w:t>
      </w:r>
      <w:r w:rsidR="00AB4345">
        <w:t>–</w:t>
      </w:r>
      <w:r w:rsidRPr="007114AF">
        <w:t>2014, dhe më pas përshkruan një plan për përmbushjen e objektivave të r</w:t>
      </w:r>
      <w:r w:rsidR="0082368C">
        <w:t>inj</w:t>
      </w:r>
      <w:r w:rsidRPr="007114AF">
        <w:t xml:space="preserve"> që dalin, për periudhën deri në vitin 2020.</w:t>
      </w:r>
    </w:p>
    <w:p w14:paraId="6EDCFD76" w14:textId="5E454443" w:rsidR="00A9766F" w:rsidRPr="007114AF" w:rsidRDefault="00A9766F" w:rsidP="00206985">
      <w:pPr>
        <w:pStyle w:val="TEKSTI"/>
        <w:rPr>
          <w:b/>
        </w:rPr>
      </w:pPr>
      <w:r w:rsidRPr="007114AF">
        <w:rPr>
          <w:b/>
        </w:rPr>
        <w:t>Arritjet e PKVEE së parë, 2011</w:t>
      </w:r>
      <w:r w:rsidR="00414BCD">
        <w:rPr>
          <w:b/>
        </w:rPr>
        <w:t>–</w:t>
      </w:r>
      <w:r w:rsidRPr="007114AF">
        <w:rPr>
          <w:b/>
        </w:rPr>
        <w:t>2018</w:t>
      </w:r>
    </w:p>
    <w:p w14:paraId="6EDCFD77" w14:textId="3C1DAB05" w:rsidR="00A9766F" w:rsidRPr="007114AF" w:rsidRDefault="00A9766F" w:rsidP="00206985">
      <w:pPr>
        <w:pStyle w:val="TEKSTI"/>
      </w:pPr>
      <w:r w:rsidRPr="007114AF">
        <w:t xml:space="preserve">Shqipëria nuk përballoi një sërë sfidash në zbatimin e masave që përmbahen në PKVEE-në I të miratuar nga Qeveria në </w:t>
      </w:r>
      <w:r w:rsidR="00414BCD">
        <w:t>s</w:t>
      </w:r>
      <w:r w:rsidRPr="007114AF">
        <w:t>htator 2011.</w:t>
      </w:r>
      <w:r w:rsidR="000A2A01" w:rsidRPr="007114AF">
        <w:t xml:space="preserve"> </w:t>
      </w:r>
      <w:r w:rsidRPr="007114AF">
        <w:t>Shumë prej masave kërkuan bashkëpunimin e ministrive dhe entiteteve të tjera jashtë Ministrisë së Ekonomisë, Tregtisë dhe Energjisë dhe Ministrisë se Infrastrukturës dhe Energjisë (MIE).</w:t>
      </w:r>
      <w:r w:rsidR="000A2A01" w:rsidRPr="007114AF">
        <w:t xml:space="preserve"> </w:t>
      </w:r>
      <w:r w:rsidRPr="007114AF">
        <w:t>Megjithatë, mirëkuptimi, koordinimi ndërministror, dhe si rrjedhojë mbështetja me akte ligjore dhe financiare për planin mungoi, duke penguar integrimin e masave në planet sektoriale. Gjithashtu, miratimi i ligjit për efi</w:t>
      </w:r>
      <w:r w:rsidR="00AB4345">
        <w:t>c</w:t>
      </w:r>
      <w:r w:rsidRPr="007114AF">
        <w:t>iencën e energjisë, i kërkuar për plotësimin e kuadrit ligjor dhe rregullator për krijimin e tregut për shërbimet energjetike, për Agjencinë e dedikuar për EE-në dhe Fondin për EE-në, u vonuan së tepërmi.</w:t>
      </w:r>
      <w:r w:rsidR="000A2A01" w:rsidRPr="007114AF">
        <w:t xml:space="preserve"> </w:t>
      </w:r>
      <w:r w:rsidRPr="007114AF">
        <w:t>Për më tepër, disa masa nuk ishin realiste, si për</w:t>
      </w:r>
      <w:r w:rsidR="00AB4345">
        <w:t xml:space="preserve"> </w:t>
      </w:r>
      <w:r w:rsidRPr="007114AF">
        <w:t xml:space="preserve">sa </w:t>
      </w:r>
      <w:r w:rsidR="00AB4345">
        <w:t>u</w:t>
      </w:r>
      <w:r w:rsidRPr="007114AF">
        <w:t xml:space="preserve"> përket afateve kohore të propozuara, ashtu edhe </w:t>
      </w:r>
      <w:r w:rsidR="00AB4345" w:rsidRPr="007114AF">
        <w:t>gatishmërisë</w:t>
      </w:r>
      <w:r w:rsidRPr="007114AF">
        <w:t xml:space="preserve"> për të monitoruar dhe implementuar ato.</w:t>
      </w:r>
    </w:p>
    <w:p w14:paraId="6EDCFD78" w14:textId="594CF0DC" w:rsidR="00A9766F" w:rsidRPr="007114AF" w:rsidRDefault="00A9766F" w:rsidP="00206985">
      <w:pPr>
        <w:pStyle w:val="TEKSTI"/>
      </w:pPr>
      <w:r w:rsidRPr="007114AF">
        <w:t>Pavarësisht vështirësive të mësipërme, pak progres është bërë për EE-në në Shqipëri.</w:t>
      </w:r>
      <w:r w:rsidR="000A2A01" w:rsidRPr="007114AF">
        <w:t xml:space="preserve"> </w:t>
      </w:r>
      <w:r w:rsidRPr="007114AF">
        <w:t>Janë zhvilluar një sërë projektesh pilote për rinovimin e ndërtesave publike, është kryer trajnim për audituesit dhe menaxherët e energjisë, dhe me mbështetjen e institucioneve financiare ndërkombëtare (IFN) dhe donatorëve, bankat vendase ofruan linja kreditimi për masat për efi</w:t>
      </w:r>
      <w:r w:rsidR="00AB4345">
        <w:t>c</w:t>
      </w:r>
      <w:r w:rsidRPr="007114AF">
        <w:t>iencën e energjisë, kryesisht për përmirësimin e veshjeve të jashtme të ndërtesës.</w:t>
      </w:r>
      <w:r w:rsidR="000A2A01" w:rsidRPr="007114AF">
        <w:t xml:space="preserve"> </w:t>
      </w:r>
    </w:p>
    <w:p w14:paraId="6EDCFD79" w14:textId="4388D559" w:rsidR="00A9766F" w:rsidRPr="007114AF" w:rsidRDefault="00A9766F" w:rsidP="00206985">
      <w:pPr>
        <w:pStyle w:val="TEKSTI"/>
      </w:pPr>
      <w:r w:rsidRPr="007114AF">
        <w:t xml:space="preserve">Vlerësimi formal i kursimeve të energjisë të arritura nga masat e mësipërme është penguar nga mungesa e një platforme monitorimi dhe verifikimi, sipas </w:t>
      </w:r>
      <w:r w:rsidR="00362F59">
        <w:t>s</w:t>
      </w:r>
      <w:r w:rsidRPr="007114AF">
        <w:t xml:space="preserve">ë cilës do të llogariteshin kursimet me metodën </w:t>
      </w:r>
      <w:r w:rsidR="000A2A01" w:rsidRPr="007114AF">
        <w:t>“</w:t>
      </w:r>
      <w:r w:rsidRPr="007114AF">
        <w:t>Poshtë-Lart</w:t>
      </w:r>
      <w:r w:rsidR="000A2A01" w:rsidRPr="007114AF">
        <w:t>”</w:t>
      </w:r>
      <w:r w:rsidRPr="007114AF">
        <w:t xml:space="preserve"> (PL) (</w:t>
      </w:r>
      <w:r w:rsidRPr="007114AF">
        <w:rPr>
          <w:i/>
        </w:rPr>
        <w:t>Bottom-Up</w:t>
      </w:r>
      <w:r w:rsidRPr="007114AF">
        <w:t xml:space="preserve">), ndërsa ekzistenca dhe cilësia e ulet statistikave kombëtare ka kufizuar dobishmërinë e metodës </w:t>
      </w:r>
      <w:r w:rsidR="000A2A01" w:rsidRPr="007114AF">
        <w:t>“</w:t>
      </w:r>
      <w:r w:rsidRPr="007114AF">
        <w:t>Lart-Poshtë</w:t>
      </w:r>
      <w:r w:rsidR="000A2A01" w:rsidRPr="007114AF">
        <w:t>”</w:t>
      </w:r>
      <w:r w:rsidRPr="007114AF">
        <w:t xml:space="preserve"> (LP) (</w:t>
      </w:r>
      <w:r w:rsidRPr="007114AF">
        <w:rPr>
          <w:i/>
        </w:rPr>
        <w:t>Top-Down</w:t>
      </w:r>
      <w:r w:rsidRPr="007114AF">
        <w:t>).</w:t>
      </w:r>
      <w:r w:rsidR="000A2A01" w:rsidRPr="007114AF">
        <w:t xml:space="preserve"> </w:t>
      </w:r>
      <w:r w:rsidRPr="007114AF">
        <w:t>Prandaj, për të mundësuar raportim të saktë e në kohë, gjatë periudhës së mbuluar nga kjo PKVEE e re, është parë si masë prioritare krijimi i platform</w:t>
      </w:r>
      <w:r w:rsidR="00AB4345">
        <w:t>ë</w:t>
      </w:r>
      <w:r w:rsidRPr="007114AF">
        <w:t>s së monitorimit dhe verifikimit të masave.</w:t>
      </w:r>
    </w:p>
    <w:p w14:paraId="6EDCFD7A" w14:textId="23BFCFE1" w:rsidR="00A9766F" w:rsidRPr="007114AF" w:rsidRDefault="00A9766F" w:rsidP="00206985">
      <w:pPr>
        <w:pStyle w:val="TEKSTI"/>
        <w:rPr>
          <w:b/>
        </w:rPr>
      </w:pPr>
      <w:r w:rsidRPr="007114AF">
        <w:rPr>
          <w:b/>
        </w:rPr>
        <w:t>Prioritetet për kursimin e energjisë për PKVEE e re</w:t>
      </w:r>
    </w:p>
    <w:p w14:paraId="6EDCFD7B" w14:textId="1096BF7C" w:rsidR="00A9766F" w:rsidRPr="007114AF" w:rsidRDefault="00A9766F" w:rsidP="00206985">
      <w:pPr>
        <w:pStyle w:val="TEKSTI"/>
        <w:rPr>
          <w:b/>
        </w:rPr>
      </w:pPr>
      <w:r w:rsidRPr="007114AF">
        <w:rPr>
          <w:b/>
        </w:rPr>
        <w:t>Stoku i ndërtesave të banimit në Shqipëri dhe efic</w:t>
      </w:r>
      <w:r w:rsidR="00D565A2" w:rsidRPr="007114AF">
        <w:rPr>
          <w:b/>
        </w:rPr>
        <w:t>i</w:t>
      </w:r>
      <w:r w:rsidRPr="007114AF">
        <w:rPr>
          <w:b/>
        </w:rPr>
        <w:t>enca e energjisë 2020</w:t>
      </w:r>
    </w:p>
    <w:p w14:paraId="6EDCFD7C" w14:textId="69DC6D7E" w:rsidR="00A9766F" w:rsidRPr="007114AF" w:rsidRDefault="00A9766F" w:rsidP="00206985">
      <w:pPr>
        <w:pStyle w:val="TEKSTI"/>
      </w:pPr>
      <w:r w:rsidRPr="007114AF">
        <w:t>Kërkesa për energji nga sektori i ndërtesave të banimit përbën një sfidë të madhe për Shqipërinë. Në vitin 2013, ky sektor ishte përgjegjës për 30 për qind të konsumit fundor kombëtar të energjisë dhe për 60 për qind të konsumit kombëtar të energjisë elektrike.</w:t>
      </w:r>
      <w:r w:rsidR="000A2A01" w:rsidRPr="007114AF">
        <w:t xml:space="preserve"> </w:t>
      </w:r>
      <w:r w:rsidRPr="007114AF">
        <w:t>Përgjithësisht, banesat shqiptare ngrohen pjesërisht për pak orë në ditë.</w:t>
      </w:r>
      <w:r w:rsidR="000A2A01" w:rsidRPr="007114AF">
        <w:t xml:space="preserve"> </w:t>
      </w:r>
      <w:r w:rsidRPr="007114AF">
        <w:t>Përdorimi i vazhdueshëm i sobave të vjetra me dru zjarri sjell probleme të shumta për mjedisin dhe shëndetin.</w:t>
      </w:r>
    </w:p>
    <w:p w14:paraId="6EDCFD7D" w14:textId="7D776845" w:rsidR="00A9766F" w:rsidRPr="007114AF" w:rsidRDefault="00A9766F" w:rsidP="00206985">
      <w:pPr>
        <w:pStyle w:val="TEKSTI"/>
        <w:rPr>
          <w:b/>
          <w:i/>
        </w:rPr>
      </w:pPr>
      <w:r w:rsidRPr="007114AF">
        <w:t>Jan</w:t>
      </w:r>
      <w:r w:rsidR="00D565A2" w:rsidRPr="007114AF">
        <w:t>ë</w:t>
      </w:r>
      <w:r w:rsidRPr="007114AF">
        <w:t xml:space="preserve"> propozuar dy paketa në shtesë të kuadrit të sotëm të politikave, të cilat kanë si qëllim ta shndërroj</w:t>
      </w:r>
      <w:r w:rsidR="00D565A2" w:rsidRPr="007114AF">
        <w:t>ë</w:t>
      </w:r>
      <w:r w:rsidRPr="007114AF">
        <w:t xml:space="preserve"> stokun e ndërtesave të banimit në ndërtesa me nivelin minimal të harxhimit të energjisë dhe çlirimit të karbonit deri në vitin 2050.</w:t>
      </w:r>
      <w:r w:rsidR="000A2A01" w:rsidRPr="007114AF">
        <w:t xml:space="preserve"> </w:t>
      </w:r>
      <w:r w:rsidRPr="007114AF">
        <w:t>Është vlerësuar shkalla e përpjekjeve të nevojshme për të arritur këto objektiva të matur për sipërfaqen e dyshemesë (banimit) të marre në konsiderate, si edhe investimet e kërkuara.</w:t>
      </w:r>
      <w:r w:rsidR="000A2A01" w:rsidRPr="007114AF">
        <w:t xml:space="preserve"> </w:t>
      </w:r>
      <w:r w:rsidRPr="007114AF">
        <w:t>Është vlerësuar kursimi i energjisë, kostot e kursyera lidhur me energjinë, impakti në shkarkimet e CO2 që dhe kosto-efektshmërinë e paketave të ndërhyrjeve</w:t>
      </w:r>
      <w:r w:rsidRPr="007114AF">
        <w:rPr>
          <w:vertAlign w:val="superscript"/>
        </w:rPr>
        <w:footnoteReference w:id="47"/>
      </w:r>
      <w:r w:rsidRPr="007114AF">
        <w:t xml:space="preserve">. </w:t>
      </w:r>
    </w:p>
    <w:p w14:paraId="6EDCFD7E" w14:textId="3146174F" w:rsidR="00A9766F" w:rsidRPr="007114AF" w:rsidRDefault="00A9766F" w:rsidP="00206985">
      <w:pPr>
        <w:pStyle w:val="TEKSTI"/>
      </w:pPr>
      <w:r w:rsidRPr="007114AF">
        <w:t>Gjetjet se konsumi përfundimtar i energjisë në vitin 2015 në sektorin e banimit për shërbimet e energjisë termike ishte 4.9 miliardë kWh, nga të cilat 54% përmbusheshin nga energjia elektrike, 37% nga lënda drusore dhe 9% nga gazi i lëngët.</w:t>
      </w:r>
      <w:r w:rsidR="000A2A01" w:rsidRPr="007114AF">
        <w:t xml:space="preserve"> </w:t>
      </w:r>
      <w:r w:rsidRPr="007114AF">
        <w:t>Sektori shkarkoi 96 mijë tonë CO2 i bashkëlidhur me konsumin e gazit të lëngët.</w:t>
      </w:r>
      <w:r w:rsidR="000A2A01" w:rsidRPr="007114AF">
        <w:t xml:space="preserve"> </w:t>
      </w:r>
      <w:r w:rsidRPr="007114AF">
        <w:t>Energjia përfundimtare e konsumuar e përllogaritur mbi bazën e veçorive gjeometrike dhe termike të ndërtesave si dhe veçoritë e sistemeve të instaluara energjisë ndryshojnë në mënyrë thelbësore nga balanca e energjisë.</w:t>
      </w:r>
      <w:r w:rsidR="000A2A01" w:rsidRPr="007114AF">
        <w:t xml:space="preserve"> </w:t>
      </w:r>
      <w:r w:rsidRPr="007114AF">
        <w:t xml:space="preserve">Për këtë shkak, konsumi përfundimtar i energjisë u kalibrua kundrejt balancës duke korrigjuar nivelin e sotëm të komfortit termik, shprehimisht sipërfaqja e pjesshme e dyshemesë e ngrohur dhe e ftohur dhe kohëzgjatja e ngrohjes dhe ftohjes së hapësirës. </w:t>
      </w:r>
    </w:p>
    <w:p w14:paraId="6EDCFD7F" w14:textId="5503E0AF" w:rsidR="00A9766F" w:rsidRPr="007114AF" w:rsidRDefault="00A9766F" w:rsidP="00206985">
      <w:pPr>
        <w:pStyle w:val="TEKSTI"/>
      </w:pPr>
      <w:r w:rsidRPr="007114AF">
        <w:t>Duke ndjekur tendencat e tregut, ne supozojmë një rritje të shpejtë të ngrohjes me energji elektrike të banesave ekzistuese.</w:t>
      </w:r>
      <w:r w:rsidR="000A2A01" w:rsidRPr="007114AF">
        <w:t xml:space="preserve"> </w:t>
      </w:r>
      <w:r w:rsidRPr="007114AF">
        <w:t>Për këtë shkak, gjatë periudhës 2015–2030 konsumi i energjisë elektrike do të rritet afërsisht me 2.2%/vit, ndërsa konsumi i druve të zjarrit dhe gazit të lëngët do të ulet respektivisht me afërsisht 11%/vit dhe 10%/vit.</w:t>
      </w:r>
      <w:r w:rsidR="000A2A01" w:rsidRPr="007114AF">
        <w:t xml:space="preserve"> </w:t>
      </w:r>
      <w:r w:rsidRPr="007114AF">
        <w:t>Në vitin 2030, shkarkimet e CO</w:t>
      </w:r>
      <w:r w:rsidRPr="00AB4345">
        <w:rPr>
          <w:vertAlign w:val="subscript"/>
        </w:rPr>
        <w:t>2</w:t>
      </w:r>
      <w:r w:rsidRPr="007114AF">
        <w:t xml:space="preserve"> do të zënë 23% të nivelit të tyre në vitin 2015, ndikuar kryesisht prej ndryshimit në llojit të energjisë, kalimit nga gazi i lëngët tek energjia elektrike.</w:t>
      </w:r>
      <w:r w:rsidR="000A2A01" w:rsidRPr="007114AF">
        <w:t xml:space="preserve"> </w:t>
      </w:r>
      <w:r w:rsidRPr="007114AF">
        <w:t>Kërkesa për energji në ndërtesat ekzistuese pritet të zvogëlohet pavarësisht rritjes së konfortit termik për shkak të përmirësimeve qe lidhen me periudhën e përdorimit të ndërtesës duke mare në konsiderate ritmin e rinovimit t</w:t>
      </w:r>
      <w:r w:rsidR="00362F59">
        <w:t>ë</w:t>
      </w:r>
      <w:r w:rsidRPr="007114AF">
        <w:t xml:space="preserve"> ndërtesave të stokut ekzistues me 2.8%/vit.</w:t>
      </w:r>
      <w:r w:rsidR="000A2A01" w:rsidRPr="007114AF">
        <w:t xml:space="preserve"> </w:t>
      </w:r>
    </w:p>
    <w:p w14:paraId="6EDCFD80" w14:textId="348E5701" w:rsidR="00A9766F" w:rsidRPr="007114AF" w:rsidRDefault="00AB4345" w:rsidP="00206985">
      <w:pPr>
        <w:pStyle w:val="TEKSTI"/>
      </w:pPr>
      <w:r w:rsidRPr="007114AF">
        <w:t>Është</w:t>
      </w:r>
      <w:r w:rsidR="00A9766F" w:rsidRPr="007114AF">
        <w:t xml:space="preserve"> e domosdoshme qe kodet energjetike të ndërtimit q</w:t>
      </w:r>
      <w:r>
        <w:t>ë</w:t>
      </w:r>
      <w:r w:rsidR="00A9766F" w:rsidRPr="007114AF">
        <w:t xml:space="preserve"> do t</w:t>
      </w:r>
      <w:r>
        <w:t>ë</w:t>
      </w:r>
      <w:r w:rsidR="00A9766F" w:rsidRPr="007114AF">
        <w:t xml:space="preserve"> miratohen brenda 2018 dhe ne në vitin 2022 duhet t</w:t>
      </w:r>
      <w:r>
        <w:t>ë</w:t>
      </w:r>
      <w:r w:rsidR="00A9766F" w:rsidRPr="007114AF">
        <w:t xml:space="preserve"> parashikohet nj</w:t>
      </w:r>
      <w:r>
        <w:t>ë</w:t>
      </w:r>
      <w:r w:rsidR="00A9766F" w:rsidRPr="007114AF">
        <w:t xml:space="preserve"> kod energjetik edhe më i rreptë, me kërkesa që </w:t>
      </w:r>
      <w:r w:rsidRPr="007114AF">
        <w:t>përfshijnë</w:t>
      </w:r>
      <w:r w:rsidR="00A9766F" w:rsidRPr="007114AF">
        <w:t xml:space="preserve"> jo </w:t>
      </w:r>
      <w:r w:rsidRPr="007114AF">
        <w:t>vetëm</w:t>
      </w:r>
      <w:r w:rsidR="00A9766F" w:rsidRPr="007114AF">
        <w:t xml:space="preserve"> </w:t>
      </w:r>
      <w:r w:rsidRPr="007114AF">
        <w:t>ndërhyrjet</w:t>
      </w:r>
      <w:r w:rsidR="00A9766F" w:rsidRPr="007114AF">
        <w:t xml:space="preserve"> n</w:t>
      </w:r>
      <w:r w:rsidR="0000517F">
        <w:t>ë</w:t>
      </w:r>
      <w:r w:rsidR="00A9766F" w:rsidRPr="007114AF">
        <w:t xml:space="preserve"> izolimin termik</w:t>
      </w:r>
      <w:r>
        <w:t>,</w:t>
      </w:r>
      <w:r w:rsidR="00A9766F" w:rsidRPr="007114AF">
        <w:t xml:space="preserve"> por edhe vendosjen e sistemit termik me efic</w:t>
      </w:r>
      <w:r>
        <w:t>i</w:t>
      </w:r>
      <w:r w:rsidR="00A9766F" w:rsidRPr="007114AF">
        <w:t>enc</w:t>
      </w:r>
      <w:r>
        <w:t>ë</w:t>
      </w:r>
      <w:r w:rsidR="00A9766F" w:rsidRPr="007114AF">
        <w:t xml:space="preserve"> t</w:t>
      </w:r>
      <w:r>
        <w:t>ë</w:t>
      </w:r>
      <w:r w:rsidR="00A9766F" w:rsidRPr="007114AF">
        <w:t xml:space="preserve"> lart</w:t>
      </w:r>
      <w:r>
        <w:t>ë</w:t>
      </w:r>
      <w:r w:rsidR="00A9766F" w:rsidRPr="007114AF">
        <w:t>.</w:t>
      </w:r>
      <w:r w:rsidR="000A2A01" w:rsidRPr="007114AF">
        <w:t xml:space="preserve"> </w:t>
      </w:r>
      <w:r w:rsidR="00A9766F" w:rsidRPr="007114AF">
        <w:t>Me qëllim që tregu të përgatitet, Shqipëria duhet të zbatojë kreditë me interesa të ul</w:t>
      </w:r>
      <w:r>
        <w:t>ë</w:t>
      </w:r>
      <w:r w:rsidR="00A9766F" w:rsidRPr="007114AF">
        <w:t xml:space="preserve">ta për ndërtimin e ndërtesave të reja në mënyrë të arrijë performancën e kërkuar prej kodit të ndërtesave të vitit 2022. </w:t>
      </w:r>
    </w:p>
    <w:p w14:paraId="6EDCFD81" w14:textId="20A6C93A" w:rsidR="00A9766F" w:rsidRPr="007114AF" w:rsidRDefault="00A9766F" w:rsidP="00206985">
      <w:pPr>
        <w:pStyle w:val="TEKSTI"/>
      </w:pPr>
      <w:r w:rsidRPr="007114AF">
        <w:t>Për të siguruar kryerjen e rinovimit t</w:t>
      </w:r>
      <w:r w:rsidR="00AB4345">
        <w:t>ë</w:t>
      </w:r>
      <w:r w:rsidRPr="007114AF">
        <w:t xml:space="preserve"> </w:t>
      </w:r>
      <w:r w:rsidR="00AB4345" w:rsidRPr="007114AF">
        <w:t>ndërtesave</w:t>
      </w:r>
      <w:r w:rsidRPr="007114AF">
        <w:t xml:space="preserve"> t</w:t>
      </w:r>
      <w:r w:rsidR="00AB4345">
        <w:t>ë</w:t>
      </w:r>
      <w:r w:rsidRPr="007114AF">
        <w:t xml:space="preserve"> stokut e</w:t>
      </w:r>
      <w:r w:rsidR="00AB4345">
        <w:t>k</w:t>
      </w:r>
      <w:r w:rsidRPr="007114AF">
        <w:t>zistues, Shqipëria duhet të fusë stimujt financiarë për investitorët e sektorit të ndërtesave të banimit. Deri në vitin 2022, duhet të jepen stimujt financiarë, në mënyrë që të arrihet shkalla e performancës sipas modelit me karbon t</w:t>
      </w:r>
      <w:r w:rsidR="00362F59">
        <w:t>ë</w:t>
      </w:r>
      <w:r w:rsidRPr="007114AF">
        <w:t xml:space="preserve"> ul</w:t>
      </w:r>
      <w:r w:rsidR="00362F59">
        <w:t>ë</w:t>
      </w:r>
      <w:r w:rsidRPr="007114AF">
        <w:t xml:space="preserve">t. </w:t>
      </w:r>
    </w:p>
    <w:p w14:paraId="6EDCFD82" w14:textId="398282B9" w:rsidR="00A9766F" w:rsidRPr="002F2257" w:rsidRDefault="00A9766F" w:rsidP="00206985">
      <w:pPr>
        <w:pStyle w:val="TEKSTI"/>
        <w:rPr>
          <w:b/>
        </w:rPr>
      </w:pPr>
      <w:r w:rsidRPr="002F2257">
        <w:rPr>
          <w:b/>
        </w:rPr>
        <w:t xml:space="preserve">Stoku i </w:t>
      </w:r>
      <w:r w:rsidR="00BB4743" w:rsidRPr="002F2257">
        <w:rPr>
          <w:b/>
        </w:rPr>
        <w:t>ndërtesave</w:t>
      </w:r>
      <w:r w:rsidRPr="002F2257">
        <w:rPr>
          <w:b/>
        </w:rPr>
        <w:t xml:space="preserve"> </w:t>
      </w:r>
      <w:r w:rsidR="002F2257" w:rsidRPr="002F2257">
        <w:rPr>
          <w:b/>
        </w:rPr>
        <w:t xml:space="preserve">publike </w:t>
      </w:r>
      <w:r w:rsidRPr="002F2257">
        <w:rPr>
          <w:b/>
        </w:rPr>
        <w:t>dhe efic</w:t>
      </w:r>
      <w:r w:rsidR="00BB4743" w:rsidRPr="002F2257">
        <w:rPr>
          <w:b/>
        </w:rPr>
        <w:t>i</w:t>
      </w:r>
      <w:r w:rsidRPr="002F2257">
        <w:rPr>
          <w:b/>
        </w:rPr>
        <w:t xml:space="preserve">enca e </w:t>
      </w:r>
      <w:r w:rsidR="00BB4743" w:rsidRPr="002F2257">
        <w:rPr>
          <w:b/>
        </w:rPr>
        <w:t>energjisë</w:t>
      </w:r>
      <w:r w:rsidRPr="002F2257">
        <w:rPr>
          <w:b/>
        </w:rPr>
        <w:t xml:space="preserve"> 2020</w:t>
      </w:r>
    </w:p>
    <w:p w14:paraId="6EDCFD83" w14:textId="7EF3DD4C" w:rsidR="00A9766F" w:rsidRPr="002F2257" w:rsidRDefault="00BB4743" w:rsidP="00206985">
      <w:pPr>
        <w:pStyle w:val="TEKSTI"/>
      </w:pPr>
      <w:r w:rsidRPr="002F2257">
        <w:t>Një</w:t>
      </w:r>
      <w:r w:rsidR="00A9766F" w:rsidRPr="002F2257">
        <w:t xml:space="preserve"> studim i financuar nga ADA (Austrian Developement Agency) siguroi informacion për modelimin sektorial të stokut të ndërtesave publike të Shqipërisë me qellim strategjinë e rinovimit të tyre me Efi</w:t>
      </w:r>
      <w:r w:rsidRPr="002F2257">
        <w:t>ci</w:t>
      </w:r>
      <w:r w:rsidR="00A9766F" w:rsidRPr="002F2257">
        <w:t xml:space="preserve">encën e </w:t>
      </w:r>
      <w:r w:rsidRPr="002F2257">
        <w:t>Energjisë</w:t>
      </w:r>
      <w:r w:rsidR="00A9766F" w:rsidRPr="002F2257">
        <w:t>. Një element kyç i arritur në këtë studim është identifikimi i tipologjisë së ndërtesave publike për Shqipërinë, i cili nuk ka ekzistuar më parë. Bazuar në studim janë identifikuar</w:t>
      </w:r>
      <w:r w:rsidR="000A2A01" w:rsidRPr="002F2257">
        <w:t xml:space="preserve"> </w:t>
      </w:r>
      <w:r w:rsidR="00A9766F" w:rsidRPr="002F2257">
        <w:t>gjashtë kategori në bazë sipas funksionit të ndërtesave Publike qe mirëmbahen nga buxheti qendror dhe Lokal: (i) konvikte, (ii) spitale, (iii) kopshte, (iv) zyra, (v) shkolla dhe (vi) universitete.</w:t>
      </w:r>
      <w:r w:rsidR="000A2A01" w:rsidRPr="002F2257">
        <w:t xml:space="preserve"> </w:t>
      </w:r>
      <w:r w:rsidR="00A9766F" w:rsidRPr="002F2257">
        <w:t xml:space="preserve">Është vlerësuar kërkesa për energji për çdo kategori. </w:t>
      </w:r>
    </w:p>
    <w:p w14:paraId="6EDCFD84" w14:textId="2162D12D" w:rsidR="00A9766F" w:rsidRPr="002F2257" w:rsidRDefault="00A9766F" w:rsidP="00206985">
      <w:pPr>
        <w:pStyle w:val="TEKSTI"/>
      </w:pPr>
      <w:r w:rsidRPr="002F2257">
        <w:t>Është bërë identifikimi dhe kosto e përfitimeve të tjera lidhur me përmirësimin e efi</w:t>
      </w:r>
      <w:r w:rsidR="00D565A2" w:rsidRPr="002F2257">
        <w:t>ci</w:t>
      </w:r>
      <w:r w:rsidRPr="002F2257">
        <w:t>encës termike përtej kursimeve të kostove të energjisë. Këto përfitime përfshijnë, përveç të tjerave (i) komfortin</w:t>
      </w:r>
      <w:r w:rsidR="000A2A01" w:rsidRPr="002F2257">
        <w:t xml:space="preserve"> </w:t>
      </w:r>
      <w:r w:rsidRPr="002F2257">
        <w:t>termik, (ii) shmangiet e çlirimeve të</w:t>
      </w:r>
      <w:r w:rsidR="000A2A01" w:rsidRPr="002F2257">
        <w:t xml:space="preserve"> </w:t>
      </w:r>
      <w:r w:rsidRPr="002F2257">
        <w:t>CO2, (iii) shmangie e efekteve</w:t>
      </w:r>
      <w:r w:rsidR="000A2A01" w:rsidRPr="002F2257">
        <w:t xml:space="preserve"> </w:t>
      </w:r>
      <w:r w:rsidRPr="002F2257">
        <w:t>ekonomike nga ndotësve ajrit, (iv) punësimin, dhe (v) rritjen ekonomike</w:t>
      </w:r>
    </w:p>
    <w:p w14:paraId="6EDCFD85" w14:textId="139E0B7A" w:rsidR="00A9766F" w:rsidRPr="007114AF" w:rsidRDefault="00A9766F" w:rsidP="00206985">
      <w:pPr>
        <w:pStyle w:val="TEKSTI"/>
      </w:pPr>
      <w:r w:rsidRPr="002F2257">
        <w:t>U vlerësuan</w:t>
      </w:r>
      <w:r w:rsidR="000A2A01" w:rsidRPr="002F2257">
        <w:t xml:space="preserve"> </w:t>
      </w:r>
      <w:r w:rsidRPr="002F2257">
        <w:t>6.6 milionë m</w:t>
      </w:r>
      <w:r w:rsidRPr="002F2257">
        <w:rPr>
          <w:vertAlign w:val="superscript"/>
        </w:rPr>
        <w:t>2</w:t>
      </w:r>
      <w:r w:rsidRPr="002F2257">
        <w:t xml:space="preserve"> sipërfaqe e target grupit të llojeve kryesore të ndërtesave publike, shifër qe nuk pritet të ndryshoj</w:t>
      </w:r>
      <w:r w:rsidR="00D565A2" w:rsidRPr="002F2257">
        <w:t>ë</w:t>
      </w:r>
      <w:r w:rsidRPr="002F2257">
        <w:t xml:space="preserve"> në m</w:t>
      </w:r>
      <w:r w:rsidR="00D565A2" w:rsidRPr="002F2257">
        <w:t>ë</w:t>
      </w:r>
      <w:r w:rsidRPr="002F2257">
        <w:t>nyr</w:t>
      </w:r>
      <w:r w:rsidR="00D565A2" w:rsidRPr="002F2257">
        <w:t>ë</w:t>
      </w:r>
      <w:r w:rsidRPr="002F2257">
        <w:t xml:space="preserve"> të konsiderueshme. Nd</w:t>
      </w:r>
      <w:r w:rsidR="00D565A2" w:rsidRPr="002F2257">
        <w:t>ë</w:t>
      </w:r>
      <w:r w:rsidRPr="002F2257">
        <w:t>rkoh</w:t>
      </w:r>
      <w:r w:rsidR="00D565A2" w:rsidRPr="002F2257">
        <w:t>ë</w:t>
      </w:r>
      <w:r w:rsidRPr="002F2257">
        <w:t xml:space="preserve"> q</w:t>
      </w:r>
      <w:r w:rsidR="00D565A2" w:rsidRPr="002F2257">
        <w:t>ë</w:t>
      </w:r>
      <w:r w:rsidRPr="002F2257">
        <w:t xml:space="preserve"> klasifikimi sipas </w:t>
      </w:r>
      <w:r w:rsidRPr="002F2257">
        <w:rPr>
          <w:b/>
        </w:rPr>
        <w:t>Tipologjisë tregon se r</w:t>
      </w:r>
      <w:r w:rsidRPr="002F2257">
        <w:t>reth 75% ose ¾ e sipërfaqes është e zënë nga ndërtesa që përdoren për qëllime arsimore, 13</w:t>
      </w:r>
      <w:r w:rsidR="002F2257" w:rsidRPr="002F2257">
        <w:t>% zyrat dhe 11% spitalet</w:t>
      </w:r>
      <w:r w:rsidRPr="002F2257">
        <w:t>. Analiza tregon se 57%</w:t>
      </w:r>
      <w:r w:rsidR="003F649E" w:rsidRPr="002F2257">
        <w:t>,</w:t>
      </w:r>
      <w:r w:rsidRPr="002F2257">
        <w:t>është e vendosur në zonën e klimës A, 26% në zonën klimatike B dhe 17% është në zonën klimatike C.</w:t>
      </w:r>
      <w:r w:rsidRPr="007114AF">
        <w:t xml:space="preserve"> </w:t>
      </w:r>
    </w:p>
    <w:p w14:paraId="6EDCFD86" w14:textId="2DDE250C" w:rsidR="00A9766F" w:rsidRPr="007114AF" w:rsidRDefault="00A9766F" w:rsidP="00206985">
      <w:pPr>
        <w:pStyle w:val="TEKSTI"/>
        <w:rPr>
          <w:b/>
        </w:rPr>
      </w:pPr>
      <w:r w:rsidRPr="007114AF">
        <w:rPr>
          <w:b/>
        </w:rPr>
        <w:t xml:space="preserve">Kosto e </w:t>
      </w:r>
      <w:r w:rsidR="002F2257" w:rsidRPr="007114AF">
        <w:rPr>
          <w:b/>
        </w:rPr>
        <w:t xml:space="preserve">rikonstruksionit </w:t>
      </w:r>
      <w:r w:rsidRPr="007114AF">
        <w:rPr>
          <w:b/>
        </w:rPr>
        <w:t>dhe prioritete</w:t>
      </w:r>
    </w:p>
    <w:p w14:paraId="6EDCFD87" w14:textId="77777777" w:rsidR="00A9766F" w:rsidRPr="007114AF" w:rsidRDefault="00A9766F" w:rsidP="00206985">
      <w:pPr>
        <w:pStyle w:val="TEKSTI"/>
      </w:pPr>
      <w:r w:rsidRPr="007114AF">
        <w:t xml:space="preserve">Prioriteti sipas kërkesës për investim klasifikohet fillimisht për Kopshtet, të ndjekur nga Shkollat, Spitalet dhe Zyrat. Investimi më i madh është i nevojshëm në zonën klimaterike A. </w:t>
      </w:r>
    </w:p>
    <w:p w14:paraId="6EDCFD88" w14:textId="07292898" w:rsidR="00A9766F" w:rsidRPr="007114AF" w:rsidRDefault="00A9766F" w:rsidP="00206985">
      <w:pPr>
        <w:pStyle w:val="TEKSTI"/>
      </w:pPr>
      <w:r w:rsidRPr="007114AF">
        <w:t>Kursimet më të larta të kërkesës për energji primare dhe fundore, si dhe reduktimet e emetimeve t</w:t>
      </w:r>
      <w:r w:rsidR="00043796">
        <w:t>ë</w:t>
      </w:r>
      <w:r w:rsidRPr="007114AF">
        <w:t xml:space="preserve"> CO</w:t>
      </w:r>
      <w:r w:rsidRPr="00043796">
        <w:rPr>
          <w:vertAlign w:val="subscript"/>
        </w:rPr>
        <w:t>2</w:t>
      </w:r>
      <w:r w:rsidRPr="007114AF">
        <w:t xml:space="preserve"> për m</w:t>
      </w:r>
      <w:r w:rsidRPr="007114AF">
        <w:rPr>
          <w:vertAlign w:val="superscript"/>
        </w:rPr>
        <w:t>2</w:t>
      </w:r>
      <w:r w:rsidRPr="007114AF">
        <w:t xml:space="preserve"> janë pa mëdyshje në ndërtesat e zonës klimatike C. Këta tregues janë dy herë më të vegjël për të zonat klimatike A dhe B, dallimi midis tyre nuk është dhe aq i rëndësishëm. Kursimet me te larta te kërkesës për energji primare dhe për m</w:t>
      </w:r>
      <w:r w:rsidRPr="007114AF">
        <w:rPr>
          <w:vertAlign w:val="superscript"/>
        </w:rPr>
        <w:t>2</w:t>
      </w:r>
      <w:r w:rsidRPr="007114AF">
        <w:t xml:space="preserve"> janë në konvikte, spitale dhe zyra</w:t>
      </w:r>
    </w:p>
    <w:p w14:paraId="6EDCFD89" w14:textId="5EAC9769" w:rsidR="00A9766F" w:rsidRPr="007114AF" w:rsidRDefault="00A9766F" w:rsidP="00206985">
      <w:pPr>
        <w:pStyle w:val="TEKSTI"/>
      </w:pPr>
      <w:r w:rsidRPr="007114AF">
        <w:t>Zona Klimatike A zë pjesën më të madhe të kursimeve finale të energjisë në vlera absolute për shkak të numrit më të madh të ndërtesave në zonën klimatike A se sa në zonën klimatike C. Për sa i përket potencialit absolut për kursime fillestare dhe përfundimtare</w:t>
      </w:r>
      <w:r w:rsidR="003F649E" w:rsidRPr="007114AF">
        <w:t>,</w:t>
      </w:r>
      <w:r w:rsidRPr="007114AF">
        <w:t xml:space="preserve"> kopshtet janë</w:t>
      </w:r>
      <w:r w:rsidR="008D30FC" w:rsidRPr="007114AF">
        <w:t xml:space="preserve"> </w:t>
      </w:r>
      <w:r w:rsidRPr="007114AF">
        <w:t>n</w:t>
      </w:r>
      <w:r w:rsidR="0000517F">
        <w:t>ë</w:t>
      </w:r>
      <w:r w:rsidRPr="007114AF">
        <w:t xml:space="preserve"> radhë të parë, te ndjekur nga shkollat </w:t>
      </w:r>
      <w:r w:rsidRPr="007114AF">
        <w:rPr>
          <w:rFonts w:ascii="Times New Roman" w:hAnsi="Times New Roman" w:cs="Times New Roman"/>
        </w:rPr>
        <w:t>​​</w:t>
      </w:r>
      <w:r w:rsidRPr="007114AF">
        <w:t>dhe spitalet. N</w:t>
      </w:r>
      <w:r w:rsidRPr="007114AF">
        <w:rPr>
          <w:rFonts w:cs="Garamond"/>
        </w:rPr>
        <w:t>ë</w:t>
      </w:r>
      <w:r w:rsidRPr="007114AF">
        <w:t xml:space="preserve"> kushtet e kursimeve t</w:t>
      </w:r>
      <w:r w:rsidRPr="007114AF">
        <w:rPr>
          <w:rFonts w:cs="Garamond"/>
        </w:rPr>
        <w:t>ë</w:t>
      </w:r>
      <w:r w:rsidRPr="007114AF">
        <w:t xml:space="preserve"> mundshme t</w:t>
      </w:r>
      <w:r w:rsidRPr="007114AF">
        <w:rPr>
          <w:rFonts w:cs="Garamond"/>
        </w:rPr>
        <w:t>ë</w:t>
      </w:r>
      <w:r w:rsidRPr="007114AF">
        <w:t xml:space="preserve"> shkarkimeve CO2, potenciali m</w:t>
      </w:r>
      <w:r w:rsidRPr="007114AF">
        <w:rPr>
          <w:rFonts w:cs="Garamond"/>
        </w:rPr>
        <w:t>ë</w:t>
      </w:r>
      <w:r w:rsidRPr="007114AF">
        <w:t xml:space="preserve"> i madh </w:t>
      </w:r>
      <w:r w:rsidRPr="007114AF">
        <w:rPr>
          <w:rFonts w:cs="Garamond"/>
        </w:rPr>
        <w:t>ë</w:t>
      </w:r>
      <w:r w:rsidRPr="007114AF">
        <w:t>sht</w:t>
      </w:r>
      <w:r w:rsidRPr="007114AF">
        <w:rPr>
          <w:rFonts w:cs="Garamond"/>
        </w:rPr>
        <w:t>ë</w:t>
      </w:r>
      <w:r w:rsidRPr="007114AF">
        <w:t xml:space="preserve"> n</w:t>
      </w:r>
      <w:r w:rsidRPr="007114AF">
        <w:rPr>
          <w:rFonts w:cs="Garamond"/>
        </w:rPr>
        <w:t>ë</w:t>
      </w:r>
      <w:r w:rsidRPr="007114AF">
        <w:t xml:space="preserve"> spitale dhe kopshte.</w:t>
      </w:r>
    </w:p>
    <w:p w14:paraId="6EDCFD8A" w14:textId="51C9C9D6" w:rsidR="00A9766F" w:rsidRPr="007114AF" w:rsidRDefault="00A9766F" w:rsidP="00206985">
      <w:pPr>
        <w:pStyle w:val="TEKSTI"/>
      </w:pPr>
      <w:r w:rsidRPr="007114AF">
        <w:t>Kursimet Mesatare të Energjisë sipas jetëgjatësisë së rikonstruktimit janë 4.4 EUR/m</w:t>
      </w:r>
      <w:r w:rsidRPr="007114AF">
        <w:rPr>
          <w:vertAlign w:val="superscript"/>
        </w:rPr>
        <w:t>2</w:t>
      </w:r>
      <w:r w:rsidRPr="007114AF">
        <w:t xml:space="preserve"> në vit, ose 76 EUR/m</w:t>
      </w:r>
      <w:r w:rsidRPr="007114AF">
        <w:rPr>
          <w:vertAlign w:val="superscript"/>
        </w:rPr>
        <w:t>2</w:t>
      </w:r>
      <w:r w:rsidRPr="007114AF">
        <w:t xml:space="preserve"> gjatë gjithë jetëgjatësisë. Nd</w:t>
      </w:r>
      <w:r w:rsidR="000E3890">
        <w:t>ë</w:t>
      </w:r>
      <w:r w:rsidRPr="007114AF">
        <w:t xml:space="preserve">rsa Totali i Kursimeve te kostos së energjisë është 29 </w:t>
      </w:r>
      <w:r w:rsidR="001C47F0" w:rsidRPr="007114AF">
        <w:t xml:space="preserve">milionë </w:t>
      </w:r>
      <w:r w:rsidRPr="007114AF">
        <w:t>EUR/vit dhe 502 milionë EUR gjatë jetëgjatësisë. Pothuajse 45% e saj është në zonën klimaterike</w:t>
      </w:r>
      <w:r w:rsidR="000A2A01" w:rsidRPr="007114AF">
        <w:t xml:space="preserve"> </w:t>
      </w:r>
      <w:r w:rsidRPr="007114AF">
        <w:t>A për shkak të numrit te madh të ndërtesave. Kursimet më të larta te kostos së energjisë për m</w:t>
      </w:r>
      <w:r w:rsidRPr="007114AF">
        <w:rPr>
          <w:vertAlign w:val="superscript"/>
        </w:rPr>
        <w:t>2</w:t>
      </w:r>
      <w:r w:rsidRPr="007114AF">
        <w:t xml:space="preserve"> janë të ofruara nga spitalet, te ndjekur nga konviktet. Shpenzimet e kursyera të energjisë për m</w:t>
      </w:r>
      <w:r w:rsidRPr="007114AF">
        <w:rPr>
          <w:vertAlign w:val="superscript"/>
        </w:rPr>
        <w:t>2</w:t>
      </w:r>
      <w:r w:rsidRPr="007114AF">
        <w:t xml:space="preserve"> në zonën klimaterike</w:t>
      </w:r>
      <w:r w:rsidR="000A2A01" w:rsidRPr="007114AF">
        <w:t xml:space="preserve"> </w:t>
      </w:r>
      <w:r w:rsidRPr="007114AF">
        <w:t>C janë më shumë se dy herë më të larta se ato në zonën klimaterike A dhe janë 65% më të larta se ato në zonën klimaterike B.</w:t>
      </w:r>
    </w:p>
    <w:p w14:paraId="6EDCFD8B" w14:textId="3F94FD39" w:rsidR="00A9766F" w:rsidRPr="007114AF" w:rsidRDefault="00A9766F" w:rsidP="00206985">
      <w:pPr>
        <w:pStyle w:val="TEKSTI"/>
      </w:pPr>
      <w:r w:rsidRPr="007114AF">
        <w:t>Rikonstruksionet e universiteteve nuk janë financiarisht të realizueshme, nëse</w:t>
      </w:r>
      <w:r w:rsidR="000A2A01" w:rsidRPr="007114AF">
        <w:t xml:space="preserve"> </w:t>
      </w:r>
      <w:r w:rsidRPr="007114AF">
        <w:t>vetëm shpenzimet e ruajtjes se energjisë do të merren si përfitime (vetëshlyerje më të lartë se</w:t>
      </w:r>
      <w:r w:rsidR="000A2A01" w:rsidRPr="007114AF">
        <w:t xml:space="preserve"> </w:t>
      </w:r>
      <w:r w:rsidRPr="007114AF">
        <w:t>jetëgjat</w:t>
      </w:r>
      <w:r w:rsidR="000E3890">
        <w:t>ë</w:t>
      </w:r>
      <w:r w:rsidRPr="007114AF">
        <w:t>sia, raporti kosto-benefit më i lartë se 1, NPV negative, IRR negative). Gjithashtu, rikonstruksionet e shkollave dhe kopshteve, nuk do të jenë financiarisht tërheqë</w:t>
      </w:r>
      <w:r w:rsidR="005D299A">
        <w:t>se (NPV negative, raporti kosto</w:t>
      </w:r>
      <w:r w:rsidRPr="007114AF">
        <w:t xml:space="preserve">-benefit më e lartë se 1). Konviktet dhe spitalet janë financiarisht të realizueshme për rikonstruksione ndërsa zyrat janë në kufi të fizibilitetit. </w:t>
      </w:r>
    </w:p>
    <w:p w14:paraId="6EDCFD8C" w14:textId="3BAA468E" w:rsidR="00A9766F" w:rsidRPr="007114AF" w:rsidRDefault="000E3890" w:rsidP="00206985">
      <w:pPr>
        <w:pStyle w:val="TEKSTI"/>
      </w:pPr>
      <w:r w:rsidRPr="007114AF">
        <w:t>Veçanërisht</w:t>
      </w:r>
      <w:r w:rsidR="00A9766F" w:rsidRPr="007114AF">
        <w:t xml:space="preserve"> të larta janë edhe efektet në GDP dhe punësim. Nëse të gjitha këto përfitime do të merren parasysh në analizën financiare, kost-efektiviteti i rikonstruksioneve të efic</w:t>
      </w:r>
      <w:r>
        <w:t>i</w:t>
      </w:r>
      <w:r w:rsidR="00A9766F" w:rsidRPr="007114AF">
        <w:t>encës termale i të gjitha llojeve t</w:t>
      </w:r>
      <w:r w:rsidR="00F3633F">
        <w:t>ë</w:t>
      </w:r>
      <w:r w:rsidR="00A9766F" w:rsidRPr="007114AF">
        <w:t xml:space="preserve"> ndërtesave publike do të jetë shumë më i lartë.</w:t>
      </w:r>
    </w:p>
    <w:p w14:paraId="6EDCFD8D" w14:textId="1715E049" w:rsidR="00A9766F" w:rsidRPr="007114AF" w:rsidRDefault="00A9766F" w:rsidP="00206985">
      <w:pPr>
        <w:pStyle w:val="TEKSTI"/>
        <w:rPr>
          <w:b/>
        </w:rPr>
      </w:pPr>
      <w:r w:rsidRPr="007114AF">
        <w:rPr>
          <w:b/>
        </w:rPr>
        <w:t xml:space="preserve">Skenarët e </w:t>
      </w:r>
      <w:r w:rsidR="00043796" w:rsidRPr="007114AF">
        <w:rPr>
          <w:b/>
        </w:rPr>
        <w:t xml:space="preserve">rinovimit </w:t>
      </w:r>
      <w:r w:rsidRPr="007114AF">
        <w:rPr>
          <w:b/>
        </w:rPr>
        <w:t>të ndërtesave publike të parashikuara në PKVEE 2018</w:t>
      </w:r>
      <w:r w:rsidR="00AA2C6A">
        <w:t>–</w:t>
      </w:r>
      <w:r w:rsidRPr="007114AF">
        <w:rPr>
          <w:b/>
        </w:rPr>
        <w:t>2020</w:t>
      </w:r>
    </w:p>
    <w:p w14:paraId="6EDCFD8E" w14:textId="77777777" w:rsidR="00A9766F" w:rsidRPr="007114AF" w:rsidRDefault="00A9766F" w:rsidP="00206985">
      <w:pPr>
        <w:pStyle w:val="TEKSTI"/>
      </w:pPr>
      <w:r w:rsidRPr="007114AF">
        <w:t xml:space="preserve">Nga modelimi, janë identifikuar 2 skenarë të mundshëm që mund të përfshihen në PKVEE. </w:t>
      </w:r>
    </w:p>
    <w:p w14:paraId="6EDCFD8F" w14:textId="78F2511F" w:rsidR="00A9766F" w:rsidRPr="007114AF" w:rsidRDefault="00A9766F" w:rsidP="00206985">
      <w:pPr>
        <w:pStyle w:val="TEKSTI"/>
      </w:pPr>
      <w:r w:rsidRPr="007114AF">
        <w:rPr>
          <w:b/>
        </w:rPr>
        <w:t>Skenari i</w:t>
      </w:r>
      <w:r w:rsidR="000A2A01" w:rsidRPr="007114AF">
        <w:rPr>
          <w:b/>
        </w:rPr>
        <w:t xml:space="preserve"> </w:t>
      </w:r>
      <w:r w:rsidRPr="007114AF">
        <w:rPr>
          <w:b/>
        </w:rPr>
        <w:t xml:space="preserve">Parë, </w:t>
      </w:r>
      <w:r w:rsidRPr="007114AF">
        <w:t>fokusohet në tipologjinë e ndërtesave ku rikonstruksionet janë me kosto efektive më të lartë dhe të cilat mund të zgjidhen si prioritet nga pikëpamja sociale, të cilat janë, Spitale dhe Kopshtet për të cilat parashikohet rikonstruktimi i 545,000 m</w:t>
      </w:r>
      <w:r w:rsidRPr="007114AF">
        <w:rPr>
          <w:vertAlign w:val="superscript"/>
        </w:rPr>
        <w:t>2</w:t>
      </w:r>
      <w:r w:rsidRPr="007114AF">
        <w:t>, në zonën klimatike C ku kosto totale e investimit është 40 Mil. EUR në periudhën 2018-2020 dhe përbën rreth 8% të stokut total të ndërtesave publike ose 2% në vit (10 Mil. EUR/Vit)</w:t>
      </w:r>
    </w:p>
    <w:p w14:paraId="6EDCFD90" w14:textId="0A1C93A5" w:rsidR="00A9766F" w:rsidRPr="007114AF" w:rsidRDefault="00A9766F" w:rsidP="00206985">
      <w:pPr>
        <w:pStyle w:val="TEKSTI"/>
      </w:pPr>
      <w:r w:rsidRPr="007114AF">
        <w:t xml:space="preserve">Të gjitha kopshtet dhe spitalet në zonën e klimës C do të rikonstruktohen duke pasur parasysh nivelin </w:t>
      </w:r>
      <w:r w:rsidRPr="007114AF">
        <w:rPr>
          <w:b/>
        </w:rPr>
        <w:t xml:space="preserve">e moderuar </w:t>
      </w:r>
      <w:r w:rsidRPr="007114AF">
        <w:t>të performancës të përcaktuar masat për përmirësimin e performanc</w:t>
      </w:r>
      <w:r w:rsidR="000E3890">
        <w:t>ë</w:t>
      </w:r>
      <w:r w:rsidRPr="007114AF">
        <w:t>s s</w:t>
      </w:r>
      <w:r w:rsidR="000E3890">
        <w:t>ë</w:t>
      </w:r>
      <w:r w:rsidRPr="007114AF">
        <w:t xml:space="preserve"> energjisë.</w:t>
      </w:r>
    </w:p>
    <w:p w14:paraId="6EDCFD91" w14:textId="02DD50A9" w:rsidR="00A9766F" w:rsidRPr="007114AF" w:rsidRDefault="00A9766F" w:rsidP="00206985">
      <w:pPr>
        <w:pStyle w:val="TEKSTI"/>
      </w:pPr>
      <w:r w:rsidRPr="007114AF">
        <w:rPr>
          <w:b/>
        </w:rPr>
        <w:t xml:space="preserve">Skenari i Dytë, </w:t>
      </w:r>
      <w:r w:rsidRPr="007114AF">
        <w:t>parashikon të njëjtën sasi investimi të shpërndarë në të gjitha zonat në mënyrë proporcionale me ndarjen e sipërfaqes së ndërtesave sipas tipit të ndërtesave.</w:t>
      </w:r>
      <w:r w:rsidRPr="007114AF">
        <w:br/>
        <w:t>Ky skenar sugjeron 530,000 m</w:t>
      </w:r>
      <w:r w:rsidRPr="007114AF">
        <w:rPr>
          <w:vertAlign w:val="superscript"/>
        </w:rPr>
        <w:t>2</w:t>
      </w:r>
      <w:r w:rsidRPr="007114AF">
        <w:t xml:space="preserve"> sipërfaqe të rikonstruktuar të shpërndarë proporcionalisht në tre zonat ku kosto</w:t>
      </w:r>
      <w:r w:rsidR="000A2A01" w:rsidRPr="007114AF">
        <w:t xml:space="preserve"> </w:t>
      </w:r>
      <w:r w:rsidRPr="007114AF">
        <w:t>40 mil. EUR do të aplikohet në 8 % të sipërfaqes se ndërtimeve ose 2%/vit qe p</w:t>
      </w:r>
      <w:r w:rsidR="00F3633F">
        <w:t>ë</w:t>
      </w:r>
      <w:r w:rsidRPr="007114AF">
        <w:t>rb</w:t>
      </w:r>
      <w:r w:rsidR="00F3633F">
        <w:t>ë</w:t>
      </w:r>
      <w:r w:rsidRPr="007114AF">
        <w:t>n 10 mil. EUR në Vit</w:t>
      </w:r>
    </w:p>
    <w:p w14:paraId="6EDCFD92" w14:textId="77777777" w:rsidR="00A9766F" w:rsidRPr="007114AF" w:rsidRDefault="00A9766F" w:rsidP="00206985">
      <w:pPr>
        <w:pStyle w:val="TEKSTI"/>
        <w:rPr>
          <w:b/>
        </w:rPr>
      </w:pPr>
      <w:r w:rsidRPr="007114AF">
        <w:rPr>
          <w:b/>
        </w:rPr>
        <w:t>Aktivitetet e planifikuara për PKVEE-në e re</w:t>
      </w:r>
    </w:p>
    <w:p w14:paraId="6EDCFD93" w14:textId="76DC6364" w:rsidR="00A9766F" w:rsidRPr="007114AF" w:rsidRDefault="00A9766F" w:rsidP="00206985">
      <w:pPr>
        <w:pStyle w:val="TEKSTI"/>
      </w:pPr>
      <w:r w:rsidRPr="007114AF">
        <w:t>Miratimi i ligjit për efiçiencën e energjisë (124/2015) dhe miratimi i ligjit për performancën energjetike të ndërtesave (116/2016), ofrojnë bazën mbi të cilën mund të krijohet një strategji e re për efiçencën e energjisë</w:t>
      </w:r>
      <w:r w:rsidR="000A2A01" w:rsidRPr="007114AF">
        <w:t xml:space="preserve"> </w:t>
      </w:r>
      <w:r w:rsidRPr="007114AF">
        <w:t>në Shqipëri.</w:t>
      </w:r>
      <w:r w:rsidR="000A2A01" w:rsidRPr="007114AF">
        <w:t xml:space="preserve"> </w:t>
      </w:r>
      <w:r w:rsidRPr="007114AF">
        <w:t>Kjo përfshin krijimin e Agjencisë për Efi</w:t>
      </w:r>
      <w:r w:rsidR="00F3633F">
        <w:t>c</w:t>
      </w:r>
      <w:r w:rsidRPr="007114AF">
        <w:t>iencën e Energjisë (AEE) dhe Fondit për Efiçiencën e Energjisë, hartimin e akteve nënligjore e mjeteve rregullatore të nevojshme, dhe më e rëndësishmja zbatimin e një sërë masash të reja, siç propozohet në këtë PKVEE.</w:t>
      </w:r>
    </w:p>
    <w:p w14:paraId="6EDCFD94" w14:textId="28F87800" w:rsidR="00A9766F" w:rsidRPr="007114AF" w:rsidRDefault="00A9766F" w:rsidP="00206985">
      <w:pPr>
        <w:pStyle w:val="TEKSTI"/>
      </w:pPr>
      <w:r w:rsidRPr="007114AF">
        <w:t>Masat e propozuara këtu dhe objektivat për efi</w:t>
      </w:r>
      <w:r w:rsidR="00F3633F">
        <w:t>c</w:t>
      </w:r>
      <w:r w:rsidRPr="007114AF">
        <w:t xml:space="preserve">iencën e energjisë të krijuara prej tyre, përbëjnë deklaratën e qëllimit të Shqipërisë për përmbushjen e detyrimeve të saj, në kuadër të transpozimit të </w:t>
      </w:r>
      <w:r w:rsidR="00F3633F">
        <w:t>d</w:t>
      </w:r>
      <w:r w:rsidRPr="007114AF">
        <w:t>irektiv</w:t>
      </w:r>
      <w:r w:rsidR="00F3633F">
        <w:t>ë</w:t>
      </w:r>
      <w:r w:rsidRPr="007114AF">
        <w:t>s së EE-së.</w:t>
      </w:r>
      <w:r w:rsidR="000A2A01" w:rsidRPr="007114AF">
        <w:t xml:space="preserve"> </w:t>
      </w:r>
      <w:r w:rsidRPr="007114AF">
        <w:t>Ato përfshijnë kursimet në energjinë primare dhe përdorimin fundor dhe për këtë të fundit adresojnë masa për përdorimin e energjisë në ndërtesa, proceset industriale dhe transportin, si dhe respektimin e rëndësisë së rolit model që duhet të luajë sektori publik.</w:t>
      </w:r>
    </w:p>
    <w:p w14:paraId="6EDCFD95" w14:textId="1325BFBA" w:rsidR="00A9766F" w:rsidRPr="007114AF" w:rsidRDefault="00A9766F" w:rsidP="00206985">
      <w:pPr>
        <w:pStyle w:val="TEKSTI"/>
      </w:pPr>
      <w:r w:rsidRPr="007114AF">
        <w:t>Tabelat paraqesin, përkatësisht, një pasqyrë të të gjitha masave të propozuara për kursimin e energjisë primare dhe finale, së bashku me kursimet e pritshme deri në 2018, si dhe deri në 2020.</w:t>
      </w:r>
      <w:r w:rsidR="000A2A01" w:rsidRPr="007114AF">
        <w:t xml:space="preserve"> </w:t>
      </w:r>
      <w:r w:rsidRPr="007114AF">
        <w:t>Kursimet e pritshme të energjisë për një sërë masash nuk janë dhënë ose për shkak se kërkohet punë shtesë, përpara se ato të mund të vlerësohen me një nivel të arsyeshëm besimi (ky është rasti për pjesën më të madhe të masave në energjinë primare), ose ato janë masa mbështetëse që ndihmojnë në kursimin e energjisë, por vetë nuk rezultojnë drejtpërdrejt në kursime (ky është rasti për masat horizontale).</w:t>
      </w:r>
    </w:p>
    <w:p w14:paraId="6EDCFD96" w14:textId="7DA4B36E" w:rsidR="00A9766F" w:rsidRPr="007114AF" w:rsidRDefault="00A9766F" w:rsidP="00206985">
      <w:pPr>
        <w:pStyle w:val="TEKSTI"/>
        <w:rPr>
          <w:b/>
        </w:rPr>
      </w:pPr>
      <w:r w:rsidRPr="007114AF">
        <w:rPr>
          <w:b/>
        </w:rPr>
        <w:t>Kërkesa për financime publike n</w:t>
      </w:r>
      <w:r w:rsidR="0000517F">
        <w:rPr>
          <w:b/>
        </w:rPr>
        <w:t>ë</w:t>
      </w:r>
      <w:r w:rsidRPr="007114AF">
        <w:rPr>
          <w:b/>
        </w:rPr>
        <w:t xml:space="preserve"> PKVEE-në e re</w:t>
      </w:r>
    </w:p>
    <w:p w14:paraId="6EDCFD97" w14:textId="3BEB9DBA" w:rsidR="00A9766F" w:rsidRPr="007114AF" w:rsidRDefault="00A9766F" w:rsidP="00206985">
      <w:pPr>
        <w:pStyle w:val="TEKSTI"/>
      </w:pPr>
      <w:r w:rsidRPr="007114AF">
        <w:t>Zbatimi i masave të propozuara për EE-në në Shqipëri, do të varet nga atraktiviteti i kostos së atyre masave, në krahasim me koston e energjisë në mungesë të tyre. Konkurrueshmëria e kostos do të varet nga çmimet e tregut, subvencionet, politikat dhe mirëqenien dhe vendimet e konsumatorit. Parashikimet e penetrimit të teknologjive të ndryshme në treg dhe vendimet e konsumatorit janë çështje që po fitojnë terren në modelimin e politikave energjetike dhe qarqet vendimmarrëse në BE, megjithatë ende nuk janë publikuar kërkime të mjaftueshme për të kryer analizë gjithëpërfshirëse. Në të vërtetë, masat specifike në kuadër të kësaj PKVEE-je mund t</w:t>
      </w:r>
      <w:r w:rsidR="00D10DAB" w:rsidRPr="007114AF">
        <w:t>’</w:t>
      </w:r>
      <w:r w:rsidRPr="007114AF">
        <w:t>i nënshtrohen veçmas vlerësimeve të plota të ndikimit rregullator për të vlerësuar kostot neto për zbatimin e tyre, si për sektorin publik ashtu edhe atë privat. Kjo do të thotë masat e parashikuara në këtë dokument do kenë plane konkrete zhvillimi dhe plane të ndërhyrjeve të mëtejshme, të cilat, do të japin të dhëna më konkrete mbi zbatimin e masave.</w:t>
      </w:r>
    </w:p>
    <w:p w14:paraId="6EDCFD98" w14:textId="0DBBF7B5" w:rsidR="00A9766F" w:rsidRPr="007114AF" w:rsidRDefault="00A9766F" w:rsidP="00206985">
      <w:pPr>
        <w:pStyle w:val="TEKSTI"/>
      </w:pPr>
      <w:r w:rsidRPr="007114AF">
        <w:t>Ky dokument adreson pritshmërinë për reduktimin e energjisë në mënyre realiste, i cili, vjen i mbështetur në 3 prioritete (sektori i ndërtesave</w:t>
      </w:r>
      <w:r w:rsidR="00043796" w:rsidRPr="007114AF">
        <w:t>, industrisë dhe transporti</w:t>
      </w:r>
      <w:r w:rsidRPr="007114AF">
        <w:t>) dhe i jep shembull ekzemplar veprimeve të Qeveris</w:t>
      </w:r>
      <w:r w:rsidR="00043796">
        <w:t>ë</w:t>
      </w:r>
      <w:r w:rsidRPr="007114AF">
        <w:t>. Kjo nënkupton se për të arritur objektivin (6.8% deri në 2020) nevojiten masa të financuara drejtpërdrejt nga Buxheti.</w:t>
      </w:r>
    </w:p>
    <w:p w14:paraId="6EDCFD99" w14:textId="3AFCE604" w:rsidR="00A9766F" w:rsidRPr="007114AF" w:rsidRDefault="00A9766F" w:rsidP="00206985">
      <w:pPr>
        <w:pStyle w:val="TEKSTI"/>
      </w:pPr>
      <w:r w:rsidRPr="007114AF">
        <w:t>Tabelat e mëposhtme paraqesin gjithashtu një vlerësim të kostove direkte nga buxheti publik për masat e propozuara dhe të kostuara, kur vlerësime të tilla janë të mundura. Për më tepër, masat e propozuara përfshijnë aktivitete të cilat kanë përfitime të konsiderueshme më të gjera sesa efi</w:t>
      </w:r>
      <w:r w:rsidR="00043796">
        <w:t>c</w:t>
      </w:r>
      <w:r w:rsidRPr="007114AF">
        <w:t>ienca e energjisë, veçanërisht në lidhje me përmirësimin e infrastrukturës së transportit dhe furnizimit me ujë, dhe prandaj një krahasim direkt i efektivitetit të kostos ndërmjet masave mund të jetë çorientues.</w:t>
      </w:r>
    </w:p>
    <w:p w14:paraId="6EDCFD9A" w14:textId="684964C0" w:rsidR="00A9766F" w:rsidRPr="007114AF" w:rsidRDefault="00A9766F" w:rsidP="00206985">
      <w:pPr>
        <w:pStyle w:val="TEKSTI"/>
        <w:rPr>
          <w:b/>
          <w:i/>
          <w:u w:val="single"/>
        </w:rPr>
      </w:pPr>
      <w:r w:rsidRPr="007114AF">
        <w:rPr>
          <w:b/>
          <w:i/>
          <w:u w:val="single"/>
        </w:rPr>
        <w:t>NAMA – Mekanizëm Financimi për</w:t>
      </w:r>
      <w:r w:rsidR="000A2A01" w:rsidRPr="007114AF">
        <w:rPr>
          <w:b/>
          <w:i/>
          <w:u w:val="single"/>
        </w:rPr>
        <w:t xml:space="preserve"> </w:t>
      </w:r>
      <w:r w:rsidRPr="007114AF">
        <w:rPr>
          <w:b/>
          <w:i/>
          <w:u w:val="single"/>
        </w:rPr>
        <w:t>Eficiencën e Energjisë në Banesa</w:t>
      </w:r>
    </w:p>
    <w:p w14:paraId="6EDCFD9B" w14:textId="77777777" w:rsidR="00A9766F" w:rsidRPr="007114AF" w:rsidRDefault="00A9766F" w:rsidP="00206985">
      <w:pPr>
        <w:pStyle w:val="TEKSTI"/>
        <w:rPr>
          <w:bCs/>
          <w:i/>
        </w:rPr>
      </w:pPr>
      <w:r w:rsidRPr="007114AF">
        <w:rPr>
          <w:bCs/>
          <w:i/>
        </w:rPr>
        <w:t>Vlefshm</w:t>
      </w:r>
      <w:r w:rsidRPr="007114AF">
        <w:rPr>
          <w:i/>
        </w:rPr>
        <w:t>ëria</w:t>
      </w:r>
      <w:r w:rsidRPr="007114AF">
        <w:rPr>
          <w:bCs/>
          <w:i/>
        </w:rPr>
        <w:t xml:space="preserve">: 2016-2020 </w:t>
      </w:r>
      <w:r w:rsidRPr="007114AF">
        <w:rPr>
          <w:i/>
        </w:rPr>
        <w:t>(me qëllim për të vazhduar më tej nëse fondet janë të disponueshme)</w:t>
      </w:r>
    </w:p>
    <w:p w14:paraId="6EDCFD9C" w14:textId="77777777" w:rsidR="00A9766F" w:rsidRPr="007114AF" w:rsidRDefault="00A9766F" w:rsidP="00206985">
      <w:pPr>
        <w:pStyle w:val="TEKSTI"/>
      </w:pPr>
      <w:r w:rsidRPr="007114AF">
        <w:t>Kjo është NAMA e aprovuar nga Qeveria e Shqipërisë në fushën e energjisë dhe përbëhet nga katër veprimet e mëposhtme, me qëllim uljen e shkarkimeve GES. Thelbi i veprimit është sigurimi i mbështetjes financiare, përmes granteve ose kredive të subvencionuara për përmirësimet e eficiencës së energjisë në banesa.</w:t>
      </w:r>
    </w:p>
    <w:p w14:paraId="6EDCFD9D" w14:textId="77777777" w:rsidR="00A9766F" w:rsidRPr="007114AF" w:rsidRDefault="00A9766F" w:rsidP="00206985">
      <w:pPr>
        <w:pStyle w:val="TEKSTI"/>
      </w:pPr>
      <w:r w:rsidRPr="007114AF">
        <w:t>Këto masa janë:</w:t>
      </w:r>
    </w:p>
    <w:p w14:paraId="6EDCFD9E" w14:textId="77777777" w:rsidR="00A9766F" w:rsidRPr="007114AF" w:rsidRDefault="008D6C6A" w:rsidP="00206985">
      <w:pPr>
        <w:pStyle w:val="TEKSTI"/>
      </w:pPr>
      <w:r w:rsidRPr="007114AF">
        <w:t xml:space="preserve">- </w:t>
      </w:r>
      <w:r w:rsidR="00A9766F" w:rsidRPr="007114AF">
        <w:t>Ekzistenca e një mekanizmi financues që siguron grante dhe kredi me interesa të ulëta për investime në eficiencën e energjinë në banesa (në bashkëpunim me Institucionet Financiare Ndërkombëtare – IFIs – dhe donatorët).</w:t>
      </w:r>
    </w:p>
    <w:p w14:paraId="6EDCFD9F" w14:textId="77777777" w:rsidR="00A9766F" w:rsidRPr="007114AF" w:rsidRDefault="008D6C6A" w:rsidP="00206985">
      <w:pPr>
        <w:pStyle w:val="TEKSTI"/>
      </w:pPr>
      <w:r w:rsidRPr="007114AF">
        <w:t xml:space="preserve">- </w:t>
      </w:r>
      <w:r w:rsidR="00A9766F" w:rsidRPr="007114AF">
        <w:t>Mbështetja teknike për projektet e financuara nga fondi në të gjitha fazat e projektit, nga projektimi deri në zbatimin dhe menaxhimin e funksionimit të banesave. Mbështetja teknike përfshin MRV-ën.</w:t>
      </w:r>
    </w:p>
    <w:p w14:paraId="6EDCFDA0" w14:textId="131106FD" w:rsidR="00A9766F" w:rsidRPr="007114AF" w:rsidRDefault="008D6C6A" w:rsidP="00206985">
      <w:pPr>
        <w:pStyle w:val="TEKSTI"/>
      </w:pPr>
      <w:r w:rsidRPr="007114AF">
        <w:t xml:space="preserve">- </w:t>
      </w:r>
      <w:r w:rsidR="00A9766F" w:rsidRPr="007114AF">
        <w:t>Përhapja</w:t>
      </w:r>
      <w:r w:rsidRPr="007114AF">
        <w:t xml:space="preserve"> </w:t>
      </w:r>
      <w:r w:rsidR="00A9766F" w:rsidRPr="007114AF">
        <w:t>dhe ndërgjegjësim</w:t>
      </w:r>
      <w:r w:rsidRPr="007114AF">
        <w:t xml:space="preserve"> </w:t>
      </w:r>
      <w:r w:rsidR="00A9766F" w:rsidRPr="007114AF">
        <w:t>i</w:t>
      </w:r>
      <w:r w:rsidR="00043796">
        <w:t xml:space="preserve"> </w:t>
      </w:r>
      <w:r w:rsidR="00A9766F" w:rsidRPr="007114AF">
        <w:t>që promovojnë avantazhet e eficiencës së energjisë dhe investimeve në energjinë e rinovueshme, si dhe promovimin e mundësive financiare të ofruara nga vetë fondi.</w:t>
      </w:r>
    </w:p>
    <w:p w14:paraId="6EDCFDA1" w14:textId="77777777" w:rsidR="00A9766F" w:rsidRPr="007114AF" w:rsidRDefault="008D6C6A" w:rsidP="00206985">
      <w:pPr>
        <w:pStyle w:val="TEKSTI"/>
      </w:pPr>
      <w:r w:rsidRPr="007114AF">
        <w:t xml:space="preserve">- </w:t>
      </w:r>
      <w:r w:rsidR="00A9766F" w:rsidRPr="007114AF">
        <w:t>Mbështetja</w:t>
      </w:r>
      <w:r w:rsidRPr="007114AF">
        <w:t xml:space="preserve"> </w:t>
      </w:r>
      <w:r w:rsidR="00A9766F" w:rsidRPr="007114AF">
        <w:t>për përmirësimin e administrimit të ndërtesave.</w:t>
      </w:r>
    </w:p>
    <w:p w14:paraId="6EDCFDA2" w14:textId="77777777" w:rsidR="00A9766F" w:rsidRPr="007114AF" w:rsidRDefault="00A9766F" w:rsidP="00206985">
      <w:pPr>
        <w:pStyle w:val="TEKSTI"/>
      </w:pPr>
      <w:r w:rsidRPr="007114AF">
        <w:t xml:space="preserve">Për më tepër, dokumenti ka një seksion të veçantë mbi politikat e informimit. Më i rëndësishëm është përcaktimi i bazës së centralizuar të të dhënave, duke mbledhur të gjithë informacionin përkatës për monitorimin dhe vlerësimin e ecurisë së planit. Një mjet i dytë është konsultimi publik, që, sipas dokumentit, përfshin një platformë të palëve të interesuara me bazë të gjerë. Këto palë të interesuara duhet të mbahen të përditësuara sipas planit, me hartimin e dokumenteve kryesore strategjike të cilat do të botohen nga qeveritë në këtë fushë dhe në veçanti, të përditësuara me dokumentin strategjik nga Komiteti Kombëtar për Planifikimin Afatgjatë të Energjisë, që pritet të përfundojë brenda gjysmës së dytë të vitit 2016. </w:t>
      </w:r>
    </w:p>
    <w:p w14:paraId="6EDCFDA3" w14:textId="06FF5F74" w:rsidR="00A9766F" w:rsidRPr="007114AF" w:rsidRDefault="00A9766F" w:rsidP="00206985">
      <w:pPr>
        <w:pStyle w:val="TEKSTI"/>
        <w:rPr>
          <w:b/>
          <w:i/>
          <w:u w:val="single"/>
        </w:rPr>
      </w:pPr>
      <w:r w:rsidRPr="007114AF">
        <w:rPr>
          <w:b/>
          <w:i/>
          <w:u w:val="single"/>
        </w:rPr>
        <w:t>Plani i Veprimit mbi Burimet Rinovueshme të Energjisë 2018</w:t>
      </w:r>
      <w:r w:rsidR="00043796">
        <w:t>–</w:t>
      </w:r>
      <w:r w:rsidRPr="007114AF">
        <w:rPr>
          <w:b/>
          <w:i/>
          <w:u w:val="single"/>
        </w:rPr>
        <w:t>2020</w:t>
      </w:r>
    </w:p>
    <w:p w14:paraId="6EDCFDA4" w14:textId="77777777" w:rsidR="00A9766F" w:rsidRPr="007114AF" w:rsidRDefault="00A9766F" w:rsidP="00206985">
      <w:pPr>
        <w:pStyle w:val="TEKSTI"/>
        <w:rPr>
          <w:i/>
        </w:rPr>
      </w:pPr>
      <w:r w:rsidRPr="007114AF">
        <w:rPr>
          <w:i/>
        </w:rPr>
        <w:t xml:space="preserve">Vlefshmëria: deri në vitin 2020 </w:t>
      </w:r>
    </w:p>
    <w:p w14:paraId="6EDCFDA5" w14:textId="61E7A214" w:rsidR="00A9766F" w:rsidRPr="007114AF" w:rsidRDefault="00A9766F" w:rsidP="00206985">
      <w:pPr>
        <w:pStyle w:val="TEKSTI"/>
      </w:pPr>
      <w:r w:rsidRPr="007114AF">
        <w:t>Plani i Veprimit BER u miratua në janar 2016 dhe institucioni përgjegjës për zbatimin dhe monitorimin e tij është Ministria e Infrastrukturës dhe Energjisë me agjencinë e saj vartëse – Agjencia Kombëtare e Burimeve Natyrore (AKBN). BER-i ka një objektiv parësor: të modernizojë politikat e saj BER me</w:t>
      </w:r>
      <w:r w:rsidR="000A2A01" w:rsidRPr="007114AF">
        <w:t xml:space="preserve"> </w:t>
      </w:r>
      <w:r w:rsidRPr="007114AF">
        <w:t>politikat RE-a të BE-së (</w:t>
      </w:r>
      <w:r w:rsidR="00437702">
        <w:t>d</w:t>
      </w:r>
      <w:r w:rsidRPr="007114AF">
        <w:t xml:space="preserve">irektiva 2009/28), në përputhje me procesin e përcaktuar brenda Komunitetit të Energjisë. </w:t>
      </w:r>
    </w:p>
    <w:p w14:paraId="6EDCFDA6" w14:textId="77777777" w:rsidR="00A9766F" w:rsidRPr="007114AF" w:rsidRDefault="00A9766F" w:rsidP="00206985">
      <w:pPr>
        <w:pStyle w:val="TEKSTI"/>
      </w:pPr>
      <w:r w:rsidRPr="007114AF">
        <w:t>Objektivat e BER-it synojnë rritjen e përdorimit të burimeve të energjisë pa karbon/nivel të ulët karboni deri në vitin 2020, të gjithë do të kontribuojnë në zbutjen e përdorimit të tyre. Veçanërisht:</w:t>
      </w:r>
    </w:p>
    <w:p w14:paraId="6EDCFDA7" w14:textId="1750EE39" w:rsidR="00A9766F" w:rsidRPr="007114AF" w:rsidRDefault="008D6C6A" w:rsidP="00206985">
      <w:pPr>
        <w:pStyle w:val="TEKSTI"/>
      </w:pPr>
      <w:r w:rsidRPr="007114AF">
        <w:t xml:space="preserve">- </w:t>
      </w:r>
      <w:r w:rsidR="00A9766F" w:rsidRPr="007114AF">
        <w:t>Përcaktimi i një objektivi të përgjithshëm 38% për vitin 2020 (për</w:t>
      </w:r>
      <w:r w:rsidR="00437702">
        <w:t xml:space="preserve"> </w:t>
      </w:r>
      <w:r w:rsidR="00A9766F" w:rsidRPr="007114AF">
        <w:t xml:space="preserve">sa i përket pjesës së BER-it mbi konsumin bruto të energjisë përfundimtare). Ky duhet të jetë ekuivalent me 1017.28 </w:t>
      </w:r>
      <w:r w:rsidR="00437702">
        <w:t>k</w:t>
      </w:r>
      <w:r w:rsidR="00A9766F" w:rsidRPr="007114AF">
        <w:t xml:space="preserve">toe, krahasuar me 29.74% (560.76 </w:t>
      </w:r>
      <w:r w:rsidR="00437702">
        <w:t>k</w:t>
      </w:r>
      <w:r w:rsidR="00A9766F" w:rsidRPr="007114AF">
        <w:t>toe) në vitin bazë.</w:t>
      </w:r>
    </w:p>
    <w:p w14:paraId="6EDCFDA8" w14:textId="30C96B29" w:rsidR="00A9766F" w:rsidRPr="007114AF" w:rsidRDefault="008D6C6A" w:rsidP="00206985">
      <w:pPr>
        <w:pStyle w:val="TEKSTI"/>
      </w:pPr>
      <w:r w:rsidRPr="007114AF">
        <w:t xml:space="preserve">- </w:t>
      </w:r>
      <w:r w:rsidR="00A9766F" w:rsidRPr="007114AF">
        <w:t>Ky objektiv ndahet në një objektiv në m</w:t>
      </w:r>
      <w:r w:rsidR="00437702">
        <w:t>a</w:t>
      </w:r>
      <w:r w:rsidR="00A9766F" w:rsidRPr="007114AF">
        <w:t>sën 10.8% për ngrohje dhe ftohje, një objektiv në masën 23.67% për energjinë elektrike dhe një tjetër në masën 3.65% për transportin. Dokumenti vë në dukje se objektiva të till</w:t>
      </w:r>
      <w:r w:rsidR="00414BCD">
        <w:t>ë</w:t>
      </w:r>
      <w:r w:rsidR="00A9766F" w:rsidRPr="007114AF">
        <w:t xml:space="preserve"> mund të jenë mesatarisht rreth 3% më shumë ambiciozë, nëse plani i PKVEE-së zbatohet në mënyrë korrekte.</w:t>
      </w:r>
    </w:p>
    <w:p w14:paraId="6EDCFDA9" w14:textId="12BAE1AC" w:rsidR="00A9766F" w:rsidRPr="007114AF" w:rsidRDefault="008D6C6A" w:rsidP="00206985">
      <w:pPr>
        <w:pStyle w:val="TEKSTI"/>
      </w:pPr>
      <w:r w:rsidRPr="007114AF">
        <w:t xml:space="preserve">- </w:t>
      </w:r>
      <w:r w:rsidR="00A9766F" w:rsidRPr="007114AF">
        <w:t xml:space="preserve">Një objektiv në masën 10% për vitin 2020 për pjesën e BER-it të lëndëve djegëse të përdorura në transport (duke përmbushur kërkesat e </w:t>
      </w:r>
      <w:r w:rsidR="00437702" w:rsidRPr="007114AF">
        <w:t xml:space="preserve">nenit </w:t>
      </w:r>
      <w:r w:rsidR="00A9766F" w:rsidRPr="007114AF">
        <w:t xml:space="preserve">3(4) të </w:t>
      </w:r>
      <w:r w:rsidR="00437702" w:rsidRPr="007114AF">
        <w:t xml:space="preserve">direktivës </w:t>
      </w:r>
      <w:r w:rsidR="00A9766F" w:rsidRPr="007114AF">
        <w:t>2009/28/EC).</w:t>
      </w:r>
    </w:p>
    <w:p w14:paraId="6EDCFDAA" w14:textId="5594D421" w:rsidR="00A9766F" w:rsidRPr="007114AF" w:rsidRDefault="00A9766F" w:rsidP="00206985">
      <w:pPr>
        <w:pStyle w:val="TEKSTI"/>
      </w:pPr>
      <w:r w:rsidRPr="007114AF">
        <w:t>Për më tepër, Plani i Veprimit i BER paraqet këto objektiva të përgjithsh</w:t>
      </w:r>
      <w:r w:rsidR="00414BCD">
        <w:t>ë</w:t>
      </w:r>
      <w:r w:rsidRPr="007114AF">
        <w:t>m të politikave të energjisë:</w:t>
      </w:r>
    </w:p>
    <w:p w14:paraId="6EDCFDAB" w14:textId="77777777" w:rsidR="00A9766F" w:rsidRPr="007114AF" w:rsidRDefault="008D6C6A" w:rsidP="00206985">
      <w:pPr>
        <w:pStyle w:val="TEKSTI"/>
      </w:pPr>
      <w:r w:rsidRPr="007114AF">
        <w:t xml:space="preserve">- </w:t>
      </w:r>
      <w:r w:rsidR="00A9766F" w:rsidRPr="007114AF">
        <w:t>Reduktimin e importit të energjisë;</w:t>
      </w:r>
    </w:p>
    <w:p w14:paraId="6EDCFDAC" w14:textId="78D79945" w:rsidR="00A9766F" w:rsidRPr="007114AF" w:rsidRDefault="008D6C6A" w:rsidP="00206985">
      <w:pPr>
        <w:pStyle w:val="TEKSTI"/>
      </w:pPr>
      <w:r w:rsidRPr="007114AF">
        <w:t xml:space="preserve">- </w:t>
      </w:r>
      <w:r w:rsidR="00A9766F" w:rsidRPr="007114AF">
        <w:t>Diversifikimin e burimeve të energjisë</w:t>
      </w:r>
      <w:r w:rsidR="000A2A01" w:rsidRPr="007114AF">
        <w:t xml:space="preserve"> </w:t>
      </w:r>
      <w:r w:rsidR="00A9766F" w:rsidRPr="007114AF">
        <w:t>primare për furnizimin me energji;</w:t>
      </w:r>
    </w:p>
    <w:p w14:paraId="6EDCFDAD" w14:textId="77777777" w:rsidR="00A9766F" w:rsidRPr="007114AF" w:rsidRDefault="008D6C6A" w:rsidP="00206985">
      <w:pPr>
        <w:pStyle w:val="TEKSTI"/>
      </w:pPr>
      <w:r w:rsidRPr="007114AF">
        <w:t xml:space="preserve">- </w:t>
      </w:r>
      <w:r w:rsidR="00A9766F" w:rsidRPr="007114AF">
        <w:t>Reduktimin e humbjeve të transmetimit dhe shpërndarjes duke nxitur prodhimin e energjisë;</w:t>
      </w:r>
    </w:p>
    <w:p w14:paraId="6EDCFDAE" w14:textId="77777777" w:rsidR="00A9766F" w:rsidRPr="007114AF" w:rsidRDefault="008D6C6A" w:rsidP="00206985">
      <w:pPr>
        <w:pStyle w:val="TEKSTI"/>
      </w:pPr>
      <w:r w:rsidRPr="007114AF">
        <w:t xml:space="preserve">- </w:t>
      </w:r>
      <w:r w:rsidR="00A9766F" w:rsidRPr="007114AF">
        <w:t>Krijimin e bizneseve vendore dhe mundësive të punësimit, duke instaluar dhe prodhuar pjesë/komponentë/sisteme të impianteve BER nga sektori industrial shqiptar;</w:t>
      </w:r>
    </w:p>
    <w:p w14:paraId="6EDCFDAF" w14:textId="77777777" w:rsidR="00A9766F" w:rsidRPr="007114AF" w:rsidRDefault="008D6C6A" w:rsidP="00206985">
      <w:pPr>
        <w:pStyle w:val="TEKSTI"/>
      </w:pPr>
      <w:r w:rsidRPr="007114AF">
        <w:t xml:space="preserve">- </w:t>
      </w:r>
      <w:r w:rsidR="00A9766F" w:rsidRPr="007114AF">
        <w:t>Shfrytëzimin e burimeve vendase të energjisë, veçanërisht në zonat e largëta, duke hapur vende pune dhe përmirësimin e standardit të jetesës;</w:t>
      </w:r>
    </w:p>
    <w:p w14:paraId="6EDCFDB0" w14:textId="77777777" w:rsidR="00A9766F" w:rsidRPr="007114AF" w:rsidRDefault="008D6C6A" w:rsidP="00206985">
      <w:pPr>
        <w:pStyle w:val="TEKSTI"/>
      </w:pPr>
      <w:r w:rsidRPr="007114AF">
        <w:t xml:space="preserve">- </w:t>
      </w:r>
      <w:r w:rsidR="00A9766F" w:rsidRPr="007114AF">
        <w:t>Rritje të pjesës</w:t>
      </w:r>
      <w:r w:rsidRPr="007114AF">
        <w:t xml:space="preserve"> </w:t>
      </w:r>
      <w:r w:rsidR="00A9766F" w:rsidRPr="007114AF">
        <w:t xml:space="preserve">së biokarbureve dhe lëndëve të tjera të djegshme nga burimet e energjisë së rinovueshme. </w:t>
      </w:r>
    </w:p>
    <w:p w14:paraId="6EDCFDB1" w14:textId="77777777" w:rsidR="00A9766F" w:rsidRPr="007114AF" w:rsidRDefault="00A9766F" w:rsidP="00206985">
      <w:pPr>
        <w:pStyle w:val="TEKSTI"/>
      </w:pPr>
      <w:r w:rsidRPr="007114AF">
        <w:t xml:space="preserve">Objektivat BER, të cilat sipas llogaritjeve të bëra në mënyrë efektive duhet të çojnë në rritje të përdorimit të burimeve të energjisë pa karbon/nivel të ulët karboni deri në vitin 2020, do të kontribuojnë të gjitha në zbutjen e efekteve. Masat ndihmëse të përmendura si të dobishme, por jo të përcaktuara në mënyrë të qartë në plan, janë: </w:t>
      </w:r>
    </w:p>
    <w:p w14:paraId="6EDCFDB2" w14:textId="4B1913F0" w:rsidR="00A9766F" w:rsidRPr="007114AF" w:rsidRDefault="008D6C6A" w:rsidP="00206985">
      <w:pPr>
        <w:pStyle w:val="TEKSTI"/>
      </w:pPr>
      <w:r w:rsidRPr="007114AF">
        <w:t xml:space="preserve">- </w:t>
      </w:r>
      <w:r w:rsidR="00A9766F" w:rsidRPr="007114AF">
        <w:t xml:space="preserve">Marrja e </w:t>
      </w:r>
      <w:r w:rsidR="000A2A01" w:rsidRPr="007114AF">
        <w:t>“</w:t>
      </w:r>
      <w:r w:rsidR="00A9766F" w:rsidRPr="007114AF">
        <w:t>masave të përgjithshme për parandalimin e mospagimit të energjisë</w:t>
      </w:r>
      <w:r w:rsidR="000A2A01" w:rsidRPr="007114AF">
        <w:t>”</w:t>
      </w:r>
      <w:r w:rsidR="00A9766F" w:rsidRPr="007114AF">
        <w:t xml:space="preserve"> </w:t>
      </w:r>
    </w:p>
    <w:p w14:paraId="6EDCFDB3" w14:textId="3BF7E173" w:rsidR="00A9766F" w:rsidRPr="007114AF" w:rsidRDefault="008D6C6A" w:rsidP="00206985">
      <w:pPr>
        <w:pStyle w:val="TEKSTI"/>
      </w:pPr>
      <w:r w:rsidRPr="007114AF">
        <w:t xml:space="preserve">- </w:t>
      </w:r>
      <w:r w:rsidR="00A9766F" w:rsidRPr="007114AF">
        <w:t>Përmirësimi i procesit të licen</w:t>
      </w:r>
      <w:r w:rsidR="00437702">
        <w:t>c</w:t>
      </w:r>
      <w:r w:rsidR="00A9766F" w:rsidRPr="007114AF">
        <w:t>imit për zhvillimin e projekteve RE.</w:t>
      </w:r>
    </w:p>
    <w:p w14:paraId="6EDCFDB4" w14:textId="63DAF90E" w:rsidR="00A9766F" w:rsidRPr="007114AF" w:rsidRDefault="00A9766F" w:rsidP="00206985">
      <w:pPr>
        <w:pStyle w:val="TEKSTI"/>
        <w:rPr>
          <w:b/>
          <w:i/>
          <w:u w:val="single"/>
        </w:rPr>
      </w:pPr>
      <w:r w:rsidRPr="007114AF">
        <w:rPr>
          <w:b/>
          <w:i/>
          <w:u w:val="single"/>
        </w:rPr>
        <w:t xml:space="preserve">Ligji </w:t>
      </w:r>
      <w:r w:rsidR="00437702">
        <w:rPr>
          <w:b/>
          <w:i/>
          <w:u w:val="single"/>
        </w:rPr>
        <w:t xml:space="preserve">nr. </w:t>
      </w:r>
      <w:r w:rsidRPr="007114AF">
        <w:rPr>
          <w:b/>
          <w:i/>
          <w:u w:val="single"/>
        </w:rPr>
        <w:t xml:space="preserve">24/2015 mbi </w:t>
      </w:r>
      <w:r w:rsidR="00437702">
        <w:rPr>
          <w:b/>
          <w:i/>
          <w:u w:val="single"/>
        </w:rPr>
        <w:t>e</w:t>
      </w:r>
      <w:r w:rsidRPr="007114AF">
        <w:rPr>
          <w:b/>
          <w:i/>
          <w:u w:val="single"/>
        </w:rPr>
        <w:t xml:space="preserve">ficiencën e </w:t>
      </w:r>
      <w:r w:rsidR="00437702">
        <w:rPr>
          <w:b/>
          <w:i/>
          <w:u w:val="single"/>
        </w:rPr>
        <w:t>e</w:t>
      </w:r>
      <w:r w:rsidRPr="007114AF">
        <w:rPr>
          <w:b/>
          <w:i/>
          <w:u w:val="single"/>
        </w:rPr>
        <w:t>nergjisë</w:t>
      </w:r>
    </w:p>
    <w:p w14:paraId="6EDCFDB5" w14:textId="1D8FA6A0" w:rsidR="00A9766F" w:rsidRPr="007114AF" w:rsidRDefault="00A9766F" w:rsidP="00206985">
      <w:pPr>
        <w:pStyle w:val="TEKSTI"/>
        <w:rPr>
          <w:i/>
        </w:rPr>
      </w:pPr>
      <w:r w:rsidRPr="007114AF">
        <w:rPr>
          <w:i/>
        </w:rPr>
        <w:t>Vlefshmëria: hyrja në fuqi në vitin 2016 dhe më tej e pakufizuar,</w:t>
      </w:r>
      <w:r w:rsidR="000A2A01" w:rsidRPr="007114AF">
        <w:rPr>
          <w:i/>
        </w:rPr>
        <w:t xml:space="preserve"> </w:t>
      </w:r>
      <w:r w:rsidRPr="007114AF">
        <w:rPr>
          <w:i/>
        </w:rPr>
        <w:t>deri në rishikime të mëtejshme</w:t>
      </w:r>
    </w:p>
    <w:p w14:paraId="6EDCFDB6" w14:textId="09F01B97" w:rsidR="00A9766F" w:rsidRPr="007114AF" w:rsidRDefault="00A9766F" w:rsidP="00206985">
      <w:pPr>
        <w:pStyle w:val="TEKSTI"/>
      </w:pPr>
      <w:r w:rsidRPr="007114AF">
        <w:t xml:space="preserve">Ky ligj tregon prioritetet kryesore strategjike në fushën e Eficiencës së Energjisë në Shqipëri dhe përcakton institucionet kryesore dhe instrumentet e përfshirë në realizimin e prioriteteve të tilla, duke përafruarshumë nga kërkesat e </w:t>
      </w:r>
      <w:r w:rsidR="00437702">
        <w:t>d</w:t>
      </w:r>
      <w:r w:rsidRPr="007114AF">
        <w:t>irektivës 2012/27/EU (</w:t>
      </w:r>
      <w:r w:rsidR="000A2A01" w:rsidRPr="007114AF">
        <w:t>“</w:t>
      </w:r>
      <w:r w:rsidRPr="007114AF">
        <w:t xml:space="preserve">Direktiva mbi </w:t>
      </w:r>
      <w:r w:rsidR="00437702" w:rsidRPr="007114AF">
        <w:t>efic</w:t>
      </w:r>
      <w:r w:rsidR="00437702">
        <w:t>i</w:t>
      </w:r>
      <w:r w:rsidR="00437702" w:rsidRPr="007114AF">
        <w:t>encën e energjisë</w:t>
      </w:r>
      <w:r w:rsidR="000A2A01" w:rsidRPr="007114AF">
        <w:t>”</w:t>
      </w:r>
      <w:r w:rsidRPr="007114AF">
        <w:t xml:space="preserve">). </w:t>
      </w:r>
    </w:p>
    <w:p w14:paraId="6EDCFDB7" w14:textId="37334707" w:rsidR="00A9766F" w:rsidRPr="007114AF" w:rsidRDefault="00A9766F" w:rsidP="00206985">
      <w:pPr>
        <w:pStyle w:val="TEKSTI"/>
      </w:pPr>
      <w:r w:rsidRPr="007114AF">
        <w:t>Çka është më e rëndësishmja, ligji nuk përcakton drejtpërdrejt objektiva sasior</w:t>
      </w:r>
      <w:r w:rsidR="00414BCD">
        <w:t>ë</w:t>
      </w:r>
      <w:r w:rsidRPr="007114AF">
        <w:t xml:space="preserve"> dhe as zgjedh masat e politikave për t</w:t>
      </w:r>
      <w:r w:rsidR="00D10DAB" w:rsidRPr="007114AF">
        <w:rPr>
          <w:rFonts w:cs="Times New Roman"/>
        </w:rPr>
        <w:t>’</w:t>
      </w:r>
      <w:r w:rsidRPr="007114AF">
        <w:t>i vënë ato në zbatim, por delegon zgjedhje të tilla në aktet nënligjore dhe në PKVEE-n në vazhdim. Sidoqoftë, ai parashikon se objektiva të till</w:t>
      </w:r>
      <w:r w:rsidR="00414BCD">
        <w:t>ë</w:t>
      </w:r>
      <w:r w:rsidRPr="007114AF">
        <w:t xml:space="preserve"> duhet të përmbushen dhe të bëhet një listë e mjeteve të politikave nga të cilat autoritetet përgjegjëse për zbatimin</w:t>
      </w:r>
      <w:r w:rsidR="00437702">
        <w:t xml:space="preserve"> </w:t>
      </w:r>
      <w:r w:rsidRPr="007114AF">
        <w:t>e ligjit mund të zgjedhin, si ta gjykojnë të arsyeshme, pa qenë të shtrënguara të ndërmarrin masa specifike politikash. Megjithatë, ka disa përjashtime të rëndësishme, për shkak se një grup mjetesh përcaktohet në mënyrë të drejtpërdrejtë me ligj. Hollësi të mëtejshme mbi këto masa do të prezantohen më tej në këtë seksion.</w:t>
      </w:r>
    </w:p>
    <w:p w14:paraId="6EDCFDB8" w14:textId="57DFF253" w:rsidR="00A9766F" w:rsidRPr="007114AF" w:rsidRDefault="00A9766F" w:rsidP="00206985">
      <w:pPr>
        <w:pStyle w:val="TEKSTI"/>
      </w:pPr>
      <w:r w:rsidRPr="007114AF">
        <w:t>Pas përcaktimit të qëllimeve të ligjit dhe fushës së veprimit si dhe terminologjisë përkatëse (</w:t>
      </w:r>
      <w:r w:rsidR="00437702" w:rsidRPr="007114AF">
        <w:t xml:space="preserve">kreu </w:t>
      </w:r>
      <w:r w:rsidRPr="007114AF">
        <w:t xml:space="preserve">I), në </w:t>
      </w:r>
      <w:r w:rsidR="00437702" w:rsidRPr="007114AF">
        <w:t xml:space="preserve">kreun </w:t>
      </w:r>
      <w:r w:rsidRPr="007114AF">
        <w:t>II, ligji dikton parimet frymëzuese të politikës së eficiencës</w:t>
      </w:r>
      <w:r w:rsidR="00437702">
        <w:t xml:space="preserve"> </w:t>
      </w:r>
      <w:r w:rsidRPr="007114AF">
        <w:t>së energjisë në Shqipëri (</w:t>
      </w:r>
      <w:r w:rsidR="00437702" w:rsidRPr="007114AF">
        <w:t>neni</w:t>
      </w:r>
      <w:r w:rsidRPr="007114AF">
        <w:t xml:space="preserve"> 5), ndër të cilat janë të rëndësishme ruajtja e</w:t>
      </w:r>
      <w:r w:rsidR="00437702">
        <w:t xml:space="preserve"> </w:t>
      </w:r>
      <w:r w:rsidRPr="007114AF">
        <w:t xml:space="preserve">operacioneve të tregut, përmendja haptas e stimujve financiarë dhe promovimi i investimeve që nxisin eficiencën e energjisë, roli shembullor që i jepet sektorit publik, rëndësia e hulumtimit, arsimit, informimit dhe bashkëpunimit të brendshëm dhe të jashtëm, ndërmjet aktorëve të interesuar në fushën e eficiencës së energjisë, dhe kujdesi ndaj qëndrueshmërisë mjedisore dhe sociale. </w:t>
      </w:r>
    </w:p>
    <w:p w14:paraId="6EDCFDB9" w14:textId="45603EB5" w:rsidR="00A9766F" w:rsidRPr="007114AF" w:rsidRDefault="00A9766F" w:rsidP="00206985">
      <w:pPr>
        <w:pStyle w:val="TEKSTI"/>
      </w:pPr>
      <w:r w:rsidRPr="007114AF">
        <w:t>Ligji i delegon Këshillit të Ministrave detyrën e përcaktimit të objektivave për Kursimin e Energjisë (</w:t>
      </w:r>
      <w:r w:rsidR="00437702" w:rsidRPr="007114AF">
        <w:t>neni</w:t>
      </w:r>
      <w:r w:rsidRPr="007114AF">
        <w:t xml:space="preserve"> 6) ndërsa Agjencisë për Eficiencën e Energjisë detyrën e hartimit të</w:t>
      </w:r>
      <w:r w:rsidR="00437702">
        <w:t xml:space="preserve"> </w:t>
      </w:r>
      <w:r w:rsidRPr="007114AF">
        <w:t>PKVEE-së (neni 7) dhe monitorimin e zbatimit të tij (neni 8).</w:t>
      </w:r>
    </w:p>
    <w:p w14:paraId="6EDCFDBA" w14:textId="265CAE03" w:rsidR="00A9766F" w:rsidRPr="007114AF" w:rsidRDefault="00A9766F" w:rsidP="00206985">
      <w:pPr>
        <w:pStyle w:val="TEKSTI"/>
      </w:pPr>
      <w:r w:rsidRPr="007114AF">
        <w:t xml:space="preserve">Më poshtë jepen në mënyrë të detajuar masat specifike që kanë synim të drejtpërdrejtë nxitjen e eficiencës së energjisë: Neni 9 trajton masat në sektorin publik dhe ato ndërsektoriale, ku sektori publik duhet të identifikojë rregullat e prokurimit që përshkruajnë standardet e duhura të eficiencës së energjisë, sa herë që konsumi i energjisë mund të ndikohet nga vendimet e prokurimit; gjithashtu neni rendit klasat e masave që konsiderohen të kenë ndikime ndërsektoriale, si në sektorët privatë ashtu edhe në ato publikë (standardet, rregullorja, informacioni tatimor dhe edukimi, monitorimi); Neni 10 parashikon që konsumatorët e mëdhenj (që përcaktohen si ata me konsum vjetor të energjisë mbi ekuivalentin e 3 </w:t>
      </w:r>
      <w:r w:rsidR="001C47F0" w:rsidRPr="007114AF">
        <w:t xml:space="preserve">milionë </w:t>
      </w:r>
      <w:r w:rsidRPr="007114AF">
        <w:t>KWh energjie elektrike) duhet të emërojnë një Administrator të Energjisë profesionalisht</w:t>
      </w:r>
      <w:r w:rsidR="00437702">
        <w:t xml:space="preserve"> </w:t>
      </w:r>
      <w:r w:rsidRPr="007114AF">
        <w:t xml:space="preserve">të kualifikuar, </w:t>
      </w:r>
      <w:r w:rsidR="000A2A01" w:rsidRPr="007114AF">
        <w:t>“</w:t>
      </w:r>
      <w:r w:rsidRPr="007114AF">
        <w:t>përgjegjës për mirëmbajtjen e objekteve që konsumojnë çdo lloj energjie, duke përmirësuar dhe mbikëqyrur metodën e përdorimit të energjisë</w:t>
      </w:r>
      <w:r w:rsidR="003F649E" w:rsidRPr="007114AF">
        <w:t>,</w:t>
      </w:r>
      <w:r w:rsidRPr="007114AF">
        <w:t xml:space="preserve"> si dhe kryerjen e të gjitha punëve të tjera për përdorimin racional të energjisë në industri dhe ndërtesa</w:t>
      </w:r>
      <w:r w:rsidR="000A2A01" w:rsidRPr="007114AF">
        <w:t>”</w:t>
      </w:r>
      <w:r w:rsidRPr="007114AF">
        <w:t>. Gjithashtu, konsumatorët e mëdhenj duhet të marrin masa specifike për të rritur kursimet e energjisë, në mënyrë që të respektohen objektivat specifikë që PKVEE-ja do të caktojë për ta (neni 11). Në nenin 12 nxiten marrëveshje vullnetare mes konsumatorëve të mëdhenj të energjisë (dhe ndoshta Agjencisë së</w:t>
      </w:r>
      <w:r w:rsidR="00437702">
        <w:t xml:space="preserve"> </w:t>
      </w:r>
      <w:r w:rsidRPr="007114AF">
        <w:t>Eficiencëssë Energjisë – teksti nuk është plotësisht i qartë në këtë pikë).</w:t>
      </w:r>
    </w:p>
    <w:p w14:paraId="6EDCFDBB" w14:textId="41A24302" w:rsidR="00A9766F" w:rsidRPr="007114AF" w:rsidRDefault="00A9766F" w:rsidP="00206985">
      <w:pPr>
        <w:pStyle w:val="TEKSTI"/>
      </w:pPr>
      <w:r w:rsidRPr="007114AF">
        <w:t>Kreu III trajton informacionin dhe masat e matjes së eficiencës së energjisë. Në veçanti, ai përcakton se duhet ngritur një bazë e centralizuar të dhënash mbi konsumin e energjisë e cila duhet përditësuar çdo vit (neni 13); ai përcakton se duhen instaluar sisteme matëse individuale ose, kur këto nuk janë të realizueshme, rregulla transparente për caktimin e volumit të konsumit të matshëm në mënyrë kolektive te të gjithë konsumatorët dhe llojin e përdorimit (neni 14), dhe se Agjencia e Eficiencës së Energjisë duhet t</w:t>
      </w:r>
      <w:r w:rsidR="00D10DAB" w:rsidRPr="007114AF">
        <w:t>’</w:t>
      </w:r>
      <w:r w:rsidRPr="007114AF">
        <w:t xml:space="preserve">i japë rëndësinë e duhur informacionit përkatës (neni 15). Kreu IV trajton objektivat dhe rregulloren e ofrimit të shërbimeve që mund të përmirësojnë eficiencën e energjisë, të tilla si auditet e energjisë (neni 16 dhe 17) dhe ato të kompanive të shërbimit të energjisë (ESCO). Kreu V trajton themelimin e Fondit të Eficiencës së Energjisë, një mjet financiar me statusin e organizatës jofitimprurëse që synon mbështetjen financiare të veprimeve përmirësuese të eficiencës së energjisë. Së fundi, </w:t>
      </w:r>
      <w:r w:rsidR="00437702">
        <w:t>k</w:t>
      </w:r>
      <w:r w:rsidRPr="007114AF">
        <w:t xml:space="preserve">reu VI përcakton Agjencinë e Eficiencës së Energjisë, si dhe kompetencat, qëllimet dhe përgjegjësitë e saj. </w:t>
      </w:r>
    </w:p>
    <w:p w14:paraId="6EDCFDBC" w14:textId="06F680B7" w:rsidR="00A9766F" w:rsidRPr="007114AF" w:rsidRDefault="00214466" w:rsidP="00206985">
      <w:pPr>
        <w:pStyle w:val="TEKSTI"/>
        <w:rPr>
          <w:b/>
          <w:i/>
          <w:u w:val="single"/>
        </w:rPr>
      </w:pPr>
      <w:r w:rsidRPr="007114AF">
        <w:rPr>
          <w:b/>
          <w:i/>
          <w:u w:val="single"/>
        </w:rPr>
        <w:t xml:space="preserve">- </w:t>
      </w:r>
      <w:r w:rsidR="00A9766F" w:rsidRPr="007114AF">
        <w:rPr>
          <w:b/>
          <w:i/>
          <w:u w:val="single"/>
        </w:rPr>
        <w:t xml:space="preserve">Ligji </w:t>
      </w:r>
      <w:r w:rsidR="003E1E77">
        <w:rPr>
          <w:b/>
          <w:i/>
          <w:u w:val="single"/>
        </w:rPr>
        <w:t xml:space="preserve">nr. </w:t>
      </w:r>
      <w:r w:rsidR="00A9766F" w:rsidRPr="007114AF">
        <w:rPr>
          <w:b/>
          <w:i/>
          <w:u w:val="single"/>
        </w:rPr>
        <w:t xml:space="preserve">7/2017 </w:t>
      </w:r>
      <w:r w:rsidR="000A2A01" w:rsidRPr="007114AF">
        <w:rPr>
          <w:b/>
          <w:i/>
          <w:u w:val="single"/>
        </w:rPr>
        <w:t>“</w:t>
      </w:r>
      <w:r w:rsidR="00A9766F" w:rsidRPr="007114AF">
        <w:rPr>
          <w:b/>
          <w:i/>
          <w:u w:val="single"/>
        </w:rPr>
        <w:t>P</w:t>
      </w:r>
      <w:r w:rsidR="003E1E77">
        <w:rPr>
          <w:b/>
          <w:i/>
          <w:u w:val="single"/>
        </w:rPr>
        <w:t>ë</w:t>
      </w:r>
      <w:r w:rsidR="00A9766F" w:rsidRPr="007114AF">
        <w:rPr>
          <w:b/>
          <w:i/>
          <w:u w:val="single"/>
        </w:rPr>
        <w:t>r nxitjen e p</w:t>
      </w:r>
      <w:r w:rsidR="003E1E77">
        <w:rPr>
          <w:b/>
          <w:i/>
          <w:u w:val="single"/>
        </w:rPr>
        <w:t>ë</w:t>
      </w:r>
      <w:r w:rsidR="00A9766F" w:rsidRPr="007114AF">
        <w:rPr>
          <w:b/>
          <w:i/>
          <w:u w:val="single"/>
        </w:rPr>
        <w:t>rdorimit t</w:t>
      </w:r>
      <w:r w:rsidR="003E1E77">
        <w:rPr>
          <w:b/>
          <w:i/>
          <w:u w:val="single"/>
        </w:rPr>
        <w:t>ë</w:t>
      </w:r>
      <w:r w:rsidR="00A9766F" w:rsidRPr="007114AF">
        <w:rPr>
          <w:b/>
          <w:i/>
          <w:u w:val="single"/>
        </w:rPr>
        <w:t xml:space="preserve"> burimeve t</w:t>
      </w:r>
      <w:r w:rsidR="003E1E77">
        <w:rPr>
          <w:b/>
          <w:i/>
          <w:u w:val="single"/>
        </w:rPr>
        <w:t>ë</w:t>
      </w:r>
      <w:r w:rsidR="00A9766F" w:rsidRPr="007114AF">
        <w:rPr>
          <w:b/>
          <w:i/>
          <w:u w:val="single"/>
        </w:rPr>
        <w:t xml:space="preserve"> rinovueshme t</w:t>
      </w:r>
      <w:r w:rsidR="003E1E77">
        <w:rPr>
          <w:b/>
          <w:i/>
          <w:u w:val="single"/>
        </w:rPr>
        <w:t>ë</w:t>
      </w:r>
      <w:r w:rsidR="00A9766F" w:rsidRPr="007114AF">
        <w:rPr>
          <w:b/>
          <w:i/>
          <w:u w:val="single"/>
        </w:rPr>
        <w:t xml:space="preserve"> energjie</w:t>
      </w:r>
      <w:r w:rsidR="000A2A01" w:rsidRPr="007114AF">
        <w:rPr>
          <w:b/>
          <w:i/>
          <w:u w:val="single"/>
        </w:rPr>
        <w:t>”</w:t>
      </w:r>
    </w:p>
    <w:p w14:paraId="6EDCFDBD" w14:textId="77777777" w:rsidR="00A9766F" w:rsidRPr="007114AF" w:rsidRDefault="00A9766F" w:rsidP="00206985">
      <w:pPr>
        <w:pStyle w:val="TEKSTI"/>
        <w:rPr>
          <w:i/>
        </w:rPr>
      </w:pPr>
      <w:r w:rsidRPr="007114AF">
        <w:rPr>
          <w:i/>
        </w:rPr>
        <w:t>Vlefshmëria: Nga hyrja në fuqi dhe më tej e pakufizuar deri në rishikime të mëtejshme</w:t>
      </w:r>
    </w:p>
    <w:p w14:paraId="6EDCFDBE" w14:textId="646D467E" w:rsidR="00A9766F" w:rsidRPr="007114AF" w:rsidRDefault="00A9766F" w:rsidP="00206985">
      <w:pPr>
        <w:pStyle w:val="TEKSTI"/>
      </w:pPr>
      <w:r w:rsidRPr="007114AF">
        <w:t>Ky ligj tregon prioritetet kryesore strategjike në fushën e burimeve të energjisë së rinovueshme në Shqipëri, dhe përcakton institucionet dhe instrumentet kryesore të përfshira në realizimin e prioriteteve të tilla. Ai ofron gjithashtu specifikime teknike të drejtpërdrejta që lidhen me rregullin e llogaritjes për pjesën e BER-it në prodhimin e energjisë, dhe për objektiva të ngjash</w:t>
      </w:r>
      <w:r w:rsidR="00414BCD">
        <w:t>ë</w:t>
      </w:r>
      <w:r w:rsidRPr="007114AF">
        <w:t xml:space="preserve">m dhe në integrimin në rrjetin e transmetimit të energjisë elektrike BER për prodhimin e energjisë elektrike. Përveç këtyre rregulloreve teknike, struktura e tij është shumë e ngjashme me </w:t>
      </w:r>
      <w:r w:rsidR="00414BCD" w:rsidRPr="007114AF">
        <w:t xml:space="preserve">ligjin e eficiencës së energjisë. </w:t>
      </w:r>
    </w:p>
    <w:p w14:paraId="6EDCFDBF" w14:textId="69688AE6" w:rsidR="00A9766F" w:rsidRPr="007114AF" w:rsidRDefault="00A9766F" w:rsidP="00206985">
      <w:pPr>
        <w:pStyle w:val="TEKSTI"/>
      </w:pPr>
      <w:r w:rsidRPr="007114AF">
        <w:t>Ky ligj nuk përcakton direkt objektivat sasiorë dhe as zgjedh masat e politikave për t</w:t>
      </w:r>
      <w:r w:rsidR="00D10DAB" w:rsidRPr="007114AF">
        <w:t>’</w:t>
      </w:r>
      <w:r w:rsidRPr="007114AF">
        <w:t>i zbatuar ato, por ia delegon zgjedhje të tilla akteve nënligjore dhe planeve të njëpasnjëshme të</w:t>
      </w:r>
      <w:r w:rsidR="00416FCE">
        <w:t xml:space="preserve"> </w:t>
      </w:r>
      <w:r w:rsidRPr="007114AF">
        <w:t>BER-it. Megjithatë, ai parashikon se objektiva të till</w:t>
      </w:r>
      <w:r w:rsidR="00414BCD">
        <w:t>ë</w:t>
      </w:r>
      <w:r w:rsidRPr="007114AF">
        <w:t xml:space="preserve"> duhen</w:t>
      </w:r>
      <w:r w:rsidR="00416FCE">
        <w:t xml:space="preserve"> </w:t>
      </w:r>
      <w:r w:rsidRPr="007114AF">
        <w:t>përcaktuar, dhe rendit një listë të mjeteve të politikave nga të cilat autoritetet përgjegjëse për zbatim mund të zgjedhin si ta gjykojnë të përshtatshme, pa qenë të detyruara të ndërmarrin masa specifike politikash. Sa i përket ligjit të EE-së, ka një set kryesor të mjeteve të përcaktuara në mënyrë të drejtpërdrejtë me ligj, kryesisht me natyrë teknike. Hollësi të mëtejshme mbi këto masa do të sigurohen në vijim të këtij seksioni.</w:t>
      </w:r>
    </w:p>
    <w:p w14:paraId="6EDCFDC0" w14:textId="6254A65C" w:rsidR="00A9766F" w:rsidRPr="007114AF" w:rsidRDefault="00A9766F" w:rsidP="00206985">
      <w:pPr>
        <w:pStyle w:val="TEKSTI"/>
      </w:pPr>
      <w:r w:rsidRPr="007114AF">
        <w:t>Ligji fillon me përcaktimin e qëllimit të përgjithshëm të tij (rritje të depërtimit të burimeve të rinovueshmeve, rritje të diversifikimit të burimeve të energjisë, ulje të shkarkimeve GES, promovimin e teknologjive të pastra). Më tej, rendit objektivat e politikave në nenin 2, të cilat përfshijnë përcaktimin e objektivave kombëtar</w:t>
      </w:r>
      <w:r w:rsidR="00414BCD">
        <w:t>ë</w:t>
      </w:r>
      <w:r w:rsidRPr="007114AF">
        <w:t xml:space="preserve">, përcaktimin e përgjegjësive administrative, si dhe harton mekanizma nxitës për promovimin e BER-it. Terminologjia përkatëse përcaktohet në nenin 3. Në </w:t>
      </w:r>
      <w:r w:rsidR="00163F78">
        <w:t>k</w:t>
      </w:r>
      <w:r w:rsidRPr="007114AF">
        <w:t>reun II ligji i delegon Këshillit të Ministrave detyrën e përcaktimit të objektivave të detyruesh</w:t>
      </w:r>
      <w:r w:rsidR="00163F78">
        <w:t>ë</w:t>
      </w:r>
      <w:r w:rsidRPr="007114AF">
        <w:t>m për pjesën e BER-it në konsumin bruto të energjisë përfundimtare (neni 4), dhe i delegon Ministrisë së Energjisë, në vijim të propozimit të Agjencisë për Burimet e Energjisë së Rinovueshme,</w:t>
      </w:r>
      <w:r w:rsidR="00416FCE">
        <w:t xml:space="preserve"> </w:t>
      </w:r>
      <w:r w:rsidRPr="007114AF">
        <w:t>detyrën e hartimit të Planit Kombëtar të Veprimit të Energjisë së Rinovueshme dhe monitorimin e zbatimit</w:t>
      </w:r>
      <w:r w:rsidR="00416FCE">
        <w:t xml:space="preserve"> </w:t>
      </w:r>
      <w:r w:rsidRPr="007114AF">
        <w:t xml:space="preserve">të tij (neni 5). Neni 6 përcakton rregullat që duhen ndjekur në mënyrë që të llogariten pjesën e BER-it për vektorë të ndryshëm të energjisë dhe teknologjive, të cilat duhet të dorëzohen nga Agjencia BER, në Ministrinë e Energjisë dhe Entit Rregullator të Energjisë Elektrike (ERE) çdo vit. Rregullat për miratimin zyrtar nga ana e qeverisë të aktivitetit të monitorimit dhe raportimit të Agjencisë mbi zbatimin e Planit paraqiten në </w:t>
      </w:r>
      <w:r w:rsidR="00416FCE">
        <w:t>n</w:t>
      </w:r>
      <w:r w:rsidRPr="007114AF">
        <w:t xml:space="preserve">enin 7. </w:t>
      </w:r>
    </w:p>
    <w:p w14:paraId="6EDCFDC1" w14:textId="77777777" w:rsidR="00A9766F" w:rsidRPr="007114AF" w:rsidRDefault="00A9766F" w:rsidP="00206985">
      <w:pPr>
        <w:pStyle w:val="TEKSTI"/>
      </w:pPr>
      <w:r w:rsidRPr="007114AF">
        <w:t>Neni 8 ka të bëjë me autorizimin e projekteve të përbashkëta ndërmjet Qeverisë shqiptare, shteteve anëtare të BE-së ose palëve kontraktuese të Traktatit të Komunitetit të Energjisë. Neni 9 përmban një listë mjetesh të politikave të mundshme të cilat mund të përdoren në nxitjen e BER-it. Neni 10 përcakton Fondin e Burimeve të Energjisë së Rinovueshme, një mjet financiar që synon mbështetjen financiare të investimeve në BER, ndërsa neni 11 siguron rregullat bazë për administrimin e tij.</w:t>
      </w:r>
    </w:p>
    <w:p w14:paraId="6EDCFDC2" w14:textId="1DBB2791" w:rsidR="00A9766F" w:rsidRPr="007114AF" w:rsidRDefault="00A9766F" w:rsidP="00206985">
      <w:pPr>
        <w:pStyle w:val="TEKSTI"/>
      </w:pPr>
      <w:r w:rsidRPr="007114AF">
        <w:t>Neni 12 merret në terma shumë të përgjithshme me masat informuese dhe trajnuese për BER-in, duke siguruar një listë të veprimeve të mundshme mes të cilave ministria mund të zgjedhë nisma të veçanta dhe lejon përdorimin e Fondit BER si burim financues. Nenet 13 dhe 14 përcaktojnë rregullat të krijimit, përcaktimin e qëllimit dhe përgjegjësitë e Agjencisë BER, ndër të cilat: hartimin e planit BER, zhvillimin e rregullave të veçanta për kontabilitetin e energjisë së teknologjive të veçanta, zhvillimin e rregullave që autorizojnë dhe licen</w:t>
      </w:r>
      <w:r w:rsidR="00416FCE">
        <w:t>c</w:t>
      </w:r>
      <w:r w:rsidRPr="007114AF">
        <w:t xml:space="preserve">ojnë instalime të reja, mbledhjen dhe raportimin e informacioneve, të tilla si bilancet e energjisë dhe aksionet BER në konsumin e energjisë. </w:t>
      </w:r>
    </w:p>
    <w:p w14:paraId="6EDCFDC3" w14:textId="36FCEA4F" w:rsidR="00A9766F" w:rsidRPr="007114AF" w:rsidRDefault="00A9766F" w:rsidP="00206985">
      <w:pPr>
        <w:pStyle w:val="TEKSTI"/>
      </w:pPr>
      <w:r w:rsidRPr="007114AF">
        <w:t xml:space="preserve">Masa teknike të veçanta që synojnë nxitjen e BER-it përcaktohen më tej në </w:t>
      </w:r>
      <w:r w:rsidR="00416FCE">
        <w:t>k</w:t>
      </w:r>
      <w:r w:rsidRPr="007114AF">
        <w:t>reun III. Nenet 14-17 trajtojnë rregullat në lidhje me impiantet</w:t>
      </w:r>
      <w:r w:rsidR="00416FCE">
        <w:t xml:space="preserve"> </w:t>
      </w:r>
      <w:r w:rsidRPr="007114AF">
        <w:t>BER. Neni 18 përcakton prodhuesit të cilëve do t</w:t>
      </w:r>
      <w:r w:rsidR="00D10DAB" w:rsidRPr="007114AF">
        <w:t>’</w:t>
      </w:r>
      <w:r w:rsidRPr="007114AF">
        <w:t xml:space="preserve">iu jepet përparësi në shpërndarjen e energjisë elektrike, bazuar në kapacitetin e tyre (më pak se </w:t>
      </w:r>
      <w:r w:rsidR="00416FCE" w:rsidRPr="007114AF">
        <w:t>10mw</w:t>
      </w:r>
      <w:r w:rsidRPr="007114AF">
        <w:t>), dhe fakti në se ata përdorin BER-in. Procedurat parësore favorizohen nga ky ligj nëpërmjet nenit 21, ku</w:t>
      </w:r>
      <w:r w:rsidR="000A2A01" w:rsidRPr="007114AF">
        <w:t xml:space="preserve"> </w:t>
      </w:r>
      <w:r w:rsidRPr="007114AF">
        <w:t>jepen opsionet</w:t>
      </w:r>
      <w:r w:rsidR="00416FCE">
        <w:t xml:space="preserve"> </w:t>
      </w:r>
      <w:r w:rsidRPr="007114AF">
        <w:t>që, ose ta shesin energjinë e tyre elektrike në tregun konkurrues, ose t</w:t>
      </w:r>
      <w:r w:rsidR="00D10DAB" w:rsidRPr="007114AF">
        <w:t>’</w:t>
      </w:r>
      <w:r w:rsidRPr="007114AF">
        <w:t>ia shesin transmetimin e energjisë elektrike</w:t>
      </w:r>
      <w:r w:rsidR="000A2A01" w:rsidRPr="007114AF">
        <w:t xml:space="preserve"> </w:t>
      </w:r>
      <w:r w:rsidRPr="007114AF">
        <w:t>kompanive shpërndarëse (</w:t>
      </w:r>
      <w:r w:rsidR="000A2A01" w:rsidRPr="007114AF">
        <w:t>“</w:t>
      </w:r>
      <w:r w:rsidRPr="007114AF">
        <w:t>përfituesve</w:t>
      </w:r>
      <w:r w:rsidR="000A2A01" w:rsidRPr="007114AF">
        <w:t>”</w:t>
      </w:r>
      <w:r w:rsidRPr="007114AF">
        <w:t xml:space="preserve"> në përkthimin e ligjit që na është dhënë),që do të jenë më pas të detyruara ta blejnë në kushtet e paracaktuara nga ERE, ku përfshihet një tarifë furnizimi (neni</w:t>
      </w:r>
      <w:r w:rsidR="00416FCE">
        <w:t xml:space="preserve"> </w:t>
      </w:r>
      <w:r w:rsidRPr="007114AF">
        <w:t xml:space="preserve">22). Përfituesit do të jenë në gjendje të mbulojnë shpenzimet e bëra, për shkak të detyrimeve të tyre kontraktuale me prodhuesit parësorë, nga konsumatori përfundimtar (neni 22). Rregullat për caktimin e tarifave të furnizimit renditen në nenin 24. </w:t>
      </w:r>
    </w:p>
    <w:p w14:paraId="6EDCFDC4" w14:textId="4BA40CC6" w:rsidR="00A9766F" w:rsidRPr="007114AF" w:rsidRDefault="00A9766F" w:rsidP="00206985">
      <w:pPr>
        <w:pStyle w:val="TEKSTI"/>
      </w:pPr>
      <w:r w:rsidRPr="007114AF">
        <w:t xml:space="preserve">Prodhimi i Energjisë së Rinovueshme duhet të certifikohet në mënyrë që të marrë përfitimet që përcaktohen në </w:t>
      </w:r>
      <w:r w:rsidR="00416FCE">
        <w:t>k</w:t>
      </w:r>
      <w:r w:rsidRPr="007114AF">
        <w:t>reun II të ligjit, kjo kërkon një Garanci të Origjinës.</w:t>
      </w:r>
      <w:r w:rsidR="00416FCE">
        <w:t xml:space="preserve"> </w:t>
      </w:r>
      <w:r w:rsidRPr="007114AF">
        <w:t>Ky dokument lëshohet nga ERE me kërkesë të prodhuesit, për çdo MWh të prodhuar. Procedura për lëshimin e këtyre certifikatave jepet në mënyrë të detajuar në nenin 26.</w:t>
      </w:r>
    </w:p>
    <w:p w14:paraId="6EDCFDC5" w14:textId="5F1AFFA7" w:rsidR="00A9766F" w:rsidRPr="007114AF" w:rsidRDefault="00A9766F" w:rsidP="00206985">
      <w:pPr>
        <w:pStyle w:val="TEKSTI"/>
      </w:pPr>
      <w:r w:rsidRPr="007114AF">
        <w:t>Kreu IV trajton rregullimin e masave të mëtejshme që mbështesin përhapjen e BER-it në sektorët e ngrohjes dhe ftohjes, pra në atë fushë</w:t>
      </w:r>
      <w:r w:rsidR="00416FCE">
        <w:t xml:space="preserve"> </w:t>
      </w:r>
      <w:r w:rsidRPr="007114AF">
        <w:t>që lidhet drejtpërdrejt me sjelljen dhe vendimet e konsumatorit familjar dhe biznesit të vogël. Ai trajton objektivat minimalë (neni 30), veçanërisht për bojlerët diellorë,</w:t>
      </w:r>
      <w:r w:rsidR="000A2A01" w:rsidRPr="007114AF">
        <w:t xml:space="preserve"> </w:t>
      </w:r>
      <w:r w:rsidRPr="007114AF">
        <w:t>dhe i jep mundësi</w:t>
      </w:r>
      <w:r w:rsidR="00416FCE">
        <w:t xml:space="preserve"> </w:t>
      </w:r>
      <w:r w:rsidRPr="007114AF">
        <w:t xml:space="preserve">ministrisë të vendosë instalimin e detyrueshëm të sistemeve të ngrohjes diellore të ujit, bazuar në karakteristikat e banesave. Neni 31 përmban lidhjet interesante me ligjin e Energjisë Efikase, sepse instalimi i bojlerëve duhet të konsiderohet nga certifikimi i performancës së energjisë së banesave dhe në mënyrë analoge, në rastin e eficiencës së energjisë, ndërtesave publike u kërkohet të vendosin një shembull dhe të jenë të parat që instalojnë bojlerë të tillë. Bojlerët diellorë të instaluar duhet të përmbushin standarde teknike të përcaktuara nga Këshilli i Ministrave. Këto standarde, nëse është e mundur, duhet të hartohen duke ndjekur kriteret e BE-së dhe të testohen duke ndjekur procedurat e BE-së (neni 32). Instalimi i sistemeve me ngrohje diellore do të gëzojë të drejtën e përjashtimit nga TVSH-ja </w:t>
      </w:r>
      <w:r w:rsidR="00416FCE">
        <w:t>dhe detyrimet doganore (neni</w:t>
      </w:r>
      <w:r w:rsidRPr="007114AF">
        <w:t xml:space="preserve"> 33). Grantet në sektorin bujqësor deri në 30% të kostos së investimit për ngrohje dhe ftohje, duke përdorur burimet e rinovueshme, parashikohen në nenin 34. Së fundi, drafti përfshin titullin për nenin 35 mbi sanksionet administrative, i cili nuk ishte hartuar ende në kohën e shkrimit të këtij dokumenti.</w:t>
      </w:r>
    </w:p>
    <w:p w14:paraId="6EDCFDC6" w14:textId="689A61F7" w:rsidR="00A9766F" w:rsidRPr="007114AF" w:rsidRDefault="00A9766F" w:rsidP="00206985">
      <w:pPr>
        <w:pStyle w:val="TEKSTI"/>
        <w:rPr>
          <w:b/>
          <w:i/>
          <w:u w:val="single"/>
        </w:rPr>
      </w:pPr>
      <w:r w:rsidRPr="007114AF">
        <w:rPr>
          <w:b/>
          <w:i/>
          <w:u w:val="single"/>
        </w:rPr>
        <w:t xml:space="preserve">Ligji </w:t>
      </w:r>
      <w:r w:rsidR="00416FCE">
        <w:rPr>
          <w:b/>
          <w:i/>
          <w:u w:val="single"/>
        </w:rPr>
        <w:t xml:space="preserve">nr. </w:t>
      </w:r>
      <w:r w:rsidRPr="007114AF">
        <w:rPr>
          <w:b/>
          <w:i/>
          <w:u w:val="single"/>
        </w:rPr>
        <w:t xml:space="preserve">116/2016 </w:t>
      </w:r>
      <w:r w:rsidR="000A2A01" w:rsidRPr="007114AF">
        <w:rPr>
          <w:b/>
          <w:i/>
          <w:u w:val="single"/>
        </w:rPr>
        <w:t>“</w:t>
      </w:r>
      <w:r w:rsidRPr="007114AF">
        <w:rPr>
          <w:b/>
          <w:i/>
          <w:u w:val="single"/>
        </w:rPr>
        <w:t>P</w:t>
      </w:r>
      <w:r w:rsidR="00416FCE">
        <w:rPr>
          <w:b/>
          <w:i/>
          <w:u w:val="single"/>
        </w:rPr>
        <w:t>ë</w:t>
      </w:r>
      <w:r w:rsidRPr="007114AF">
        <w:rPr>
          <w:b/>
          <w:i/>
          <w:u w:val="single"/>
        </w:rPr>
        <w:t>r performanc</w:t>
      </w:r>
      <w:r w:rsidR="00416FCE">
        <w:rPr>
          <w:b/>
          <w:i/>
          <w:u w:val="single"/>
        </w:rPr>
        <w:t>ë</w:t>
      </w:r>
      <w:r w:rsidRPr="007114AF">
        <w:rPr>
          <w:b/>
          <w:i/>
          <w:u w:val="single"/>
        </w:rPr>
        <w:t xml:space="preserve">n e </w:t>
      </w:r>
      <w:r w:rsidR="00416FCE" w:rsidRPr="007114AF">
        <w:rPr>
          <w:b/>
          <w:i/>
          <w:u w:val="single"/>
        </w:rPr>
        <w:t>energjisë</w:t>
      </w:r>
      <w:r w:rsidRPr="007114AF">
        <w:rPr>
          <w:b/>
          <w:i/>
          <w:u w:val="single"/>
        </w:rPr>
        <w:t xml:space="preserve"> s</w:t>
      </w:r>
      <w:r w:rsidR="00416FCE">
        <w:rPr>
          <w:b/>
          <w:i/>
          <w:u w:val="single"/>
        </w:rPr>
        <w:t>ë</w:t>
      </w:r>
      <w:r w:rsidRPr="007114AF">
        <w:rPr>
          <w:b/>
          <w:i/>
          <w:u w:val="single"/>
        </w:rPr>
        <w:t xml:space="preserve"> </w:t>
      </w:r>
      <w:r w:rsidR="00416FCE" w:rsidRPr="007114AF">
        <w:rPr>
          <w:b/>
          <w:i/>
          <w:u w:val="single"/>
        </w:rPr>
        <w:t>ndërtesave</w:t>
      </w:r>
      <w:r w:rsidR="000A2A01" w:rsidRPr="007114AF">
        <w:rPr>
          <w:b/>
          <w:i/>
          <w:u w:val="single"/>
        </w:rPr>
        <w:t>”</w:t>
      </w:r>
    </w:p>
    <w:p w14:paraId="6EDCFDC7" w14:textId="77777777" w:rsidR="00A9766F" w:rsidRPr="007114AF" w:rsidRDefault="00A9766F" w:rsidP="00206985">
      <w:pPr>
        <w:pStyle w:val="TEKSTI"/>
        <w:rPr>
          <w:i/>
        </w:rPr>
      </w:pPr>
      <w:r w:rsidRPr="007114AF">
        <w:rPr>
          <w:i/>
        </w:rPr>
        <w:t>Vlefshmëria: Nga hyrja në fuqi dhe më tej e pakufizuar deri në rishikime të mëtejshme</w:t>
      </w:r>
    </w:p>
    <w:p w14:paraId="6EDCFDC8" w14:textId="7DDAACA8" w:rsidR="00A9766F" w:rsidRPr="007114AF" w:rsidRDefault="00A9766F" w:rsidP="00206985">
      <w:pPr>
        <w:pStyle w:val="TEKSTI"/>
      </w:pPr>
      <w:r w:rsidRPr="007114AF">
        <w:t xml:space="preserve">Një pjesë e veçantë e legjislacionit parësor mbi performancën e energjisë në banesa (Projektligji PEN) është përgatitur në përputhje me dispozitat e </w:t>
      </w:r>
      <w:r w:rsidR="00416FCE" w:rsidRPr="007114AF">
        <w:t>direktivave të banesave mbi performancën e energjisë s</w:t>
      </w:r>
      <w:r w:rsidRPr="007114AF">
        <w:t>ë BE-së</w:t>
      </w:r>
      <w:r w:rsidR="000A2A01" w:rsidRPr="007114AF">
        <w:t xml:space="preserve"> </w:t>
      </w:r>
      <w:r w:rsidRPr="007114AF">
        <w:t>(</w:t>
      </w:r>
      <w:r w:rsidR="00416FCE">
        <w:t>d</w:t>
      </w:r>
      <w:r w:rsidRPr="007114AF">
        <w:t xml:space="preserve">irektiva 2010/31/EU). </w:t>
      </w:r>
    </w:p>
    <w:p w14:paraId="6EDCFDC9" w14:textId="6216E8B4" w:rsidR="00A9766F" w:rsidRPr="007114AF" w:rsidRDefault="00A9766F" w:rsidP="00206985">
      <w:pPr>
        <w:pStyle w:val="TEKSTI"/>
      </w:pPr>
      <w:r w:rsidRPr="007114AF">
        <w:t>Ligji</w:t>
      </w:r>
      <w:r w:rsidR="000A2A01" w:rsidRPr="007114AF">
        <w:t xml:space="preserve"> </w:t>
      </w:r>
      <w:r w:rsidRPr="007114AF">
        <w:t xml:space="preserve">i PEN-it përfshin dispozitat përkatëse për banesa me energji thuajse zero (NZEB), dhe për këtë arsye përcakton bazën për identifikimin e objektivit (objektivave) kombëtar përkatës dhe përgatitjen e planit për arritjen e objektivit (objektivave). Në mënyrë të veçantë, dispozitat përkatëse të </w:t>
      </w:r>
      <w:r w:rsidR="00416FCE">
        <w:t>l</w:t>
      </w:r>
      <w:r w:rsidRPr="007114AF">
        <w:t>igjit për PEN parashikojnë ndër të tjera</w:t>
      </w:r>
      <w:r w:rsidR="00191838" w:rsidRPr="007114AF">
        <w:t>:</w:t>
      </w:r>
    </w:p>
    <w:p w14:paraId="6EDCFDCA" w14:textId="63C7356B" w:rsidR="00A9766F" w:rsidRPr="007114AF" w:rsidRDefault="00214466" w:rsidP="00206985">
      <w:pPr>
        <w:pStyle w:val="TEKSTI"/>
      </w:pPr>
      <w:r w:rsidRPr="007114AF">
        <w:t xml:space="preserve">- </w:t>
      </w:r>
      <w:r w:rsidR="00A9766F" w:rsidRPr="007114AF">
        <w:t>Përgjegjësinë për përgatitjen e planit do ta mbajnë</w:t>
      </w:r>
      <w:r w:rsidR="000A2A01" w:rsidRPr="007114AF">
        <w:t xml:space="preserve"> </w:t>
      </w:r>
      <w:r w:rsidR="00A9766F" w:rsidRPr="007114AF">
        <w:t>ministritë e energjisë dhe ndërtimit;</w:t>
      </w:r>
    </w:p>
    <w:p w14:paraId="6EDCFDCB" w14:textId="468F3EB8" w:rsidR="00A9766F" w:rsidRPr="007114AF" w:rsidRDefault="00214466" w:rsidP="00206985">
      <w:pPr>
        <w:pStyle w:val="TEKSTI"/>
      </w:pPr>
      <w:r w:rsidRPr="007114AF">
        <w:t xml:space="preserve">- </w:t>
      </w:r>
      <w:r w:rsidR="00A9766F" w:rsidRPr="007114AF">
        <w:t>Objektivat janë vendosur për t</w:t>
      </w:r>
      <w:r w:rsidR="00D10DAB" w:rsidRPr="007114AF">
        <w:t>’</w:t>
      </w:r>
      <w:r w:rsidR="00A9766F" w:rsidRPr="007114AF">
        <w:t>u zbatuar nga të gjitha banesat e reja publike, pas 31 dhjetorit 2018, dhe nga të gjitha ndërtesat e reja, pas 31 dhjetorit 2020;</w:t>
      </w:r>
    </w:p>
    <w:p w14:paraId="6EDCFDCC" w14:textId="4461DE9D" w:rsidR="00A9766F" w:rsidRPr="007114AF" w:rsidRDefault="00214466" w:rsidP="00206985">
      <w:pPr>
        <w:pStyle w:val="TEKSTI"/>
      </w:pPr>
      <w:r w:rsidRPr="007114AF">
        <w:t xml:space="preserve">- </w:t>
      </w:r>
      <w:r w:rsidR="00A9766F" w:rsidRPr="007114AF">
        <w:t>Objektivat e ndërmjet</w:t>
      </w:r>
      <w:r w:rsidR="00163F78">
        <w:t>ë</w:t>
      </w:r>
      <w:r w:rsidR="00A9766F" w:rsidRPr="007114AF">
        <w:t>m që janë vendosur për përmirësimin e performancës së banesave të reja dhe stokut të banesave ekzistuese, të cilat mund të jenë të diferencuara, sipas kategorisë së ndërtimit.</w:t>
      </w:r>
    </w:p>
    <w:p w14:paraId="6EDCFDCD" w14:textId="77777777" w:rsidR="00A9766F" w:rsidRPr="007114AF" w:rsidRDefault="00A9766F" w:rsidP="00206985">
      <w:pPr>
        <w:pStyle w:val="TEKSTI"/>
      </w:pPr>
      <w:r w:rsidRPr="007114AF">
        <w:t>Masat kryesore të kursimit të energjisë të cilat përfshihen në ligj janë:</w:t>
      </w:r>
    </w:p>
    <w:p w14:paraId="6EDCFDCE" w14:textId="77777777" w:rsidR="00A9766F" w:rsidRPr="007114AF" w:rsidRDefault="00214466" w:rsidP="00206985">
      <w:pPr>
        <w:pStyle w:val="TEKSTI"/>
      </w:pPr>
      <w:r w:rsidRPr="007114AF">
        <w:rPr>
          <w:b/>
        </w:rPr>
        <w:t xml:space="preserve">- </w:t>
      </w:r>
      <w:r w:rsidR="00A9766F" w:rsidRPr="007114AF">
        <w:rPr>
          <w:b/>
        </w:rPr>
        <w:t>Taksa e shkarkimeve direkte CO</w:t>
      </w:r>
      <w:r w:rsidR="00A9766F" w:rsidRPr="007114AF">
        <w:rPr>
          <w:b/>
          <w:vertAlign w:val="subscript"/>
        </w:rPr>
        <w:t>2</w:t>
      </w:r>
      <w:r w:rsidR="00A9766F" w:rsidRPr="007114AF">
        <w:rPr>
          <w:b/>
        </w:rPr>
        <w:t xml:space="preserve"> për banesat bazuar në performancën e energjisë së banesave,</w:t>
      </w:r>
      <w:r w:rsidR="00A9766F" w:rsidRPr="007114AF">
        <w:t xml:space="preserve"> e cila parashikon funksionin e menjëhershëm të Fondit për Eficiencën e Energjisë, në mënyrë që fondet të kanalizohen në programet e eficiencës së energjisë. </w:t>
      </w:r>
    </w:p>
    <w:p w14:paraId="6EDCFDCF" w14:textId="77777777" w:rsidR="00A9766F" w:rsidRPr="007114AF" w:rsidRDefault="00214466" w:rsidP="00206985">
      <w:pPr>
        <w:pStyle w:val="TEKSTI"/>
      </w:pPr>
      <w:r w:rsidRPr="007114AF">
        <w:rPr>
          <w:b/>
        </w:rPr>
        <w:t xml:space="preserve">- </w:t>
      </w:r>
      <w:r w:rsidR="00A9766F" w:rsidRPr="007114AF">
        <w:rPr>
          <w:b/>
        </w:rPr>
        <w:t>Zbatimi i skemës së certifikimit të performancës së energjisë bazuar në energjinë përfundimtare</w:t>
      </w:r>
      <w:r w:rsidR="00A9766F" w:rsidRPr="007114AF">
        <w:t>. Përkufizimi i faktorëve parësorë të energjisë dhe shkarkimeve CO</w:t>
      </w:r>
      <w:r w:rsidR="00A9766F" w:rsidRPr="007114AF">
        <w:rPr>
          <w:vertAlign w:val="subscript"/>
        </w:rPr>
        <w:t>2</w:t>
      </w:r>
      <w:r w:rsidR="00A9766F" w:rsidRPr="007114AF">
        <w:t xml:space="preserve"> bazuar në bilancin kombëtar të energjisë.</w:t>
      </w:r>
    </w:p>
    <w:p w14:paraId="6EDCFDD0" w14:textId="2B7ADC47" w:rsidR="00A9766F" w:rsidRPr="007114AF" w:rsidRDefault="00214466" w:rsidP="00206985">
      <w:pPr>
        <w:pStyle w:val="TEKSTI"/>
      </w:pPr>
      <w:r w:rsidRPr="007114AF">
        <w:rPr>
          <w:b/>
        </w:rPr>
        <w:t xml:space="preserve">- </w:t>
      </w:r>
      <w:r w:rsidR="00A9766F" w:rsidRPr="007114AF">
        <w:rPr>
          <w:b/>
        </w:rPr>
        <w:t>Certifikimi i energjisë për banesat</w:t>
      </w:r>
      <w:r w:rsidR="00A9766F" w:rsidRPr="007114AF">
        <w:t xml:space="preserve">, në përputhje me kuadrin ligjor aktual (Kodi i Energjisë së Banesave dhe </w:t>
      </w:r>
      <w:r w:rsidR="00AE747C">
        <w:t>l</w:t>
      </w:r>
      <w:r w:rsidR="00A9766F" w:rsidRPr="007114AF">
        <w:t>igji i EE-së).</w:t>
      </w:r>
    </w:p>
    <w:p w14:paraId="6EDCFDD1" w14:textId="2887F291" w:rsidR="00A9766F" w:rsidRPr="007114AF" w:rsidRDefault="00A9766F" w:rsidP="00206985">
      <w:pPr>
        <w:pStyle w:val="TEKSTI"/>
      </w:pPr>
      <w:r w:rsidRPr="007114AF">
        <w:rPr>
          <w:b/>
        </w:rPr>
        <w:t xml:space="preserve">Prokurimi publik </w:t>
      </w:r>
      <w:r w:rsidR="00AE747C">
        <w:rPr>
          <w:b/>
        </w:rPr>
        <w:t>“</w:t>
      </w:r>
      <w:r w:rsidRPr="007114AF">
        <w:rPr>
          <w:b/>
        </w:rPr>
        <w:t>i gjelbër</w:t>
      </w:r>
      <w:r w:rsidR="00AE747C">
        <w:rPr>
          <w:b/>
        </w:rPr>
        <w:t>”</w:t>
      </w:r>
      <w:r w:rsidRPr="007114AF">
        <w:t>: Ministria e Turizmit dhe Mjedisit, në bashkëpunim me Ministrinë e Infrastrukturës dhe Energjisë si dhe me organizma të tjerë, duhet të hartojnë një manual udhëzimesh për integrimin e kërkesave të eficiencës së energjisë në procedurat e prokurimit publik, të cilat do të përfshijnë një zhvillim të detajuar të kritereve teknike për prokurimin e gjelbër për produkte të caktuara. Me udhëzim të qeverisë, ky manual duhet t</w:t>
      </w:r>
      <w:r w:rsidR="00D10DAB" w:rsidRPr="007114AF">
        <w:t>’</w:t>
      </w:r>
      <w:r w:rsidRPr="007114AF">
        <w:t>u dërgohet të gjitha institucioneve shtetërore dhe autoriteteve rajonale dhe vendore. Pas hartimit të manualit, duhet të hartohen dhe zbatohen kurse dhe aktivitete të tjera edukative për punonjësit e administratës publike qendrore dhe vendore, të cilët do të kryejnë prokurimin,</w:t>
      </w:r>
      <w:r w:rsidR="00AE747C">
        <w:t xml:space="preserve"> </w:t>
      </w:r>
      <w:r w:rsidRPr="007114AF">
        <w:t>si edhe të krijohet një sistem monitorimi për përdorimin e kritereve të gjelbra.</w:t>
      </w:r>
      <w:r w:rsidR="00AE747C">
        <w:t xml:space="preserve"> </w:t>
      </w:r>
      <w:r w:rsidRPr="007114AF">
        <w:t>Megjithatë, zbatimi i plotë i ligjit qëndron mbi zhvillimin akteve nënligjore shoqëruese, që përfshijnë:</w:t>
      </w:r>
    </w:p>
    <w:p w14:paraId="6EDCFDD2" w14:textId="77777777" w:rsidR="00A9766F" w:rsidRPr="007114AF" w:rsidRDefault="00214466" w:rsidP="00206985">
      <w:pPr>
        <w:pStyle w:val="TEKSTI"/>
      </w:pPr>
      <w:r w:rsidRPr="007114AF">
        <w:t xml:space="preserve">- </w:t>
      </w:r>
      <w:r w:rsidR="00A9766F" w:rsidRPr="007114AF">
        <w:t>Një Metodë Kombëtare të Llogaritjes (NCM) për llogaritjen e performancës së energjisë së integruar të një ndërtese apo njësive të ndërtimit dhe që janë përdorur në llogaritjen e niveleve optimale të kostos së kërkesave të performancës së energjisë për ndërtesat, njësitë dhe elementët e ndërtimit që do të mundësojnë lëshimin e certifikatave të performancës së energjisë (CPEs).</w:t>
      </w:r>
    </w:p>
    <w:p w14:paraId="6EDCFDD3" w14:textId="77777777" w:rsidR="00A9766F" w:rsidRPr="007114AF" w:rsidRDefault="00214466" w:rsidP="00206985">
      <w:pPr>
        <w:pStyle w:val="TEKSTI"/>
      </w:pPr>
      <w:r w:rsidRPr="007114AF">
        <w:t xml:space="preserve">- </w:t>
      </w:r>
      <w:r w:rsidR="00A9766F" w:rsidRPr="007114AF">
        <w:t>Kërkesat minimale të performancës së energjisë për ndërtesat (të llogaritura në përputhje me NCM).</w:t>
      </w:r>
    </w:p>
    <w:p w14:paraId="6EDCFDD4" w14:textId="35F4C9AC" w:rsidR="00A9766F" w:rsidRPr="007114AF" w:rsidRDefault="00214466" w:rsidP="00206985">
      <w:pPr>
        <w:pStyle w:val="TEKSTI"/>
      </w:pPr>
      <w:r w:rsidRPr="007114AF">
        <w:t xml:space="preserve">- </w:t>
      </w:r>
      <w:r w:rsidR="00A9766F" w:rsidRPr="007114AF">
        <w:t>Kërkesat e sistemit për performancën e përgjithshme të energjisë, instalimin dhe dimensionimin e duhur,</w:t>
      </w:r>
      <w:r w:rsidR="000A2A01" w:rsidRPr="007114AF">
        <w:t xml:space="preserve"> </w:t>
      </w:r>
      <w:r w:rsidR="00A9766F" w:rsidRPr="007114AF">
        <w:t>rregullimin dhe kontrollin e sistemeve teknike të ndërtimit në ndërtesat ekzistuese.</w:t>
      </w:r>
    </w:p>
    <w:p w14:paraId="6EDCFDD5" w14:textId="77777777" w:rsidR="00A9766F" w:rsidRPr="007114AF" w:rsidRDefault="00214466" w:rsidP="00206985">
      <w:pPr>
        <w:pStyle w:val="TEKSTI"/>
      </w:pPr>
      <w:r w:rsidRPr="007114AF">
        <w:t xml:space="preserve">- </w:t>
      </w:r>
      <w:r w:rsidR="00A9766F" w:rsidRPr="007114AF">
        <w:t>Metodologjia për llogaritjen e kërkesave të performancës së energjisë për banesat, njësitë dhe elementet e ndërtimit.</w:t>
      </w:r>
    </w:p>
    <w:p w14:paraId="6EDCFDD6" w14:textId="77777777" w:rsidR="00A9766F" w:rsidRPr="007114AF" w:rsidRDefault="00214466" w:rsidP="00206985">
      <w:pPr>
        <w:pStyle w:val="TEKSTI"/>
      </w:pPr>
      <w:r w:rsidRPr="007114AF">
        <w:t xml:space="preserve">- </w:t>
      </w:r>
      <w:r w:rsidR="00A9766F" w:rsidRPr="007114AF">
        <w:t>Kërkesat minimale të performancës dhe kërkesat e përdorimit të sistemit alternativ me eficiencë të lartë për banesa që përdorin 100% energji të rinovueshme.</w:t>
      </w:r>
    </w:p>
    <w:p w14:paraId="6EDCFDD7" w14:textId="77777777" w:rsidR="00A9766F" w:rsidRPr="007114AF" w:rsidRDefault="00214466" w:rsidP="00206985">
      <w:pPr>
        <w:pStyle w:val="TEKSTI"/>
      </w:pPr>
      <w:r w:rsidRPr="007114AF">
        <w:t xml:space="preserve">- </w:t>
      </w:r>
      <w:r w:rsidR="00A9766F" w:rsidRPr="007114AF">
        <w:t>Procedurat me të cilat do të kryhet certifikimi i energjisë së banesave dhe njësive të ndërtimit, si dhe për llojin, mostrën, përmbajtjen, ashtu edhe për procedurat për lëshimin dhe regjistrimin e certifikatës së performancës së energjisë të njësisë përkatëse.</w:t>
      </w:r>
    </w:p>
    <w:p w14:paraId="6EDCFDD8" w14:textId="77777777" w:rsidR="00A9766F" w:rsidRPr="007114AF" w:rsidRDefault="00214466" w:rsidP="00206985">
      <w:pPr>
        <w:pStyle w:val="TEKSTI"/>
      </w:pPr>
      <w:r w:rsidRPr="007114AF">
        <w:t xml:space="preserve">- </w:t>
      </w:r>
      <w:r w:rsidR="00A9766F" w:rsidRPr="007114AF">
        <w:t>Procedurat për inspektimin e sistemeve të ngrohjes dhe ajrit të kondicionuar.</w:t>
      </w:r>
    </w:p>
    <w:p w14:paraId="6EDCFDD9" w14:textId="77777777" w:rsidR="00A9766F" w:rsidRPr="007114AF" w:rsidRDefault="00214466" w:rsidP="00206985">
      <w:pPr>
        <w:pStyle w:val="TEKSTI"/>
      </w:pPr>
      <w:r w:rsidRPr="007114AF">
        <w:t xml:space="preserve">- </w:t>
      </w:r>
      <w:r w:rsidR="00A9766F" w:rsidRPr="007114AF">
        <w:t>Ekspertiza e një eksperti të pavarur dhe kërkesat e përshtatshme për procedurat e certifikimit, procedurat operative si dhe ato të regjistrimit, mbikëqyrjes dhe trajnimit.</w:t>
      </w:r>
    </w:p>
    <w:p w14:paraId="6EDCFDDA" w14:textId="77777777" w:rsidR="00A9766F" w:rsidRPr="007114AF" w:rsidRDefault="00214466" w:rsidP="00206985">
      <w:pPr>
        <w:pStyle w:val="TEKSTI"/>
      </w:pPr>
      <w:r w:rsidRPr="007114AF">
        <w:t xml:space="preserve">- </w:t>
      </w:r>
      <w:r w:rsidR="00A9766F" w:rsidRPr="007114AF">
        <w:t>Një kod i praktikës për ekspertë të pavarur që kryen certifikimin e energjisë të banesave dhe njësive të banimit.</w:t>
      </w:r>
    </w:p>
    <w:p w14:paraId="6EDCFDDB" w14:textId="77777777" w:rsidR="00A9766F" w:rsidRPr="007114AF" w:rsidRDefault="00214466" w:rsidP="00206985">
      <w:pPr>
        <w:pStyle w:val="TEKSTI"/>
      </w:pPr>
      <w:r w:rsidRPr="007114AF">
        <w:t xml:space="preserve">- </w:t>
      </w:r>
      <w:r w:rsidR="00A9766F" w:rsidRPr="007114AF">
        <w:t>Një sistem i pavarur kontrolli që verifikon CPEs me anë të një verifikimi të të dhënave të banesave dhe njësive të banimit të përdorura, për të lëshuar certifikatën e performancës së energjisë dhe rezultat e përcaktuara në certifikatë.</w:t>
      </w:r>
    </w:p>
    <w:p w14:paraId="6EDCFDDC" w14:textId="77777777" w:rsidR="00A9766F" w:rsidRPr="007114AF" w:rsidRDefault="00A9766F" w:rsidP="00206985">
      <w:pPr>
        <w:pStyle w:val="TEKSTI"/>
      </w:pPr>
      <w:r w:rsidRPr="007114AF">
        <w:t>Ligji PEN kërkon gjithashtu, që ministria përgjegjëse për ndërtimin, të hartojë një plan kombëtar për të rritur numrin e banesave që përdorin pothuajse 100% energji të rinovueshme në Shqipëri. Plani do të përfshijë:</w:t>
      </w:r>
    </w:p>
    <w:p w14:paraId="6EDCFDDD" w14:textId="77777777" w:rsidR="00A9766F" w:rsidRPr="007114AF" w:rsidRDefault="00214466" w:rsidP="00206985">
      <w:pPr>
        <w:pStyle w:val="TEKSTI"/>
      </w:pPr>
      <w:r w:rsidRPr="007114AF">
        <w:t xml:space="preserve">- </w:t>
      </w:r>
      <w:r w:rsidR="00A9766F" w:rsidRPr="007114AF">
        <w:t>Përkufizimin e detajuar për banesat që përdorin pothuajse 100% energji të rinovueshme në Shqipëri, me një referencë me tregues numerik të përdorimit të energjisë primare (në kWh/m</w:t>
      </w:r>
      <w:r w:rsidR="00A9766F" w:rsidRPr="007114AF">
        <w:rPr>
          <w:vertAlign w:val="superscript"/>
        </w:rPr>
        <w:t>2</w:t>
      </w:r>
      <w:r w:rsidR="00A9766F" w:rsidRPr="007114AF">
        <w:t xml:space="preserve"> në vit).</w:t>
      </w:r>
    </w:p>
    <w:p w14:paraId="6EDCFDDE" w14:textId="77777777" w:rsidR="00A9766F" w:rsidRPr="007114AF" w:rsidRDefault="00214466" w:rsidP="00206985">
      <w:pPr>
        <w:pStyle w:val="TEKSTI"/>
      </w:pPr>
      <w:r w:rsidRPr="007114AF">
        <w:t xml:space="preserve">- </w:t>
      </w:r>
      <w:r w:rsidR="00A9766F" w:rsidRPr="007114AF">
        <w:t>Objektivin se të gjitha ndërtesat e reja duhet ta përmbushin këtë kusht deri në 31 dhjetor 2020.</w:t>
      </w:r>
    </w:p>
    <w:p w14:paraId="6EDCFDDF" w14:textId="566E66DE" w:rsidR="00A9766F" w:rsidRPr="007114AF" w:rsidRDefault="00214466" w:rsidP="00206985">
      <w:pPr>
        <w:pStyle w:val="TEKSTI"/>
      </w:pPr>
      <w:r w:rsidRPr="007114AF">
        <w:t xml:space="preserve">- </w:t>
      </w:r>
      <w:r w:rsidR="00A9766F" w:rsidRPr="007114AF">
        <w:t xml:space="preserve">Objektivin se të gjitha banesat e reja të banuara dhe në pronësi të autoriteteve publike duhet ta përmbushin këtë kusht deri </w:t>
      </w:r>
      <w:r w:rsidR="00AE747C">
        <w:t>m</w:t>
      </w:r>
      <w:r w:rsidR="00A9766F" w:rsidRPr="007114AF">
        <w:t>ë 31 dhjetor 2018.</w:t>
      </w:r>
    </w:p>
    <w:p w14:paraId="6EDCFDE0" w14:textId="11FC2328" w:rsidR="00A9766F" w:rsidRPr="007114AF" w:rsidRDefault="00214466" w:rsidP="00206985">
      <w:pPr>
        <w:pStyle w:val="TEKSTI"/>
      </w:pPr>
      <w:r w:rsidRPr="007114AF">
        <w:t xml:space="preserve">- </w:t>
      </w:r>
      <w:r w:rsidR="00A9766F" w:rsidRPr="007114AF">
        <w:t>Objektivat e ndërmjet</w:t>
      </w:r>
      <w:r w:rsidR="00163F78">
        <w:t>ë</w:t>
      </w:r>
      <w:r w:rsidR="00A9766F" w:rsidRPr="007114AF">
        <w:t>m për të përmirësuar performancën e banesave të reja dhe të stokut të banesave ekzistuese.</w:t>
      </w:r>
    </w:p>
    <w:p w14:paraId="6EDCFDE1" w14:textId="77777777" w:rsidR="00A9766F" w:rsidRPr="007114AF" w:rsidRDefault="00214466" w:rsidP="00206985">
      <w:pPr>
        <w:pStyle w:val="TEKSTI"/>
      </w:pPr>
      <w:r w:rsidRPr="007114AF">
        <w:t xml:space="preserve">- </w:t>
      </w:r>
      <w:r w:rsidR="00A9766F" w:rsidRPr="007114AF">
        <w:t>Objektivat e ndryshëm që varen nga kategoria e banesave.</w:t>
      </w:r>
    </w:p>
    <w:p w14:paraId="6EDCFDE2" w14:textId="4163E838" w:rsidR="00A9766F" w:rsidRPr="007114AF" w:rsidRDefault="00214466" w:rsidP="00206985">
      <w:pPr>
        <w:pStyle w:val="TEKSTI"/>
      </w:pPr>
      <w:r w:rsidRPr="007114AF">
        <w:t xml:space="preserve">- </w:t>
      </w:r>
      <w:r w:rsidR="00A9766F" w:rsidRPr="007114AF">
        <w:t>Informacionin mbi politikat shtesë dhe ato financiare ose masa të tjera të nevojshme për përmbushjen e këtyre objektivave. Plani do të konsiderojë instrumentet më të përshtatshme çdo tre vjet, duke filluar nga data 30 qershor 2015, do të rendisë masat ekzistuese, si dhe masat dhe instrumentet e propozuara.</w:t>
      </w:r>
      <w:r w:rsidR="000A2A01" w:rsidRPr="007114AF">
        <w:t xml:space="preserve"> </w:t>
      </w:r>
    </w:p>
    <w:p w14:paraId="6EDCFDE3" w14:textId="10DD60C5" w:rsidR="00A9766F" w:rsidRPr="007114AF" w:rsidRDefault="00A9766F" w:rsidP="00206985">
      <w:pPr>
        <w:pStyle w:val="TEKSTI"/>
      </w:pPr>
      <w:r w:rsidRPr="007114AF">
        <w:t>Ky ligj i përgjigjet një objektivi strategjik të përcaktuar brenda SKZHI-II, i cili</w:t>
      </w:r>
      <w:r w:rsidR="000A2A01" w:rsidRPr="007114AF">
        <w:t xml:space="preserve"> </w:t>
      </w:r>
      <w:r w:rsidRPr="007114AF">
        <w:t>përcakton gjithashtu MIE si entin kryesor përgjegjës për përmbushjen e objektivave të përcaktuar në SKZHI-II me asistencën e Agjencisë Rregullatore të Energjisë dhe Agjencinë Kombëtare të Burimeve Natyrore.</w:t>
      </w:r>
    </w:p>
    <w:p w14:paraId="6EDCFDE4" w14:textId="77777777" w:rsidR="00A9766F" w:rsidRPr="007114AF" w:rsidRDefault="00D43DF3" w:rsidP="00206985">
      <w:pPr>
        <w:pStyle w:val="TEKSTI"/>
        <w:rPr>
          <w:b/>
        </w:rPr>
      </w:pPr>
      <w:bookmarkStart w:id="129" w:name="_Toc450135242"/>
      <w:bookmarkStart w:id="130" w:name="_Toc484424501"/>
      <w:r w:rsidRPr="007114AF">
        <w:rPr>
          <w:b/>
        </w:rPr>
        <w:t xml:space="preserve">4.1.3 </w:t>
      </w:r>
      <w:r w:rsidR="00A9766F" w:rsidRPr="007114AF">
        <w:rPr>
          <w:b/>
        </w:rPr>
        <w:t>Transport</w:t>
      </w:r>
      <w:bookmarkEnd w:id="129"/>
      <w:r w:rsidR="00A9766F" w:rsidRPr="007114AF">
        <w:rPr>
          <w:b/>
        </w:rPr>
        <w:t>i</w:t>
      </w:r>
      <w:bookmarkEnd w:id="130"/>
    </w:p>
    <w:p w14:paraId="6EDCFDE5" w14:textId="77777777" w:rsidR="00A9766F" w:rsidRPr="007114AF" w:rsidRDefault="00A9766F" w:rsidP="00206985">
      <w:pPr>
        <w:pStyle w:val="TEKSTI"/>
      </w:pPr>
      <w:r w:rsidRPr="007114AF">
        <w:t>Ministria përgjegjëse për Infrastruktur</w:t>
      </w:r>
      <w:r w:rsidRPr="007114AF">
        <w:rPr>
          <w:rFonts w:cstheme="minorHAnsi"/>
        </w:rPr>
        <w:t>ën kohët e fundit është duke punuar për dy strategjitë dhe planet kryesore</w:t>
      </w:r>
      <w:r w:rsidRPr="007114AF">
        <w:t>: Planin Shqiptar</w:t>
      </w:r>
      <w:r w:rsidRPr="007114AF">
        <w:rPr>
          <w:rFonts w:cstheme="minorHAnsi"/>
        </w:rPr>
        <w:t xml:space="preserve"> të Transportit të Qëndrueshëm dhe Strategjinë Sektoriale të Transportit. Të dy dokumentet ishin ende në proces apo përpunim në kohën e shkrimit të dokumentit të </w:t>
      </w:r>
      <w:r w:rsidRPr="007114AF">
        <w:t>SKNK&amp;P-</w:t>
      </w:r>
      <w:r w:rsidRPr="007114AF">
        <w:rPr>
          <w:rFonts w:cs="Arial"/>
        </w:rPr>
        <w:t>ës</w:t>
      </w:r>
      <w:r w:rsidRPr="007114AF">
        <w:t>, k</w:t>
      </w:r>
      <w:r w:rsidRPr="007114AF">
        <w:rPr>
          <w:rFonts w:cstheme="minorHAnsi"/>
        </w:rPr>
        <w:t>ështu që analiza e mëposhtme bazohet në draftin e parë të dokumenteve</w:t>
      </w:r>
      <w:r w:rsidRPr="007114AF">
        <w:t>. T</w:t>
      </w:r>
      <w:r w:rsidRPr="007114AF">
        <w:rPr>
          <w:rFonts w:cstheme="minorHAnsi"/>
        </w:rPr>
        <w:t xml:space="preserve">ë dy dokumentet kanë si qëllim përcaktimin e një rruge për riorganizimin e sektorit të Transportit sipas </w:t>
      </w:r>
      <w:r w:rsidRPr="007114AF">
        <w:rPr>
          <w:rFonts w:cstheme="minorHAnsi"/>
          <w:i/>
        </w:rPr>
        <w:t>acquis</w:t>
      </w:r>
      <w:r w:rsidRPr="007114AF">
        <w:rPr>
          <w:rFonts w:cstheme="minorHAnsi"/>
        </w:rPr>
        <w:t xml:space="preserve"> dhe standardeve të BE-së, si dhe zbatimin e udhëzimeve themelore strategjike të parashikuara nga strategjitë </w:t>
      </w:r>
      <w:r w:rsidRPr="007114AF">
        <w:t>e energjis</w:t>
      </w:r>
      <w:r w:rsidRPr="007114AF">
        <w:rPr>
          <w:rFonts w:cstheme="minorHAnsi"/>
        </w:rPr>
        <w:t>ë, planet dhe rrjeti i lëvizshmërisë</w:t>
      </w:r>
      <w:r w:rsidRPr="007114AF">
        <w:t>.</w:t>
      </w:r>
    </w:p>
    <w:p w14:paraId="6EDCFDE6" w14:textId="77777777" w:rsidR="00A9766F" w:rsidRPr="007114AF" w:rsidRDefault="00A9766F" w:rsidP="00206985">
      <w:pPr>
        <w:pStyle w:val="TEKSTI"/>
        <w:rPr>
          <w:b/>
          <w:i/>
          <w:u w:val="single"/>
        </w:rPr>
      </w:pPr>
      <w:r w:rsidRPr="007114AF">
        <w:rPr>
          <w:b/>
          <w:i/>
          <w:u w:val="single"/>
        </w:rPr>
        <w:t>Plani i Q</w:t>
      </w:r>
      <w:r w:rsidRPr="007114AF">
        <w:rPr>
          <w:rFonts w:cstheme="minorHAnsi"/>
          <w:b/>
          <w:i/>
          <w:u w:val="single"/>
        </w:rPr>
        <w:t>ëndrueshëm i Transportit (TECTQ) – Dokumenti bazë</w:t>
      </w:r>
    </w:p>
    <w:p w14:paraId="6EDCFDE7" w14:textId="77777777" w:rsidR="00A9766F" w:rsidRPr="007114AF" w:rsidRDefault="00A9766F" w:rsidP="00206985">
      <w:pPr>
        <w:pStyle w:val="TEKSTI"/>
        <w:rPr>
          <w:i/>
        </w:rPr>
      </w:pPr>
      <w:r w:rsidRPr="007114AF">
        <w:rPr>
          <w:i/>
        </w:rPr>
        <w:t>Vlefshmëria: 2016-2020</w:t>
      </w:r>
    </w:p>
    <w:p w14:paraId="6EDCFDE8" w14:textId="245B6BBF" w:rsidR="00A9766F" w:rsidRPr="007114AF" w:rsidRDefault="00A9766F" w:rsidP="00206985">
      <w:pPr>
        <w:pStyle w:val="TEKSTI"/>
      </w:pPr>
      <w:r w:rsidRPr="007114AF">
        <w:t xml:space="preserve">Qeveria shqiptare </w:t>
      </w:r>
      <w:r w:rsidRPr="007114AF">
        <w:rPr>
          <w:rFonts w:cstheme="minorHAnsi"/>
        </w:rPr>
        <w:t xml:space="preserve">është angazhuar përparaqitjen e politikave dhe praktikave të </w:t>
      </w:r>
      <w:r w:rsidRPr="007114AF">
        <w:t>eficiencës s</w:t>
      </w:r>
      <w:r w:rsidRPr="007114AF">
        <w:rPr>
          <w:rFonts w:cstheme="minorHAnsi"/>
        </w:rPr>
        <w:t xml:space="preserve">ë </w:t>
      </w:r>
      <w:r w:rsidRPr="007114AF">
        <w:t>energjis</w:t>
      </w:r>
      <w:r w:rsidRPr="007114AF">
        <w:rPr>
          <w:rFonts w:cstheme="minorHAnsi"/>
        </w:rPr>
        <w:t>ë, si pjesë të Strategjisë së saj Kombëtare për Energjinë</w:t>
      </w:r>
      <w:r w:rsidRPr="007114AF">
        <w:t>, e cila nxit mes të tjerash harmonizimin me k</w:t>
      </w:r>
      <w:r w:rsidRPr="007114AF">
        <w:rPr>
          <w:rFonts w:cstheme="minorHAnsi"/>
        </w:rPr>
        <w:t>ërkesat e BE-së</w:t>
      </w:r>
      <w:r w:rsidRPr="007114AF">
        <w:t>, si pjes</w:t>
      </w:r>
      <w:r w:rsidRPr="007114AF">
        <w:rPr>
          <w:rFonts w:cstheme="minorHAnsi"/>
        </w:rPr>
        <w:t>ë e procesit më të gjerë të paraanëtarësimit</w:t>
      </w:r>
      <w:r w:rsidRPr="007114AF">
        <w:t>. N</w:t>
      </w:r>
      <w:r w:rsidRPr="007114AF">
        <w:rPr>
          <w:rFonts w:cstheme="minorHAnsi"/>
        </w:rPr>
        <w:t>ë</w:t>
      </w:r>
      <w:r w:rsidRPr="007114AF">
        <w:t xml:space="preserve"> k</w:t>
      </w:r>
      <w:r w:rsidRPr="007114AF">
        <w:rPr>
          <w:rFonts w:cstheme="minorHAnsi"/>
        </w:rPr>
        <w:t>ëtë kuadër</w:t>
      </w:r>
      <w:r w:rsidRPr="007114AF">
        <w:t>, nj</w:t>
      </w:r>
      <w:r w:rsidRPr="007114AF">
        <w:rPr>
          <w:rFonts w:cstheme="minorHAnsi"/>
        </w:rPr>
        <w:t>ë Plan i Qëndrueshëm Transporti</w:t>
      </w:r>
      <w:r w:rsidRPr="007114AF">
        <w:t xml:space="preserve"> (TECTQ) po p</w:t>
      </w:r>
      <w:r w:rsidRPr="007114AF">
        <w:rPr>
          <w:rFonts w:cstheme="minorHAnsi"/>
        </w:rPr>
        <w:t>ërgatitet nga Ministria p</w:t>
      </w:r>
      <w:r w:rsidR="00AE747C">
        <w:rPr>
          <w:rFonts w:cstheme="minorHAnsi"/>
        </w:rPr>
        <w:t>ë</w:t>
      </w:r>
      <w:r w:rsidRPr="007114AF">
        <w:rPr>
          <w:rFonts w:cstheme="minorHAnsi"/>
        </w:rPr>
        <w:t>rgjegj</w:t>
      </w:r>
      <w:r w:rsidR="00AE747C">
        <w:rPr>
          <w:rFonts w:cstheme="minorHAnsi"/>
        </w:rPr>
        <w:t>ë</w:t>
      </w:r>
      <w:r w:rsidRPr="007114AF">
        <w:rPr>
          <w:rFonts w:cstheme="minorHAnsi"/>
        </w:rPr>
        <w:t>se p</w:t>
      </w:r>
      <w:r w:rsidR="00AE747C">
        <w:rPr>
          <w:rFonts w:cstheme="minorHAnsi"/>
        </w:rPr>
        <w:t>ë</w:t>
      </w:r>
      <w:r w:rsidRPr="007114AF">
        <w:rPr>
          <w:rFonts w:cstheme="minorHAnsi"/>
        </w:rPr>
        <w:t>r Transportin dhe Infrastrukturën</w:t>
      </w:r>
      <w:r w:rsidRPr="007114AF">
        <w:t xml:space="preserve"> p</w:t>
      </w:r>
      <w:r w:rsidRPr="007114AF">
        <w:rPr>
          <w:rFonts w:cstheme="minorHAnsi"/>
        </w:rPr>
        <w:t>ër të ndihmuar në përmbushjen e objektivave të konsumit të reduktuar të energjisë, si dhe për të përmirësuar qëndrueshmërinë e përgjithshme në sektorin e t</w:t>
      </w:r>
      <w:r w:rsidRPr="007114AF">
        <w:t>ransportit.</w:t>
      </w:r>
    </w:p>
    <w:p w14:paraId="6EDCFDE9" w14:textId="646D2CA3" w:rsidR="00A9766F" w:rsidRPr="007114AF" w:rsidRDefault="00A9766F" w:rsidP="00206985">
      <w:pPr>
        <w:pStyle w:val="TEKSTI"/>
      </w:pPr>
      <w:r w:rsidRPr="007114AF">
        <w:t>Politikat e</w:t>
      </w:r>
      <w:r w:rsidRPr="007114AF">
        <w:rPr>
          <w:rFonts w:cstheme="minorHAnsi"/>
        </w:rPr>
        <w:t xml:space="preserve"> qëndrueshme të transportit do të përqendrohen në uljen e nevojës për të udhëtuar dhe në zhvendosjen e udhëtimit në mënyrën më efikase të mundshme sociale, ekonomike dhe mjedisore, si dhe në</w:t>
      </w:r>
      <w:r w:rsidR="00AE747C">
        <w:rPr>
          <w:rFonts w:cstheme="minorHAnsi"/>
        </w:rPr>
        <w:t xml:space="preserve"> </w:t>
      </w:r>
      <w:r w:rsidRPr="007114AF">
        <w:rPr>
          <w:rFonts w:cstheme="minorHAnsi"/>
        </w:rPr>
        <w:t>vendosjen e përmirësimit teknologjik të automjeteve dhe karburanteve në qendër të vëmendjes.</w:t>
      </w:r>
    </w:p>
    <w:p w14:paraId="6EDCFDEA" w14:textId="42A4A133" w:rsidR="00A9766F" w:rsidRPr="007114AF" w:rsidRDefault="00A9766F" w:rsidP="00206985">
      <w:pPr>
        <w:pStyle w:val="TEKSTI"/>
      </w:pPr>
      <w:r w:rsidRPr="007114AF">
        <w:t>Kjo paradigm</w:t>
      </w:r>
      <w:r w:rsidRPr="007114AF">
        <w:rPr>
          <w:rFonts w:cstheme="minorHAnsi"/>
        </w:rPr>
        <w:t>ë është përkthyer në një kuadër metodologjik</w:t>
      </w:r>
      <w:r w:rsidRPr="007114AF">
        <w:t xml:space="preserve">, </w:t>
      </w:r>
      <w:r w:rsidRPr="007114AF">
        <w:rPr>
          <w:rFonts w:cstheme="minorHAnsi"/>
        </w:rPr>
        <w:t>qasja</w:t>
      </w:r>
      <w:r w:rsidR="00AE747C">
        <w:t xml:space="preserve"> “</w:t>
      </w:r>
      <w:r w:rsidRPr="007114AF">
        <w:t>Shmang–</w:t>
      </w:r>
      <w:r w:rsidR="00AE747C" w:rsidRPr="007114AF">
        <w:t>zhvendos–p</w:t>
      </w:r>
      <w:r w:rsidR="00AE747C" w:rsidRPr="007114AF">
        <w:rPr>
          <w:rFonts w:cstheme="minorHAnsi"/>
        </w:rPr>
        <w:t>ërmirëso</w:t>
      </w:r>
      <w:r w:rsidR="000A2A01" w:rsidRPr="007114AF">
        <w:t>”</w:t>
      </w:r>
      <w:r w:rsidRPr="007114AF">
        <w:t>, t</w:t>
      </w:r>
      <w:r w:rsidRPr="007114AF">
        <w:rPr>
          <w:rFonts w:cstheme="minorHAnsi"/>
        </w:rPr>
        <w:t>ë pranuar gjerësisht si një udhëzues për politikat që promovojnë lëvizjen e qëndrueshme</w:t>
      </w:r>
      <w:r w:rsidRPr="007114AF">
        <w:t>. Kjo do t</w:t>
      </w:r>
      <w:r w:rsidRPr="007114AF">
        <w:rPr>
          <w:rFonts w:cstheme="minorHAnsi"/>
        </w:rPr>
        <w:t>ë thotë se politika e transportit duhet të ulë nevojën e udhëtimit dhe të shkurtojë gjatësitë e udhëtimit, të promovojë një zhvendosje ndaj mënyrave të qëndrueshme dhe të përmirësojë qëndrueshmërinë e të gjitha mënyrave</w:t>
      </w:r>
      <w:r w:rsidRPr="007114AF">
        <w:t>, duke p</w:t>
      </w:r>
      <w:r w:rsidRPr="007114AF">
        <w:rPr>
          <w:rFonts w:cstheme="minorHAnsi"/>
        </w:rPr>
        <w:t>ërdorur teknologjitë më efikase të energjisë</w:t>
      </w:r>
      <w:r w:rsidRPr="007114AF">
        <w:t>. Nj</w:t>
      </w:r>
      <w:r w:rsidRPr="007114AF">
        <w:rPr>
          <w:rFonts w:cstheme="minorHAnsi"/>
        </w:rPr>
        <w:t>ë program i detajuar dhe një përkufizim i një buxheti të mundshëm financiar është zhvilluar për pjesën më të madhe të masave të propozuara</w:t>
      </w:r>
      <w:r w:rsidRPr="007114AF">
        <w:t>.</w:t>
      </w:r>
    </w:p>
    <w:p w14:paraId="6EDCFDEB" w14:textId="77B0EA37" w:rsidR="00A9766F" w:rsidRPr="00AE747C" w:rsidRDefault="00A9766F" w:rsidP="00206985">
      <w:pPr>
        <w:pStyle w:val="TEKSTI"/>
        <w:rPr>
          <w:b/>
          <w:bCs/>
          <w:szCs w:val="22"/>
        </w:rPr>
      </w:pPr>
      <w:r w:rsidRPr="00AE747C">
        <w:rPr>
          <w:szCs w:val="22"/>
        </w:rPr>
        <w:t>T</w:t>
      </w:r>
      <w:r w:rsidRPr="00AE747C">
        <w:rPr>
          <w:rFonts w:cstheme="minorHAnsi"/>
          <w:szCs w:val="22"/>
        </w:rPr>
        <w:t xml:space="preserve">ë nëntë masat e përfshira në </w:t>
      </w:r>
      <w:r w:rsidRPr="00AE747C">
        <w:rPr>
          <w:szCs w:val="22"/>
        </w:rPr>
        <w:t>TECTQ p</w:t>
      </w:r>
      <w:r w:rsidRPr="00AE747C">
        <w:rPr>
          <w:rFonts w:cstheme="minorHAnsi"/>
          <w:szCs w:val="22"/>
        </w:rPr>
        <w:t>ërfshijnë pes</w:t>
      </w:r>
      <w:r w:rsidRPr="00AE747C">
        <w:rPr>
          <w:szCs w:val="22"/>
        </w:rPr>
        <w:t>ë</w:t>
      </w:r>
      <w:r w:rsidRPr="00AE747C">
        <w:rPr>
          <w:rFonts w:cstheme="minorHAnsi"/>
          <w:szCs w:val="22"/>
        </w:rPr>
        <w:t xml:space="preserve"> masa të cilat japin një ndikim të drejtpërdrejtë dhe të matshëm në lidhje me kursimin e energjisë dhe uljen e ndotësve</w:t>
      </w:r>
      <w:r w:rsidRPr="00AE747C">
        <w:rPr>
          <w:szCs w:val="22"/>
        </w:rPr>
        <w:t>, dy masa t</w:t>
      </w:r>
      <w:r w:rsidRPr="00AE747C">
        <w:rPr>
          <w:rFonts w:cstheme="minorHAnsi"/>
          <w:szCs w:val="22"/>
        </w:rPr>
        <w:t>ë zhvilluara si udhëzime për palët e interesuara</w:t>
      </w:r>
      <w:r w:rsidRPr="00AE747C">
        <w:rPr>
          <w:szCs w:val="22"/>
        </w:rPr>
        <w:t xml:space="preserve"> (duke pasur nj</w:t>
      </w:r>
      <w:r w:rsidRPr="00AE747C">
        <w:rPr>
          <w:rFonts w:cstheme="minorHAnsi"/>
          <w:szCs w:val="22"/>
        </w:rPr>
        <w:t>ë</w:t>
      </w:r>
      <w:r w:rsidR="00AE747C">
        <w:rPr>
          <w:rFonts w:cstheme="minorHAnsi"/>
          <w:szCs w:val="22"/>
        </w:rPr>
        <w:t xml:space="preserve"> </w:t>
      </w:r>
      <w:r w:rsidRPr="00AE747C">
        <w:rPr>
          <w:rFonts w:cstheme="minorHAnsi"/>
          <w:szCs w:val="22"/>
        </w:rPr>
        <w:t xml:space="preserve">horizont konkret të zbatimit përtej </w:t>
      </w:r>
      <w:r w:rsidRPr="00AE747C">
        <w:rPr>
          <w:szCs w:val="22"/>
        </w:rPr>
        <w:t>2020) dhe dy masa shoq</w:t>
      </w:r>
      <w:r w:rsidRPr="00AE747C">
        <w:rPr>
          <w:rFonts w:cstheme="minorHAnsi"/>
          <w:szCs w:val="22"/>
        </w:rPr>
        <w:t>ëruese të cilat mbështesin planin e përgjithshëm me komunikimin e duhur dhe mjetet e monitorimit</w:t>
      </w:r>
      <w:r w:rsidRPr="00AE747C">
        <w:rPr>
          <w:szCs w:val="22"/>
        </w:rPr>
        <w:t>.</w:t>
      </w:r>
      <w:r w:rsidR="00AE747C">
        <w:rPr>
          <w:szCs w:val="22"/>
        </w:rPr>
        <w:t xml:space="preserve"> </w:t>
      </w:r>
      <w:r w:rsidRPr="00AE747C">
        <w:rPr>
          <w:szCs w:val="22"/>
        </w:rPr>
        <w:t>T</w:t>
      </w:r>
      <w:r w:rsidRPr="00AE747C">
        <w:rPr>
          <w:rFonts w:cstheme="minorHAnsi"/>
          <w:szCs w:val="22"/>
        </w:rPr>
        <w:t>ë nëntë masat e përfshira janë si më poshtë:</w:t>
      </w:r>
    </w:p>
    <w:p w14:paraId="6EDCFDEC" w14:textId="72331CC4" w:rsidR="00A9766F" w:rsidRPr="007114AF" w:rsidRDefault="00214466" w:rsidP="00206985">
      <w:pPr>
        <w:pStyle w:val="TEKSTI"/>
      </w:pPr>
      <w:r w:rsidRPr="007114AF">
        <w:rPr>
          <w:b/>
          <w:bCs/>
        </w:rPr>
        <w:t xml:space="preserve">1. </w:t>
      </w:r>
      <w:r w:rsidR="00A9766F" w:rsidRPr="007114AF">
        <w:rPr>
          <w:b/>
          <w:bCs/>
        </w:rPr>
        <w:t>Zgjerimi i kapaciteteve rrugore</w:t>
      </w:r>
      <w:r w:rsidR="00A9766F" w:rsidRPr="007114AF">
        <w:t xml:space="preserve">: </w:t>
      </w:r>
      <w:r w:rsidR="00F16CDF" w:rsidRPr="007114AF">
        <w:t xml:space="preserve">ulja </w:t>
      </w:r>
      <w:r w:rsidR="00A9766F" w:rsidRPr="007114AF">
        <w:t>e shkarkimit t</w:t>
      </w:r>
      <w:r w:rsidR="00A9766F" w:rsidRPr="007114AF">
        <w:rPr>
          <w:rFonts w:cstheme="minorHAnsi"/>
        </w:rPr>
        <w:t xml:space="preserve">ë </w:t>
      </w:r>
      <w:r w:rsidR="00A9766F" w:rsidRPr="007114AF">
        <w:t>ndot</w:t>
      </w:r>
      <w:r w:rsidR="00A9766F" w:rsidRPr="007114AF">
        <w:rPr>
          <w:rFonts w:cstheme="minorHAnsi"/>
        </w:rPr>
        <w:t>ësve të ajrit dhe konsumi i energjisë,</w:t>
      </w:r>
      <w:r w:rsidR="000A2A01" w:rsidRPr="007114AF">
        <w:rPr>
          <w:rFonts w:cstheme="minorHAnsi"/>
        </w:rPr>
        <w:t xml:space="preserve"> </w:t>
      </w:r>
      <w:r w:rsidR="00A9766F" w:rsidRPr="007114AF">
        <w:rPr>
          <w:rFonts w:cstheme="minorHAnsi"/>
        </w:rPr>
        <w:t>duke ulur ngarkesën e qarkullimit</w:t>
      </w:r>
      <w:r w:rsidR="00A9766F" w:rsidRPr="007114AF">
        <w:t xml:space="preserve"> rrugor fal</w:t>
      </w:r>
      <w:r w:rsidR="00A9766F" w:rsidRPr="007114AF">
        <w:rPr>
          <w:rFonts w:cstheme="minorHAnsi"/>
        </w:rPr>
        <w:t>ë kapaciteteve shtesë</w:t>
      </w:r>
      <w:r w:rsidR="000A2A01" w:rsidRPr="007114AF">
        <w:rPr>
          <w:rFonts w:cstheme="minorHAnsi"/>
        </w:rPr>
        <w:t xml:space="preserve"> </w:t>
      </w:r>
      <w:r w:rsidR="00A9766F" w:rsidRPr="007114AF">
        <w:rPr>
          <w:rFonts w:cstheme="minorHAnsi"/>
        </w:rPr>
        <w:t>në seksionet rrugore me trafik më të rënduar</w:t>
      </w:r>
      <w:r w:rsidR="00A9766F" w:rsidRPr="007114AF">
        <w:t>(n</w:t>
      </w:r>
      <w:r w:rsidR="00A9766F" w:rsidRPr="007114AF">
        <w:rPr>
          <w:rFonts w:cstheme="minorHAnsi"/>
        </w:rPr>
        <w:t>ë bashkëpunim me Projektet Parësore të Infrastrukturës së Tr</w:t>
      </w:r>
      <w:r w:rsidR="00A9766F" w:rsidRPr="007114AF">
        <w:t>ansportit), ka t</w:t>
      </w:r>
      <w:r w:rsidR="00A9766F" w:rsidRPr="007114AF">
        <w:rPr>
          <w:rFonts w:cstheme="minorHAnsi"/>
        </w:rPr>
        <w:t>ë bëjë kryesisht me zgjerimin e kapacitetit të akseve rrugore më të nevojshëm</w:t>
      </w:r>
      <w:r w:rsidR="00A9766F" w:rsidRPr="007114AF">
        <w:t>. Projektet e k</w:t>
      </w:r>
      <w:r w:rsidR="00A9766F" w:rsidRPr="007114AF">
        <w:rPr>
          <w:rFonts w:cstheme="minorHAnsi"/>
        </w:rPr>
        <w:t>ëtij lloji mundtë kursejnë energji dhe të ulin shkarkimet e automjeteve kur zbatohen në segmente rrugore me trafik të lartë</w:t>
      </w:r>
      <w:r w:rsidR="00A9766F" w:rsidRPr="007114AF">
        <w:t xml:space="preserve">, ku </w:t>
      </w:r>
      <w:r w:rsidR="00A9766F" w:rsidRPr="007114AF">
        <w:rPr>
          <w:rFonts w:cstheme="minorHAnsi"/>
        </w:rPr>
        <w:t>efikasiteti i karburantit</w:t>
      </w:r>
      <w:r w:rsidR="00A9766F" w:rsidRPr="007114AF">
        <w:t xml:space="preserve"> ulet ndjesh</w:t>
      </w:r>
      <w:r w:rsidR="00A9766F" w:rsidRPr="007114AF">
        <w:rPr>
          <w:rFonts w:cstheme="minorHAnsi"/>
        </w:rPr>
        <w:t>ëm</w:t>
      </w:r>
      <w:r w:rsidR="00A9766F" w:rsidRPr="007114AF">
        <w:t xml:space="preserve">. </w:t>
      </w:r>
    </w:p>
    <w:p w14:paraId="6EDCFDED" w14:textId="0D56A74F" w:rsidR="00A9766F" w:rsidRPr="007114AF" w:rsidRDefault="00214466" w:rsidP="00206985">
      <w:pPr>
        <w:pStyle w:val="TEKSTI"/>
        <w:rPr>
          <w:rFonts w:eastAsia="Georgia" w:cs="Georgia"/>
        </w:rPr>
      </w:pPr>
      <w:r w:rsidRPr="007114AF">
        <w:rPr>
          <w:b/>
          <w:bCs/>
        </w:rPr>
        <w:t xml:space="preserve">2. </w:t>
      </w:r>
      <w:r w:rsidR="00A9766F" w:rsidRPr="007114AF">
        <w:rPr>
          <w:b/>
          <w:bCs/>
        </w:rPr>
        <w:t>P</w:t>
      </w:r>
      <w:r w:rsidR="00A9766F" w:rsidRPr="007114AF">
        <w:rPr>
          <w:rFonts w:cs="Calibri"/>
          <w:b/>
          <w:bCs/>
        </w:rPr>
        <w:t>ërmirësimi i kushteve të shtrimit të rrugëve</w:t>
      </w:r>
      <w:r w:rsidR="00A9766F" w:rsidRPr="007114AF">
        <w:t xml:space="preserve">: </w:t>
      </w:r>
      <w:r w:rsidR="00F16CDF" w:rsidRPr="007114AF">
        <w:t xml:space="preserve">ulja </w:t>
      </w:r>
      <w:r w:rsidR="00A9766F" w:rsidRPr="007114AF">
        <w:t>e shkarkimit t</w:t>
      </w:r>
      <w:r w:rsidR="00A9766F" w:rsidRPr="007114AF">
        <w:rPr>
          <w:rFonts w:cstheme="minorHAnsi"/>
        </w:rPr>
        <w:t>ë ndotësve të ajrit dhe konsumit të energjisë me anë të përmirësimit të kushteve të shtrimit të rrugëve</w:t>
      </w:r>
      <w:r w:rsidR="00A9766F" w:rsidRPr="007114AF">
        <w:t>, n</w:t>
      </w:r>
      <w:r w:rsidR="00A9766F" w:rsidRPr="007114AF">
        <w:rPr>
          <w:rFonts w:cstheme="minorHAnsi"/>
        </w:rPr>
        <w:t>ëpërmjet një strategjie të re të mirëmbajtjes rrugore</w:t>
      </w:r>
      <w:r w:rsidR="00A9766F" w:rsidRPr="007114AF">
        <w:t xml:space="preserve">. </w:t>
      </w:r>
    </w:p>
    <w:p w14:paraId="6EDCFDEE" w14:textId="1CD0D542" w:rsidR="00A9766F" w:rsidRPr="007114AF" w:rsidRDefault="00214466" w:rsidP="00206985">
      <w:pPr>
        <w:pStyle w:val="TEKSTI"/>
      </w:pPr>
      <w:r w:rsidRPr="007114AF">
        <w:rPr>
          <w:b/>
          <w:bCs/>
        </w:rPr>
        <w:t xml:space="preserve">3. </w:t>
      </w:r>
      <w:r w:rsidR="00A9766F" w:rsidRPr="007114AF">
        <w:rPr>
          <w:b/>
          <w:bCs/>
        </w:rPr>
        <w:t>Risia e shtrimit t</w:t>
      </w:r>
      <w:r w:rsidR="00A9766F" w:rsidRPr="007114AF">
        <w:rPr>
          <w:rFonts w:cs="Calibri"/>
          <w:b/>
          <w:bCs/>
        </w:rPr>
        <w:t xml:space="preserve">ë </w:t>
      </w:r>
      <w:r w:rsidR="00A9766F" w:rsidRPr="007114AF">
        <w:rPr>
          <w:b/>
          <w:bCs/>
        </w:rPr>
        <w:t>rrug</w:t>
      </w:r>
      <w:r w:rsidR="00A9766F" w:rsidRPr="007114AF">
        <w:rPr>
          <w:rFonts w:cs="Calibri"/>
          <w:b/>
          <w:bCs/>
        </w:rPr>
        <w:t>ë</w:t>
      </w:r>
      <w:r w:rsidR="00A9766F" w:rsidRPr="007114AF">
        <w:rPr>
          <w:b/>
          <w:bCs/>
        </w:rPr>
        <w:t xml:space="preserve">ve: </w:t>
      </w:r>
      <w:r w:rsidR="00F16CDF" w:rsidRPr="007114AF">
        <w:t xml:space="preserve">zbatimi </w:t>
      </w:r>
      <w:r w:rsidR="00A9766F" w:rsidRPr="007114AF">
        <w:t>i teknologjive t</w:t>
      </w:r>
      <w:r w:rsidR="00A9766F" w:rsidRPr="007114AF">
        <w:rPr>
          <w:rFonts w:cstheme="minorHAnsi"/>
        </w:rPr>
        <w:t>ë reja në shtrimin e rrugëve, duke ulur ndikimet mjedisore të mirëmbajtjes rrugore dhe qarkullimin rrugor, si</w:t>
      </w:r>
      <w:r w:rsidR="00A9766F" w:rsidRPr="007114AF">
        <w:t xml:space="preserve"> teknologjia e ftoht</w:t>
      </w:r>
      <w:r w:rsidR="00A9766F" w:rsidRPr="007114AF">
        <w:rPr>
          <w:rFonts w:cstheme="minorHAnsi"/>
        </w:rPr>
        <w:t>ë e riciklimit dhe trajtimi fotokatalitik</w:t>
      </w:r>
      <w:r w:rsidR="00A9766F" w:rsidRPr="007114AF">
        <w:t xml:space="preserve"> antindotje.</w:t>
      </w:r>
    </w:p>
    <w:p w14:paraId="6EDCFDEF" w14:textId="7E01C9B6" w:rsidR="00A9766F" w:rsidRPr="007114AF" w:rsidRDefault="00214466" w:rsidP="00206985">
      <w:pPr>
        <w:pStyle w:val="TEKSTI"/>
        <w:rPr>
          <w:b/>
          <w:bCs/>
        </w:rPr>
      </w:pPr>
      <w:r w:rsidRPr="007114AF">
        <w:rPr>
          <w:b/>
          <w:bCs/>
        </w:rPr>
        <w:t xml:space="preserve">4. </w:t>
      </w:r>
      <w:r w:rsidR="00A9766F" w:rsidRPr="007114AF">
        <w:rPr>
          <w:b/>
          <w:bCs/>
        </w:rPr>
        <w:t>Transport i</w:t>
      </w:r>
      <w:r w:rsidR="00F16CDF">
        <w:rPr>
          <w:b/>
          <w:bCs/>
        </w:rPr>
        <w:t xml:space="preserve"> </w:t>
      </w:r>
      <w:r w:rsidR="00A9766F" w:rsidRPr="007114AF">
        <w:rPr>
          <w:rFonts w:cs="Calibri"/>
          <w:b/>
          <w:bCs/>
        </w:rPr>
        <w:t>integruar dhe shfrytëzimi tokës</w:t>
      </w:r>
      <w:r w:rsidR="00A9766F" w:rsidRPr="007114AF">
        <w:rPr>
          <w:b/>
          <w:bCs/>
        </w:rPr>
        <w:t xml:space="preserve">: </w:t>
      </w:r>
      <w:r w:rsidR="00F16CDF" w:rsidRPr="007114AF">
        <w:t>ulja</w:t>
      </w:r>
      <w:r w:rsidR="00F16CDF">
        <w:t xml:space="preserve"> </w:t>
      </w:r>
      <w:r w:rsidR="00A9766F" w:rsidRPr="007114AF">
        <w:t>e</w:t>
      </w:r>
      <w:r w:rsidR="00A9766F" w:rsidRPr="007114AF">
        <w:rPr>
          <w:rFonts w:cstheme="minorHAnsi"/>
        </w:rPr>
        <w:t xml:space="preserve"> nevojës së udhëtimit dhe shkurtimi i gjatësisë</w:t>
      </w:r>
      <w:r w:rsidR="00F16CDF">
        <w:rPr>
          <w:rFonts w:cstheme="minorHAnsi"/>
        </w:rPr>
        <w:t xml:space="preserve"> </w:t>
      </w:r>
      <w:r w:rsidR="00A9766F" w:rsidRPr="007114AF">
        <w:rPr>
          <w:rFonts w:cstheme="minorHAnsi"/>
        </w:rPr>
        <w:t>së udhëtimeve</w:t>
      </w:r>
      <w:r w:rsidR="00A9766F" w:rsidRPr="007114AF">
        <w:t>, fal</w:t>
      </w:r>
      <w:r w:rsidR="00A9766F" w:rsidRPr="007114AF">
        <w:rPr>
          <w:rFonts w:cstheme="minorHAnsi"/>
        </w:rPr>
        <w:t>ë strategjive të përziera të shfrytëzimit të tokës dhe vlerësimit paraprak të transportit, ndikon në planet e zhvillimit</w:t>
      </w:r>
      <w:r w:rsidR="00A9766F" w:rsidRPr="007114AF">
        <w:t>. N</w:t>
      </w:r>
      <w:r w:rsidR="00A9766F" w:rsidRPr="007114AF">
        <w:rPr>
          <w:rFonts w:cstheme="minorHAnsi"/>
        </w:rPr>
        <w:t>ë Shqipëri</w:t>
      </w:r>
      <w:r w:rsidR="00A9766F" w:rsidRPr="007114AF">
        <w:t>, mungesa e v</w:t>
      </w:r>
      <w:r w:rsidR="00A9766F" w:rsidRPr="007114AF">
        <w:rPr>
          <w:rFonts w:cstheme="minorHAnsi"/>
        </w:rPr>
        <w:t>ëmendjes ndaj planifikimit të territorit</w:t>
      </w:r>
      <w:r w:rsidR="00F16CDF">
        <w:rPr>
          <w:rFonts w:cstheme="minorHAnsi"/>
        </w:rPr>
        <w:t xml:space="preserve"> </w:t>
      </w:r>
      <w:r w:rsidR="00A9766F" w:rsidRPr="007114AF">
        <w:t>rezultoi me</w:t>
      </w:r>
      <w:r w:rsidR="00A9766F" w:rsidRPr="007114AF">
        <w:rPr>
          <w:rFonts w:cstheme="minorHAnsi"/>
        </w:rPr>
        <w:t xml:space="preserve"> rritje të frekuencës dhe gjatësisë së udhëtimit, për shkak të mungesës së strategjive që synojnë bashkërendimin e zhvillimit të zonave rezidenciale,</w:t>
      </w:r>
      <w:r w:rsidR="00A9766F" w:rsidRPr="007114AF">
        <w:t xml:space="preserve"> industriale dhe ato të </w:t>
      </w:r>
      <w:r w:rsidR="00A9766F" w:rsidRPr="007114AF">
        <w:rPr>
          <w:rFonts w:cstheme="minorHAnsi"/>
        </w:rPr>
        <w:t>shërbimit</w:t>
      </w:r>
      <w:r w:rsidR="00A9766F" w:rsidRPr="007114AF">
        <w:t xml:space="preserve">. </w:t>
      </w:r>
    </w:p>
    <w:p w14:paraId="6EDCFDF0" w14:textId="3B41E762" w:rsidR="00A9766F" w:rsidRPr="007114AF" w:rsidRDefault="00214466" w:rsidP="00206985">
      <w:pPr>
        <w:pStyle w:val="TEKSTI"/>
        <w:rPr>
          <w:b/>
          <w:bCs/>
        </w:rPr>
      </w:pPr>
      <w:r w:rsidRPr="007114AF">
        <w:rPr>
          <w:b/>
          <w:bCs/>
        </w:rPr>
        <w:t xml:space="preserve">5. </w:t>
      </w:r>
      <w:r w:rsidR="00A9766F" w:rsidRPr="007114AF">
        <w:rPr>
          <w:b/>
          <w:bCs/>
        </w:rPr>
        <w:t>P</w:t>
      </w:r>
      <w:r w:rsidR="00A9766F" w:rsidRPr="007114AF">
        <w:rPr>
          <w:rFonts w:cs="Calibri"/>
          <w:b/>
          <w:bCs/>
        </w:rPr>
        <w:t xml:space="preserve">ërmirësimi i </w:t>
      </w:r>
      <w:r w:rsidR="00F16CDF" w:rsidRPr="007114AF">
        <w:rPr>
          <w:rFonts w:cs="Calibri"/>
          <w:b/>
          <w:bCs/>
        </w:rPr>
        <w:t>transportit publik rrugor</w:t>
      </w:r>
      <w:r w:rsidR="00A9766F" w:rsidRPr="007114AF">
        <w:rPr>
          <w:b/>
          <w:bCs/>
        </w:rPr>
        <w:t xml:space="preserve">: </w:t>
      </w:r>
      <w:r w:rsidR="00F16CDF" w:rsidRPr="007114AF">
        <w:t xml:space="preserve">zhvendosja </w:t>
      </w:r>
      <w:r w:rsidR="00A9766F" w:rsidRPr="007114AF">
        <w:t>e trafikut nga transporti privat n</w:t>
      </w:r>
      <w:r w:rsidR="00A9766F" w:rsidRPr="007114AF">
        <w:rPr>
          <w:rFonts w:cstheme="minorHAnsi"/>
        </w:rPr>
        <w:t>ë atë publik përmes r</w:t>
      </w:r>
      <w:r w:rsidR="00A9766F" w:rsidRPr="007114AF">
        <w:t>acionalizimit dhe qasjes m</w:t>
      </w:r>
      <w:r w:rsidR="00A9766F" w:rsidRPr="007114AF">
        <w:rPr>
          <w:rFonts w:cstheme="minorHAnsi"/>
        </w:rPr>
        <w:t>ë të mirë në rrjetin</w:t>
      </w:r>
      <w:r w:rsidR="00F16CDF">
        <w:rPr>
          <w:rFonts w:cstheme="minorHAnsi"/>
        </w:rPr>
        <w:t xml:space="preserve"> </w:t>
      </w:r>
      <w:r w:rsidR="00A9766F" w:rsidRPr="007114AF">
        <w:t>nd</w:t>
      </w:r>
      <w:r w:rsidR="00A9766F" w:rsidRPr="007114AF">
        <w:rPr>
          <w:rFonts w:cstheme="minorHAnsi"/>
        </w:rPr>
        <w:t>ërqytetës të autobusëve</w:t>
      </w:r>
      <w:r w:rsidR="00A9766F" w:rsidRPr="007114AF">
        <w:t>. Transporti nd</w:t>
      </w:r>
      <w:r w:rsidR="00A9766F" w:rsidRPr="007114AF">
        <w:rPr>
          <w:rFonts w:cstheme="minorHAnsi"/>
        </w:rPr>
        <w:t>ërqytetës</w:t>
      </w:r>
      <w:r w:rsidR="00A9766F" w:rsidRPr="007114AF">
        <w:t>/rajonal n</w:t>
      </w:r>
      <w:r w:rsidR="00A9766F" w:rsidRPr="007114AF">
        <w:rPr>
          <w:rFonts w:cstheme="minorHAnsi"/>
        </w:rPr>
        <w:t>ë Shqipëri, për momentin, është tejet i varur nga kushtet e rrugëve</w:t>
      </w:r>
      <w:r w:rsidR="00A9766F" w:rsidRPr="007114AF">
        <w:t xml:space="preserve"> dhe n</w:t>
      </w:r>
      <w:r w:rsidR="00A9766F" w:rsidRPr="007114AF">
        <w:rPr>
          <w:rFonts w:cstheme="minorHAnsi"/>
        </w:rPr>
        <w:t>ë ve</w:t>
      </w:r>
      <w:r w:rsidR="00A9766F" w:rsidRPr="007114AF">
        <w:rPr>
          <w:rFonts w:cs="Calibri"/>
        </w:rPr>
        <w:t>ç</w:t>
      </w:r>
      <w:r w:rsidR="00A9766F" w:rsidRPr="007114AF">
        <w:rPr>
          <w:rFonts w:cstheme="minorHAnsi"/>
        </w:rPr>
        <w:t>anti, nga makinat private</w:t>
      </w:r>
      <w:r w:rsidR="00A9766F" w:rsidRPr="007114AF">
        <w:t>. P</w:t>
      </w:r>
      <w:r w:rsidR="00A9766F" w:rsidRPr="007114AF">
        <w:rPr>
          <w:rFonts w:cstheme="minorHAnsi"/>
        </w:rPr>
        <w:t>ër shkak të cilësisë së keqe aktuale të sistemit hekurudhor</w:t>
      </w:r>
      <w:r w:rsidR="00A9766F" w:rsidRPr="007114AF">
        <w:t>, transporti hekurudhor nuk mund t</w:t>
      </w:r>
      <w:r w:rsidR="00A9766F" w:rsidRPr="007114AF">
        <w:rPr>
          <w:rFonts w:cstheme="minorHAnsi"/>
        </w:rPr>
        <w:t>ë konsiderohet një zgjidhje afatshkurtër</w:t>
      </w:r>
      <w:r w:rsidR="00A9766F" w:rsidRPr="007114AF">
        <w:t>. Prandaj, masa afatshkurtra p</w:t>
      </w:r>
      <w:r w:rsidR="00A9766F" w:rsidRPr="007114AF">
        <w:rPr>
          <w:rFonts w:cstheme="minorHAnsi"/>
        </w:rPr>
        <w:t xml:space="preserve">ër uljen e udhëtimeve </w:t>
      </w:r>
      <w:r w:rsidR="00A9766F" w:rsidRPr="007114AF">
        <w:t>nd</w:t>
      </w:r>
      <w:r w:rsidR="00A9766F" w:rsidRPr="007114AF">
        <w:rPr>
          <w:rFonts w:cstheme="minorHAnsi"/>
        </w:rPr>
        <w:t>ërqytetëse</w:t>
      </w:r>
      <w:r w:rsidR="00F16CDF">
        <w:rPr>
          <w:rFonts w:cstheme="minorHAnsi"/>
        </w:rPr>
        <w:t xml:space="preserve"> </w:t>
      </w:r>
      <w:r w:rsidR="00A9766F" w:rsidRPr="007114AF">
        <w:t>me makin</w:t>
      </w:r>
      <w:r w:rsidR="00A9766F" w:rsidRPr="007114AF">
        <w:rPr>
          <w:rFonts w:cstheme="minorHAnsi"/>
        </w:rPr>
        <w:t xml:space="preserve">ë do të bazohen në zhvillimin e </w:t>
      </w:r>
      <w:r w:rsidR="00A9766F" w:rsidRPr="007114AF">
        <w:t>transportit publik me autobus</w:t>
      </w:r>
      <w:r w:rsidR="00A9766F" w:rsidRPr="007114AF">
        <w:rPr>
          <w:rFonts w:cstheme="minorHAnsi"/>
        </w:rPr>
        <w:t>ë</w:t>
      </w:r>
      <w:r w:rsidR="00A9766F" w:rsidRPr="007114AF">
        <w:t xml:space="preserve">. Masa </w:t>
      </w:r>
      <w:r w:rsidR="00A9766F" w:rsidRPr="007114AF">
        <w:rPr>
          <w:rFonts w:cstheme="minorHAnsi"/>
        </w:rPr>
        <w:t>është koherente me skenarin zbutës t</w:t>
      </w:r>
      <w:r w:rsidR="00A9766F" w:rsidRPr="007114AF">
        <w:t>ë</w:t>
      </w:r>
      <w:r w:rsidR="00A9766F" w:rsidRPr="007114AF">
        <w:rPr>
          <w:bCs/>
        </w:rPr>
        <w:t>INDC-ës.</w:t>
      </w:r>
    </w:p>
    <w:p w14:paraId="6EDCFDF1" w14:textId="60B73A97" w:rsidR="00A9766F" w:rsidRPr="007114AF" w:rsidRDefault="00214466" w:rsidP="00206985">
      <w:pPr>
        <w:pStyle w:val="TEKSTI"/>
      </w:pPr>
      <w:r w:rsidRPr="007114AF">
        <w:rPr>
          <w:b/>
          <w:bCs/>
        </w:rPr>
        <w:t xml:space="preserve">6. </w:t>
      </w:r>
      <w:r w:rsidR="00A9766F" w:rsidRPr="007114AF">
        <w:rPr>
          <w:b/>
          <w:bCs/>
        </w:rPr>
        <w:t xml:space="preserve">Menaxhimi i integruar i mallrave: </w:t>
      </w:r>
      <w:r w:rsidR="00F16CDF" w:rsidRPr="007114AF">
        <w:t xml:space="preserve">ulja </w:t>
      </w:r>
      <w:r w:rsidR="00A9766F" w:rsidRPr="007114AF">
        <w:t>e shkarkimit t</w:t>
      </w:r>
      <w:r w:rsidR="00A9766F" w:rsidRPr="007114AF">
        <w:rPr>
          <w:rFonts w:cstheme="minorHAnsi"/>
        </w:rPr>
        <w:t xml:space="preserve">ë </w:t>
      </w:r>
      <w:r w:rsidR="00A9766F" w:rsidRPr="007114AF">
        <w:t>ndot</w:t>
      </w:r>
      <w:r w:rsidR="00A9766F" w:rsidRPr="007114AF">
        <w:rPr>
          <w:rFonts w:cstheme="minorHAnsi"/>
        </w:rPr>
        <w:t>ësve të ajrit dhe konsumi i energjisë përmes përmirësimit të faktorit të ngarkesës së mallrave rrugorë</w:t>
      </w:r>
      <w:r w:rsidR="00A9766F" w:rsidRPr="007114AF">
        <w:t>, n</w:t>
      </w:r>
      <w:r w:rsidR="00A9766F" w:rsidRPr="007114AF">
        <w:rPr>
          <w:rFonts w:cstheme="minorHAnsi"/>
        </w:rPr>
        <w:t>ë sajë të veprimeve të konsolidimit të mallrave</w:t>
      </w:r>
      <w:r w:rsidR="00A9766F" w:rsidRPr="007114AF">
        <w:t>. Masa ka p</w:t>
      </w:r>
      <w:r w:rsidR="00A9766F" w:rsidRPr="007114AF">
        <w:rPr>
          <w:rFonts w:cstheme="minorHAnsi"/>
        </w:rPr>
        <w:t>ër qëllim r</w:t>
      </w:r>
      <w:r w:rsidR="00A9766F" w:rsidRPr="007114AF">
        <w:t>acionalizimin e proceseve logjistike q</w:t>
      </w:r>
      <w:r w:rsidR="00A9766F" w:rsidRPr="007114AF">
        <w:rPr>
          <w:rFonts w:cstheme="minorHAnsi"/>
        </w:rPr>
        <w:t xml:space="preserve">ë </w:t>
      </w:r>
      <w:r w:rsidR="00A9766F" w:rsidRPr="007114AF">
        <w:rPr>
          <w:rFonts w:cs="Calibri"/>
        </w:rPr>
        <w:t>ç</w:t>
      </w:r>
      <w:r w:rsidR="00A9766F" w:rsidRPr="007114AF">
        <w:rPr>
          <w:rFonts w:cstheme="minorHAnsi"/>
        </w:rPr>
        <w:t xml:space="preserve">ojnë në përmirësimin e produktivitetit dhe besueshmërinë e operacioneve të transportit, si dhe trajtimin e mallrave </w:t>
      </w:r>
      <w:r w:rsidR="00A9766F" w:rsidRPr="007114AF">
        <w:t>(dhe n</w:t>
      </w:r>
      <w:r w:rsidR="00A9766F" w:rsidRPr="007114AF">
        <w:rPr>
          <w:rFonts w:cstheme="minorHAnsi"/>
        </w:rPr>
        <w:t>ë ve</w:t>
      </w:r>
      <w:r w:rsidR="00A9766F" w:rsidRPr="007114AF">
        <w:rPr>
          <w:rFonts w:cs="Calibri"/>
        </w:rPr>
        <w:t>çan</w:t>
      </w:r>
      <w:r w:rsidR="00A9766F" w:rsidRPr="007114AF">
        <w:rPr>
          <w:rFonts w:cstheme="minorHAnsi"/>
        </w:rPr>
        <w:t>ti një</w:t>
      </w:r>
      <w:r w:rsidR="00F16CDF">
        <w:rPr>
          <w:rFonts w:cstheme="minorHAnsi"/>
        </w:rPr>
        <w:t xml:space="preserve"> </w:t>
      </w:r>
      <w:r w:rsidR="00A9766F" w:rsidRPr="007114AF">
        <w:rPr>
          <w:rFonts w:cstheme="minorHAnsi"/>
        </w:rPr>
        <w:t>rritje në faktorin e ngarkesës së kamionëve</w:t>
      </w:r>
      <w:r w:rsidR="00A9766F" w:rsidRPr="007114AF">
        <w:t xml:space="preserve">), </w:t>
      </w:r>
      <w:r w:rsidR="00A9766F" w:rsidRPr="007114AF">
        <w:rPr>
          <w:rFonts w:cstheme="minorHAnsi"/>
        </w:rPr>
        <w:t xml:space="preserve">duke </w:t>
      </w:r>
      <w:r w:rsidR="00A9766F" w:rsidRPr="007114AF">
        <w:rPr>
          <w:rFonts w:cs="Calibri"/>
        </w:rPr>
        <w:t>ç</w:t>
      </w:r>
      <w:r w:rsidR="00A9766F" w:rsidRPr="007114AF">
        <w:rPr>
          <w:rFonts w:cstheme="minorHAnsi"/>
        </w:rPr>
        <w:t>uar në kursim të kostos dhe ndotjes</w:t>
      </w:r>
      <w:r w:rsidR="00A9766F" w:rsidRPr="007114AF">
        <w:t>.</w:t>
      </w:r>
    </w:p>
    <w:p w14:paraId="6EDCFDF2" w14:textId="704FAA37" w:rsidR="00A9766F" w:rsidRPr="007114AF" w:rsidRDefault="00214466" w:rsidP="00206985">
      <w:pPr>
        <w:pStyle w:val="TEKSTI"/>
      </w:pPr>
      <w:r w:rsidRPr="007114AF">
        <w:rPr>
          <w:b/>
          <w:bCs/>
        </w:rPr>
        <w:t xml:space="preserve">7. </w:t>
      </w:r>
      <w:r w:rsidR="00A9766F" w:rsidRPr="007114AF">
        <w:rPr>
          <w:b/>
          <w:bCs/>
        </w:rPr>
        <w:t>Tarifat e makinave eficiente dhe stimujt p</w:t>
      </w:r>
      <w:r w:rsidR="00A9766F" w:rsidRPr="007114AF">
        <w:rPr>
          <w:rFonts w:cs="Calibri"/>
          <w:b/>
          <w:bCs/>
        </w:rPr>
        <w:t>ër rinovimin e flotës</w:t>
      </w:r>
      <w:r w:rsidR="00A9766F" w:rsidRPr="007114AF">
        <w:rPr>
          <w:b/>
          <w:bCs/>
        </w:rPr>
        <w:t>:</w:t>
      </w:r>
      <w:r w:rsidR="00F16CDF">
        <w:rPr>
          <w:b/>
          <w:bCs/>
        </w:rPr>
        <w:t xml:space="preserve"> </w:t>
      </w:r>
      <w:r w:rsidR="00F16CDF" w:rsidRPr="007114AF">
        <w:t xml:space="preserve">ulja </w:t>
      </w:r>
      <w:r w:rsidR="00A9766F" w:rsidRPr="007114AF">
        <w:t>e shkarkimeve t</w:t>
      </w:r>
      <w:r w:rsidR="00A9766F" w:rsidRPr="007114AF">
        <w:rPr>
          <w:rFonts w:cstheme="minorHAnsi"/>
        </w:rPr>
        <w:t>ë ndotësve dhe konsumit të energjisë përmes rinovimit të flotës së makinave</w:t>
      </w:r>
      <w:r w:rsidR="00A9766F" w:rsidRPr="007114AF">
        <w:t xml:space="preserve"> stimuluar nga tarifat e efic</w:t>
      </w:r>
      <w:r w:rsidR="00F16CDF">
        <w:t>i</w:t>
      </w:r>
      <w:r w:rsidR="00A9766F" w:rsidRPr="007114AF">
        <w:t xml:space="preserve">encës </w:t>
      </w:r>
      <w:r w:rsidR="00A9766F" w:rsidRPr="007114AF">
        <w:rPr>
          <w:rFonts w:cstheme="minorHAnsi"/>
        </w:rPr>
        <w:t>dhe stimujt</w:t>
      </w:r>
      <w:r w:rsidR="00A9766F" w:rsidRPr="007114AF">
        <w:t>. Skema e taksave</w:t>
      </w:r>
      <w:r w:rsidR="00F16CDF">
        <w:t xml:space="preserve"> </w:t>
      </w:r>
      <w:r w:rsidR="00A9766F" w:rsidRPr="007114AF">
        <w:t>t</w:t>
      </w:r>
      <w:r w:rsidR="00A9766F" w:rsidRPr="007114AF">
        <w:rPr>
          <w:rFonts w:cstheme="minorHAnsi"/>
        </w:rPr>
        <w:t>ë makinave mbi eficiencën e tyre dhe stimujt që mbështesin rinovimin e flotës, përdoret në të gjithë botën për të përshpejtuar përhapjen e mjeteve me ndotje të ulët</w:t>
      </w:r>
      <w:r w:rsidR="00A9766F" w:rsidRPr="007114AF">
        <w:t>, nd</w:t>
      </w:r>
      <w:r w:rsidR="00A9766F" w:rsidRPr="007114AF">
        <w:rPr>
          <w:rFonts w:cstheme="minorHAnsi"/>
        </w:rPr>
        <w:t>ërsa në Shqipëri taksa e automjeteve të transportit nuk lidhet ngushtë me klasën e</w:t>
      </w:r>
      <w:r w:rsidR="00A9766F" w:rsidRPr="007114AF">
        <w:t xml:space="preserve"> Euros dhe nuk ekzistojn</w:t>
      </w:r>
      <w:r w:rsidR="00A9766F" w:rsidRPr="007114AF">
        <w:rPr>
          <w:rFonts w:cstheme="minorHAnsi"/>
        </w:rPr>
        <w:t xml:space="preserve">ë skema </w:t>
      </w:r>
      <w:r w:rsidR="00A9766F" w:rsidRPr="007114AF">
        <w:t>bonusesh q</w:t>
      </w:r>
      <w:r w:rsidR="00A9766F" w:rsidRPr="007114AF">
        <w:rPr>
          <w:rFonts w:cstheme="minorHAnsi"/>
        </w:rPr>
        <w:t>ë stimulojnë prirjen për të zëvendësuar automjetet e vjetruara</w:t>
      </w:r>
      <w:r w:rsidR="00A9766F" w:rsidRPr="007114AF">
        <w:t xml:space="preserve">. Flota aktuale shqiptare mbizotërohet fuqishëm nga </w:t>
      </w:r>
      <w:r w:rsidR="00A9766F" w:rsidRPr="007114AF">
        <w:rPr>
          <w:rFonts w:cstheme="minorHAnsi"/>
        </w:rPr>
        <w:t>automjete të vjetra ndotëse</w:t>
      </w:r>
      <w:r w:rsidR="00A9766F" w:rsidRPr="007114AF">
        <w:t>, q</w:t>
      </w:r>
      <w:r w:rsidR="00A9766F" w:rsidRPr="007114AF">
        <w:rPr>
          <w:rFonts w:cstheme="minorHAnsi"/>
        </w:rPr>
        <w:t>ë ndikojnë negativisht në ndotjen e ajrit</w:t>
      </w:r>
      <w:r w:rsidR="00A9766F" w:rsidRPr="007114AF">
        <w:t>, n</w:t>
      </w:r>
      <w:r w:rsidR="00A9766F" w:rsidRPr="007114AF">
        <w:rPr>
          <w:rFonts w:cstheme="minorHAnsi"/>
        </w:rPr>
        <w:t xml:space="preserve">ë shkarkimet </w:t>
      </w:r>
      <w:r w:rsidR="00A9766F" w:rsidRPr="007114AF">
        <w:t>CO</w:t>
      </w:r>
      <w:r w:rsidR="00A9766F" w:rsidRPr="007114AF">
        <w:rPr>
          <w:vertAlign w:val="subscript"/>
        </w:rPr>
        <w:t>2</w:t>
      </w:r>
      <w:r w:rsidR="00A9766F" w:rsidRPr="007114AF">
        <w:t xml:space="preserve"> dhe në konsumin e energjis</w:t>
      </w:r>
      <w:r w:rsidR="00A9766F" w:rsidRPr="007114AF">
        <w:rPr>
          <w:rFonts w:cstheme="minorHAnsi"/>
        </w:rPr>
        <w:t>ë. Në përputhje me praktikën ndërkombëtare</w:t>
      </w:r>
      <w:r w:rsidR="00A9766F" w:rsidRPr="007114AF">
        <w:t>, masa duhet zbatuar p</w:t>
      </w:r>
      <w:r w:rsidR="00A9766F" w:rsidRPr="007114AF">
        <w:rPr>
          <w:rFonts w:cstheme="minorHAnsi"/>
        </w:rPr>
        <w:t xml:space="preserve">ërmes modifikimi të skemës së taksave të makinave dhe strukturave të stimujve financiarë. Masa është në përputhje me skenarin e zbutjes së </w:t>
      </w:r>
      <w:r w:rsidR="00A9766F" w:rsidRPr="007114AF">
        <w:t>INDC-ës.</w:t>
      </w:r>
    </w:p>
    <w:p w14:paraId="6EDCFDF3" w14:textId="4AEA1454" w:rsidR="00A9766F" w:rsidRPr="007114AF" w:rsidRDefault="00214466" w:rsidP="00206985">
      <w:pPr>
        <w:pStyle w:val="TEKSTI"/>
        <w:rPr>
          <w:b/>
          <w:bCs/>
        </w:rPr>
      </w:pPr>
      <w:r w:rsidRPr="007114AF">
        <w:rPr>
          <w:b/>
          <w:bCs/>
        </w:rPr>
        <w:t xml:space="preserve">8. </w:t>
      </w:r>
      <w:r w:rsidR="00A9766F" w:rsidRPr="007114AF">
        <w:rPr>
          <w:b/>
          <w:bCs/>
        </w:rPr>
        <w:t>Masa t</w:t>
      </w:r>
      <w:r w:rsidR="00A9766F" w:rsidRPr="007114AF">
        <w:rPr>
          <w:rFonts w:cs="Calibri"/>
          <w:b/>
          <w:bCs/>
        </w:rPr>
        <w:t xml:space="preserve">ë buta dhe të ashpra </w:t>
      </w:r>
      <w:r w:rsidR="00A9766F" w:rsidRPr="007114AF">
        <w:rPr>
          <w:b/>
          <w:bCs/>
        </w:rPr>
        <w:t>(iniciativa t</w:t>
      </w:r>
      <w:r w:rsidR="00A9766F" w:rsidRPr="007114AF">
        <w:rPr>
          <w:rFonts w:cstheme="minorHAnsi"/>
          <w:b/>
        </w:rPr>
        <w:t>ë ndërgjegjshme të</w:t>
      </w:r>
      <w:r w:rsidR="00A9766F" w:rsidRPr="007114AF">
        <w:rPr>
          <w:b/>
          <w:bCs/>
        </w:rPr>
        <w:t xml:space="preserve"> l</w:t>
      </w:r>
      <w:r w:rsidR="00A9766F" w:rsidRPr="007114AF">
        <w:rPr>
          <w:rFonts w:cstheme="minorHAnsi"/>
          <w:b/>
        </w:rPr>
        <w:t>ëvizjes</w:t>
      </w:r>
      <w:r w:rsidR="00A9766F" w:rsidRPr="007114AF">
        <w:rPr>
          <w:b/>
          <w:bCs/>
        </w:rPr>
        <w:t>)</w:t>
      </w:r>
      <w:r w:rsidR="00A9766F" w:rsidRPr="007114AF">
        <w:t xml:space="preserve">: </w:t>
      </w:r>
      <w:r w:rsidR="00F16CDF" w:rsidRPr="007114AF">
        <w:t>mb</w:t>
      </w:r>
      <w:r w:rsidR="00F16CDF" w:rsidRPr="007114AF">
        <w:rPr>
          <w:rFonts w:cstheme="minorHAnsi"/>
        </w:rPr>
        <w:t xml:space="preserve">ështetja </w:t>
      </w:r>
      <w:r w:rsidR="00A9766F" w:rsidRPr="007114AF">
        <w:rPr>
          <w:rFonts w:cstheme="minorHAnsi"/>
        </w:rPr>
        <w:t xml:space="preserve">e zbatimit </w:t>
      </w:r>
      <w:r w:rsidR="00A9766F" w:rsidRPr="007114AF">
        <w:t>TECTQ p</w:t>
      </w:r>
      <w:r w:rsidR="00A9766F" w:rsidRPr="007114AF">
        <w:rPr>
          <w:rFonts w:cstheme="minorHAnsi"/>
        </w:rPr>
        <w:t>ërmes fushatave të duhura të informacionit që kanë si qëllim gjithashtu, shmangien ose uljen e sjelljeve më pak të qëndrueshme të transportit</w:t>
      </w:r>
      <w:r w:rsidR="00A9766F" w:rsidRPr="007114AF">
        <w:t>.</w:t>
      </w:r>
    </w:p>
    <w:p w14:paraId="6EDCFDF4" w14:textId="4BAD9464" w:rsidR="00A9766F" w:rsidRPr="00F16CDF" w:rsidRDefault="00214466" w:rsidP="00206985">
      <w:pPr>
        <w:pStyle w:val="TEKSTI"/>
      </w:pPr>
      <w:r w:rsidRPr="007114AF">
        <w:rPr>
          <w:b/>
          <w:bCs/>
        </w:rPr>
        <w:t xml:space="preserve">9. </w:t>
      </w:r>
      <w:r w:rsidR="00A9766F" w:rsidRPr="007114AF">
        <w:rPr>
          <w:b/>
          <w:bCs/>
        </w:rPr>
        <w:t>Monitorimi i cil</w:t>
      </w:r>
      <w:r w:rsidR="00A9766F" w:rsidRPr="007114AF">
        <w:rPr>
          <w:rFonts w:cs="Calibri"/>
          <w:b/>
          <w:bCs/>
        </w:rPr>
        <w:t>ësisë së ajrit dhe trafikut</w:t>
      </w:r>
      <w:r w:rsidR="00A9766F" w:rsidRPr="007114AF">
        <w:rPr>
          <w:b/>
          <w:bCs/>
        </w:rPr>
        <w:t xml:space="preserve">: </w:t>
      </w:r>
      <w:r w:rsidR="00F16CDF" w:rsidRPr="007114AF">
        <w:t xml:space="preserve">monitorimi </w:t>
      </w:r>
      <w:r w:rsidR="00A9766F" w:rsidRPr="007114AF">
        <w:t>i cil</w:t>
      </w:r>
      <w:r w:rsidR="00A9766F" w:rsidRPr="007114AF">
        <w:rPr>
          <w:rFonts w:cstheme="minorHAnsi"/>
        </w:rPr>
        <w:t xml:space="preserve">ësisë së ajrit dhe trafikut në rrjetin rrugor kryesor për të vlerësuar eficiencën e zbatimit </w:t>
      </w:r>
      <w:r w:rsidR="00A9766F" w:rsidRPr="007114AF">
        <w:t>TEC</w:t>
      </w:r>
      <w:r w:rsidR="00A9766F" w:rsidRPr="007114AF">
        <w:rPr>
          <w:rFonts w:cstheme="minorHAnsi"/>
        </w:rPr>
        <w:t>TQ</w:t>
      </w:r>
      <w:r w:rsidR="00A9766F" w:rsidRPr="007114AF">
        <w:t xml:space="preserve"> dhe zhvillimit t</w:t>
      </w:r>
      <w:r w:rsidR="00A9766F" w:rsidRPr="007114AF">
        <w:rPr>
          <w:rFonts w:cstheme="minorHAnsi"/>
        </w:rPr>
        <w:t>ë përgjithshëm në kushtet e trafikut dhe ajrit</w:t>
      </w:r>
      <w:r w:rsidR="00A9766F" w:rsidRPr="007114AF">
        <w:t xml:space="preserve">. </w:t>
      </w:r>
      <w:r w:rsidR="00A9766F" w:rsidRPr="007114AF">
        <w:rPr>
          <w:rFonts w:cs="Calibri"/>
        </w:rPr>
        <w:t>Çd</w:t>
      </w:r>
      <w:r w:rsidR="00A9766F" w:rsidRPr="007114AF">
        <w:t>o plan q</w:t>
      </w:r>
      <w:r w:rsidR="00A9766F" w:rsidRPr="007114AF">
        <w:rPr>
          <w:rFonts w:cstheme="minorHAnsi"/>
        </w:rPr>
        <w:t>ë synon një sistem transporti më të qëndrueshëm do të kërkojë</w:t>
      </w:r>
      <w:r w:rsidR="000A2A01" w:rsidRPr="007114AF">
        <w:rPr>
          <w:rFonts w:cstheme="minorHAnsi"/>
        </w:rPr>
        <w:t xml:space="preserve"> </w:t>
      </w:r>
      <w:r w:rsidR="00A9766F" w:rsidRPr="007114AF">
        <w:rPr>
          <w:rFonts w:cstheme="minorHAnsi"/>
        </w:rPr>
        <w:t>një monitorim efektiv të cilësisë së ajrit dhe kushteve të trafikut përgjatë rrjetit</w:t>
      </w:r>
      <w:r w:rsidR="00A9766F" w:rsidRPr="007114AF">
        <w:t>. Sistemi i monitorimit duhet t</w:t>
      </w:r>
      <w:r w:rsidR="00A9766F" w:rsidRPr="007114AF">
        <w:rPr>
          <w:rFonts w:cstheme="minorHAnsi"/>
        </w:rPr>
        <w:t xml:space="preserve">ë lejojë të kuptuarit në detaje të burimeve kryesore </w:t>
      </w:r>
      <w:r w:rsidR="00A9766F" w:rsidRPr="00F16CDF">
        <w:t>GES dhe shkarkimeve t</w:t>
      </w:r>
      <w:r w:rsidR="00A9766F" w:rsidRPr="00F16CDF">
        <w:rPr>
          <w:rFonts w:cstheme="minorHAnsi"/>
        </w:rPr>
        <w:t>ë ndotësve të ajrit</w:t>
      </w:r>
      <w:r w:rsidR="00A9766F" w:rsidRPr="00F16CDF">
        <w:t>; monitorimi i efektivitetit t</w:t>
      </w:r>
      <w:r w:rsidR="00A9766F" w:rsidRPr="00F16CDF">
        <w:rPr>
          <w:rFonts w:cstheme="minorHAnsi"/>
        </w:rPr>
        <w:t xml:space="preserve">ë të gjitha masave të identifikuara në </w:t>
      </w:r>
      <w:r w:rsidR="00A9766F" w:rsidRPr="00F16CDF">
        <w:t>TEC</w:t>
      </w:r>
      <w:r w:rsidR="00A9766F" w:rsidRPr="00F16CDF">
        <w:rPr>
          <w:rFonts w:cstheme="minorHAnsi"/>
        </w:rPr>
        <w:t>TQ</w:t>
      </w:r>
      <w:r w:rsidR="00A9766F" w:rsidRPr="00F16CDF">
        <w:t>; zhvillimin e politikave t</w:t>
      </w:r>
      <w:r w:rsidR="00A9766F" w:rsidRPr="00F16CDF">
        <w:rPr>
          <w:rFonts w:cstheme="minorHAnsi"/>
        </w:rPr>
        <w:t xml:space="preserve">ë ardhshme dhe </w:t>
      </w:r>
      <w:r w:rsidR="00A9766F" w:rsidRPr="00F16CDF">
        <w:t>strategjive p</w:t>
      </w:r>
      <w:r w:rsidR="00A9766F" w:rsidRPr="00F16CDF">
        <w:rPr>
          <w:rFonts w:cstheme="minorHAnsi"/>
        </w:rPr>
        <w:t>ër të përmirësuar cilësinë e ajrit</w:t>
      </w:r>
      <w:r w:rsidR="00A9766F" w:rsidRPr="00F16CDF">
        <w:t>; vler</w:t>
      </w:r>
      <w:r w:rsidR="00A9766F" w:rsidRPr="00F16CDF">
        <w:rPr>
          <w:rFonts w:cstheme="minorHAnsi"/>
        </w:rPr>
        <w:t>ësimin e pajtueshmërisë me objektivat dhe vlerat kufi</w:t>
      </w:r>
      <w:r w:rsidR="00A9766F" w:rsidRPr="00F16CDF">
        <w:t xml:space="preserve">, duke e bërë </w:t>
      </w:r>
      <w:r w:rsidR="00A9766F" w:rsidRPr="00F16CDF">
        <w:rPr>
          <w:rFonts w:cs="Calibri"/>
        </w:rPr>
        <w:t>ç</w:t>
      </w:r>
      <w:r w:rsidR="00A9766F" w:rsidRPr="00F16CDF">
        <w:rPr>
          <w:rFonts w:cstheme="minorHAnsi"/>
        </w:rPr>
        <w:t>ështjen më të dukshme</w:t>
      </w:r>
      <w:r w:rsidR="00A9766F" w:rsidRPr="00F16CDF">
        <w:t xml:space="preserve">. </w:t>
      </w:r>
    </w:p>
    <w:p w14:paraId="6EDCFDF5" w14:textId="77777777" w:rsidR="00A9766F" w:rsidRPr="00F16CDF" w:rsidRDefault="00A9766F" w:rsidP="00206985">
      <w:pPr>
        <w:pStyle w:val="TEKSTI"/>
        <w:rPr>
          <w:b/>
          <w:i/>
          <w:u w:val="single"/>
        </w:rPr>
      </w:pPr>
      <w:r w:rsidRPr="00F16CDF">
        <w:rPr>
          <w:b/>
          <w:i/>
          <w:u w:val="single"/>
        </w:rPr>
        <w:t>Strategjia e Sektorit t</w:t>
      </w:r>
      <w:r w:rsidRPr="00F16CDF">
        <w:rPr>
          <w:rFonts w:cstheme="minorHAnsi"/>
          <w:b/>
          <w:i/>
          <w:u w:val="single"/>
        </w:rPr>
        <w:t>ë</w:t>
      </w:r>
      <w:r w:rsidRPr="00F16CDF">
        <w:rPr>
          <w:b/>
          <w:i/>
          <w:u w:val="single"/>
        </w:rPr>
        <w:t xml:space="preserve"> Transportit dhe Plani i Veprimit (SSTPV)</w:t>
      </w:r>
    </w:p>
    <w:p w14:paraId="6EDCFDF6" w14:textId="78A131F5" w:rsidR="00A9766F" w:rsidRPr="00F16CDF" w:rsidRDefault="00A9766F" w:rsidP="00206985">
      <w:pPr>
        <w:pStyle w:val="TEKSTI"/>
        <w:rPr>
          <w:i/>
        </w:rPr>
      </w:pPr>
      <w:r w:rsidRPr="00F16CDF">
        <w:rPr>
          <w:i/>
        </w:rPr>
        <w:t>Vlefshm</w:t>
      </w:r>
      <w:r w:rsidRPr="00F16CDF">
        <w:rPr>
          <w:rFonts w:cstheme="minorHAnsi"/>
          <w:i/>
        </w:rPr>
        <w:t>ëria</w:t>
      </w:r>
      <w:r w:rsidRPr="00F16CDF">
        <w:rPr>
          <w:i/>
        </w:rPr>
        <w:t>: 2016</w:t>
      </w:r>
      <w:r w:rsidR="00F16CDF">
        <w:t>–</w:t>
      </w:r>
      <w:r w:rsidRPr="00F16CDF">
        <w:rPr>
          <w:i/>
        </w:rPr>
        <w:t>2020</w:t>
      </w:r>
    </w:p>
    <w:p w14:paraId="6EDCFDF7" w14:textId="237DDD44" w:rsidR="00A9766F" w:rsidRPr="00F16CDF" w:rsidRDefault="00A9766F" w:rsidP="00206985">
      <w:pPr>
        <w:pStyle w:val="TEKSTI"/>
      </w:pPr>
      <w:r w:rsidRPr="00F16CDF">
        <w:t>Objektivi i p</w:t>
      </w:r>
      <w:r w:rsidRPr="00F16CDF">
        <w:rPr>
          <w:rFonts w:cstheme="minorHAnsi"/>
        </w:rPr>
        <w:t xml:space="preserve">ërgjithshëm i </w:t>
      </w:r>
      <w:r w:rsidRPr="00F16CDF">
        <w:t>SSTPV 2016</w:t>
      </w:r>
      <w:r w:rsidR="00F16CDF">
        <w:t>–</w:t>
      </w:r>
      <w:r w:rsidRPr="00F16CDF">
        <w:t xml:space="preserve">2020 </w:t>
      </w:r>
      <w:r w:rsidRPr="00F16CDF">
        <w:rPr>
          <w:rFonts w:cstheme="minorHAnsi"/>
        </w:rPr>
        <w:t>është ai i zhvillimit të mëtejshëm të sistemit kombëtar të transportit në Shqipëri dhe përmirësimit të</w:t>
      </w:r>
      <w:r w:rsidR="00F16CDF">
        <w:rPr>
          <w:rFonts w:cstheme="minorHAnsi"/>
        </w:rPr>
        <w:t xml:space="preserve"> </w:t>
      </w:r>
      <w:r w:rsidRPr="00F16CDF">
        <w:rPr>
          <w:rFonts w:cstheme="minorHAnsi"/>
        </w:rPr>
        <w:t>ndjeshëm të qëndrueshmërisë së tij</w:t>
      </w:r>
      <w:r w:rsidRPr="00F16CDF">
        <w:t>, nd</w:t>
      </w:r>
      <w:r w:rsidRPr="00F16CDF">
        <w:rPr>
          <w:rFonts w:cstheme="minorHAnsi"/>
        </w:rPr>
        <w:t>ërlidhjes</w:t>
      </w:r>
      <w:r w:rsidRPr="00F16CDF">
        <w:t>, nd</w:t>
      </w:r>
      <w:r w:rsidRPr="00F16CDF">
        <w:rPr>
          <w:rFonts w:cstheme="minorHAnsi"/>
        </w:rPr>
        <w:t xml:space="preserve">ërveprimit dhe </w:t>
      </w:r>
      <w:r w:rsidRPr="00F16CDF">
        <w:t>integrimit</w:t>
      </w:r>
      <w:r w:rsidR="00F16CDF">
        <w:t xml:space="preserve"> </w:t>
      </w:r>
      <w:r w:rsidRPr="00F16CDF">
        <w:t>me sistemin m</w:t>
      </w:r>
      <w:r w:rsidRPr="00F16CDF">
        <w:rPr>
          <w:rFonts w:cstheme="minorHAnsi"/>
        </w:rPr>
        <w:t>ë të gjerë të</w:t>
      </w:r>
      <w:r w:rsidRPr="00F16CDF">
        <w:t xml:space="preserve"> transportit nd</w:t>
      </w:r>
      <w:r w:rsidRPr="00F16CDF">
        <w:rPr>
          <w:rFonts w:cstheme="minorHAnsi"/>
        </w:rPr>
        <w:t>ërkombëtar, si dhe atë rajonal</w:t>
      </w:r>
      <w:r w:rsidRPr="00F16CDF">
        <w:t>.</w:t>
      </w:r>
    </w:p>
    <w:p w14:paraId="6EDCFDF8" w14:textId="727A4CBD" w:rsidR="00A9766F" w:rsidRPr="007114AF" w:rsidRDefault="00A9766F" w:rsidP="00206985">
      <w:pPr>
        <w:pStyle w:val="TEKSTI"/>
      </w:pPr>
      <w:r w:rsidRPr="00F16CDF">
        <w:t>Vizioni, prioritetet strategjike dhe objektivat jan</w:t>
      </w:r>
      <w:r w:rsidRPr="00F16CDF">
        <w:rPr>
          <w:rFonts w:cstheme="minorHAnsi"/>
        </w:rPr>
        <w:t>ë në përputhje me vizionin strategjik të Qeverisë shqiptare</w:t>
      </w:r>
      <w:r w:rsidRPr="007114AF">
        <w:rPr>
          <w:rFonts w:cstheme="minorHAnsi"/>
        </w:rPr>
        <w:t xml:space="preserve"> dhe me konceptet kryesore të politikës evropiane të transportit</w:t>
      </w:r>
      <w:r w:rsidRPr="007114AF">
        <w:t>. Ai siguron zhvillimin e nj</w:t>
      </w:r>
      <w:r w:rsidRPr="007114AF">
        <w:rPr>
          <w:rFonts w:cstheme="minorHAnsi"/>
        </w:rPr>
        <w:t>ë sistemi efikas</w:t>
      </w:r>
      <w:r w:rsidRPr="007114AF">
        <w:t>, t</w:t>
      </w:r>
      <w:r w:rsidRPr="007114AF">
        <w:rPr>
          <w:rFonts w:cstheme="minorHAnsi"/>
        </w:rPr>
        <w:t>ë qëndrueshëm dhe të një</w:t>
      </w:r>
      <w:r w:rsidR="000A2A01" w:rsidRPr="007114AF">
        <w:rPr>
          <w:rFonts w:cstheme="minorHAnsi"/>
        </w:rPr>
        <w:t xml:space="preserve"> </w:t>
      </w:r>
      <w:r w:rsidRPr="007114AF">
        <w:rPr>
          <w:rFonts w:cstheme="minorHAnsi"/>
        </w:rPr>
        <w:t>transporti miqësor ndaj mjedisit, në gjendje të mbështesë objektivat kryesor</w:t>
      </w:r>
      <w:r w:rsidR="00163F78">
        <w:rPr>
          <w:rFonts w:cstheme="minorHAnsi"/>
        </w:rPr>
        <w:t>ë</w:t>
      </w:r>
      <w:r w:rsidRPr="007114AF">
        <w:rPr>
          <w:rFonts w:cstheme="minorHAnsi"/>
        </w:rPr>
        <w:t xml:space="preserve"> të zhvillimit ekonomik dhe social të Shqipërisë, si dhe integrimin e mëtejshëm të Shqipërisë në Bashkimin Evropian</w:t>
      </w:r>
      <w:r w:rsidRPr="007114AF">
        <w:t xml:space="preserve">. </w:t>
      </w:r>
    </w:p>
    <w:p w14:paraId="6EDCFDF9" w14:textId="54A699A0" w:rsidR="00A9766F" w:rsidRPr="007114AF" w:rsidRDefault="00A9766F" w:rsidP="00206985">
      <w:pPr>
        <w:pStyle w:val="TEKSTI"/>
        <w:rPr>
          <w:highlight w:val="yellow"/>
        </w:rPr>
      </w:pPr>
      <w:r w:rsidRPr="007114AF">
        <w:t>T</w:t>
      </w:r>
      <w:r w:rsidRPr="007114AF">
        <w:rPr>
          <w:rFonts w:cstheme="minorHAnsi"/>
        </w:rPr>
        <w:t>ë gjitha masat e cituara janë të përfshira në</w:t>
      </w:r>
      <w:r w:rsidR="000641ED">
        <w:rPr>
          <w:rFonts w:cstheme="minorHAnsi"/>
        </w:rPr>
        <w:t xml:space="preserve"> </w:t>
      </w:r>
      <w:r w:rsidRPr="007114AF">
        <w:t>SKZHI-II dhe konsiderohen n</w:t>
      </w:r>
      <w:r w:rsidRPr="007114AF">
        <w:rPr>
          <w:rFonts w:cstheme="minorHAnsi"/>
        </w:rPr>
        <w:t>ë përputhje me dokumente të tjera përkatës që kanë të bëjnë me planifikimin, si Lib</w:t>
      </w:r>
      <w:r w:rsidRPr="007114AF">
        <w:t>ri i Bardhë 2011 i BE-së mbi Transportin, Strategjia 2020 e Evropës Juglindore (SEE2020) dhe disa objektiva t</w:t>
      </w:r>
      <w:r w:rsidRPr="007114AF">
        <w:rPr>
          <w:rFonts w:cstheme="minorHAnsi"/>
        </w:rPr>
        <w:t xml:space="preserve">ë mbetur të cilët përfshihen në </w:t>
      </w:r>
      <w:r w:rsidRPr="007114AF">
        <w:t>2010 ANTP-ën (Plani Komb</w:t>
      </w:r>
      <w:r w:rsidRPr="007114AF">
        <w:rPr>
          <w:rFonts w:cstheme="minorHAnsi"/>
        </w:rPr>
        <w:t>ëtar Shqiptar për Transportin</w:t>
      </w:r>
      <w:r w:rsidRPr="007114AF">
        <w:t xml:space="preserve">). </w:t>
      </w:r>
    </w:p>
    <w:p w14:paraId="6EDCFDFA" w14:textId="77777777" w:rsidR="00A9766F" w:rsidRPr="007114AF" w:rsidRDefault="00A9766F" w:rsidP="00206985">
      <w:pPr>
        <w:pStyle w:val="TEKSTI"/>
      </w:pPr>
      <w:r w:rsidRPr="007114AF">
        <w:t>Prioritetet strategjike p</w:t>
      </w:r>
      <w:r w:rsidRPr="007114AF">
        <w:rPr>
          <w:rFonts w:cstheme="minorHAnsi"/>
        </w:rPr>
        <w:t xml:space="preserve">ër transportin rrugor kanë të bëjnë me kushtet ligjore dhe qeverisëse, përfundimin dhe </w:t>
      </w:r>
      <w:r w:rsidRPr="007114AF">
        <w:t>modernizimin e rrjetit shqiptar primar</w:t>
      </w:r>
      <w:r w:rsidRPr="007114AF">
        <w:rPr>
          <w:rFonts w:cstheme="minorHAnsi"/>
        </w:rPr>
        <w:t xml:space="preserve"> dhe sekondar</w:t>
      </w:r>
      <w:r w:rsidRPr="007114AF">
        <w:t>, si dhe fuqizimin e bashk</w:t>
      </w:r>
      <w:r w:rsidRPr="007114AF">
        <w:rPr>
          <w:rFonts w:cstheme="minorHAnsi"/>
        </w:rPr>
        <w:t>ëpunimit rajonal përmes lidhjeve rrugore</w:t>
      </w:r>
      <w:r w:rsidRPr="007114AF">
        <w:t>. Qasja e p</w:t>
      </w:r>
      <w:r w:rsidRPr="007114AF">
        <w:rPr>
          <w:rFonts w:cstheme="minorHAnsi"/>
        </w:rPr>
        <w:t>ërgjithshme është arritja e një tregu të transportit rrugor në përputhje me standardet e BE-së</w:t>
      </w:r>
      <w:r w:rsidRPr="007114AF">
        <w:t>. Prioritetet strategjike p</w:t>
      </w:r>
      <w:r w:rsidRPr="007114AF">
        <w:rPr>
          <w:rFonts w:cstheme="minorHAnsi"/>
        </w:rPr>
        <w:t xml:space="preserve">ër transportin hekurudhor lidhen me ngritjen e një tregu të hapur për </w:t>
      </w:r>
      <w:r w:rsidRPr="007114AF">
        <w:t>investitor</w:t>
      </w:r>
      <w:r w:rsidRPr="007114AF">
        <w:rPr>
          <w:rFonts w:cstheme="minorHAnsi"/>
        </w:rPr>
        <w:t>ë dhe rritjen dukshëm të v</w:t>
      </w:r>
      <w:r w:rsidRPr="007114AF">
        <w:t>isibilitetit t</w:t>
      </w:r>
      <w:r w:rsidRPr="007114AF">
        <w:rPr>
          <w:rFonts w:cstheme="minorHAnsi"/>
        </w:rPr>
        <w:t>ë</w:t>
      </w:r>
      <w:r w:rsidRPr="007114AF">
        <w:t xml:space="preserve"> zon</w:t>
      </w:r>
      <w:r w:rsidRPr="007114AF">
        <w:rPr>
          <w:rFonts w:cstheme="minorHAnsi"/>
        </w:rPr>
        <w:t xml:space="preserve">ës së </w:t>
      </w:r>
      <w:r w:rsidRPr="007114AF">
        <w:t>SEETO-s (Observatorit t</w:t>
      </w:r>
      <w:r w:rsidRPr="007114AF">
        <w:rPr>
          <w:rFonts w:cstheme="minorHAnsi"/>
        </w:rPr>
        <w:t>ë Transportit të Evropës Juglindore</w:t>
      </w:r>
      <w:r w:rsidRPr="007114AF">
        <w:rPr>
          <w:bCs/>
        </w:rPr>
        <w:t>)</w:t>
      </w:r>
      <w:r w:rsidRPr="007114AF">
        <w:t xml:space="preserve">. </w:t>
      </w:r>
    </w:p>
    <w:p w14:paraId="6EDCFDFB" w14:textId="77777777" w:rsidR="00A9766F" w:rsidRPr="007114AF" w:rsidRDefault="00A9766F" w:rsidP="00206985">
      <w:pPr>
        <w:pStyle w:val="TEKSTI"/>
      </w:pPr>
      <w:r w:rsidRPr="007114AF">
        <w:t>Prioritetet strategjike p</w:t>
      </w:r>
      <w:r w:rsidRPr="007114AF">
        <w:rPr>
          <w:rFonts w:cstheme="minorHAnsi"/>
        </w:rPr>
        <w:t>ër transportin detar synojnë përmirësimin e sistemit rregullator në përputhje me rregulloret e BE</w:t>
      </w:r>
      <w:r w:rsidRPr="007114AF">
        <w:t>/IMO (Organizata Nd</w:t>
      </w:r>
      <w:r w:rsidRPr="007114AF">
        <w:rPr>
          <w:rFonts w:cstheme="minorHAnsi"/>
        </w:rPr>
        <w:t>ërkombëtare Detare</w:t>
      </w:r>
      <w:r w:rsidRPr="007114AF">
        <w:t>), mb</w:t>
      </w:r>
      <w:r w:rsidRPr="007114AF">
        <w:rPr>
          <w:rFonts w:cstheme="minorHAnsi"/>
        </w:rPr>
        <w:t>ështetjen e zhvillimit të tregjeve detare dhe portuale</w:t>
      </w:r>
      <w:r w:rsidRPr="007114AF">
        <w:t>. P</w:t>
      </w:r>
      <w:r w:rsidRPr="007114AF">
        <w:rPr>
          <w:rFonts w:cstheme="minorHAnsi"/>
        </w:rPr>
        <w:t>ër sa i përket transportit ajror</w:t>
      </w:r>
      <w:r w:rsidRPr="007114AF">
        <w:t>, zhvillimi i infrastruktur</w:t>
      </w:r>
      <w:r w:rsidRPr="007114AF">
        <w:rPr>
          <w:rFonts w:cstheme="minorHAnsi"/>
        </w:rPr>
        <w:t>ës së re të aeroportit në jug të vendit duhet të shërbejë për të zhvilluar turizmin;</w:t>
      </w:r>
      <w:r w:rsidRPr="007114AF">
        <w:t xml:space="preserve"> nj</w:t>
      </w:r>
      <w:r w:rsidRPr="007114AF">
        <w:rPr>
          <w:rFonts w:cstheme="minorHAnsi"/>
        </w:rPr>
        <w:t>ë treg më konkurrues me shërbime ajrore të liberalizuara</w:t>
      </w:r>
      <w:r w:rsidRPr="007114AF">
        <w:t>, zbatimin dhe unifikimin e standardeve nd</w:t>
      </w:r>
      <w:r w:rsidRPr="007114AF">
        <w:rPr>
          <w:rFonts w:cstheme="minorHAnsi"/>
        </w:rPr>
        <w:t>ërkombëtare ajrore, si dhe uljen e tarifave të udhëtimit për pasagjerët janë prioritetet për periudhën e vlefshmërisë</w:t>
      </w:r>
      <w:r w:rsidRPr="007114AF">
        <w:t>.</w:t>
      </w:r>
    </w:p>
    <w:p w14:paraId="6EDCFDFC" w14:textId="77777777" w:rsidR="00A9766F" w:rsidRPr="007114AF" w:rsidRDefault="00A9766F" w:rsidP="00206985">
      <w:pPr>
        <w:pStyle w:val="TEKSTI"/>
      </w:pPr>
      <w:r w:rsidRPr="007114AF">
        <w:t>Nj</w:t>
      </w:r>
      <w:r w:rsidRPr="007114AF">
        <w:rPr>
          <w:rFonts w:cstheme="minorHAnsi"/>
        </w:rPr>
        <w:t xml:space="preserve">ë prioritet agregat final duhet të mbështesë krijimin e një </w:t>
      </w:r>
      <w:r w:rsidRPr="007114AF">
        <w:rPr>
          <w:rFonts w:cstheme="minorHAnsi"/>
          <w:b/>
        </w:rPr>
        <w:t>sistemi transporti</w:t>
      </w:r>
      <w:r w:rsidRPr="007114AF">
        <w:rPr>
          <w:rFonts w:cstheme="minorHAnsi"/>
        </w:rPr>
        <w:t xml:space="preserve"> efikas dhe </w:t>
      </w:r>
      <w:r w:rsidRPr="007114AF">
        <w:rPr>
          <w:rFonts w:cstheme="minorHAnsi"/>
          <w:b/>
        </w:rPr>
        <w:t>të integruar</w:t>
      </w:r>
      <w:r w:rsidRPr="007114AF">
        <w:rPr>
          <w:rFonts w:cstheme="minorHAnsi"/>
        </w:rPr>
        <w:t xml:space="preserve"> përmes veprimeve të tërthorta</w:t>
      </w:r>
      <w:r w:rsidRPr="007114AF">
        <w:t xml:space="preserve">. </w:t>
      </w:r>
    </w:p>
    <w:p w14:paraId="6EDCFDFD" w14:textId="77777777" w:rsidR="00A9766F" w:rsidRPr="007114AF" w:rsidRDefault="00A9766F" w:rsidP="00206985">
      <w:pPr>
        <w:pStyle w:val="TEKSTI"/>
      </w:pPr>
      <w:r w:rsidRPr="007114AF">
        <w:t>Dokumenti parashikon secil</w:t>
      </w:r>
      <w:r w:rsidRPr="007114AF">
        <w:rPr>
          <w:rFonts w:cstheme="minorHAnsi"/>
        </w:rPr>
        <w:t xml:space="preserve">ën nga strategjitë e mësipërme në politika </w:t>
      </w:r>
      <w:r w:rsidRPr="007114AF">
        <w:t>specifike dhe t</w:t>
      </w:r>
      <w:r w:rsidRPr="007114AF">
        <w:rPr>
          <w:rFonts w:cstheme="minorHAnsi"/>
        </w:rPr>
        <w:t>ë</w:t>
      </w:r>
      <w:r w:rsidRPr="007114AF">
        <w:t xml:space="preserve"> detajuara (Veprime Parësore), vendosjen e piketave, treguesve dhe objektivave.</w:t>
      </w:r>
    </w:p>
    <w:p w14:paraId="6EDCFDFE" w14:textId="77777777" w:rsidR="00A9766F" w:rsidRPr="007114AF" w:rsidRDefault="00A9766F" w:rsidP="00206985">
      <w:pPr>
        <w:pStyle w:val="TEKSTI"/>
      </w:pPr>
      <w:r w:rsidRPr="007114AF">
        <w:t>Tridhjet</w:t>
      </w:r>
      <w:r w:rsidRPr="007114AF">
        <w:rPr>
          <w:rFonts w:cstheme="minorHAnsi"/>
        </w:rPr>
        <w:t>ë e nëntë politikat</w:t>
      </w:r>
      <w:r w:rsidRPr="007114AF">
        <w:t xml:space="preserve"> (Veprime Parësore) e identifikuara p</w:t>
      </w:r>
      <w:r w:rsidRPr="007114AF">
        <w:rPr>
          <w:rFonts w:cstheme="minorHAnsi"/>
        </w:rPr>
        <w:t>ër periudhën pesëvjeçare, ndërlidhen thellë</w:t>
      </w:r>
      <w:r w:rsidRPr="007114AF">
        <w:t xml:space="preserve">, duke vendosur një </w:t>
      </w:r>
      <w:r w:rsidRPr="007114AF">
        <w:rPr>
          <w:rFonts w:cstheme="minorHAnsi"/>
        </w:rPr>
        <w:t>ekuilibër mes masave të buta dhe investimeve, dhe janë zgjedhur për të përcaktuar një Plan të Qëndrueshëm të Veprimit të Strategjisë së Transportit Kombëtar</w:t>
      </w:r>
      <w:r w:rsidRPr="007114AF">
        <w:t xml:space="preserve">. </w:t>
      </w:r>
    </w:p>
    <w:p w14:paraId="6EDCFDFF" w14:textId="0F78F16F" w:rsidR="00A9766F" w:rsidRPr="007114AF" w:rsidRDefault="00A9766F" w:rsidP="00206985">
      <w:pPr>
        <w:pStyle w:val="TEKSTI"/>
      </w:pPr>
      <w:r w:rsidRPr="007114AF">
        <w:t>Efikasiteti dhe zhvillimi rajonal patjet</w:t>
      </w:r>
      <w:r w:rsidRPr="007114AF">
        <w:rPr>
          <w:rFonts w:cstheme="minorHAnsi"/>
        </w:rPr>
        <w:t>ër që udhëheqin</w:t>
      </w:r>
      <w:r w:rsidR="000641ED">
        <w:rPr>
          <w:rFonts w:cstheme="minorHAnsi"/>
        </w:rPr>
        <w:t xml:space="preserve"> </w:t>
      </w:r>
      <w:r w:rsidRPr="007114AF">
        <w:t>strategjit</w:t>
      </w:r>
      <w:r w:rsidRPr="007114AF">
        <w:rPr>
          <w:rFonts w:cstheme="minorHAnsi"/>
        </w:rPr>
        <w:t>ë dhe politikat</w:t>
      </w:r>
      <w:r w:rsidRPr="007114AF">
        <w:t>; vet</w:t>
      </w:r>
      <w:r w:rsidRPr="007114AF">
        <w:rPr>
          <w:rFonts w:cstheme="minorHAnsi"/>
        </w:rPr>
        <w:t>ëm disa prej veprimeve të detajuara parësore kanë rëndësi për një strategji të drejtpërdrejtë</w:t>
      </w:r>
      <w:r w:rsidR="000641ED">
        <w:rPr>
          <w:rFonts w:cstheme="minorHAnsi"/>
        </w:rPr>
        <w:t xml:space="preserve"> </w:t>
      </w:r>
      <w:r w:rsidRPr="007114AF">
        <w:rPr>
          <w:rFonts w:cstheme="minorHAnsi"/>
        </w:rPr>
        <w:t>masash zbutëse</w:t>
      </w:r>
      <w:r w:rsidRPr="007114AF">
        <w:t xml:space="preserve"> dhe vet</w:t>
      </w:r>
      <w:r w:rsidRPr="007114AF">
        <w:rPr>
          <w:rFonts w:cstheme="minorHAnsi"/>
        </w:rPr>
        <w:t xml:space="preserve">ëm dy veprime parësore </w:t>
      </w:r>
      <w:r w:rsidRPr="007114AF">
        <w:t>(n</w:t>
      </w:r>
      <w:r w:rsidRPr="007114AF">
        <w:rPr>
          <w:rFonts w:cstheme="minorHAnsi"/>
        </w:rPr>
        <w:t>ë lidhje me transportin rrugor dhe atë intermodal</w:t>
      </w:r>
      <w:r w:rsidRPr="007114AF">
        <w:t>) kan</w:t>
      </w:r>
      <w:r w:rsidRPr="007114AF">
        <w:rPr>
          <w:rFonts w:cstheme="minorHAnsi"/>
        </w:rPr>
        <w:t>ë një ndikim të drejtpërdrejtë në zbutje</w:t>
      </w:r>
      <w:r w:rsidRPr="007114AF">
        <w:t>, p</w:t>
      </w:r>
      <w:r w:rsidRPr="007114AF">
        <w:rPr>
          <w:rFonts w:cstheme="minorHAnsi"/>
        </w:rPr>
        <w:t>ërkatësisht:</w:t>
      </w:r>
    </w:p>
    <w:p w14:paraId="6EDCFE00" w14:textId="77777777" w:rsidR="00A9766F" w:rsidRPr="007114AF" w:rsidRDefault="00214466" w:rsidP="00206985">
      <w:pPr>
        <w:pStyle w:val="TEKSTI"/>
      </w:pPr>
      <w:r w:rsidRPr="007114AF">
        <w:t xml:space="preserve">- </w:t>
      </w:r>
      <w:r w:rsidR="00A9766F" w:rsidRPr="007114AF">
        <w:t>Finalizimi i p</w:t>
      </w:r>
      <w:r w:rsidR="00A9766F" w:rsidRPr="007114AF">
        <w:rPr>
          <w:rFonts w:cstheme="minorHAnsi"/>
        </w:rPr>
        <w:t xml:space="preserve">ërshtatjes së </w:t>
      </w:r>
      <w:r w:rsidR="00A9766F" w:rsidRPr="007114AF">
        <w:t>legjislacionit shqiptar t</w:t>
      </w:r>
      <w:r w:rsidR="00A9766F" w:rsidRPr="007114AF">
        <w:rPr>
          <w:rFonts w:cstheme="minorHAnsi"/>
        </w:rPr>
        <w:t xml:space="preserve">ë transportit me </w:t>
      </w:r>
      <w:r w:rsidR="00A9766F" w:rsidRPr="007114AF">
        <w:rPr>
          <w:rFonts w:cstheme="minorHAnsi"/>
          <w:i/>
        </w:rPr>
        <w:t>acquis</w:t>
      </w:r>
      <w:r w:rsidR="00A9766F" w:rsidRPr="007114AF">
        <w:rPr>
          <w:rFonts w:cstheme="minorHAnsi"/>
        </w:rPr>
        <w:t xml:space="preserve"> të BE-së</w:t>
      </w:r>
      <w:r w:rsidR="00A9766F" w:rsidRPr="007114AF">
        <w:t>, n</w:t>
      </w:r>
      <w:r w:rsidR="00A9766F" w:rsidRPr="007114AF">
        <w:rPr>
          <w:rFonts w:cstheme="minorHAnsi"/>
        </w:rPr>
        <w:t>ëse finalizohet duke përfshirë rregulloren dhe zbatimin e standardeve të shkarkimit të automjeteve</w:t>
      </w:r>
      <w:r w:rsidR="00A9766F" w:rsidRPr="007114AF">
        <w:rPr>
          <w:rStyle w:val="FootnoteReference"/>
        </w:rPr>
        <w:footnoteReference w:id="48"/>
      </w:r>
      <w:r w:rsidR="00A9766F" w:rsidRPr="007114AF">
        <w:t>.</w:t>
      </w:r>
    </w:p>
    <w:p w14:paraId="6EDCFE01" w14:textId="643BD55C" w:rsidR="00A9766F" w:rsidRPr="007114AF" w:rsidRDefault="00214466" w:rsidP="00206985">
      <w:pPr>
        <w:pStyle w:val="TEKSTI"/>
      </w:pPr>
      <w:r w:rsidRPr="007114AF">
        <w:t xml:space="preserve">- </w:t>
      </w:r>
      <w:r w:rsidR="00A9766F" w:rsidRPr="007114AF">
        <w:t>Bashk</w:t>
      </w:r>
      <w:r w:rsidR="00A9766F" w:rsidRPr="007114AF">
        <w:rPr>
          <w:rFonts w:cstheme="minorHAnsi"/>
        </w:rPr>
        <w:t>ërendimi i masave të politikave kombëtare që promovojnë transportinintermodal</w:t>
      </w:r>
      <w:r w:rsidR="00A9766F" w:rsidRPr="007114AF">
        <w:t>dhe t</w:t>
      </w:r>
      <w:r w:rsidR="00A9766F" w:rsidRPr="007114AF">
        <w:rPr>
          <w:rFonts w:cstheme="minorHAnsi"/>
        </w:rPr>
        <w:t>ë kombinuar, përmes një detyre ins</w:t>
      </w:r>
      <w:r w:rsidR="00A9766F" w:rsidRPr="007114AF">
        <w:t>titucionale dhe specifike gjat</w:t>
      </w:r>
      <w:r w:rsidR="00A9766F" w:rsidRPr="007114AF">
        <w:rPr>
          <w:rFonts w:cstheme="minorHAnsi"/>
        </w:rPr>
        <w:t>ë periudhës</w:t>
      </w:r>
      <w:r w:rsidR="00A9766F" w:rsidRPr="007114AF">
        <w:t xml:space="preserve"> 2017</w:t>
      </w:r>
      <w:r w:rsidR="00E907B7">
        <w:t>–</w:t>
      </w:r>
      <w:r w:rsidR="00A9766F" w:rsidRPr="007114AF">
        <w:t>2020</w:t>
      </w:r>
      <w:r w:rsidR="00A9766F" w:rsidRPr="007114AF">
        <w:rPr>
          <w:rStyle w:val="FootnoteReference"/>
        </w:rPr>
        <w:footnoteReference w:id="49"/>
      </w:r>
      <w:r w:rsidR="00A9766F" w:rsidRPr="007114AF">
        <w:t>, e cila zyrtarizon zbatimin e rekomandimeve t</w:t>
      </w:r>
      <w:r w:rsidR="00A9766F" w:rsidRPr="007114AF">
        <w:rPr>
          <w:rFonts w:cstheme="minorHAnsi"/>
        </w:rPr>
        <w:t>ë Planit të Transportit të Qëndrueshëm</w:t>
      </w:r>
      <w:r w:rsidR="00A9766F" w:rsidRPr="007114AF">
        <w:t>.</w:t>
      </w:r>
    </w:p>
    <w:p w14:paraId="6EDCFE02" w14:textId="77777777" w:rsidR="00A9766F" w:rsidRPr="007114AF" w:rsidRDefault="00D43DF3" w:rsidP="00206985">
      <w:pPr>
        <w:pStyle w:val="TEKSTI"/>
        <w:rPr>
          <w:b/>
        </w:rPr>
      </w:pPr>
      <w:bookmarkStart w:id="131" w:name="_Toc450135243"/>
      <w:bookmarkStart w:id="132" w:name="_Toc484424502"/>
      <w:r w:rsidRPr="007114AF">
        <w:rPr>
          <w:b/>
        </w:rPr>
        <w:t xml:space="preserve">4.1.4 </w:t>
      </w:r>
      <w:r w:rsidR="00A9766F" w:rsidRPr="007114AF">
        <w:rPr>
          <w:b/>
        </w:rPr>
        <w:t>Bujqësia dhe LUCF</w:t>
      </w:r>
      <w:bookmarkEnd w:id="131"/>
      <w:r w:rsidR="00A9766F" w:rsidRPr="007114AF">
        <w:rPr>
          <w:b/>
        </w:rPr>
        <w:t>-ja</w:t>
      </w:r>
      <w:bookmarkEnd w:id="132"/>
    </w:p>
    <w:p w14:paraId="6EDCFE03" w14:textId="27288323" w:rsidR="00A9766F" w:rsidRPr="007114AF" w:rsidRDefault="00A9766F" w:rsidP="00206985">
      <w:pPr>
        <w:pStyle w:val="TEKSTI"/>
      </w:pPr>
      <w:r w:rsidRPr="007114AF">
        <w:t>Kuadri kryesor i politik</w:t>
      </w:r>
      <w:r w:rsidRPr="007114AF">
        <w:rPr>
          <w:rFonts w:cstheme="minorHAnsi"/>
        </w:rPr>
        <w:t>ës që duhet marrë në konsideratë në</w:t>
      </w:r>
      <w:r w:rsidR="000641ED">
        <w:rPr>
          <w:rFonts w:cstheme="minorHAnsi"/>
        </w:rPr>
        <w:t xml:space="preserve"> </w:t>
      </w:r>
      <w:r w:rsidRPr="007114AF">
        <w:t xml:space="preserve">dokumentin e </w:t>
      </w:r>
      <w:r w:rsidR="000A2A01" w:rsidRPr="007114AF">
        <w:t xml:space="preserve">SKNK&amp;P-së </w:t>
      </w:r>
      <w:r w:rsidRPr="007114AF">
        <w:t>p</w:t>
      </w:r>
      <w:r w:rsidRPr="007114AF">
        <w:rPr>
          <w:rFonts w:cstheme="minorHAnsi"/>
        </w:rPr>
        <w:t>ër sektorin bujqësor është Strategjia Ndësektoriale për Bujqësi dhe Zhvillim Rural (</w:t>
      </w:r>
      <w:r w:rsidRPr="007114AF">
        <w:t>SNBZHR) dhe Programi i saj p</w:t>
      </w:r>
      <w:r w:rsidRPr="007114AF">
        <w:rPr>
          <w:rFonts w:cstheme="minorHAnsi"/>
        </w:rPr>
        <w:t xml:space="preserve">ër Zhvillimin Rural </w:t>
      </w:r>
      <w:r w:rsidR="00C6608F" w:rsidRPr="007114AF">
        <w:t>2014–2020</w:t>
      </w:r>
      <w:r w:rsidR="000641ED">
        <w:t xml:space="preserve"> </w:t>
      </w:r>
      <w:r w:rsidRPr="007114AF">
        <w:t>n</w:t>
      </w:r>
      <w:r w:rsidRPr="007114AF">
        <w:rPr>
          <w:rFonts w:cstheme="minorHAnsi"/>
        </w:rPr>
        <w:t xml:space="preserve">ë kuadër të </w:t>
      </w:r>
      <w:r w:rsidRPr="007114AF">
        <w:t>Instrumentit dhe</w:t>
      </w:r>
      <w:r w:rsidRPr="007114AF">
        <w:rPr>
          <w:rFonts w:cstheme="minorHAnsi"/>
        </w:rPr>
        <w:t xml:space="preserve"> Asistencës</w:t>
      </w:r>
      <w:r w:rsidR="000641ED">
        <w:rPr>
          <w:rFonts w:cstheme="minorHAnsi"/>
        </w:rPr>
        <w:t xml:space="preserve"> </w:t>
      </w:r>
      <w:r w:rsidRPr="007114AF">
        <w:t>Paraan</w:t>
      </w:r>
      <w:r w:rsidRPr="007114AF">
        <w:rPr>
          <w:rFonts w:cstheme="minorHAnsi"/>
        </w:rPr>
        <w:t>ëtarësim</w:t>
      </w:r>
      <w:r w:rsidRPr="007114AF">
        <w:t xml:space="preserve"> (IPARD), t</w:t>
      </w:r>
      <w:r w:rsidRPr="007114AF">
        <w:rPr>
          <w:rFonts w:cstheme="minorHAnsi"/>
        </w:rPr>
        <w:t>ë dyja të dorëzuara në maj 2</w:t>
      </w:r>
      <w:r w:rsidRPr="007114AF">
        <w:t xml:space="preserve">014 dhe që </w:t>
      </w:r>
      <w:r w:rsidRPr="007114AF">
        <w:rPr>
          <w:rFonts w:cstheme="minorHAnsi"/>
        </w:rPr>
        <w:t xml:space="preserve">shtjellojnë, në përputhje me </w:t>
      </w:r>
      <w:r w:rsidR="000A2A01" w:rsidRPr="007114AF">
        <w:t>“</w:t>
      </w:r>
      <w:r w:rsidRPr="007114AF">
        <w:t>Paket</w:t>
      </w:r>
      <w:r w:rsidRPr="007114AF">
        <w:rPr>
          <w:rFonts w:cstheme="minorHAnsi"/>
        </w:rPr>
        <w:t xml:space="preserve">ën e BE-së për Klimën dhe Energjinë </w:t>
      </w:r>
      <w:r w:rsidRPr="007114AF">
        <w:t>2020</w:t>
      </w:r>
      <w:r w:rsidR="000A2A01" w:rsidRPr="007114AF">
        <w:t>”</w:t>
      </w:r>
      <w:r w:rsidRPr="007114AF">
        <w:t>, masat dhe veprimet p</w:t>
      </w:r>
      <w:r w:rsidRPr="007114AF">
        <w:rPr>
          <w:rFonts w:cstheme="minorHAnsi"/>
        </w:rPr>
        <w:t>ër rritje të fortë, të qëndrueshme dhe gjithëpërfshirëse, në sektorin e bujqësisë në Shqipëri</w:t>
      </w:r>
      <w:r w:rsidRPr="007114AF">
        <w:t>. Sektori pyjor</w:t>
      </w:r>
      <w:r w:rsidRPr="007114AF">
        <w:rPr>
          <w:rFonts w:cstheme="minorHAnsi"/>
        </w:rPr>
        <w:t xml:space="preserve"> është rregulluar me projektligjin për </w:t>
      </w:r>
      <w:r w:rsidRPr="007114AF">
        <w:t>administrimin e fondit</w:t>
      </w:r>
      <w:r w:rsidR="000641ED">
        <w:t xml:space="preserve"> </w:t>
      </w:r>
      <w:r w:rsidRPr="007114AF">
        <w:t>komb</w:t>
      </w:r>
      <w:r w:rsidRPr="007114AF">
        <w:rPr>
          <w:rFonts w:cstheme="minorHAnsi"/>
        </w:rPr>
        <w:t>ëtar</w:t>
      </w:r>
      <w:r w:rsidR="004A5C35">
        <w:rPr>
          <w:rFonts w:cstheme="minorHAnsi"/>
        </w:rPr>
        <w:t xml:space="preserve"> </w:t>
      </w:r>
      <w:r w:rsidRPr="007114AF">
        <w:t xml:space="preserve">të pyjeve dhe kullotave </w:t>
      </w:r>
      <w:r w:rsidRPr="007114AF">
        <w:rPr>
          <w:rFonts w:cstheme="minorHAnsi"/>
        </w:rPr>
        <w:t>në Republikën e Shqipërisë, i cili është gati që në dhjetor</w:t>
      </w:r>
      <w:r w:rsidRPr="007114AF">
        <w:t xml:space="preserve"> 2015, por n</w:t>
      </w:r>
      <w:r w:rsidRPr="007114AF">
        <w:rPr>
          <w:rFonts w:cstheme="minorHAnsi"/>
        </w:rPr>
        <w:t>ë kohën e shkrimit të dokumentit nuk ishte</w:t>
      </w:r>
      <w:r w:rsidR="000641ED">
        <w:rPr>
          <w:rFonts w:cstheme="minorHAnsi"/>
        </w:rPr>
        <w:t xml:space="preserve"> </w:t>
      </w:r>
      <w:r w:rsidRPr="007114AF">
        <w:rPr>
          <w:rFonts w:cstheme="minorHAnsi"/>
        </w:rPr>
        <w:t>miratuar ende</w:t>
      </w:r>
      <w:r w:rsidRPr="007114AF">
        <w:t>. P</w:t>
      </w:r>
      <w:r w:rsidRPr="007114AF">
        <w:rPr>
          <w:rFonts w:cstheme="minorHAnsi"/>
        </w:rPr>
        <w:t>ër më tepër, një tjetër kuadër politik për t</w:t>
      </w:r>
      <w:r w:rsidR="00D10DAB" w:rsidRPr="007114AF">
        <w:rPr>
          <w:rFonts w:cstheme="minorHAnsi"/>
        </w:rPr>
        <w:t>’</w:t>
      </w:r>
      <w:r w:rsidRPr="007114AF">
        <w:rPr>
          <w:rFonts w:cstheme="minorHAnsi"/>
        </w:rPr>
        <w:t xml:space="preserve">u konsideruar për ekosistemet natyrore në përgjithësi, është Dokumenti i Politikave Strategjike për Mbrojtjen e Biodiversitetit </w:t>
      </w:r>
      <w:r w:rsidRPr="007114AF">
        <w:t>(DPSMB - Dokumenti i Politikave Strategjike Për Mbrojtjen e Biodiversitetit) 2016</w:t>
      </w:r>
      <w:r w:rsidR="000641ED">
        <w:t>–</w:t>
      </w:r>
      <w:r w:rsidRPr="007114AF">
        <w:t>2020, i cili siguron nj</w:t>
      </w:r>
      <w:r w:rsidRPr="007114AF">
        <w:rPr>
          <w:rFonts w:cstheme="minorHAnsi"/>
        </w:rPr>
        <w:t>ë listë masash për mbrojtjen dhe rritjen e ekosistemeve natyrore</w:t>
      </w:r>
      <w:r w:rsidRPr="007114AF">
        <w:t>.</w:t>
      </w:r>
    </w:p>
    <w:p w14:paraId="6EDCFE04" w14:textId="5DFF84C8" w:rsidR="00A9766F" w:rsidRPr="007114AF" w:rsidRDefault="00A9766F" w:rsidP="00206985">
      <w:pPr>
        <w:pStyle w:val="TEKSTI"/>
        <w:rPr>
          <w:b/>
          <w:i/>
          <w:u w:val="single"/>
        </w:rPr>
      </w:pPr>
      <w:r w:rsidRPr="007114AF">
        <w:rPr>
          <w:b/>
          <w:i/>
          <w:u w:val="single"/>
        </w:rPr>
        <w:t>Strategjia Nd</w:t>
      </w:r>
      <w:r w:rsidRPr="007114AF">
        <w:rPr>
          <w:rFonts w:cstheme="minorHAnsi"/>
          <w:b/>
          <w:i/>
          <w:u w:val="single"/>
        </w:rPr>
        <w:t>ër</w:t>
      </w:r>
      <w:r w:rsidRPr="007114AF">
        <w:rPr>
          <w:b/>
          <w:i/>
          <w:u w:val="single"/>
        </w:rPr>
        <w:t>sektoriale p</w:t>
      </w:r>
      <w:r w:rsidRPr="007114AF">
        <w:rPr>
          <w:rFonts w:cstheme="minorHAnsi"/>
          <w:b/>
          <w:i/>
          <w:u w:val="single"/>
        </w:rPr>
        <w:t>ër Zhvillimin e Bujqësor dhe Rural</w:t>
      </w:r>
      <w:r w:rsidRPr="007114AF">
        <w:rPr>
          <w:b/>
          <w:i/>
          <w:u w:val="single"/>
        </w:rPr>
        <w:t xml:space="preserve"> (SNBZHR) dhe Programin e Zhvillimit Rural </w:t>
      </w:r>
      <w:r w:rsidR="00C6608F" w:rsidRPr="007114AF">
        <w:rPr>
          <w:b/>
          <w:i/>
          <w:u w:val="single"/>
        </w:rPr>
        <w:t>2014–2020</w:t>
      </w:r>
      <w:r w:rsidRPr="007114AF">
        <w:rPr>
          <w:b/>
          <w:i/>
          <w:u w:val="single"/>
        </w:rPr>
        <w:t>n</w:t>
      </w:r>
      <w:r w:rsidRPr="007114AF">
        <w:rPr>
          <w:rFonts w:cstheme="minorHAnsi"/>
          <w:b/>
          <w:i/>
          <w:u w:val="single"/>
        </w:rPr>
        <w:t xml:space="preserve">ën Instrumentin e Asistencës Paraanëtarësim </w:t>
      </w:r>
      <w:r w:rsidRPr="007114AF">
        <w:rPr>
          <w:b/>
          <w:i/>
          <w:u w:val="single"/>
        </w:rPr>
        <w:t>(IPARD)</w:t>
      </w:r>
    </w:p>
    <w:p w14:paraId="6EDCFE05" w14:textId="42740D3E" w:rsidR="00A9766F" w:rsidRPr="007114AF" w:rsidRDefault="00A9766F" w:rsidP="00206985">
      <w:pPr>
        <w:pStyle w:val="TEKSTI"/>
        <w:rPr>
          <w:i/>
        </w:rPr>
      </w:pPr>
      <w:r w:rsidRPr="007114AF">
        <w:rPr>
          <w:i/>
        </w:rPr>
        <w:t xml:space="preserve">Vlefshmëria: </w:t>
      </w:r>
      <w:r w:rsidR="00C6608F" w:rsidRPr="007114AF">
        <w:rPr>
          <w:i/>
        </w:rPr>
        <w:t>2014–2020</w:t>
      </w:r>
    </w:p>
    <w:p w14:paraId="6EDCFE06" w14:textId="31ABEB3A" w:rsidR="00A9766F" w:rsidRPr="007114AF" w:rsidRDefault="00A9766F" w:rsidP="00206985">
      <w:pPr>
        <w:pStyle w:val="TEKSTI"/>
      </w:pPr>
      <w:r w:rsidRPr="007114AF">
        <w:t>SNBZHR-ja dhe IPARD-i u p</w:t>
      </w:r>
      <w:r w:rsidRPr="007114AF">
        <w:rPr>
          <w:rFonts w:cstheme="minorHAnsi"/>
        </w:rPr>
        <w:t>ërgatitën nga ish Ministria e Bujqësisë, Zhvillimit Rural dhe Administrimit të Ujërave (</w:t>
      </w:r>
      <w:r w:rsidRPr="007114AF">
        <w:rPr>
          <w:color w:val="000000"/>
          <w:lang w:eastAsia="de-DE"/>
        </w:rPr>
        <w:t>MBZHR) nga muaji tetor</w:t>
      </w:r>
      <w:r w:rsidRPr="007114AF">
        <w:t xml:space="preserve"> 2012 deri n</w:t>
      </w:r>
      <w:r w:rsidRPr="007114AF">
        <w:rPr>
          <w:rFonts w:cstheme="minorHAnsi"/>
        </w:rPr>
        <w:t xml:space="preserve">ë maj </w:t>
      </w:r>
      <w:r w:rsidRPr="007114AF">
        <w:t>2014, dhe u p</w:t>
      </w:r>
      <w:r w:rsidRPr="007114AF">
        <w:rPr>
          <w:rFonts w:cstheme="minorHAnsi"/>
        </w:rPr>
        <w:t xml:space="preserve">ërpunuan në përputhje me kuadrin e strategjisë </w:t>
      </w:r>
      <w:r w:rsidR="000A2A01" w:rsidRPr="007114AF">
        <w:rPr>
          <w:rFonts w:cstheme="minorHAnsi"/>
        </w:rPr>
        <w:t>“</w:t>
      </w:r>
      <w:r w:rsidRPr="007114AF">
        <w:rPr>
          <w:rFonts w:cstheme="minorHAnsi"/>
        </w:rPr>
        <w:t>Europa</w:t>
      </w:r>
      <w:r w:rsidRPr="007114AF">
        <w:t xml:space="preserve"> 2020</w:t>
      </w:r>
      <w:r w:rsidR="000A2A01" w:rsidRPr="007114AF">
        <w:t>”</w:t>
      </w:r>
      <w:r w:rsidRPr="007114AF">
        <w:t xml:space="preserve"> p</w:t>
      </w:r>
      <w:r w:rsidRPr="007114AF">
        <w:rPr>
          <w:rFonts w:cstheme="minorHAnsi"/>
        </w:rPr>
        <w:t>ër rritje të fortë</w:t>
      </w:r>
      <w:r w:rsidRPr="007114AF">
        <w:t>, t</w:t>
      </w:r>
      <w:r w:rsidRPr="007114AF">
        <w:rPr>
          <w:rFonts w:cstheme="minorHAnsi"/>
        </w:rPr>
        <w:t>ë qëndrueshme dhe gjithëpërfshirëse</w:t>
      </w:r>
      <w:r w:rsidRPr="007114AF">
        <w:rPr>
          <w:rStyle w:val="FootnoteReference"/>
        </w:rPr>
        <w:footnoteReference w:id="50"/>
      </w:r>
      <w:r w:rsidRPr="007114AF">
        <w:t>, si dhe me objektivin e p</w:t>
      </w:r>
      <w:r w:rsidRPr="007114AF">
        <w:rPr>
          <w:rFonts w:cstheme="minorHAnsi"/>
        </w:rPr>
        <w:t>ërgjithshëm strategjik të anëtarësimit të Shqipërisë në BE</w:t>
      </w:r>
      <w:r w:rsidRPr="007114AF">
        <w:t>, n</w:t>
      </w:r>
      <w:r w:rsidRPr="007114AF">
        <w:rPr>
          <w:rFonts w:cstheme="minorHAnsi"/>
        </w:rPr>
        <w:t>ë përputhje me parimet kryesore të ardhshme, të Politikës së Përbashkët Bujqësore të BE-së</w:t>
      </w:r>
      <w:r w:rsidRPr="007114AF">
        <w:t xml:space="preserve"> (PBB) </w:t>
      </w:r>
      <w:r w:rsidR="00C6608F" w:rsidRPr="007114AF">
        <w:t>2014–2020</w:t>
      </w:r>
      <w:r w:rsidR="00E907B7">
        <w:t xml:space="preserve"> </w:t>
      </w:r>
      <w:r w:rsidRPr="007114AF">
        <w:t>dhe politikave t</w:t>
      </w:r>
      <w:r w:rsidRPr="007114AF">
        <w:rPr>
          <w:rFonts w:cstheme="minorHAnsi"/>
        </w:rPr>
        <w:t>ë para</w:t>
      </w:r>
      <w:r w:rsidRPr="007114AF">
        <w:t>an</w:t>
      </w:r>
      <w:r w:rsidRPr="007114AF">
        <w:rPr>
          <w:rFonts w:cstheme="minorHAnsi"/>
        </w:rPr>
        <w:t>ëtarësimit</w:t>
      </w:r>
      <w:r w:rsidRPr="007114AF">
        <w:t>.</w:t>
      </w:r>
    </w:p>
    <w:p w14:paraId="6EDCFE07" w14:textId="77777777" w:rsidR="00A9766F" w:rsidRPr="007114AF" w:rsidRDefault="00A9766F" w:rsidP="00206985">
      <w:pPr>
        <w:pStyle w:val="TEKSTI"/>
      </w:pPr>
      <w:r w:rsidRPr="007114AF">
        <w:t>SNBZHR-ja dhe IPARD-i p</w:t>
      </w:r>
      <w:r w:rsidRPr="007114AF">
        <w:rPr>
          <w:rFonts w:cstheme="minorHAnsi"/>
        </w:rPr>
        <w:t xml:space="preserve">araqesin ndërhyrjet strategjike për zhvillimin e bujqësisë në Shqipëri dhe që zonat rurale të jenë të afta të përmbushin sfidat e kërkesave të tregut të vetëm të BE-së, si dhe përshtatjen e politikave shqiptare të zhvillimit bujqësor dhe rural me </w:t>
      </w:r>
      <w:r w:rsidRPr="007114AF">
        <w:t xml:space="preserve">PBB. </w:t>
      </w:r>
    </w:p>
    <w:p w14:paraId="6EDCFE08" w14:textId="77777777" w:rsidR="00A9766F" w:rsidRPr="007114AF" w:rsidRDefault="00A9766F" w:rsidP="00206985">
      <w:pPr>
        <w:pStyle w:val="TEKSTI"/>
      </w:pPr>
      <w:r w:rsidRPr="007114AF">
        <w:t xml:space="preserve">Vizioni </w:t>
      </w:r>
      <w:r w:rsidRPr="007114AF">
        <w:rPr>
          <w:rFonts w:cstheme="minorHAnsi"/>
        </w:rPr>
        <w:t xml:space="preserve">është zhvillimi i kushteve të duhura të kuadrit ligjor për një sektor </w:t>
      </w:r>
      <w:r w:rsidRPr="007114AF">
        <w:t>efikas, novator dhe praktik agroushqimor, i</w:t>
      </w:r>
      <w:r w:rsidRPr="007114AF">
        <w:rPr>
          <w:rFonts w:cstheme="minorHAnsi"/>
        </w:rPr>
        <w:t xml:space="preserve"> aftë të mbështesë presionin konkurrues dhe të përmbushë kërkesat e tregut të BE-së, përmes përdorimit të qëndrueshëm të burimeve dhe zonave të qëndrueshme rurale që ofrojnë aktivitete ekonomike dhe mundësi punësimi</w:t>
      </w:r>
      <w:r w:rsidRPr="007114AF">
        <w:t>, p</w:t>
      </w:r>
      <w:r w:rsidRPr="007114AF">
        <w:rPr>
          <w:rFonts w:cstheme="minorHAnsi"/>
        </w:rPr>
        <w:t xml:space="preserve">ërfshirje </w:t>
      </w:r>
      <w:r w:rsidRPr="007114AF">
        <w:t>sociale dhe cil</w:t>
      </w:r>
      <w:r w:rsidRPr="007114AF">
        <w:rPr>
          <w:rFonts w:cstheme="minorHAnsi"/>
        </w:rPr>
        <w:t>ësi jete për banorët e zonave rurale</w:t>
      </w:r>
      <w:r w:rsidRPr="007114AF">
        <w:t>.</w:t>
      </w:r>
    </w:p>
    <w:p w14:paraId="6EDCFE09" w14:textId="2EEAD72E" w:rsidR="00A9766F" w:rsidRPr="007114AF" w:rsidRDefault="00A9766F" w:rsidP="00206985">
      <w:pPr>
        <w:pStyle w:val="TEKSTI"/>
      </w:pPr>
      <w:r w:rsidRPr="007114AF">
        <w:t>SNBZHR-ja p</w:t>
      </w:r>
      <w:r w:rsidRPr="007114AF">
        <w:rPr>
          <w:rFonts w:cstheme="minorHAnsi"/>
        </w:rPr>
        <w:t>ërfshin një përshkrim të detajuar të gjendjes aktuale të bujqësisë dhe zonave rurale në Shqipëri, nga një pikëpamje ekonomike, mjedisore dhe sociale</w:t>
      </w:r>
      <w:r w:rsidRPr="007114AF">
        <w:t>; p</w:t>
      </w:r>
      <w:r w:rsidRPr="007114AF">
        <w:rPr>
          <w:rFonts w:cstheme="minorHAnsi"/>
        </w:rPr>
        <w:t>ërcakton objektivat për zhvillim ekonomik dhe ulje të varfërisë</w:t>
      </w:r>
      <w:r w:rsidRPr="007114AF">
        <w:t>, bazuar n</w:t>
      </w:r>
      <w:r w:rsidRPr="007114AF">
        <w:rPr>
          <w:rFonts w:cstheme="minorHAnsi"/>
        </w:rPr>
        <w:t>ë rritjen e konkurrencës</w:t>
      </w:r>
      <w:r w:rsidRPr="007114AF">
        <w:t>, p</w:t>
      </w:r>
      <w:r w:rsidRPr="007114AF">
        <w:rPr>
          <w:rFonts w:cstheme="minorHAnsi"/>
        </w:rPr>
        <w:t>ërdorimit të qëndrueshëm të burimeve natyrore, si dhe zhvillimin gjithëpërfshirës dhe te</w:t>
      </w:r>
      <w:r w:rsidRPr="007114AF">
        <w:t>rritorial n</w:t>
      </w:r>
      <w:r w:rsidRPr="007114AF">
        <w:rPr>
          <w:rFonts w:cstheme="minorHAnsi"/>
        </w:rPr>
        <w:t>ë zonat rurale</w:t>
      </w:r>
      <w:r w:rsidRPr="007114AF">
        <w:t>; p</w:t>
      </w:r>
      <w:r w:rsidRPr="007114AF">
        <w:rPr>
          <w:rFonts w:cstheme="minorHAnsi"/>
        </w:rPr>
        <w:t xml:space="preserve">ërshkruan politikat e </w:t>
      </w:r>
      <w:r w:rsidRPr="007114AF">
        <w:t>MBZHR-t p</w:t>
      </w:r>
      <w:r w:rsidRPr="007114AF">
        <w:rPr>
          <w:rFonts w:cstheme="minorHAnsi"/>
        </w:rPr>
        <w:t xml:space="preserve">ër periudhën </w:t>
      </w:r>
      <w:r w:rsidR="00C6608F" w:rsidRPr="007114AF">
        <w:t>2014–2020</w:t>
      </w:r>
      <w:r w:rsidR="003B683D">
        <w:t xml:space="preserve"> </w:t>
      </w:r>
      <w:r w:rsidRPr="007114AF">
        <w:t>p</w:t>
      </w:r>
      <w:r w:rsidRPr="007114AF">
        <w:rPr>
          <w:rFonts w:cstheme="minorHAnsi"/>
        </w:rPr>
        <w:t>ër tri nga politikat kryesore</w:t>
      </w:r>
      <w:r w:rsidRPr="007114AF">
        <w:t>: (i) Zhvillimin Rural n</w:t>
      </w:r>
      <w:r w:rsidRPr="007114AF">
        <w:rPr>
          <w:rFonts w:cstheme="minorHAnsi"/>
        </w:rPr>
        <w:t xml:space="preserve">ë përputhje me </w:t>
      </w:r>
      <w:r w:rsidRPr="007114AF">
        <w:t>PBB-ën shtylla 2, (ii) Mb</w:t>
      </w:r>
      <w:r w:rsidRPr="007114AF">
        <w:rPr>
          <w:rFonts w:cstheme="minorHAnsi"/>
        </w:rPr>
        <w:t xml:space="preserve">ështetje të drejtpërdrejtë ndaj fermerëve sipas </w:t>
      </w:r>
      <w:r w:rsidRPr="007114AF">
        <w:t>PBB-ës shtylla 1, investime n</w:t>
      </w:r>
      <w:r w:rsidRPr="007114AF">
        <w:rPr>
          <w:rFonts w:cstheme="minorHAnsi"/>
        </w:rPr>
        <w:t xml:space="preserve">ë infrastrukturën </w:t>
      </w:r>
      <w:r w:rsidRPr="007114AF">
        <w:t>rurale n</w:t>
      </w:r>
      <w:r w:rsidRPr="007114AF">
        <w:rPr>
          <w:rFonts w:cstheme="minorHAnsi"/>
        </w:rPr>
        <w:t>ë administrimin e ujërave dhe konsolidimin e tokës si dhe veprime që mbështesin mundësi të barabarta</w:t>
      </w:r>
      <w:r w:rsidRPr="007114AF">
        <w:t xml:space="preserve">, (iii) Zhvillim institucional, rregullim dhe zbatim. </w:t>
      </w:r>
    </w:p>
    <w:p w14:paraId="6EDCFE0A" w14:textId="2463239D" w:rsidR="00A9766F" w:rsidRPr="007114AF" w:rsidRDefault="00A9766F" w:rsidP="00206985">
      <w:pPr>
        <w:pStyle w:val="TEKSTI"/>
      </w:pPr>
      <w:r w:rsidRPr="007114AF">
        <w:t>P</w:t>
      </w:r>
      <w:r w:rsidRPr="007114AF">
        <w:rPr>
          <w:rFonts w:cstheme="minorHAnsi"/>
        </w:rPr>
        <w:t>ër më tepër, përcaktohet një ndarje e përgjithshme e buxhetit për periudhën</w:t>
      </w:r>
      <w:r w:rsidRPr="007114AF">
        <w:t xml:space="preserve"> 2014</w:t>
      </w:r>
      <w:r w:rsidR="003B683D">
        <w:t>–</w:t>
      </w:r>
      <w:r w:rsidRPr="007114AF">
        <w:t>2020, si dhe kuadri i monitorimit dhe vler</w:t>
      </w:r>
      <w:r w:rsidRPr="007114AF">
        <w:rPr>
          <w:rFonts w:cstheme="minorHAnsi"/>
        </w:rPr>
        <w:t>ësimit</w:t>
      </w:r>
      <w:r w:rsidRPr="007114AF">
        <w:t xml:space="preserve">. </w:t>
      </w:r>
      <w:r w:rsidRPr="007114AF">
        <w:rPr>
          <w:rFonts w:cstheme="minorHAnsi"/>
        </w:rPr>
        <w:t>Është përgatitur dhe bashkëngjitur në strategji, n</w:t>
      </w:r>
      <w:r w:rsidRPr="007114AF">
        <w:t>j</w:t>
      </w:r>
      <w:r w:rsidRPr="007114AF">
        <w:rPr>
          <w:rFonts w:cstheme="minorHAnsi"/>
        </w:rPr>
        <w:t xml:space="preserve">ë plan veprimi i </w:t>
      </w:r>
      <w:r w:rsidRPr="007114AF">
        <w:t>MBZHR-t, që p</w:t>
      </w:r>
      <w:r w:rsidRPr="007114AF">
        <w:rPr>
          <w:rFonts w:cstheme="minorHAnsi"/>
        </w:rPr>
        <w:t xml:space="preserve">ërshkruan veprimet </w:t>
      </w:r>
      <w:r w:rsidRPr="007114AF">
        <w:t>specifike q</w:t>
      </w:r>
      <w:r w:rsidRPr="007114AF">
        <w:rPr>
          <w:rFonts w:cstheme="minorHAnsi"/>
        </w:rPr>
        <w:t>ë do të ndërmerren në një periudhë afatshkurtër</w:t>
      </w:r>
      <w:r w:rsidRPr="007114AF">
        <w:t xml:space="preserve"> (2014 dhe 2015), </w:t>
      </w:r>
      <w:r w:rsidRPr="007114AF">
        <w:rPr>
          <w:rFonts w:cstheme="minorHAnsi"/>
        </w:rPr>
        <w:t>afatmesme</w:t>
      </w:r>
      <w:r w:rsidRPr="007114AF">
        <w:t xml:space="preserve"> (2016-2020) dhe </w:t>
      </w:r>
      <w:r w:rsidRPr="007114AF">
        <w:rPr>
          <w:rFonts w:cstheme="minorHAnsi"/>
        </w:rPr>
        <w:t xml:space="preserve">afatgjatë </w:t>
      </w:r>
      <w:r w:rsidRPr="007114AF">
        <w:t>(pas vitit 2020).</w:t>
      </w:r>
    </w:p>
    <w:p w14:paraId="6EDCFE0B" w14:textId="7C97AACF" w:rsidR="00A9766F" w:rsidRPr="007114AF" w:rsidRDefault="00A9766F" w:rsidP="00206985">
      <w:pPr>
        <w:pStyle w:val="TEKSTI"/>
      </w:pPr>
      <w:r w:rsidRPr="007114AF">
        <w:t>SNBZHR-ja</w:t>
      </w:r>
      <w:r w:rsidR="003B683D">
        <w:t xml:space="preserve"> </w:t>
      </w:r>
      <w:r w:rsidRPr="007114AF">
        <w:t>është</w:t>
      </w:r>
      <w:r w:rsidRPr="007114AF">
        <w:rPr>
          <w:rFonts w:cstheme="minorHAnsi"/>
        </w:rPr>
        <w:t xml:space="preserve"> përgatitur</w:t>
      </w:r>
      <w:r w:rsidR="003B683D">
        <w:rPr>
          <w:rFonts w:cstheme="minorHAnsi"/>
        </w:rPr>
        <w:t xml:space="preserve"> </w:t>
      </w:r>
      <w:r w:rsidRPr="007114AF">
        <w:rPr>
          <w:rFonts w:cstheme="minorHAnsi"/>
        </w:rPr>
        <w:t xml:space="preserve">gjithashtu, si një pjesë </w:t>
      </w:r>
      <w:r w:rsidRPr="007114AF">
        <w:t>integrale e</w:t>
      </w:r>
      <w:r w:rsidR="000A2A01" w:rsidRPr="007114AF">
        <w:t xml:space="preserve"> </w:t>
      </w:r>
      <w:r w:rsidRPr="007114AF">
        <w:rPr>
          <w:rFonts w:cstheme="minorHAnsi"/>
        </w:rPr>
        <w:t xml:space="preserve">Strategjisë Kombëtare për Zhvillim dhe </w:t>
      </w:r>
      <w:r w:rsidRPr="007114AF">
        <w:t>Integrim (SKZHI-II), e</w:t>
      </w:r>
      <w:r w:rsidRPr="007114AF">
        <w:rPr>
          <w:rFonts w:cstheme="minorHAnsi"/>
        </w:rPr>
        <w:t xml:space="preserve"> bashkërenduar nga Planifikimi Strategjik dhe Programet e Zhvillimit pranë Zyrës së Kryeministrit</w:t>
      </w:r>
      <w:r w:rsidRPr="007114AF">
        <w:t xml:space="preserve">. </w:t>
      </w:r>
    </w:p>
    <w:p w14:paraId="6EDCFE0C" w14:textId="77777777" w:rsidR="00A9766F" w:rsidRPr="007114AF" w:rsidRDefault="00A9766F" w:rsidP="00206985">
      <w:pPr>
        <w:pStyle w:val="TEKSTI"/>
      </w:pPr>
      <w:r w:rsidRPr="007114AF">
        <w:t>IPARD-i identifikon tremb</w:t>
      </w:r>
      <w:r w:rsidRPr="007114AF">
        <w:rPr>
          <w:rFonts w:cstheme="minorHAnsi"/>
        </w:rPr>
        <w:t xml:space="preserve">ëdhjetë masa në kuadrin e Zhvillimit Rural në përputhje me </w:t>
      </w:r>
      <w:r w:rsidRPr="007114AF">
        <w:t>PBB-ën, shtylla 2, p</w:t>
      </w:r>
      <w:r w:rsidRPr="007114AF">
        <w:rPr>
          <w:rFonts w:cstheme="minorHAnsi"/>
        </w:rPr>
        <w:t>ër të përmbushur standardet përkatëse të BE-së</w:t>
      </w:r>
      <w:r w:rsidRPr="007114AF">
        <w:t>. Pes</w:t>
      </w:r>
      <w:r w:rsidRPr="007114AF">
        <w:rPr>
          <w:rFonts w:cstheme="minorHAnsi"/>
        </w:rPr>
        <w:t>ë nga këto masa</w:t>
      </w:r>
      <w:r w:rsidRPr="007114AF">
        <w:t xml:space="preserve"> (masat 1-5) kan</w:t>
      </w:r>
      <w:r w:rsidRPr="007114AF">
        <w:rPr>
          <w:rFonts w:cstheme="minorHAnsi"/>
        </w:rPr>
        <w:t>ë për qëllim rritjen e qëndrueshmërisë dhe konkurrencës së bujqësisë dhe përpunimit të ushqimit</w:t>
      </w:r>
      <w:r w:rsidRPr="007114AF">
        <w:t>, duke u kujdesur</w:t>
      </w:r>
      <w:r w:rsidRPr="007114AF">
        <w:rPr>
          <w:rFonts w:cstheme="minorHAnsi"/>
        </w:rPr>
        <w:t xml:space="preserve"> njëkohësisht për sigurinë dhe </w:t>
      </w:r>
      <w:r w:rsidRPr="007114AF">
        <w:t>cil</w:t>
      </w:r>
      <w:r w:rsidRPr="007114AF">
        <w:rPr>
          <w:rFonts w:cstheme="minorHAnsi"/>
        </w:rPr>
        <w:t>ësinë e ushqimit, rritjen e prodhimit organik dhe mbrojtjen mjedisore</w:t>
      </w:r>
      <w:r w:rsidRPr="007114AF">
        <w:t xml:space="preserve">. </w:t>
      </w:r>
    </w:p>
    <w:p w14:paraId="6EDCFE0D" w14:textId="1917ED7E" w:rsidR="00A9766F" w:rsidRPr="007114AF" w:rsidRDefault="00A9766F" w:rsidP="00206985">
      <w:pPr>
        <w:pStyle w:val="TEKSTI"/>
      </w:pPr>
      <w:r w:rsidRPr="007114AF">
        <w:t>N</w:t>
      </w:r>
      <w:r w:rsidRPr="007114AF">
        <w:rPr>
          <w:rFonts w:cstheme="minorHAnsi"/>
        </w:rPr>
        <w:t xml:space="preserve">ë veçanti </w:t>
      </w:r>
      <w:r w:rsidRPr="007114AF">
        <w:rPr>
          <w:b/>
        </w:rPr>
        <w:t>Masa 3 – Investimet n</w:t>
      </w:r>
      <w:r w:rsidRPr="007114AF">
        <w:rPr>
          <w:rFonts w:cstheme="minorHAnsi"/>
          <w:b/>
        </w:rPr>
        <w:t>ë asete fizike që lidhen me përpunimin dhe tregtimin e produkteve bujqësore dhe ato të peshkimit</w:t>
      </w:r>
      <w:r w:rsidRPr="007114AF">
        <w:rPr>
          <w:b/>
        </w:rPr>
        <w:t xml:space="preserve">, </w:t>
      </w:r>
      <w:r w:rsidRPr="007114AF">
        <w:t>ndihmojnë</w:t>
      </w:r>
      <w:r w:rsidR="009250F2">
        <w:t xml:space="preserve"> </w:t>
      </w:r>
      <w:r w:rsidRPr="007114AF">
        <w:t>p</w:t>
      </w:r>
      <w:r w:rsidRPr="007114AF">
        <w:rPr>
          <w:rFonts w:cstheme="minorHAnsi"/>
        </w:rPr>
        <w:t>ërtrajtimin e sfidës ndaj ndryshimeve klimatike, duke nxitur eficiencën e burimeve dhe energjisë së rinovueshme</w:t>
      </w:r>
      <w:r w:rsidRPr="007114AF">
        <w:t>.</w:t>
      </w:r>
    </w:p>
    <w:p w14:paraId="6EDCFE0E" w14:textId="77777777" w:rsidR="00A9766F" w:rsidRPr="007114AF" w:rsidRDefault="00A9766F" w:rsidP="00206985">
      <w:pPr>
        <w:pStyle w:val="TEKSTI"/>
      </w:pPr>
      <w:r w:rsidRPr="007114AF">
        <w:t>Masat 6 dhe 7 kan</w:t>
      </w:r>
      <w:r w:rsidRPr="007114AF">
        <w:rPr>
          <w:rFonts w:cstheme="minorHAnsi"/>
        </w:rPr>
        <w:t>ë si objektiv të veçantë atë të restaurimit, ruajtjes dhe rritjes së ekosistemeve, të administrimit të qëndrueshëm të burimeve natyrore dhe veprimeve klimatike, duke administruar burimet pyjore dhe ujore, si dhe futjen e metodave të prodhimit bujqësor që mbrojnë mjedisin dhe ulin ndikimin në klimë</w:t>
      </w:r>
      <w:r w:rsidRPr="007114AF">
        <w:t>. N</w:t>
      </w:r>
      <w:r w:rsidRPr="007114AF">
        <w:rPr>
          <w:rFonts w:cstheme="minorHAnsi"/>
        </w:rPr>
        <w:t>ë veçanti</w:t>
      </w:r>
      <w:r w:rsidRPr="007114AF">
        <w:t xml:space="preserve">, </w:t>
      </w:r>
      <w:r w:rsidRPr="007114AF">
        <w:rPr>
          <w:rFonts w:cs="Times"/>
          <w:b/>
        </w:rPr>
        <w:t>Masa 6 - Agro</w:t>
      </w:r>
      <w:r w:rsidRPr="007114AF">
        <w:rPr>
          <w:b/>
        </w:rPr>
        <w:t>mjedisi dhe bujq</w:t>
      </w:r>
      <w:r w:rsidRPr="007114AF">
        <w:rPr>
          <w:rFonts w:cstheme="minorHAnsi"/>
          <w:b/>
        </w:rPr>
        <w:t>ësia organike</w:t>
      </w:r>
      <w:r w:rsidRPr="007114AF">
        <w:rPr>
          <w:rFonts w:cstheme="minorHAnsi"/>
        </w:rPr>
        <w:t xml:space="preserve">, mbështet futjen e metodave të prodhimit bujqësor me ndikim pozitiv ndaj mjedisit </w:t>
      </w:r>
      <w:r w:rsidRPr="007114AF">
        <w:t>(bujq</w:t>
      </w:r>
      <w:r w:rsidRPr="007114AF">
        <w:rPr>
          <w:rFonts w:cstheme="minorHAnsi"/>
        </w:rPr>
        <w:t>ësi organike</w:t>
      </w:r>
      <w:r w:rsidRPr="007114AF">
        <w:t xml:space="preserve">) dhe </w:t>
      </w:r>
      <w:r w:rsidRPr="007114AF">
        <w:rPr>
          <w:b/>
        </w:rPr>
        <w:t>Masa 7 – Krijimi dhe mbrojtja e pyjeve</w:t>
      </w:r>
      <w:r w:rsidRPr="007114AF">
        <w:t xml:space="preserve"> p</w:t>
      </w:r>
      <w:r w:rsidRPr="007114AF">
        <w:rPr>
          <w:rFonts w:cstheme="minorHAnsi"/>
        </w:rPr>
        <w:t>ërqendrohet në</w:t>
      </w:r>
      <w:r w:rsidRPr="007114AF">
        <w:t>:</w:t>
      </w:r>
    </w:p>
    <w:p w14:paraId="6EDCFE0F" w14:textId="77777777" w:rsidR="00A9766F" w:rsidRPr="007114AF" w:rsidRDefault="00721B1B" w:rsidP="00206985">
      <w:pPr>
        <w:pStyle w:val="TEKSTI"/>
      </w:pPr>
      <w:r w:rsidRPr="007114AF">
        <w:t xml:space="preserve">- </w:t>
      </w:r>
      <w:r w:rsidR="00A9766F" w:rsidRPr="007114AF">
        <w:t>Zgjerimin dhe p</w:t>
      </w:r>
      <w:r w:rsidR="00A9766F" w:rsidRPr="007114AF">
        <w:rPr>
          <w:rFonts w:cstheme="minorHAnsi"/>
        </w:rPr>
        <w:t>ërmirësimin e burimeve pyjore përmes pyllëzimit të tokës, me qëllim parandalimin e erozionit</w:t>
      </w:r>
      <w:r w:rsidR="00A9766F" w:rsidRPr="007114AF">
        <w:t xml:space="preserve">, mbrojtjen e burimeve ujore, zhvillimin e biodiversitetit, si dhe ndihmon me </w:t>
      </w:r>
      <w:r w:rsidR="00A9766F" w:rsidRPr="007114AF">
        <w:rPr>
          <w:rFonts w:cstheme="minorHAnsi"/>
        </w:rPr>
        <w:t>përshtatjen ndaj sfidave të ndryshimeve klimatike</w:t>
      </w:r>
      <w:r w:rsidR="00A9766F" w:rsidRPr="007114AF">
        <w:t>;</w:t>
      </w:r>
    </w:p>
    <w:p w14:paraId="6EDCFE10" w14:textId="34664B58" w:rsidR="00A9766F" w:rsidRPr="007114AF" w:rsidRDefault="00721B1B" w:rsidP="00206985">
      <w:pPr>
        <w:pStyle w:val="TEKSTI"/>
      </w:pPr>
      <w:r w:rsidRPr="007114AF">
        <w:t xml:space="preserve">- </w:t>
      </w:r>
      <w:r w:rsidR="00A9766F" w:rsidRPr="007114AF">
        <w:t>Rikthimin e potencialit pyjor n</w:t>
      </w:r>
      <w:r w:rsidR="00A9766F" w:rsidRPr="007114AF">
        <w:rPr>
          <w:rFonts w:cstheme="minorHAnsi"/>
        </w:rPr>
        <w:t>ë pyjet e dëmtuara nga zjarri dhe futjen e veprimeve parandaluese,</w:t>
      </w:r>
      <w:r w:rsidR="000A2A01" w:rsidRPr="007114AF">
        <w:rPr>
          <w:rFonts w:cstheme="minorHAnsi"/>
        </w:rPr>
        <w:t xml:space="preserve"> </w:t>
      </w:r>
      <w:r w:rsidR="00A9766F" w:rsidRPr="007114AF">
        <w:rPr>
          <w:rFonts w:cstheme="minorHAnsi"/>
        </w:rPr>
        <w:t>me qëllim mirëmbajtjen dhe mbrojtjen e pyjeve, si një nga burimet kryesore të shërbimeve të ekosistemit</w:t>
      </w:r>
      <w:r w:rsidR="00A9766F" w:rsidRPr="007114AF">
        <w:t xml:space="preserve">. </w:t>
      </w:r>
    </w:p>
    <w:p w14:paraId="6EDCFE11" w14:textId="77777777" w:rsidR="00A9766F" w:rsidRPr="007114AF" w:rsidRDefault="00A9766F" w:rsidP="00206985">
      <w:pPr>
        <w:pStyle w:val="TEKSTI"/>
      </w:pPr>
      <w:r w:rsidRPr="007114AF">
        <w:rPr>
          <w:b/>
        </w:rPr>
        <w:t>Gjithashtu, veprimet p</w:t>
      </w:r>
      <w:r w:rsidRPr="007114AF">
        <w:rPr>
          <w:rFonts w:cstheme="minorHAnsi"/>
          <w:b/>
        </w:rPr>
        <w:t xml:space="preserve">ër mbështetjen e drejtpërdrejtë të fermerëve sipas </w:t>
      </w:r>
      <w:r w:rsidRPr="007114AF">
        <w:rPr>
          <w:b/>
        </w:rPr>
        <w:t>PBB-së shtylla 1, që i ndihmojn</w:t>
      </w:r>
      <w:r w:rsidRPr="007114AF">
        <w:rPr>
          <w:rFonts w:cstheme="minorHAnsi"/>
          <w:b/>
        </w:rPr>
        <w:t>ë fermerët shqiptarë të ndërmarrin praktika bujqësore në dobi të klimës dhe mjedisit, dhe</w:t>
      </w:r>
      <w:r w:rsidRPr="007114AF">
        <w:rPr>
          <w:rFonts w:cstheme="minorHAnsi"/>
        </w:rPr>
        <w:t xml:space="preserve"> që ndihmojnë zhvillimin </w:t>
      </w:r>
      <w:r w:rsidRPr="007114AF">
        <w:t>institucional, rregullimin dhe zbatimin e parashikuar nga SNBZHR-ja dhe IPARD-i do t</w:t>
      </w:r>
      <w:r w:rsidRPr="007114AF">
        <w:rPr>
          <w:rFonts w:cstheme="minorHAnsi"/>
        </w:rPr>
        <w:t xml:space="preserve">ë lejojnë </w:t>
      </w:r>
      <w:r w:rsidRPr="007114AF">
        <w:t xml:space="preserve">gradualisht futjen e kritereve </w:t>
      </w:r>
      <w:r w:rsidRPr="007114AF">
        <w:rPr>
          <w:rFonts w:cstheme="minorHAnsi"/>
        </w:rPr>
        <w:t>të BE-së për rregullimin e tregjeve</w:t>
      </w:r>
      <w:r w:rsidRPr="007114AF">
        <w:t>, standardeve sh</w:t>
      </w:r>
      <w:r w:rsidRPr="007114AF">
        <w:rPr>
          <w:rFonts w:cstheme="minorHAnsi"/>
        </w:rPr>
        <w:t>ëndetësore dhe të higjienës</w:t>
      </w:r>
      <w:r w:rsidRPr="007114AF">
        <w:t>, mbrojtjen e mjedisit dhe zbutjen e efekteve prej ndryshimit të klim</w:t>
      </w:r>
      <w:r w:rsidRPr="007114AF">
        <w:rPr>
          <w:rFonts w:cstheme="minorHAnsi"/>
        </w:rPr>
        <w:t>ës në sektorin bujqësor shqiptar</w:t>
      </w:r>
      <w:r w:rsidRPr="007114AF">
        <w:t>.</w:t>
      </w:r>
    </w:p>
    <w:p w14:paraId="6EDCFE12" w14:textId="77777777" w:rsidR="00A9766F" w:rsidRPr="007114AF" w:rsidRDefault="00A9766F" w:rsidP="00206985">
      <w:pPr>
        <w:pStyle w:val="TEKSTI"/>
        <w:rPr>
          <w:b/>
          <w:i/>
          <w:u w:val="single"/>
        </w:rPr>
      </w:pPr>
      <w:r w:rsidRPr="007114AF">
        <w:rPr>
          <w:b/>
          <w:i/>
          <w:u w:val="single"/>
        </w:rPr>
        <w:t>Projektligji mbi administrimin e fondit komb</w:t>
      </w:r>
      <w:r w:rsidRPr="007114AF">
        <w:rPr>
          <w:rFonts w:cstheme="minorHAnsi"/>
          <w:b/>
          <w:i/>
          <w:u w:val="single"/>
        </w:rPr>
        <w:t>ë</w:t>
      </w:r>
      <w:r w:rsidRPr="007114AF">
        <w:rPr>
          <w:b/>
          <w:i/>
          <w:u w:val="single"/>
        </w:rPr>
        <w:t>tar të pyjeve n</w:t>
      </w:r>
      <w:r w:rsidRPr="007114AF">
        <w:rPr>
          <w:rFonts w:cstheme="minorHAnsi"/>
          <w:b/>
          <w:i/>
          <w:u w:val="single"/>
        </w:rPr>
        <w:t>ë Republikën e Shqipërisë</w:t>
      </w:r>
    </w:p>
    <w:p w14:paraId="6EDCFE13" w14:textId="77777777" w:rsidR="00A9766F" w:rsidRPr="007114AF" w:rsidRDefault="00A9766F" w:rsidP="00206985">
      <w:pPr>
        <w:pStyle w:val="TEKSTI"/>
        <w:rPr>
          <w:i/>
        </w:rPr>
      </w:pPr>
      <w:r w:rsidRPr="007114AF">
        <w:rPr>
          <w:i/>
        </w:rPr>
        <w:t>Vlefshmëria: pritet t</w:t>
      </w:r>
      <w:r w:rsidRPr="007114AF">
        <w:rPr>
          <w:rFonts w:cstheme="minorHAnsi"/>
          <w:i/>
        </w:rPr>
        <w:t>ë hyjë në fuqi në vitin</w:t>
      </w:r>
      <w:r w:rsidRPr="007114AF">
        <w:rPr>
          <w:i/>
        </w:rPr>
        <w:t xml:space="preserve"> 2019, pa afat deri n</w:t>
      </w:r>
      <w:r w:rsidRPr="007114AF">
        <w:rPr>
          <w:rFonts w:cstheme="minorHAnsi"/>
          <w:i/>
        </w:rPr>
        <w:t>ë rishikime të mëtejshme</w:t>
      </w:r>
    </w:p>
    <w:p w14:paraId="6EDCFE14" w14:textId="7D1013DA" w:rsidR="00A9766F" w:rsidRPr="007114AF" w:rsidRDefault="00A9766F" w:rsidP="00206985">
      <w:pPr>
        <w:pStyle w:val="TEKSTI"/>
      </w:pPr>
      <w:r w:rsidRPr="007114AF">
        <w:t xml:space="preserve">Projektligji mbi Administrimin e fondit </w:t>
      </w:r>
      <w:r w:rsidRPr="007114AF">
        <w:rPr>
          <w:rFonts w:cstheme="minorHAnsi"/>
        </w:rPr>
        <w:t xml:space="preserve">kombëtar </w:t>
      </w:r>
      <w:r w:rsidRPr="007114AF">
        <w:t xml:space="preserve">të pyjeve </w:t>
      </w:r>
      <w:r w:rsidRPr="007114AF">
        <w:rPr>
          <w:rFonts w:cstheme="minorHAnsi"/>
        </w:rPr>
        <w:t>në Republikën e Shqipërisë</w:t>
      </w:r>
      <w:r w:rsidR="000A2A01" w:rsidRPr="007114AF">
        <w:t>”</w:t>
      </w:r>
      <w:r w:rsidRPr="007114AF">
        <w:t xml:space="preserve"> po pwrgatitet dhe n</w:t>
      </w:r>
      <w:r w:rsidRPr="007114AF">
        <w:rPr>
          <w:rFonts w:cstheme="minorHAnsi"/>
        </w:rPr>
        <w:t>ë momentin e shkrimit të dokumentit ende nuk ishte miratuar</w:t>
      </w:r>
      <w:r w:rsidRPr="007114AF">
        <w:t>.</w:t>
      </w:r>
    </w:p>
    <w:p w14:paraId="6EDCFE15" w14:textId="77777777" w:rsidR="00A9766F" w:rsidRPr="007114AF" w:rsidRDefault="00A9766F" w:rsidP="00206985">
      <w:pPr>
        <w:pStyle w:val="TEKSTI"/>
      </w:pPr>
      <w:r w:rsidRPr="007114AF">
        <w:t>Q</w:t>
      </w:r>
      <w:r w:rsidRPr="007114AF">
        <w:rPr>
          <w:rFonts w:cstheme="minorHAnsi"/>
        </w:rPr>
        <w:t>ëllimi i ligjit është zhvillimi dhe mbrojtja e pyjeve</w:t>
      </w:r>
      <w:r w:rsidRPr="007114AF">
        <w:t>, si nj</w:t>
      </w:r>
      <w:r w:rsidRPr="007114AF">
        <w:rPr>
          <w:rFonts w:cstheme="minorHAnsi"/>
        </w:rPr>
        <w:t>ë pasuri kombëtare e një rëndësie të veçantë</w:t>
      </w:r>
      <w:r w:rsidRPr="007114AF">
        <w:t>, duke njohur vlerat e tyre t</w:t>
      </w:r>
      <w:r w:rsidRPr="007114AF">
        <w:rPr>
          <w:rFonts w:cstheme="minorHAnsi"/>
        </w:rPr>
        <w:t>ë mëdha për mbrojtjen e klimës dhe tokës,</w:t>
      </w:r>
      <w:r w:rsidRPr="007114AF">
        <w:t xml:space="preserve"> biodiversitetit, burimeve gjenetike</w:t>
      </w:r>
      <w:r w:rsidRPr="007114AF">
        <w:rPr>
          <w:rFonts w:cstheme="minorHAnsi"/>
        </w:rPr>
        <w:t xml:space="preserve"> dhe regjimit hidrik</w:t>
      </w:r>
      <w:r w:rsidRPr="007114AF">
        <w:t>, si nj</w:t>
      </w:r>
      <w:r w:rsidRPr="007114AF">
        <w:rPr>
          <w:rFonts w:cstheme="minorHAnsi"/>
        </w:rPr>
        <w:t>ë detyrim për brezat e tanishëm dhe ata të ardhshëm</w:t>
      </w:r>
      <w:r w:rsidRPr="007114AF">
        <w:t xml:space="preserve">. </w:t>
      </w:r>
    </w:p>
    <w:p w14:paraId="6EDCFE16" w14:textId="77777777" w:rsidR="00A9766F" w:rsidRPr="007114AF" w:rsidRDefault="00A9766F" w:rsidP="00206985">
      <w:pPr>
        <w:pStyle w:val="TEKSTI"/>
      </w:pPr>
      <w:r w:rsidRPr="007114AF">
        <w:t>Ligji synon t</w:t>
      </w:r>
      <w:r w:rsidRPr="007114AF">
        <w:rPr>
          <w:rFonts w:cstheme="minorHAnsi"/>
        </w:rPr>
        <w:t xml:space="preserve">ë përcaktojë </w:t>
      </w:r>
      <w:r w:rsidRPr="007114AF">
        <w:t>administrimin, qeverisjen dhe mbrojtjen e fondit komb</w:t>
      </w:r>
      <w:r w:rsidRPr="007114AF">
        <w:rPr>
          <w:rFonts w:cstheme="minorHAnsi"/>
        </w:rPr>
        <w:t xml:space="preserve">ëtar </w:t>
      </w:r>
      <w:r w:rsidRPr="007114AF">
        <w:t>të pyjeve dhe kullotave, duke u bazuar n</w:t>
      </w:r>
      <w:r w:rsidRPr="007114AF">
        <w:rPr>
          <w:rFonts w:cstheme="minorHAnsi"/>
        </w:rPr>
        <w:t>ë parimet e zhvillimit të qëndrueshëm, si dhe të përcaktojë rregullat, detyrimet, të drejtat, përgjegjësitë dhe marrëdhëniet e institucioneve shtetërore</w:t>
      </w:r>
      <w:r w:rsidRPr="007114AF">
        <w:t>, pronar</w:t>
      </w:r>
      <w:r w:rsidRPr="007114AF">
        <w:rPr>
          <w:rFonts w:cstheme="minorHAnsi"/>
        </w:rPr>
        <w:t>ëve dhe bizneseve private</w:t>
      </w:r>
      <w:r w:rsidRPr="007114AF">
        <w:t>. P</w:t>
      </w:r>
      <w:r w:rsidRPr="007114AF">
        <w:rPr>
          <w:rFonts w:cstheme="minorHAnsi"/>
        </w:rPr>
        <w:t xml:space="preserve">ër këtë qëllim ai përcakton funksionimin e </w:t>
      </w:r>
      <w:r w:rsidRPr="007114AF">
        <w:rPr>
          <w:b/>
        </w:rPr>
        <w:t>sh</w:t>
      </w:r>
      <w:r w:rsidRPr="007114AF">
        <w:rPr>
          <w:rFonts w:cstheme="minorHAnsi"/>
          <w:b/>
        </w:rPr>
        <w:t>ë</w:t>
      </w:r>
      <w:r w:rsidRPr="007114AF">
        <w:rPr>
          <w:b/>
        </w:rPr>
        <w:t>rbimit pyjor</w:t>
      </w:r>
      <w:r w:rsidRPr="007114AF">
        <w:t xml:space="preserve"> si nj</w:t>
      </w:r>
      <w:r w:rsidRPr="007114AF">
        <w:rPr>
          <w:rFonts w:cstheme="minorHAnsi"/>
        </w:rPr>
        <w:t xml:space="preserve">ë shërbim </w:t>
      </w:r>
      <w:r w:rsidRPr="007114AF">
        <w:t>publik.</w:t>
      </w:r>
    </w:p>
    <w:p w14:paraId="6EDCFE17" w14:textId="45FEC0D5" w:rsidR="00A9766F" w:rsidRPr="007114AF" w:rsidRDefault="00A9766F" w:rsidP="00206985">
      <w:pPr>
        <w:pStyle w:val="TEKSTI"/>
      </w:pPr>
      <w:r w:rsidRPr="007114AF">
        <w:t>Sipas projektligjit, Politikat e Zhvillimit t</w:t>
      </w:r>
      <w:r w:rsidRPr="007114AF">
        <w:rPr>
          <w:rFonts w:cstheme="minorHAnsi"/>
        </w:rPr>
        <w:t xml:space="preserve">ë </w:t>
      </w:r>
      <w:r w:rsidRPr="007114AF">
        <w:t>Pyjeve do t</w:t>
      </w:r>
      <w:r w:rsidRPr="007114AF">
        <w:rPr>
          <w:rFonts w:cstheme="minorHAnsi"/>
        </w:rPr>
        <w:t xml:space="preserve">ë përfaqësojnë objektivat, prioritetet dhe udhëzimet kryesore afatgjata dhe zhvillimin e qëndrueshëm të pyjeve, të cilat duhet të zbatohen në një periudhë afatgjatë të </w:t>
      </w:r>
      <w:r w:rsidRPr="007114AF">
        <w:rPr>
          <w:b/>
        </w:rPr>
        <w:t>Strategjis</w:t>
      </w:r>
      <w:r w:rsidRPr="007114AF">
        <w:rPr>
          <w:rFonts w:cstheme="minorHAnsi"/>
          <w:b/>
        </w:rPr>
        <w:t>ë së Zhvillimit të Pyjeve dhe Kullotave</w:t>
      </w:r>
      <w:r w:rsidRPr="007114AF">
        <w:t>, e cila duhet t</w:t>
      </w:r>
      <w:r w:rsidRPr="007114AF">
        <w:rPr>
          <w:rFonts w:cstheme="minorHAnsi"/>
        </w:rPr>
        <w:t>ë përcaktojë qëllimet dhe objektivat strategjikë që duhen zbatuar në periudhën afatgjatë</w:t>
      </w:r>
      <w:r w:rsidRPr="007114AF">
        <w:t>, n</w:t>
      </w:r>
      <w:r w:rsidRPr="007114AF">
        <w:rPr>
          <w:rFonts w:cstheme="minorHAnsi"/>
        </w:rPr>
        <w:t>ë përputhje me detyrimet që rrjedhin nga konventat, marrëveshjet, protokollet ndërkombëtare dhe nga politikat dhe strategjitë e sektorëve të tjerë</w:t>
      </w:r>
      <w:r w:rsidRPr="007114AF">
        <w:t>. P</w:t>
      </w:r>
      <w:r w:rsidRPr="007114AF">
        <w:rPr>
          <w:rFonts w:cstheme="minorHAnsi"/>
        </w:rPr>
        <w:t xml:space="preserve">ër zbatimin e Strategjisë së Pyjeve dhe Kullotave, do të hartohet një </w:t>
      </w:r>
      <w:r w:rsidRPr="007114AF">
        <w:rPr>
          <w:b/>
        </w:rPr>
        <w:t>Program Komb</w:t>
      </w:r>
      <w:r w:rsidRPr="007114AF">
        <w:rPr>
          <w:rFonts w:cstheme="minorHAnsi"/>
          <w:b/>
        </w:rPr>
        <w:t>ëtar i Pyjeve dhe Kullotave</w:t>
      </w:r>
      <w:r w:rsidRPr="007114AF">
        <w:t xml:space="preserve"> p</w:t>
      </w:r>
      <w:r w:rsidRPr="007114AF">
        <w:rPr>
          <w:rFonts w:cstheme="minorHAnsi"/>
        </w:rPr>
        <w:t xml:space="preserve">ër një periudhë </w:t>
      </w:r>
      <w:r w:rsidRPr="007114AF">
        <w:t>10-vje</w:t>
      </w:r>
      <w:r w:rsidRPr="007114AF">
        <w:rPr>
          <w:rFonts w:cstheme="minorHAnsi"/>
        </w:rPr>
        <w:t>ç</w:t>
      </w:r>
      <w:r w:rsidRPr="007114AF">
        <w:t>are, duke ofruar veprime, buxhet, afate konkrete dhe detyra p</w:t>
      </w:r>
      <w:r w:rsidRPr="007114AF">
        <w:rPr>
          <w:rFonts w:cstheme="minorHAnsi"/>
        </w:rPr>
        <w:t>ërkatëse për institucionet e përfshira në zbatimin e tij në nivel qendror, rajonal dhe vendor, për një administrim të qëndrueshëm të pyjeve dhe kullotave, me qëllim sigurimin e përdorimit shumë</w:t>
      </w:r>
      <w:r w:rsidRPr="007114AF">
        <w:t>funksional</w:t>
      </w:r>
      <w:r w:rsidR="009250F2">
        <w:t xml:space="preserve"> </w:t>
      </w:r>
      <w:r w:rsidRPr="007114AF">
        <w:t>t</w:t>
      </w:r>
      <w:r w:rsidRPr="007114AF">
        <w:rPr>
          <w:rFonts w:cstheme="minorHAnsi"/>
        </w:rPr>
        <w:t>ë pyjeve dhe kullotave</w:t>
      </w:r>
      <w:r w:rsidRPr="007114AF">
        <w:t>.</w:t>
      </w:r>
    </w:p>
    <w:p w14:paraId="6EDCFE18" w14:textId="77777777" w:rsidR="00A9766F" w:rsidRPr="007114AF" w:rsidRDefault="00A9766F" w:rsidP="00206985">
      <w:pPr>
        <w:pStyle w:val="TEKSTI"/>
      </w:pPr>
      <w:r w:rsidRPr="007114AF">
        <w:t>Ligji ndalon shum</w:t>
      </w:r>
      <w:r w:rsidRPr="007114AF">
        <w:rPr>
          <w:rFonts w:cstheme="minorHAnsi"/>
        </w:rPr>
        <w:t xml:space="preserve">ë aktivitete, të tilla si ai i prerjes në mënyrë </w:t>
      </w:r>
      <w:r w:rsidRPr="007114AF">
        <w:t>të paligjshme të pyjeve, i cili aktualisht shkakton nj</w:t>
      </w:r>
      <w:r w:rsidRPr="007114AF">
        <w:rPr>
          <w:rFonts w:cstheme="minorHAnsi"/>
        </w:rPr>
        <w:t xml:space="preserve">ë problem konkret të uljes së stokut të karbonit nga pyjet në Shqipëri, dhe aktivitete të tjera të paautorizuara, të paparashikuara nga </w:t>
      </w:r>
      <w:r w:rsidRPr="007114AF">
        <w:rPr>
          <w:b/>
        </w:rPr>
        <w:t xml:space="preserve">plani i administrimit </w:t>
      </w:r>
      <w:r w:rsidRPr="007114AF">
        <w:t>t</w:t>
      </w:r>
      <w:r w:rsidRPr="007114AF">
        <w:rPr>
          <w:rFonts w:cstheme="minorHAnsi"/>
        </w:rPr>
        <w:t>ë secilit pyll</w:t>
      </w:r>
      <w:r w:rsidRPr="007114AF">
        <w:t>, i cilido t</w:t>
      </w:r>
      <w:r w:rsidRPr="007114AF">
        <w:rPr>
          <w:rFonts w:cstheme="minorHAnsi"/>
        </w:rPr>
        <w:t>ë jetë një dokument zyrtar dhe instrument qeverisës i zhvillimit dhe mbrojtjes së pyjeve dhe kullotave</w:t>
      </w:r>
      <w:r w:rsidRPr="007114AF">
        <w:t>, i vlefsh</w:t>
      </w:r>
      <w:r w:rsidRPr="007114AF">
        <w:rPr>
          <w:rFonts w:cstheme="minorHAnsi"/>
        </w:rPr>
        <w:t>ëm për një periudhë dhjetëvjeçare</w:t>
      </w:r>
      <w:r w:rsidRPr="007114AF">
        <w:t>.</w:t>
      </w:r>
    </w:p>
    <w:p w14:paraId="6EDCFE19" w14:textId="77777777" w:rsidR="00A9766F" w:rsidRPr="007114AF" w:rsidRDefault="00A9766F" w:rsidP="00206985">
      <w:pPr>
        <w:pStyle w:val="TEKSTI"/>
      </w:pPr>
      <w:r w:rsidRPr="007114AF">
        <w:t>Nj</w:t>
      </w:r>
      <w:r w:rsidRPr="007114AF">
        <w:rPr>
          <w:rFonts w:cstheme="minorHAnsi"/>
        </w:rPr>
        <w:t xml:space="preserve">ë tjetër aspekt i rëndësishëm i projektligjit është organizimi i </w:t>
      </w:r>
      <w:r w:rsidRPr="007114AF">
        <w:rPr>
          <w:b/>
        </w:rPr>
        <w:t>Kadastr</w:t>
      </w:r>
      <w:r w:rsidRPr="007114AF">
        <w:rPr>
          <w:rFonts w:cstheme="minorHAnsi"/>
          <w:b/>
        </w:rPr>
        <w:t xml:space="preserve">ës Kombëtare të Pyjeve dhe Kullotave, </w:t>
      </w:r>
      <w:r w:rsidRPr="007114AF">
        <w:t>që do t</w:t>
      </w:r>
      <w:r w:rsidRPr="007114AF">
        <w:rPr>
          <w:rFonts w:cstheme="minorHAnsi"/>
        </w:rPr>
        <w:t>ë bashkojë sistemin e informacionit të pyjeve dhe kullotave, duke përfaqësuar regjistrin zyrtar dhe bazën e të dhënave, duke regjistruar tërësinë e informacionit të nevojshëm për administrimin dhe qeverisjen e fondit kombëtar të pyjeve dhe kullotave</w:t>
      </w:r>
      <w:r w:rsidRPr="007114AF">
        <w:t>, t</w:t>
      </w:r>
      <w:r w:rsidRPr="007114AF">
        <w:rPr>
          <w:rFonts w:cstheme="minorHAnsi"/>
        </w:rPr>
        <w:t xml:space="preserve">ë shoqëruar nga Sistemi i Informacionit Strategjik </w:t>
      </w:r>
      <w:r w:rsidRPr="007114AF">
        <w:t>(GIS). Ligji nxit</w:t>
      </w:r>
      <w:r w:rsidRPr="007114AF">
        <w:rPr>
          <w:rFonts w:cstheme="minorHAnsi"/>
        </w:rPr>
        <w:t xml:space="preserve"> gjithashtu, parandalimin e zjarreve dhe krijimin e Regjistrit të Zjarreve</w:t>
      </w:r>
      <w:r w:rsidRPr="007114AF">
        <w:t>.</w:t>
      </w:r>
    </w:p>
    <w:p w14:paraId="6EDCFE1A" w14:textId="77777777" w:rsidR="00A9766F" w:rsidRPr="007114AF" w:rsidRDefault="00A9766F" w:rsidP="00206985">
      <w:pPr>
        <w:pStyle w:val="TEKSTI"/>
      </w:pPr>
      <w:r w:rsidRPr="007114AF">
        <w:t>P</w:t>
      </w:r>
      <w:r w:rsidRPr="007114AF">
        <w:rPr>
          <w:rFonts w:cstheme="minorHAnsi"/>
        </w:rPr>
        <w:t>ër më tepër</w:t>
      </w:r>
      <w:r w:rsidRPr="007114AF">
        <w:t>, mbledhja e t</w:t>
      </w:r>
      <w:r w:rsidRPr="007114AF">
        <w:rPr>
          <w:rFonts w:cstheme="minorHAnsi"/>
        </w:rPr>
        <w:t>ë dhënave mbi pyjet shqiptare</w:t>
      </w:r>
      <w:r w:rsidRPr="007114AF">
        <w:t>, shum</w:t>
      </w:r>
      <w:r w:rsidRPr="007114AF">
        <w:rPr>
          <w:rFonts w:cstheme="minorHAnsi"/>
        </w:rPr>
        <w:t xml:space="preserve">ë e dobishme për të lejuar një vlerësim të saktë të sektorit edhe në terma të përafërta të tendencave </w:t>
      </w:r>
      <w:r w:rsidRPr="007114AF">
        <w:t>GES nga LUCFF-ja, p</w:t>
      </w:r>
      <w:r w:rsidRPr="007114AF">
        <w:rPr>
          <w:rFonts w:cstheme="minorHAnsi"/>
        </w:rPr>
        <w:t>ërcaktohet</w:t>
      </w:r>
      <w:r w:rsidRPr="007114AF">
        <w:t xml:space="preserve"> nga Inventari Komb</w:t>
      </w:r>
      <w:r w:rsidRPr="007114AF">
        <w:rPr>
          <w:rFonts w:cstheme="minorHAnsi"/>
        </w:rPr>
        <w:t>ëtar i Pyjeve dhe Kullotave</w:t>
      </w:r>
      <w:r w:rsidRPr="007114AF">
        <w:t>, që do t</w:t>
      </w:r>
      <w:r w:rsidRPr="007114AF">
        <w:rPr>
          <w:rFonts w:cstheme="minorHAnsi"/>
        </w:rPr>
        <w:t xml:space="preserve">ë përditësohet nga </w:t>
      </w:r>
      <w:r w:rsidRPr="007114AF">
        <w:t>ministria t</w:t>
      </w:r>
      <w:r w:rsidRPr="007114AF">
        <w:rPr>
          <w:rFonts w:cstheme="minorHAnsi"/>
        </w:rPr>
        <w:t>ë paktën një herë në dhjetë vjet</w:t>
      </w:r>
      <w:r w:rsidR="00D43DF3" w:rsidRPr="007114AF">
        <w:t xml:space="preserve">. </w:t>
      </w:r>
    </w:p>
    <w:p w14:paraId="6EDCFE1B" w14:textId="77777777" w:rsidR="00A9766F" w:rsidRPr="007114AF" w:rsidRDefault="00A9766F" w:rsidP="00206985">
      <w:pPr>
        <w:pStyle w:val="TEKSTI"/>
      </w:pPr>
      <w:r w:rsidRPr="007114AF">
        <w:t>Zbatimi dhe hyrja n</w:t>
      </w:r>
      <w:r w:rsidRPr="007114AF">
        <w:rPr>
          <w:rFonts w:cstheme="minorHAnsi"/>
        </w:rPr>
        <w:t>ë fuqi e këtij projektligji është shumë e rëndësishme për të siguruar zhvillimin e qëndrueshëm të sektorit pyjor, veçanërisht duke pasur parasysh përdorimin e drurit, si një burim alternativ energjie për të zëvendësuar lëndët e djegshme fosile</w:t>
      </w:r>
      <w:r w:rsidRPr="007114AF">
        <w:t>. Vet</w:t>
      </w:r>
      <w:r w:rsidRPr="007114AF">
        <w:rPr>
          <w:rFonts w:cstheme="minorHAnsi"/>
        </w:rPr>
        <w:t>ëm duke iu bindur rregullave të rrepta për administrimin e qëndrueshëm të pyjeve, do të jetë i mundur kthimi i sektorit shqiptar të L</w:t>
      </w:r>
      <w:r w:rsidRPr="007114AF">
        <w:t>CF-ës, nga nj</w:t>
      </w:r>
      <w:r w:rsidRPr="007114AF">
        <w:rPr>
          <w:rFonts w:cstheme="minorHAnsi"/>
        </w:rPr>
        <w:t>ë sektor shkarkimi në një depozitë pozitive e sekuestrimit të karbonit</w:t>
      </w:r>
      <w:r w:rsidRPr="007114AF">
        <w:t>, duke sjell</w:t>
      </w:r>
      <w:r w:rsidRPr="007114AF">
        <w:rPr>
          <w:rFonts w:cstheme="minorHAnsi"/>
        </w:rPr>
        <w:t>ë një kontribut konkret në zbutjen e ndryshimeve klimatike</w:t>
      </w:r>
      <w:r w:rsidRPr="007114AF">
        <w:t>.</w:t>
      </w:r>
    </w:p>
    <w:p w14:paraId="6EDCFE1C" w14:textId="77777777" w:rsidR="00A9766F" w:rsidRPr="007114AF" w:rsidRDefault="00A9766F" w:rsidP="00206985">
      <w:pPr>
        <w:pStyle w:val="TEKSTI"/>
        <w:rPr>
          <w:b/>
          <w:i/>
          <w:u w:val="single"/>
        </w:rPr>
      </w:pPr>
      <w:r w:rsidRPr="007114AF">
        <w:rPr>
          <w:b/>
          <w:i/>
          <w:u w:val="single"/>
        </w:rPr>
        <w:t>Dokumenti i Politikave Strategjike për Mbrojtjen e Biodiversitetit (DPSMB)</w:t>
      </w:r>
    </w:p>
    <w:p w14:paraId="6EDCFE1D" w14:textId="77777777" w:rsidR="00A9766F" w:rsidRPr="007114AF" w:rsidRDefault="00A9766F" w:rsidP="00206985">
      <w:pPr>
        <w:pStyle w:val="TEKSTI"/>
        <w:rPr>
          <w:i/>
        </w:rPr>
      </w:pPr>
      <w:r w:rsidRPr="007114AF">
        <w:rPr>
          <w:i/>
        </w:rPr>
        <w:t xml:space="preserve">Vlefshmëria: 2016-2020 </w:t>
      </w:r>
    </w:p>
    <w:p w14:paraId="6EDCFE1E" w14:textId="77777777" w:rsidR="00A9766F" w:rsidRPr="007114AF" w:rsidRDefault="00A9766F" w:rsidP="00206985">
      <w:pPr>
        <w:pStyle w:val="TEKSTI"/>
      </w:pPr>
      <w:r w:rsidRPr="007114AF">
        <w:t>Objektivat kryesore t</w:t>
      </w:r>
      <w:r w:rsidRPr="007114AF">
        <w:rPr>
          <w:rFonts w:cstheme="minorHAnsi"/>
        </w:rPr>
        <w:t xml:space="preserve">ë Dokumentit të Politikave Strategjike për Mbrojtjen e Biodiversitetit </w:t>
      </w:r>
      <w:r w:rsidRPr="007114AF">
        <w:t>(DPSMB) jan</w:t>
      </w:r>
      <w:r w:rsidRPr="007114AF">
        <w:rPr>
          <w:rFonts w:cstheme="minorHAnsi"/>
        </w:rPr>
        <w:t>ë</w:t>
      </w:r>
      <w:r w:rsidRPr="007114AF">
        <w:t>: rritja e sip</w:t>
      </w:r>
      <w:r w:rsidRPr="007114AF">
        <w:rPr>
          <w:rFonts w:cstheme="minorHAnsi"/>
        </w:rPr>
        <w:t>ërfaqes së zonave të mbrojtura</w:t>
      </w:r>
      <w:r w:rsidRPr="007114AF">
        <w:t>; hartimi dhe zbatimi i planeve t</w:t>
      </w:r>
      <w:r w:rsidRPr="007114AF">
        <w:rPr>
          <w:rFonts w:cstheme="minorHAnsi"/>
        </w:rPr>
        <w:t>ë administrimit</w:t>
      </w:r>
      <w:r w:rsidRPr="007114AF">
        <w:t>; plot</w:t>
      </w:r>
      <w:r w:rsidRPr="007114AF">
        <w:rPr>
          <w:rFonts w:cstheme="minorHAnsi"/>
        </w:rPr>
        <w:t xml:space="preserve">ësimi i kuadrit ligjor në përputhje me </w:t>
      </w:r>
      <w:r w:rsidRPr="007114AF">
        <w:rPr>
          <w:i/>
        </w:rPr>
        <w:t>acquis</w:t>
      </w:r>
      <w:r w:rsidRPr="007114AF">
        <w:t xml:space="preserve"> e BE-së mbi natyr</w:t>
      </w:r>
      <w:r w:rsidRPr="007114AF">
        <w:rPr>
          <w:rFonts w:cstheme="minorHAnsi"/>
        </w:rPr>
        <w:t>ën dhe mjedisin</w:t>
      </w:r>
      <w:r w:rsidRPr="007114AF">
        <w:t>; eliminimi i prerjeve dhe gjuetis</w:t>
      </w:r>
      <w:r w:rsidRPr="007114AF">
        <w:rPr>
          <w:rFonts w:cstheme="minorHAnsi"/>
        </w:rPr>
        <w:t>ë së jashtëligjshme</w:t>
      </w:r>
      <w:r w:rsidRPr="007114AF">
        <w:t>, duke zbatuar kuadrin ligjor dhe aktivitetet q</w:t>
      </w:r>
      <w:r w:rsidRPr="007114AF">
        <w:rPr>
          <w:rFonts w:cstheme="minorHAnsi"/>
        </w:rPr>
        <w:t>ë shërbejnë për rritjen e kapaciteteve dhe së fundi</w:t>
      </w:r>
      <w:r w:rsidRPr="007114AF">
        <w:t>, zbatimi i planeve t</w:t>
      </w:r>
      <w:r w:rsidRPr="007114AF">
        <w:rPr>
          <w:rFonts w:cstheme="minorHAnsi"/>
        </w:rPr>
        <w:t>ë veprimit për mbrojtjen e specieve dhe habitateve të rrezikuara</w:t>
      </w:r>
      <w:r w:rsidRPr="007114AF">
        <w:t xml:space="preserve">. </w:t>
      </w:r>
    </w:p>
    <w:p w14:paraId="6EDCFE1F" w14:textId="21AAC0EC" w:rsidR="00A9766F" w:rsidRPr="007114AF" w:rsidRDefault="00A9766F" w:rsidP="00206985">
      <w:pPr>
        <w:pStyle w:val="TEKSTI"/>
      </w:pPr>
      <w:r w:rsidRPr="007114AF">
        <w:rPr>
          <w:rFonts w:cstheme="minorHAnsi"/>
        </w:rPr>
        <w:t>Është përpiluar një listë masash, në mënyrë që të arrihen objektivat specifik</w:t>
      </w:r>
      <w:r w:rsidR="00163F78">
        <w:rPr>
          <w:rFonts w:cstheme="minorHAnsi"/>
        </w:rPr>
        <w:t>ë</w:t>
      </w:r>
      <w:r w:rsidRPr="007114AF">
        <w:rPr>
          <w:rFonts w:cstheme="minorHAnsi"/>
        </w:rPr>
        <w:t xml:space="preserve"> të mëposhtëm</w:t>
      </w:r>
      <w:r w:rsidRPr="007114AF">
        <w:t>:</w:t>
      </w:r>
    </w:p>
    <w:p w14:paraId="6EDCFE20" w14:textId="6DE0D34D" w:rsidR="00A9766F" w:rsidRPr="007114AF" w:rsidRDefault="00721B1B" w:rsidP="00206985">
      <w:pPr>
        <w:pStyle w:val="TEKSTI"/>
      </w:pPr>
      <w:r w:rsidRPr="007114AF">
        <w:t xml:space="preserve">- </w:t>
      </w:r>
      <w:r w:rsidR="00A9766F" w:rsidRPr="007114AF">
        <w:t>Deri n</w:t>
      </w:r>
      <w:r w:rsidR="00A9766F" w:rsidRPr="007114AF">
        <w:rPr>
          <w:rFonts w:cstheme="minorHAnsi"/>
        </w:rPr>
        <w:t>ë vitin 2</w:t>
      </w:r>
      <w:r w:rsidR="00A9766F" w:rsidRPr="007114AF">
        <w:t>020 -</w:t>
      </w:r>
      <w:r w:rsidR="000A2A01" w:rsidRPr="007114AF">
        <w:t xml:space="preserve"> </w:t>
      </w:r>
      <w:r w:rsidR="00A9766F" w:rsidRPr="007114AF">
        <w:t>t</w:t>
      </w:r>
      <w:r w:rsidR="00A9766F" w:rsidRPr="007114AF">
        <w:rPr>
          <w:rFonts w:cstheme="minorHAnsi"/>
        </w:rPr>
        <w:t xml:space="preserve">ë sigurohet harmonizimi dhe zbatimi i </w:t>
      </w:r>
      <w:r w:rsidR="00A9766F" w:rsidRPr="007114AF">
        <w:rPr>
          <w:i/>
        </w:rPr>
        <w:t>acquis</w:t>
      </w:r>
      <w:r w:rsidR="00A9766F" w:rsidRPr="007114AF">
        <w:t>të BE-së n</w:t>
      </w:r>
      <w:r w:rsidR="00A9766F" w:rsidRPr="007114AF">
        <w:rPr>
          <w:rFonts w:cstheme="minorHAnsi"/>
        </w:rPr>
        <w:t>ë fushën e mbrojtjes së natyrës</w:t>
      </w:r>
      <w:r w:rsidR="00A9766F" w:rsidRPr="007114AF">
        <w:t>.</w:t>
      </w:r>
    </w:p>
    <w:p w14:paraId="6EDCFE21" w14:textId="77777777" w:rsidR="00A9766F" w:rsidRPr="007114AF" w:rsidRDefault="00721B1B" w:rsidP="00206985">
      <w:pPr>
        <w:pStyle w:val="TEKSTI"/>
      </w:pPr>
      <w:r w:rsidRPr="007114AF">
        <w:t xml:space="preserve">- </w:t>
      </w:r>
      <w:r w:rsidR="00A9766F" w:rsidRPr="007114AF">
        <w:t>Deri n</w:t>
      </w:r>
      <w:r w:rsidR="00A9766F" w:rsidRPr="007114AF">
        <w:rPr>
          <w:rFonts w:cstheme="minorHAnsi"/>
        </w:rPr>
        <w:t xml:space="preserve">ë vitin </w:t>
      </w:r>
      <w:r w:rsidR="00A9766F" w:rsidRPr="007114AF">
        <w:t>2015 - t</w:t>
      </w:r>
      <w:r w:rsidR="00A9766F" w:rsidRPr="007114AF">
        <w:rPr>
          <w:rFonts w:cstheme="minorHAnsi"/>
        </w:rPr>
        <w:t>ë miratohet rishikimi i dokumentit</w:t>
      </w:r>
      <w:r w:rsidR="00A9766F" w:rsidRPr="007114AF">
        <w:t xml:space="preserve"> strategjik mbi biodiversitetin (DPSMB) </w:t>
      </w:r>
      <w:r w:rsidR="00A9766F" w:rsidRPr="007114AF">
        <w:rPr>
          <w:rFonts w:cstheme="minorHAnsi"/>
        </w:rPr>
        <w:t>në përputhje me objektivin</w:t>
      </w:r>
      <w:r w:rsidR="00A9766F" w:rsidRPr="007114AF">
        <w:t xml:space="preserve"> Aichi 17</w:t>
      </w:r>
      <w:r w:rsidR="00A9766F" w:rsidRPr="007114AF">
        <w:rPr>
          <w:rStyle w:val="FootnoteReference"/>
        </w:rPr>
        <w:footnoteReference w:id="51"/>
      </w:r>
      <w:r w:rsidR="00A9766F" w:rsidRPr="007114AF">
        <w:t>.</w:t>
      </w:r>
    </w:p>
    <w:p w14:paraId="6EDCFE22" w14:textId="458CDFAE" w:rsidR="00A9766F" w:rsidRPr="007114AF" w:rsidRDefault="00721B1B" w:rsidP="00206985">
      <w:pPr>
        <w:pStyle w:val="TEKSTI"/>
      </w:pPr>
      <w:r w:rsidRPr="007114AF">
        <w:t xml:space="preserve">- </w:t>
      </w:r>
      <w:r w:rsidR="00A9766F" w:rsidRPr="007114AF">
        <w:t>Deri n</w:t>
      </w:r>
      <w:r w:rsidR="00A9766F" w:rsidRPr="007114AF">
        <w:rPr>
          <w:rFonts w:cstheme="minorHAnsi"/>
        </w:rPr>
        <w:t xml:space="preserve">ë vitin </w:t>
      </w:r>
      <w:r w:rsidR="00A9766F" w:rsidRPr="007114AF">
        <w:t>2020 - t</w:t>
      </w:r>
      <w:r w:rsidR="00A9766F" w:rsidRPr="007114AF">
        <w:rPr>
          <w:rFonts w:cstheme="minorHAnsi"/>
        </w:rPr>
        <w:t>ë përcaktohet një objektiv konservimi në masën</w:t>
      </w:r>
      <w:r w:rsidR="00A9766F" w:rsidRPr="007114AF">
        <w:t xml:space="preserve"> 17% t</w:t>
      </w:r>
      <w:r w:rsidR="00A9766F" w:rsidRPr="007114AF">
        <w:rPr>
          <w:rFonts w:cstheme="minorHAnsi"/>
        </w:rPr>
        <w:t xml:space="preserve">ë zonave tokësore dhe ujore dhe </w:t>
      </w:r>
      <w:r w:rsidR="00A9766F" w:rsidRPr="007114AF">
        <w:t>5% t</w:t>
      </w:r>
      <w:r w:rsidR="00A9766F" w:rsidRPr="007114AF">
        <w:rPr>
          <w:rFonts w:cstheme="minorHAnsi"/>
        </w:rPr>
        <w:t>ë zonave detare bregdetare</w:t>
      </w:r>
      <w:r w:rsidR="00A9766F" w:rsidRPr="007114AF">
        <w:t>. Të krijohet</w:t>
      </w:r>
      <w:r w:rsidR="000A2A01" w:rsidRPr="007114AF">
        <w:t xml:space="preserve"> </w:t>
      </w:r>
      <w:r w:rsidR="00A9766F" w:rsidRPr="007114AF">
        <w:t>Rrjeti Ekologjik Komb</w:t>
      </w:r>
      <w:r w:rsidR="00A9766F" w:rsidRPr="007114AF">
        <w:rPr>
          <w:rFonts w:cstheme="minorHAnsi"/>
        </w:rPr>
        <w:t>ëtar i Shqipërisë</w:t>
      </w:r>
      <w:r w:rsidR="00A9766F" w:rsidRPr="007114AF">
        <w:t>, si nj</w:t>
      </w:r>
      <w:r w:rsidR="00A9766F" w:rsidRPr="007114AF">
        <w:rPr>
          <w:rFonts w:cstheme="minorHAnsi"/>
        </w:rPr>
        <w:t>ë pjesë përbërëse e Rrjetit Ekologji</w:t>
      </w:r>
      <w:r w:rsidR="00A9766F" w:rsidRPr="007114AF">
        <w:t>k Panevropian (PEEN) – n</w:t>
      </w:r>
      <w:r w:rsidR="00A9766F" w:rsidRPr="007114AF">
        <w:rPr>
          <w:rFonts w:cstheme="minorHAnsi"/>
        </w:rPr>
        <w:t xml:space="preserve">ë përputhje me objektivin e </w:t>
      </w:r>
      <w:r w:rsidR="00A9766F" w:rsidRPr="007114AF">
        <w:t>Aichi 11.</w:t>
      </w:r>
    </w:p>
    <w:p w14:paraId="6EDCFE23" w14:textId="77777777" w:rsidR="00A9766F" w:rsidRPr="007114AF" w:rsidRDefault="00721B1B" w:rsidP="00206985">
      <w:pPr>
        <w:pStyle w:val="TEKSTI"/>
      </w:pPr>
      <w:r w:rsidRPr="007114AF">
        <w:t xml:space="preserve">- </w:t>
      </w:r>
      <w:r w:rsidR="00A9766F" w:rsidRPr="007114AF">
        <w:t>T</w:t>
      </w:r>
      <w:r w:rsidR="00A9766F" w:rsidRPr="007114AF">
        <w:rPr>
          <w:rFonts w:cstheme="minorHAnsi"/>
        </w:rPr>
        <w:t xml:space="preserve">ë rimëkëmben të paktën </w:t>
      </w:r>
      <w:r w:rsidR="00A9766F" w:rsidRPr="007114AF">
        <w:t>15% e zonave t</w:t>
      </w:r>
      <w:r w:rsidR="00A9766F" w:rsidRPr="007114AF">
        <w:rPr>
          <w:rFonts w:cstheme="minorHAnsi"/>
        </w:rPr>
        <w:t>ë degraduara, përmes aktiviteteve të konservimit dhe përtëritjes</w:t>
      </w:r>
      <w:r w:rsidR="00A9766F" w:rsidRPr="007114AF">
        <w:t xml:space="preserve"> – n</w:t>
      </w:r>
      <w:r w:rsidR="00A9766F" w:rsidRPr="007114AF">
        <w:rPr>
          <w:rFonts w:cstheme="minorHAnsi"/>
        </w:rPr>
        <w:t>ë përputhje me objektivat e biodiversitetit</w:t>
      </w:r>
      <w:r w:rsidR="00A9766F" w:rsidRPr="007114AF">
        <w:t xml:space="preserve"> Aichi – ky veprim do t</w:t>
      </w:r>
      <w:r w:rsidR="00A9766F" w:rsidRPr="007114AF">
        <w:rPr>
          <w:rFonts w:cstheme="minorHAnsi"/>
        </w:rPr>
        <w:t xml:space="preserve">ë arrihet përmes zbatimit të planeve të administrimit </w:t>
      </w:r>
      <w:r w:rsidR="00A9766F" w:rsidRPr="007114AF">
        <w:t>p</w:t>
      </w:r>
      <w:r w:rsidR="00A9766F" w:rsidRPr="007114AF">
        <w:rPr>
          <w:rFonts w:cstheme="minorHAnsi"/>
        </w:rPr>
        <w:t>ër zonat e mbrojtura dhe zbatimit të planeve të veprimit për specie dhe habitate në veçanti</w:t>
      </w:r>
      <w:r w:rsidR="00A9766F" w:rsidRPr="007114AF">
        <w:t>.</w:t>
      </w:r>
    </w:p>
    <w:p w14:paraId="6EDCFE24" w14:textId="2EB7EE5C" w:rsidR="00A9766F" w:rsidRPr="007114AF" w:rsidRDefault="00A9766F" w:rsidP="00206985">
      <w:pPr>
        <w:pStyle w:val="TEKSTI"/>
      </w:pPr>
      <w:r w:rsidRPr="007114AF">
        <w:t>P</w:t>
      </w:r>
      <w:r w:rsidRPr="007114AF">
        <w:rPr>
          <w:rFonts w:cstheme="minorHAnsi"/>
        </w:rPr>
        <w:t>ër t</w:t>
      </w:r>
      <w:r w:rsidR="00D10DAB" w:rsidRPr="007114AF">
        <w:rPr>
          <w:rFonts w:cstheme="minorHAnsi"/>
        </w:rPr>
        <w:t>’</w:t>
      </w:r>
      <w:r w:rsidRPr="007114AF">
        <w:rPr>
          <w:rFonts w:cstheme="minorHAnsi"/>
        </w:rPr>
        <w:t>i përmbushur objektivat e identifikuar</w:t>
      </w:r>
      <w:r w:rsidRPr="007114AF">
        <w:t xml:space="preserve">, </w:t>
      </w:r>
      <w:r w:rsidRPr="007114AF">
        <w:rPr>
          <w:rFonts w:cstheme="minorHAnsi"/>
        </w:rPr>
        <w:t xml:space="preserve">është hartuar </w:t>
      </w:r>
      <w:r w:rsidRPr="007114AF">
        <w:t>Plani Komb</w:t>
      </w:r>
      <w:r w:rsidRPr="007114AF">
        <w:rPr>
          <w:rFonts w:cstheme="minorHAnsi"/>
        </w:rPr>
        <w:t>ëtar i Veprimit, që</w:t>
      </w:r>
      <w:r w:rsidR="000A2A01" w:rsidRPr="007114AF">
        <w:rPr>
          <w:rFonts w:cstheme="minorHAnsi"/>
        </w:rPr>
        <w:t xml:space="preserve"> </w:t>
      </w:r>
      <w:r w:rsidRPr="007114AF">
        <w:rPr>
          <w:rFonts w:cstheme="minorHAnsi"/>
        </w:rPr>
        <w:t>shërben si një udhërrëfyes për zbatimin e kësaj strategjie sektoriale, me masa dhe afate konkrete. Për më tepër, janë identifikuar dhe treguesit e monitorimit</w:t>
      </w:r>
      <w:r w:rsidRPr="007114AF">
        <w:t>.</w:t>
      </w:r>
    </w:p>
    <w:p w14:paraId="6EDCFE25" w14:textId="77777777" w:rsidR="00A9766F" w:rsidRPr="007114AF" w:rsidRDefault="00524E98" w:rsidP="00206985">
      <w:pPr>
        <w:pStyle w:val="TEKSTI"/>
        <w:rPr>
          <w:b/>
        </w:rPr>
      </w:pPr>
      <w:bookmarkStart w:id="133" w:name="_Toc484424503"/>
      <w:r w:rsidRPr="007114AF">
        <w:rPr>
          <w:b/>
        </w:rPr>
        <w:t xml:space="preserve">4.1.5 </w:t>
      </w:r>
      <w:r w:rsidR="00A9766F" w:rsidRPr="007114AF">
        <w:rPr>
          <w:b/>
        </w:rPr>
        <w:t>Sinergjitë ndërsektoriale dhe boshllëqet/mungesat</w:t>
      </w:r>
      <w:bookmarkEnd w:id="133"/>
    </w:p>
    <w:p w14:paraId="6EDCFE26" w14:textId="04AB1721" w:rsidR="00A9766F" w:rsidRPr="007114AF" w:rsidRDefault="00A9766F" w:rsidP="00206985">
      <w:pPr>
        <w:pStyle w:val="TEKSTI"/>
      </w:pPr>
      <w:r w:rsidRPr="007114AF">
        <w:t>N</w:t>
      </w:r>
      <w:r w:rsidRPr="007114AF">
        <w:rPr>
          <w:rFonts w:cstheme="minorHAnsi"/>
        </w:rPr>
        <w:t>ë bazë të analizës së mësipërme</w:t>
      </w:r>
      <w:r w:rsidRPr="007114AF">
        <w:t xml:space="preserve">, </w:t>
      </w:r>
      <w:r w:rsidRPr="007114AF">
        <w:rPr>
          <w:rFonts w:cstheme="minorHAnsi"/>
        </w:rPr>
        <w:t>janë identifikuar</w:t>
      </w:r>
      <w:r w:rsidRPr="007114AF">
        <w:t xml:space="preserve"> sinergjit</w:t>
      </w:r>
      <w:r w:rsidRPr="007114AF">
        <w:rPr>
          <w:rFonts w:cstheme="minorHAnsi"/>
        </w:rPr>
        <w:t>ë dhe boshllëqet/mungesat</w:t>
      </w:r>
      <w:r w:rsidR="009250F2">
        <w:rPr>
          <w:rFonts w:cstheme="minorHAnsi"/>
        </w:rPr>
        <w:t xml:space="preserve"> </w:t>
      </w:r>
      <w:r w:rsidRPr="007114AF">
        <w:rPr>
          <w:rFonts w:cstheme="minorHAnsi"/>
        </w:rPr>
        <w:t>kryesore në mënyrë që të dalin në pah përpjekjet e përbashkëta për arritjen e objektivave të zbutjes, dhe të analizohen</w:t>
      </w:r>
      <w:r w:rsidR="009250F2">
        <w:rPr>
          <w:rFonts w:cstheme="minorHAnsi"/>
        </w:rPr>
        <w:t xml:space="preserve"> </w:t>
      </w:r>
      <w:r w:rsidRPr="007114AF">
        <w:rPr>
          <w:rFonts w:cstheme="minorHAnsi"/>
        </w:rPr>
        <w:t>boshllëqet/mungesat dhe dobësitë e sistemit</w:t>
      </w:r>
      <w:r w:rsidRPr="007114AF">
        <w:t>, duke propozuar masa korrigjuese p</w:t>
      </w:r>
      <w:r w:rsidRPr="007114AF">
        <w:rPr>
          <w:rFonts w:cstheme="minorHAnsi"/>
        </w:rPr>
        <w:t>ër t</w:t>
      </w:r>
      <w:r w:rsidR="00D10DAB" w:rsidRPr="007114AF">
        <w:rPr>
          <w:rFonts w:cstheme="minorHAnsi"/>
        </w:rPr>
        <w:t>’</w:t>
      </w:r>
      <w:r w:rsidRPr="007114AF">
        <w:rPr>
          <w:rFonts w:cstheme="minorHAnsi"/>
        </w:rPr>
        <w:t>i adresuar ato</w:t>
      </w:r>
      <w:r w:rsidRPr="007114AF">
        <w:t>.</w:t>
      </w:r>
    </w:p>
    <w:p w14:paraId="6EDCFE27" w14:textId="7CF65522" w:rsidR="00A9766F" w:rsidRPr="007114AF" w:rsidRDefault="00A9766F" w:rsidP="00206985">
      <w:pPr>
        <w:pStyle w:val="TEKSTI"/>
      </w:pPr>
      <w:r w:rsidRPr="007114AF">
        <w:t>N</w:t>
      </w:r>
      <w:r w:rsidRPr="007114AF">
        <w:rPr>
          <w:rFonts w:cstheme="minorHAnsi"/>
        </w:rPr>
        <w:t>ë përgjithësi</w:t>
      </w:r>
      <w:r w:rsidRPr="007114AF">
        <w:t>, ekziston nj</w:t>
      </w:r>
      <w:r w:rsidRPr="007114AF">
        <w:rPr>
          <w:rFonts w:cstheme="minorHAnsi"/>
        </w:rPr>
        <w:t>ë sinergji e mirë ndërmjet masave të propozuara në nivelet sektoriale dhe ndërsektoriale të cilat mbulojnë plotësisht çështjet e zbutjes së efekteve prej ndryshimeve klimatike</w:t>
      </w:r>
      <w:r w:rsidR="009250F2">
        <w:rPr>
          <w:rFonts w:cstheme="minorHAnsi"/>
        </w:rPr>
        <w:t xml:space="preserve"> </w:t>
      </w:r>
      <w:r w:rsidRPr="007114AF">
        <w:rPr>
          <w:rFonts w:cstheme="minorHAnsi"/>
        </w:rPr>
        <w:t>në të gjithë sektorët ekonomikë</w:t>
      </w:r>
      <w:r w:rsidR="009250F2">
        <w:rPr>
          <w:rFonts w:cstheme="minorHAnsi"/>
        </w:rPr>
        <w:t xml:space="preserve"> </w:t>
      </w:r>
      <w:r w:rsidRPr="007114AF">
        <w:rPr>
          <w:rFonts w:cstheme="minorHAnsi"/>
        </w:rPr>
        <w:t>shqiptarë përkatës, që përfshijnë edhe sektorin e energjisë</w:t>
      </w:r>
      <w:r w:rsidRPr="007114AF">
        <w:t>, zhvillimit t</w:t>
      </w:r>
      <w:r w:rsidRPr="007114AF">
        <w:rPr>
          <w:rFonts w:cstheme="minorHAnsi"/>
        </w:rPr>
        <w:t xml:space="preserve">ë </w:t>
      </w:r>
      <w:r w:rsidRPr="007114AF">
        <w:t>transportit dhe planifikimit të territorit, bujq</w:t>
      </w:r>
      <w:r w:rsidRPr="007114AF">
        <w:rPr>
          <w:rFonts w:cstheme="minorHAnsi"/>
        </w:rPr>
        <w:t>ësisë dhe burimeve natyrore</w:t>
      </w:r>
      <w:r w:rsidRPr="007114AF">
        <w:t xml:space="preserve">. Vihen re disa boshllëqe/mungesa </w:t>
      </w:r>
      <w:r w:rsidRPr="007114AF">
        <w:rPr>
          <w:rFonts w:cstheme="minorHAnsi"/>
        </w:rPr>
        <w:t>dhe dobësi në të gjithë sektorët</w:t>
      </w:r>
      <w:r w:rsidR="009250F2">
        <w:rPr>
          <w:rFonts w:cstheme="minorHAnsi"/>
        </w:rPr>
        <w:t xml:space="preserve"> </w:t>
      </w:r>
      <w:r w:rsidRPr="007114AF">
        <w:rPr>
          <w:rFonts w:cstheme="minorHAnsi"/>
        </w:rPr>
        <w:t xml:space="preserve">,që duhen kapërcyer përmes masave specifike të propozuara në </w:t>
      </w:r>
      <w:r w:rsidRPr="007114AF">
        <w:t>PKVZNK-ë:</w:t>
      </w:r>
    </w:p>
    <w:p w14:paraId="6EDCFE28" w14:textId="77777777" w:rsidR="00A9766F" w:rsidRPr="007114AF" w:rsidRDefault="00721B1B" w:rsidP="00206985">
      <w:pPr>
        <w:pStyle w:val="TEKSTI"/>
      </w:pPr>
      <w:r w:rsidRPr="007114AF">
        <w:t xml:space="preserve">- </w:t>
      </w:r>
      <w:r w:rsidR="00A9766F" w:rsidRPr="007114AF">
        <w:t>mungesa e nj</w:t>
      </w:r>
      <w:r w:rsidR="00A9766F" w:rsidRPr="007114AF">
        <w:rPr>
          <w:rFonts w:cstheme="minorHAnsi"/>
        </w:rPr>
        <w:t>ë kuadri ligjor që lidhet me ndryshimet klimatike</w:t>
      </w:r>
      <w:r w:rsidR="00A9766F" w:rsidRPr="007114AF">
        <w:t>, çka pengon zbatimin e masave afatgjata dhe t</w:t>
      </w:r>
      <w:r w:rsidR="00A9766F" w:rsidRPr="007114AF">
        <w:rPr>
          <w:rFonts w:cstheme="minorHAnsi"/>
        </w:rPr>
        <w:t>ë qëndrueshme;</w:t>
      </w:r>
    </w:p>
    <w:p w14:paraId="6EDCFE29" w14:textId="77777777" w:rsidR="00A9766F" w:rsidRPr="007114AF" w:rsidRDefault="00721B1B" w:rsidP="00206985">
      <w:pPr>
        <w:pStyle w:val="TEKSTI"/>
      </w:pPr>
      <w:r w:rsidRPr="007114AF">
        <w:t xml:space="preserve">- </w:t>
      </w:r>
      <w:r w:rsidR="00A9766F" w:rsidRPr="007114AF">
        <w:t>mungesa e kapacitetit institucional p</w:t>
      </w:r>
      <w:r w:rsidR="00A9766F" w:rsidRPr="007114AF">
        <w:rPr>
          <w:rFonts w:cstheme="minorHAnsi"/>
        </w:rPr>
        <w:t xml:space="preserve">ër të vlerësuar ndikimet e ndryshimeve klimatike dhe për </w:t>
      </w:r>
      <w:r w:rsidRPr="007114AF">
        <w:rPr>
          <w:rFonts w:cstheme="minorHAnsi"/>
        </w:rPr>
        <w:t xml:space="preserve">ta </w:t>
      </w:r>
      <w:r w:rsidR="00A9766F" w:rsidRPr="007114AF">
        <w:rPr>
          <w:rFonts w:cstheme="minorHAnsi"/>
        </w:rPr>
        <w:t xml:space="preserve">zbatuar më tej këtë informacion teknik, për </w:t>
      </w:r>
      <w:r w:rsidR="00A9766F" w:rsidRPr="007114AF">
        <w:t>mobilizimin e zgjedhjeve programatike q</w:t>
      </w:r>
      <w:r w:rsidR="00A9766F" w:rsidRPr="007114AF">
        <w:rPr>
          <w:rFonts w:cstheme="minorHAnsi"/>
        </w:rPr>
        <w:t>ë kanë të bëjnë me zhvillimin e qëndrueshëm;</w:t>
      </w:r>
    </w:p>
    <w:p w14:paraId="6EDCFE2A" w14:textId="01D04DDD" w:rsidR="00A9766F" w:rsidRPr="007114AF" w:rsidRDefault="00721B1B" w:rsidP="00206985">
      <w:pPr>
        <w:pStyle w:val="TEKSTI"/>
      </w:pPr>
      <w:r w:rsidRPr="007114AF">
        <w:t xml:space="preserve">- </w:t>
      </w:r>
      <w:r w:rsidR="00A9766F" w:rsidRPr="007114AF">
        <w:t>ekziston nj</w:t>
      </w:r>
      <w:r w:rsidR="00A9766F" w:rsidRPr="007114AF">
        <w:rPr>
          <w:rFonts w:cstheme="minorHAnsi"/>
        </w:rPr>
        <w:t>ë nevojë urgjente për ngritjen e kapaciteteve dhe krijimin e bazës për t</w:t>
      </w:r>
      <w:r w:rsidR="00D10DAB" w:rsidRPr="007114AF">
        <w:rPr>
          <w:rFonts w:cstheme="minorHAnsi"/>
        </w:rPr>
        <w:t>’</w:t>
      </w:r>
      <w:r w:rsidR="00A9766F" w:rsidRPr="007114AF">
        <w:rPr>
          <w:rFonts w:cstheme="minorHAnsi"/>
        </w:rPr>
        <w:t xml:space="preserve">iu përgjigjur </w:t>
      </w:r>
      <w:r w:rsidR="00A9766F" w:rsidRPr="007114AF">
        <w:t>n</w:t>
      </w:r>
      <w:r w:rsidR="00A9766F" w:rsidRPr="007114AF">
        <w:rPr>
          <w:rFonts w:cstheme="minorHAnsi"/>
        </w:rPr>
        <w:t>ë mënyrë proaktive</w:t>
      </w:r>
      <w:r w:rsidR="00A9766F" w:rsidRPr="007114AF">
        <w:t xml:space="preserve"> nevojave p</w:t>
      </w:r>
      <w:r w:rsidR="00A9766F" w:rsidRPr="007114AF">
        <w:rPr>
          <w:rFonts w:cstheme="minorHAnsi"/>
        </w:rPr>
        <w:t>ër përshtatje ndaj ndryshimeve klimatike, veçanërisht në procesin e planifikimit</w:t>
      </w:r>
      <w:r w:rsidR="00A9766F" w:rsidRPr="007114AF">
        <w:t>.</w:t>
      </w:r>
    </w:p>
    <w:p w14:paraId="6EDCFE2B" w14:textId="77777777" w:rsidR="00A9766F" w:rsidRPr="007114AF" w:rsidRDefault="00A9766F" w:rsidP="00206985">
      <w:pPr>
        <w:pStyle w:val="TEKSTI"/>
        <w:rPr>
          <w:b/>
          <w:i/>
        </w:rPr>
      </w:pPr>
      <w:bookmarkStart w:id="134" w:name="_Toc450135246"/>
      <w:r w:rsidRPr="007114AF">
        <w:rPr>
          <w:b/>
          <w:i/>
        </w:rPr>
        <w:t>Energ</w:t>
      </w:r>
      <w:bookmarkEnd w:id="134"/>
      <w:r w:rsidRPr="007114AF">
        <w:rPr>
          <w:b/>
          <w:i/>
        </w:rPr>
        <w:t>jia</w:t>
      </w:r>
    </w:p>
    <w:p w14:paraId="6EDCFE2C" w14:textId="4E2BF563" w:rsidR="00A9766F" w:rsidRPr="007114AF" w:rsidRDefault="00A9766F" w:rsidP="00206985">
      <w:pPr>
        <w:pStyle w:val="TEKSTI"/>
        <w:rPr>
          <w:iCs/>
        </w:rPr>
      </w:pPr>
      <w:r w:rsidRPr="007114AF">
        <w:rPr>
          <w:i/>
          <w:u w:val="single"/>
        </w:rPr>
        <w:t>Sinergjit</w:t>
      </w:r>
      <w:r w:rsidRPr="007114AF">
        <w:rPr>
          <w:rFonts w:cstheme="minorHAnsi"/>
          <w:i/>
          <w:u w:val="single"/>
        </w:rPr>
        <w:t>ë dhe Pikëtakimet Ndërsektoriale</w:t>
      </w:r>
      <w:r w:rsidRPr="007114AF">
        <w:rPr>
          <w:i/>
          <w:u w:val="single"/>
        </w:rPr>
        <w:t>:</w:t>
      </w:r>
      <w:r w:rsidRPr="007114AF">
        <w:t xml:space="preserve"> Sektori i energjis</w:t>
      </w:r>
      <w:r w:rsidRPr="007114AF">
        <w:rPr>
          <w:rFonts w:cstheme="minorHAnsi"/>
        </w:rPr>
        <w:t>ë shtjellohet mirë edhe nga strategjitë dhe nga plani i analizuar, edhe pse Strategjia Kombëtare e Energjisë</w:t>
      </w:r>
      <w:r w:rsidR="00A019D2">
        <w:rPr>
          <w:rFonts w:cstheme="minorHAnsi"/>
        </w:rPr>
        <w:t xml:space="preserve"> </w:t>
      </w:r>
      <w:r w:rsidRPr="007114AF">
        <w:rPr>
          <w:rFonts w:cstheme="minorHAnsi"/>
        </w:rPr>
        <w:t>mungonte</w:t>
      </w:r>
      <w:r w:rsidRPr="007114AF">
        <w:t xml:space="preserve"> n</w:t>
      </w:r>
      <w:r w:rsidRPr="007114AF">
        <w:rPr>
          <w:rFonts w:cstheme="minorHAnsi"/>
        </w:rPr>
        <w:t>ë kohën kur u shkrua ky dokument</w:t>
      </w:r>
      <w:r w:rsidRPr="007114AF">
        <w:rPr>
          <w:iCs/>
        </w:rPr>
        <w:t>.</w:t>
      </w:r>
    </w:p>
    <w:p w14:paraId="6EDCFE2D" w14:textId="74D42A85" w:rsidR="00A9766F" w:rsidRPr="007114AF" w:rsidRDefault="00A9766F" w:rsidP="00206985">
      <w:pPr>
        <w:pStyle w:val="TEKSTI"/>
      </w:pPr>
      <w:r w:rsidRPr="007114AF">
        <w:t>Strategjit</w:t>
      </w:r>
      <w:r w:rsidRPr="007114AF">
        <w:rPr>
          <w:rFonts w:cstheme="minorHAnsi"/>
        </w:rPr>
        <w:t>ë dhe planet emarra deri tani në konsideratë për sektorin e energjisë</w:t>
      </w:r>
      <w:r w:rsidRPr="007114AF">
        <w:t>, m</w:t>
      </w:r>
      <w:r w:rsidRPr="007114AF">
        <w:rPr>
          <w:rFonts w:cstheme="minorHAnsi"/>
        </w:rPr>
        <w:t xml:space="preserve">e përjashtim të </w:t>
      </w:r>
      <w:r w:rsidRPr="007114AF">
        <w:t>NAMA-vembi mekanizmin financiar p</w:t>
      </w:r>
      <w:r w:rsidRPr="007114AF">
        <w:rPr>
          <w:rFonts w:cstheme="minorHAnsi"/>
        </w:rPr>
        <w:t>ër eficiencën e energjisë në banesa</w:t>
      </w:r>
      <w:r w:rsidRPr="007114AF">
        <w:t>, n</w:t>
      </w:r>
      <w:r w:rsidRPr="007114AF">
        <w:rPr>
          <w:rFonts w:cstheme="minorHAnsi"/>
        </w:rPr>
        <w:t>ë përgjithësi kanë një potencial të mirë për sinergji dhe karakteristika të përbashkëta me sektorë të tjerë ekonomikë, ku janë zbatuar ose mund të zbatohen masa të njëjta</w:t>
      </w:r>
      <w:r w:rsidRPr="007114AF">
        <w:t>. N</w:t>
      </w:r>
      <w:r w:rsidRPr="007114AF">
        <w:rPr>
          <w:rFonts w:cstheme="minorHAnsi"/>
        </w:rPr>
        <w:t xml:space="preserve">ë veçanti, </w:t>
      </w:r>
      <w:r w:rsidRPr="007114AF">
        <w:t>INDC-ja natyrsh</w:t>
      </w:r>
      <w:r w:rsidRPr="007114AF">
        <w:rPr>
          <w:rFonts w:cstheme="minorHAnsi"/>
        </w:rPr>
        <w:t>ëm vë në dukje përfshirjen e sektorit të transportit dhe bujqësisë</w:t>
      </w:r>
      <w:r w:rsidRPr="007114AF">
        <w:t>/pyll</w:t>
      </w:r>
      <w:r w:rsidRPr="007114AF">
        <w:rPr>
          <w:rFonts w:cstheme="minorHAnsi"/>
        </w:rPr>
        <w:t>ëzimit</w:t>
      </w:r>
      <w:r w:rsidRPr="007114AF">
        <w:t>, megjithëse</w:t>
      </w:r>
      <w:r w:rsidRPr="007114AF">
        <w:rPr>
          <w:rFonts w:cstheme="minorHAnsi"/>
        </w:rPr>
        <w:t xml:space="preserve"> shkarkimet LUCF-ë</w:t>
      </w:r>
      <w:r w:rsidRPr="007114AF">
        <w:t xml:space="preserve"> nuk jan</w:t>
      </w:r>
      <w:r w:rsidRPr="007114AF">
        <w:rPr>
          <w:rFonts w:cstheme="minorHAnsi"/>
        </w:rPr>
        <w:t>ë marrë parasysh në këtë llogaritje të objektivit</w:t>
      </w:r>
      <w:r w:rsidRPr="007114AF">
        <w:t>, edhe pse rishikimi i parashikuar që p</w:t>
      </w:r>
      <w:r w:rsidRPr="007114AF">
        <w:rPr>
          <w:rFonts w:cstheme="minorHAnsi"/>
        </w:rPr>
        <w:t xml:space="preserve">ërmendet në dokument duhet të çojë në përfshirjen e tij deri në vitin </w:t>
      </w:r>
      <w:r w:rsidRPr="007114AF">
        <w:t>2020. N</w:t>
      </w:r>
      <w:r w:rsidRPr="007114AF">
        <w:rPr>
          <w:rFonts w:cstheme="minorHAnsi"/>
        </w:rPr>
        <w:t>ë mënyrë të ngjashme</w:t>
      </w:r>
      <w:r w:rsidRPr="007114AF">
        <w:t>, PKVEE-ja ka nj</w:t>
      </w:r>
      <w:r w:rsidRPr="007114AF">
        <w:rPr>
          <w:rFonts w:cstheme="minorHAnsi"/>
        </w:rPr>
        <w:t xml:space="preserve">ë seksion mbi sektorin e transportit dhe kjo tregon nevojën për një kontroll të qëndrueshëm, kundrejt dokumenteve </w:t>
      </w:r>
      <w:r w:rsidRPr="007114AF">
        <w:t>strategjik</w:t>
      </w:r>
      <w:r w:rsidRPr="007114AF">
        <w:rPr>
          <w:rFonts w:cstheme="minorHAnsi"/>
        </w:rPr>
        <w:t>e</w:t>
      </w:r>
      <w:r w:rsidRPr="007114AF">
        <w:t xml:space="preserve"> dhe </w:t>
      </w:r>
      <w:r w:rsidRPr="007114AF">
        <w:rPr>
          <w:rFonts w:cstheme="minorHAnsi"/>
        </w:rPr>
        <w:t>planifikuese nga Ministria p</w:t>
      </w:r>
      <w:r w:rsidR="00A019D2">
        <w:rPr>
          <w:rFonts w:cstheme="minorHAnsi"/>
        </w:rPr>
        <w:t>ë</w:t>
      </w:r>
      <w:r w:rsidRPr="007114AF">
        <w:rPr>
          <w:rFonts w:cstheme="minorHAnsi"/>
        </w:rPr>
        <w:t>rgjegj</w:t>
      </w:r>
      <w:r w:rsidR="00A019D2">
        <w:rPr>
          <w:rFonts w:cstheme="minorHAnsi"/>
        </w:rPr>
        <w:t>ë</w:t>
      </w:r>
      <w:r w:rsidRPr="007114AF">
        <w:rPr>
          <w:rFonts w:cstheme="minorHAnsi"/>
        </w:rPr>
        <w:t>s p</w:t>
      </w:r>
      <w:r w:rsidR="00A019D2">
        <w:rPr>
          <w:rFonts w:cstheme="minorHAnsi"/>
        </w:rPr>
        <w:t>ë</w:t>
      </w:r>
      <w:r w:rsidRPr="007114AF">
        <w:rPr>
          <w:rFonts w:cstheme="minorHAnsi"/>
        </w:rPr>
        <w:t>r Transportin</w:t>
      </w:r>
      <w:r w:rsidRPr="007114AF">
        <w:t xml:space="preserve">. </w:t>
      </w:r>
    </w:p>
    <w:p w14:paraId="6EDCFE2E" w14:textId="77777777" w:rsidR="00A9766F" w:rsidRPr="007114AF" w:rsidRDefault="00A9766F" w:rsidP="00206985">
      <w:pPr>
        <w:pStyle w:val="TEKSTI"/>
        <w:rPr>
          <w:rFonts w:cstheme="minorHAnsi"/>
        </w:rPr>
      </w:pPr>
      <w:r w:rsidRPr="007114AF">
        <w:t>Masat q</w:t>
      </w:r>
      <w:r w:rsidRPr="007114AF">
        <w:rPr>
          <w:rFonts w:cstheme="minorHAnsi"/>
        </w:rPr>
        <w:t>ë synojnë zbutjen e ndryshimeve klimatike dhe që merren në konsiderata si në</w:t>
      </w:r>
      <w:r w:rsidRPr="007114AF">
        <w:t>SKZHI-II dhe n</w:t>
      </w:r>
      <w:r w:rsidRPr="007114AF">
        <w:rPr>
          <w:rFonts w:cstheme="minorHAnsi"/>
        </w:rPr>
        <w:t xml:space="preserve">ë </w:t>
      </w:r>
      <w:r w:rsidRPr="007114AF">
        <w:t>PKT-ë, shpesh mbivendosen me masat kryesore t</w:t>
      </w:r>
      <w:r w:rsidRPr="007114AF">
        <w:rPr>
          <w:rFonts w:cstheme="minorHAnsi"/>
        </w:rPr>
        <w:t>ë përfshira në strategjitë sektoriale dhe dokumentet për sektorët strategjikë</w:t>
      </w:r>
      <w:r w:rsidRPr="007114AF">
        <w:t xml:space="preserve"> (BER dhe PKVEE) dhe me masat q</w:t>
      </w:r>
      <w:r w:rsidRPr="007114AF">
        <w:rPr>
          <w:rFonts w:cstheme="minorHAnsi"/>
        </w:rPr>
        <w:t>ë synojnë rritjen e përdorimit të energjisë efikase dhe uljen e humbjeve të energjisë elektrike</w:t>
      </w:r>
      <w:r w:rsidRPr="007114AF">
        <w:t>.</w:t>
      </w:r>
    </w:p>
    <w:p w14:paraId="6EDCFE2F" w14:textId="0A701A32" w:rsidR="00A9766F" w:rsidRPr="007114AF" w:rsidRDefault="00A9766F" w:rsidP="00206985">
      <w:pPr>
        <w:pStyle w:val="TEKSTI"/>
      </w:pPr>
      <w:r w:rsidRPr="007114AF">
        <w:t>S</w:t>
      </w:r>
      <w:r w:rsidRPr="007114AF">
        <w:rPr>
          <w:rFonts w:cstheme="minorHAnsi"/>
        </w:rPr>
        <w:t>ë fundi, edhe propozimi shumë i përqendruar i</w:t>
      </w:r>
      <w:r w:rsidRPr="007114AF">
        <w:t>NAMA-s, mbi z</w:t>
      </w:r>
      <w:r w:rsidRPr="007114AF">
        <w:rPr>
          <w:rFonts w:cstheme="minorHAnsi"/>
        </w:rPr>
        <w:t>ëvendësimin e lëndëve djegëse fosile</w:t>
      </w:r>
      <w:r w:rsidRPr="007114AF">
        <w:t xml:space="preserve"> me mbetje jo t</w:t>
      </w:r>
      <w:r w:rsidRPr="007114AF">
        <w:rPr>
          <w:rFonts w:cstheme="minorHAnsi"/>
        </w:rPr>
        <w:t>ë rrezikshme në industrinë shqiptare të çimentos, bazohet në një sinergji të pashfrytëzuar ndërmjet këtyre dy sektorëve, dhe një sinergji e tillë mund të shtrihet</w:t>
      </w:r>
      <w:r w:rsidR="00A019D2">
        <w:rPr>
          <w:rFonts w:cstheme="minorHAnsi"/>
        </w:rPr>
        <w:t xml:space="preserve"> </w:t>
      </w:r>
      <w:r w:rsidRPr="007114AF">
        <w:rPr>
          <w:rFonts w:cstheme="minorHAnsi"/>
        </w:rPr>
        <w:t>nëpërmjet logjistikës së mbledhjes së mbetjeve në sektorin e transportit</w:t>
      </w:r>
      <w:r w:rsidRPr="007114AF">
        <w:t>.</w:t>
      </w:r>
    </w:p>
    <w:p w14:paraId="6EDCFE30" w14:textId="015623AB" w:rsidR="00A9766F" w:rsidRPr="007114AF" w:rsidRDefault="00A9766F" w:rsidP="00206985">
      <w:pPr>
        <w:pStyle w:val="TEKSTI"/>
      </w:pPr>
      <w:r w:rsidRPr="007114AF">
        <w:t>Miratimi i ligjit mbi Eficiencën e Energjis</w:t>
      </w:r>
      <w:r w:rsidRPr="007114AF">
        <w:rPr>
          <w:rFonts w:cstheme="minorHAnsi"/>
        </w:rPr>
        <w:t xml:space="preserve">ë dhe </w:t>
      </w:r>
      <w:r w:rsidRPr="007114AF">
        <w:t>ligji mbi Performanc</w:t>
      </w:r>
      <w:r w:rsidRPr="007114AF">
        <w:rPr>
          <w:rFonts w:cstheme="minorHAnsi"/>
        </w:rPr>
        <w:t>ën e Energjisë në Banesa, që është në pritje për t</w:t>
      </w:r>
      <w:r w:rsidR="00D10DAB" w:rsidRPr="007114AF">
        <w:rPr>
          <w:rFonts w:cstheme="minorHAnsi"/>
        </w:rPr>
        <w:t>’</w:t>
      </w:r>
      <w:r w:rsidRPr="007114AF">
        <w:rPr>
          <w:rFonts w:cstheme="minorHAnsi"/>
        </w:rPr>
        <w:t>u miratuar</w:t>
      </w:r>
      <w:r w:rsidRPr="007114AF">
        <w:t>, sigurojn</w:t>
      </w:r>
      <w:r w:rsidRPr="007114AF">
        <w:rPr>
          <w:rFonts w:cstheme="minorHAnsi"/>
        </w:rPr>
        <w:t xml:space="preserve">ë bazën mbi të cilën mund të ngrihet strategjia e re e </w:t>
      </w:r>
      <w:r w:rsidRPr="007114AF">
        <w:t>EE-s</w:t>
      </w:r>
      <w:r w:rsidRPr="007114AF">
        <w:rPr>
          <w:rFonts w:cstheme="minorHAnsi"/>
        </w:rPr>
        <w:t>ë</w:t>
      </w:r>
      <w:r w:rsidRPr="007114AF">
        <w:t xml:space="preserve"> n</w:t>
      </w:r>
      <w:r w:rsidRPr="007114AF">
        <w:rPr>
          <w:rFonts w:cstheme="minorHAnsi"/>
        </w:rPr>
        <w:t>ë Shqipëri</w:t>
      </w:r>
      <w:r w:rsidRPr="007114AF">
        <w:t>. Kjo p</w:t>
      </w:r>
      <w:r w:rsidRPr="007114AF">
        <w:rPr>
          <w:rFonts w:cstheme="minorHAnsi"/>
        </w:rPr>
        <w:t xml:space="preserve">ërfshin krijimin e Agjencisë për Eficiencën e Energjisë </w:t>
      </w:r>
      <w:r w:rsidRPr="007114AF">
        <w:t>(AEE) dhe Fondin p</w:t>
      </w:r>
      <w:r w:rsidRPr="007114AF">
        <w:rPr>
          <w:rFonts w:cstheme="minorHAnsi"/>
        </w:rPr>
        <w:t xml:space="preserve">ër </w:t>
      </w:r>
      <w:r w:rsidRPr="007114AF">
        <w:t>Eficiencën</w:t>
      </w:r>
      <w:r w:rsidR="00A019D2">
        <w:t xml:space="preserve"> </w:t>
      </w:r>
      <w:r w:rsidRPr="007114AF">
        <w:rPr>
          <w:rFonts w:cstheme="minorHAnsi"/>
        </w:rPr>
        <w:t>e Energjisë</w:t>
      </w:r>
      <w:r w:rsidRPr="007114AF">
        <w:t>, zhvillimin e akteve nënligjore t</w:t>
      </w:r>
      <w:r w:rsidRPr="007114AF">
        <w:rPr>
          <w:rFonts w:cstheme="minorHAnsi"/>
        </w:rPr>
        <w:t>ë nevojshme dhe mjetet rregullatore, dhe çka është më e rëndësishmja, zbatimin</w:t>
      </w:r>
      <w:r w:rsidR="00A019D2">
        <w:rPr>
          <w:rFonts w:cstheme="minorHAnsi"/>
        </w:rPr>
        <w:t xml:space="preserve"> </w:t>
      </w:r>
      <w:r w:rsidRPr="007114AF">
        <w:rPr>
          <w:rFonts w:cstheme="minorHAnsi"/>
        </w:rPr>
        <w:t>e një sërë masash të parashikuara në rishikimin e parë të</w:t>
      </w:r>
      <w:r w:rsidR="00A019D2">
        <w:rPr>
          <w:rFonts w:cstheme="minorHAnsi"/>
        </w:rPr>
        <w:t xml:space="preserve"> </w:t>
      </w:r>
      <w:r w:rsidRPr="007114AF">
        <w:t>PKVEE-së.</w:t>
      </w:r>
    </w:p>
    <w:p w14:paraId="6EDCFE31" w14:textId="1B60178B" w:rsidR="00A9766F" w:rsidRPr="007114AF" w:rsidRDefault="00A9766F" w:rsidP="00206985">
      <w:pPr>
        <w:pStyle w:val="TEKSTI"/>
      </w:pPr>
      <w:r w:rsidRPr="007114AF">
        <w:rPr>
          <w:i/>
          <w:u w:val="single"/>
        </w:rPr>
        <w:t>Boshllëqet/mungesat</w:t>
      </w:r>
      <w:r w:rsidR="00C15277">
        <w:rPr>
          <w:i/>
          <w:u w:val="single"/>
        </w:rPr>
        <w:t xml:space="preserve"> </w:t>
      </w:r>
      <w:r w:rsidRPr="007114AF">
        <w:rPr>
          <w:i/>
          <w:u w:val="single"/>
        </w:rPr>
        <w:t>dhe konfliktet:</w:t>
      </w:r>
      <w:r w:rsidRPr="007114AF">
        <w:t xml:space="preserve"> Sa </w:t>
      </w:r>
      <w:r w:rsidR="00EE091B" w:rsidRPr="007114AF">
        <w:t>u</w:t>
      </w:r>
      <w:r w:rsidRPr="007114AF">
        <w:t xml:space="preserve"> p</w:t>
      </w:r>
      <w:r w:rsidRPr="007114AF">
        <w:rPr>
          <w:rFonts w:cstheme="minorHAnsi"/>
        </w:rPr>
        <w:t>ërket boshllëqeve/mungesave</w:t>
      </w:r>
      <w:r w:rsidR="00C15277">
        <w:rPr>
          <w:rFonts w:cstheme="minorHAnsi"/>
        </w:rPr>
        <w:t xml:space="preserve"> </w:t>
      </w:r>
      <w:r w:rsidRPr="007114AF">
        <w:rPr>
          <w:rFonts w:cstheme="minorHAnsi"/>
        </w:rPr>
        <w:t>dhe konflikteve</w:t>
      </w:r>
      <w:r w:rsidRPr="007114AF">
        <w:t>, ka disa arsye për t</w:t>
      </w:r>
      <w:r w:rsidR="00D10DAB" w:rsidRPr="007114AF">
        <w:t>’</w:t>
      </w:r>
      <w:r w:rsidRPr="007114AF">
        <w:t>u shqet</w:t>
      </w:r>
      <w:r w:rsidRPr="007114AF">
        <w:rPr>
          <w:rFonts w:cstheme="minorHAnsi"/>
        </w:rPr>
        <w:t>ësuar</w:t>
      </w:r>
      <w:r w:rsidRPr="007114AF">
        <w:t>. N</w:t>
      </w:r>
      <w:r w:rsidRPr="007114AF">
        <w:rPr>
          <w:rFonts w:cstheme="minorHAnsi"/>
        </w:rPr>
        <w:t>ë përgjithësi</w:t>
      </w:r>
      <w:r w:rsidRPr="007114AF">
        <w:t>, disa masa t</w:t>
      </w:r>
      <w:r w:rsidRPr="007114AF">
        <w:rPr>
          <w:rFonts w:cstheme="minorHAnsi"/>
        </w:rPr>
        <w:t>ë parashikuara nga</w:t>
      </w:r>
      <w:r w:rsidRPr="007114AF">
        <w:t xml:space="preserve"> ISKZHI-II mund t</w:t>
      </w:r>
      <w:r w:rsidRPr="007114AF">
        <w:rPr>
          <w:rFonts w:cstheme="minorHAnsi"/>
        </w:rPr>
        <w:t>ë sjellin rrezikun potencial të ndikimit negativ</w:t>
      </w:r>
      <w:r w:rsidR="00C15277">
        <w:rPr>
          <w:rFonts w:cstheme="minorHAnsi"/>
        </w:rPr>
        <w:t xml:space="preserve"> </w:t>
      </w:r>
      <w:r w:rsidRPr="007114AF">
        <w:rPr>
          <w:rFonts w:cstheme="minorHAnsi"/>
        </w:rPr>
        <w:t>mbi zbutjen e ndryshimeve klimatike</w:t>
      </w:r>
      <w:r w:rsidRPr="007114AF">
        <w:t>. N</w:t>
      </w:r>
      <w:r w:rsidRPr="007114AF">
        <w:rPr>
          <w:rFonts w:cstheme="minorHAnsi"/>
        </w:rPr>
        <w:t>ë fakt, strategjia ndjek objektivat e përmbushjes së kërkesave në rritje për energji, për të siguruar zhvillim ekonomik dhe social, për të rritur prodhimin industrial dhe shfrytëzimin e mineraleve të tjera</w:t>
      </w:r>
      <w:r w:rsidRPr="007114AF">
        <w:t>, t</w:t>
      </w:r>
      <w:r w:rsidRPr="007114AF">
        <w:rPr>
          <w:rFonts w:cstheme="minorHAnsi"/>
        </w:rPr>
        <w:t>ë tilla si magnezi</w:t>
      </w:r>
      <w:r w:rsidRPr="007114AF">
        <w:t>, i kombinuar me nj</w:t>
      </w:r>
      <w:r w:rsidRPr="007114AF">
        <w:rPr>
          <w:rFonts w:cstheme="minorHAnsi"/>
        </w:rPr>
        <w:t>ë nivel në rritje të përpunimit</w:t>
      </w:r>
      <w:r w:rsidRPr="007114AF">
        <w:t>. Megjithat</w:t>
      </w:r>
      <w:r w:rsidRPr="007114AF">
        <w:rPr>
          <w:rFonts w:cstheme="minorHAnsi"/>
        </w:rPr>
        <w:t xml:space="preserve">ë, ky rrezik mund të shmangej falë </w:t>
      </w:r>
      <w:r w:rsidRPr="007114AF">
        <w:rPr>
          <w:b/>
        </w:rPr>
        <w:t>Prioriteteve 6,</w:t>
      </w:r>
      <w:r w:rsidRPr="007114AF">
        <w:t>q</w:t>
      </w:r>
      <w:r w:rsidRPr="007114AF">
        <w:rPr>
          <w:rFonts w:cstheme="minorHAnsi"/>
        </w:rPr>
        <w:t>ë duhet të garantojnë një zhvillim ekonomik në përputhje me përdorimin e qëndrueshëm të burimeve</w:t>
      </w:r>
      <w:r w:rsidRPr="007114AF">
        <w:t>.</w:t>
      </w:r>
    </w:p>
    <w:p w14:paraId="6EDCFE32" w14:textId="77777777" w:rsidR="00A9766F" w:rsidRPr="007114AF" w:rsidRDefault="00A9766F" w:rsidP="00206985">
      <w:pPr>
        <w:pStyle w:val="TEKSTI"/>
      </w:pPr>
      <w:r w:rsidRPr="007114AF">
        <w:t>Nj</w:t>
      </w:r>
      <w:r w:rsidRPr="007114AF">
        <w:rPr>
          <w:rFonts w:cstheme="minorHAnsi"/>
        </w:rPr>
        <w:t xml:space="preserve">ë arsye e zakonshme për shqetësim, për disa nga masat e renditura në </w:t>
      </w:r>
      <w:r w:rsidRPr="007114AF">
        <w:t>PKVEE-n dhe n</w:t>
      </w:r>
      <w:r w:rsidRPr="007114AF">
        <w:rPr>
          <w:rFonts w:cstheme="minorHAnsi"/>
        </w:rPr>
        <w:t xml:space="preserve">ë një nivel më të vogël për </w:t>
      </w:r>
      <w:r w:rsidRPr="007114AF">
        <w:t xml:space="preserve">NAMA-t, </w:t>
      </w:r>
      <w:r w:rsidRPr="007114AF">
        <w:rPr>
          <w:rFonts w:cstheme="minorHAnsi"/>
        </w:rPr>
        <w:t>është përshtatshmëria e buxhetit të propozuar për një zbatim afatgjatë dhe në shkallë mbarëkombëtare</w:t>
      </w:r>
      <w:r w:rsidRPr="007114AF">
        <w:t xml:space="preserve">. Shkalla e buxheteve </w:t>
      </w:r>
      <w:r w:rsidRPr="007114AF">
        <w:rPr>
          <w:rFonts w:cstheme="minorHAnsi"/>
        </w:rPr>
        <w:t>të propozuara duket, në shikim të parë, e përshtatshme për veprimet e kufizuara pilote dhe përhapja e këtyre veprimeve në shkallë mbarëkombëtare për periudhën afatgjatë, kërkon studime të thella të fizibilitetit financiar</w:t>
      </w:r>
      <w:r w:rsidRPr="007114AF">
        <w:t>.</w:t>
      </w:r>
    </w:p>
    <w:p w14:paraId="6EDCFE33" w14:textId="342B24E8" w:rsidR="00A9766F" w:rsidRPr="007114AF" w:rsidRDefault="00A9766F" w:rsidP="00206985">
      <w:pPr>
        <w:pStyle w:val="TEKSTI"/>
        <w:rPr>
          <w:rFonts w:cstheme="minorHAnsi"/>
        </w:rPr>
      </w:pPr>
      <w:r w:rsidRPr="007114AF">
        <w:t>Nj</w:t>
      </w:r>
      <w:r w:rsidRPr="007114AF">
        <w:rPr>
          <w:rFonts w:cstheme="minorHAnsi"/>
        </w:rPr>
        <w:t>ë tjetër hendek i rëndësishëm</w:t>
      </w:r>
      <w:r w:rsidRPr="007114AF">
        <w:t xml:space="preserve">, i përbashkët për INDC-ën dhe PKVEE-n, </w:t>
      </w:r>
      <w:r w:rsidRPr="007114AF">
        <w:rPr>
          <w:rFonts w:cstheme="minorHAnsi"/>
        </w:rPr>
        <w:t>është mbulimi jo i plotë sektorial, çka mund të çojë në rrjedhje të karbonit</w:t>
      </w:r>
      <w:r w:rsidRPr="007114AF">
        <w:t>. Sektori i pap</w:t>
      </w:r>
      <w:r w:rsidRPr="007114AF">
        <w:rPr>
          <w:rFonts w:cstheme="minorHAnsi"/>
        </w:rPr>
        <w:t xml:space="preserve">ërfaqësuar mirë në të dy rastet është ai bujqësor dhe pyjor, pavarësisht rolit të tij </w:t>
      </w:r>
      <w:r w:rsidRPr="007114AF">
        <w:t>të r</w:t>
      </w:r>
      <w:r w:rsidRPr="007114AF">
        <w:rPr>
          <w:rFonts w:cstheme="minorHAnsi"/>
        </w:rPr>
        <w:t>ëndësishëm si sektor prodhues dhe përdorues i energjisë</w:t>
      </w:r>
      <w:r w:rsidRPr="007114AF">
        <w:t xml:space="preserve"> (dhe p</w:t>
      </w:r>
      <w:r w:rsidRPr="007114AF">
        <w:rPr>
          <w:rFonts w:cstheme="minorHAnsi"/>
        </w:rPr>
        <w:t>ër këtë arsye si një objektiv i masave të eficiencës së energjisë</w:t>
      </w:r>
      <w:r w:rsidRPr="007114AF">
        <w:t>) dhe si shkarkues GES.</w:t>
      </w:r>
      <w:r w:rsidR="000A2A01" w:rsidRPr="007114AF">
        <w:t xml:space="preserve"> </w:t>
      </w:r>
    </w:p>
    <w:p w14:paraId="6EDCFE34" w14:textId="5073E30C" w:rsidR="00A9766F" w:rsidRPr="007114AF" w:rsidRDefault="00A9766F" w:rsidP="00206985">
      <w:pPr>
        <w:pStyle w:val="TEKSTI"/>
      </w:pPr>
      <w:r w:rsidRPr="007114AF">
        <w:t>Nj</w:t>
      </w:r>
      <w:r w:rsidRPr="007114AF">
        <w:rPr>
          <w:rFonts w:cstheme="minorHAnsi"/>
        </w:rPr>
        <w:t>ë fushë e tretë e përmirësimit është: koha dhe bashkërendimi mes nismave të ndryshme strategjike</w:t>
      </w:r>
      <w:r w:rsidRPr="007114AF">
        <w:t>. P</w:t>
      </w:r>
      <w:r w:rsidRPr="007114AF">
        <w:rPr>
          <w:rFonts w:cstheme="minorHAnsi"/>
        </w:rPr>
        <w:t xml:space="preserve">ër shembull, </w:t>
      </w:r>
      <w:r w:rsidRPr="007114AF">
        <w:t>PKVEE-ja aktuale</w:t>
      </w:r>
      <w:r w:rsidR="00C15277">
        <w:t xml:space="preserve"> </w:t>
      </w:r>
      <w:r w:rsidRPr="007114AF">
        <w:rPr>
          <w:rFonts w:cstheme="minorHAnsi"/>
        </w:rPr>
        <w:t xml:space="preserve">është tepër afatshkurtër dhe nuk jep tregues të qartë rreth vizionit për periudhën </w:t>
      </w:r>
      <w:r w:rsidRPr="007114AF">
        <w:t>pas vitit 2018. Nj</w:t>
      </w:r>
      <w:r w:rsidRPr="007114AF">
        <w:rPr>
          <w:rFonts w:cstheme="minorHAnsi"/>
        </w:rPr>
        <w:t xml:space="preserve">ë drejtim i qartë për bashkërendim do të ishte riorganizimi i botimeve të ardhshme të këtij plani me strategjitë e uljes së nivelit të karbonit, si ato të përfshira në </w:t>
      </w:r>
      <w:r w:rsidRPr="007114AF">
        <w:t>INDC-ën dhe n</w:t>
      </w:r>
      <w:r w:rsidRPr="007114AF">
        <w:rPr>
          <w:rFonts w:cstheme="minorHAnsi"/>
        </w:rPr>
        <w:t>ë planin e Karbonit të Ulët</w:t>
      </w:r>
      <w:r w:rsidRPr="007114AF">
        <w:t xml:space="preserve"> – si dhe, me sa duket, planin BER dhe Strategjin</w:t>
      </w:r>
      <w:r w:rsidRPr="007114AF">
        <w:rPr>
          <w:rFonts w:cstheme="minorHAnsi"/>
        </w:rPr>
        <w:t>ë e Energjisë</w:t>
      </w:r>
      <w:r w:rsidRPr="007114AF">
        <w:t xml:space="preserve">. </w:t>
      </w:r>
    </w:p>
    <w:p w14:paraId="6EDCFE35" w14:textId="2983A25B" w:rsidR="00A9766F" w:rsidRPr="007114AF" w:rsidRDefault="00A9766F" w:rsidP="00206985">
      <w:pPr>
        <w:pStyle w:val="TEKSTI"/>
      </w:pPr>
      <w:r w:rsidRPr="007114AF">
        <w:t>Nj</w:t>
      </w:r>
      <w:r w:rsidRPr="007114AF">
        <w:rPr>
          <w:rFonts w:cstheme="minorHAnsi"/>
        </w:rPr>
        <w:t xml:space="preserve">ë arsye e katërt shqetësuese është mbështetja në stimujt financiarë dhe në skemat mbështetëse, që mbështeten te </w:t>
      </w:r>
      <w:r w:rsidRPr="007114AF">
        <w:t>NAMA, p</w:t>
      </w:r>
      <w:r w:rsidRPr="007114AF">
        <w:rPr>
          <w:rFonts w:cstheme="minorHAnsi"/>
        </w:rPr>
        <w:t xml:space="preserve">ër mekanizma financimi dhe për disa masa të renditura në </w:t>
      </w:r>
      <w:r w:rsidRPr="007114AF">
        <w:t>PKVEE-n p</w:t>
      </w:r>
      <w:r w:rsidRPr="007114AF">
        <w:rPr>
          <w:rFonts w:cstheme="minorHAnsi"/>
        </w:rPr>
        <w:t>ër sektorin e banesave</w:t>
      </w:r>
      <w:r w:rsidRPr="007114AF">
        <w:t xml:space="preserve">. </w:t>
      </w:r>
      <w:r w:rsidRPr="007114AF">
        <w:rPr>
          <w:rFonts w:cstheme="minorHAnsi"/>
        </w:rPr>
        <w:t xml:space="preserve">Është e njohur në </w:t>
      </w:r>
      <w:r w:rsidRPr="007114AF">
        <w:t>literatur</w:t>
      </w:r>
      <w:r w:rsidRPr="007114AF">
        <w:rPr>
          <w:rFonts w:cstheme="minorHAnsi"/>
        </w:rPr>
        <w:t>ë</w:t>
      </w:r>
      <w:r w:rsidRPr="007114AF">
        <w:t xml:space="preserve"> se stimujt financiar</w:t>
      </w:r>
      <w:r w:rsidRPr="007114AF">
        <w:rPr>
          <w:rFonts w:cstheme="minorHAnsi"/>
        </w:rPr>
        <w:t>ë për eficiencën e energjisë janë të prirë ndaj rrezikut</w:t>
      </w:r>
      <w:r w:rsidR="00C15277">
        <w:rPr>
          <w:rFonts w:cstheme="minorHAnsi"/>
        </w:rPr>
        <w:t xml:space="preserve"> </w:t>
      </w:r>
      <w:r w:rsidRPr="007114AF">
        <w:rPr>
          <w:rFonts w:cstheme="minorHAnsi"/>
        </w:rPr>
        <w:t>të</w:t>
      </w:r>
      <w:r w:rsidR="00C15277">
        <w:rPr>
          <w:rFonts w:cstheme="minorHAnsi"/>
        </w:rPr>
        <w:t xml:space="preserve"> </w:t>
      </w:r>
      <w:r w:rsidRPr="007114AF">
        <w:rPr>
          <w:rFonts w:cstheme="minorHAnsi"/>
        </w:rPr>
        <w:t>drejtimit falas</w:t>
      </w:r>
      <w:r w:rsidRPr="007114AF">
        <w:t>, q</w:t>
      </w:r>
      <w:r w:rsidRPr="007114AF">
        <w:rPr>
          <w:rFonts w:cstheme="minorHAnsi"/>
        </w:rPr>
        <w:t>ë do të thotë</w:t>
      </w:r>
      <w:r w:rsidRPr="007114AF">
        <w:t>, se ka gjasa t</w:t>
      </w:r>
      <w:r w:rsidRPr="007114AF">
        <w:rPr>
          <w:rFonts w:cstheme="minorHAnsi"/>
        </w:rPr>
        <w:t>ë mëdha që përfituesit e subvencioneve t</w:t>
      </w:r>
      <w:r w:rsidR="00D10DAB" w:rsidRPr="007114AF">
        <w:rPr>
          <w:rFonts w:cstheme="minorHAnsi"/>
        </w:rPr>
        <w:t>’</w:t>
      </w:r>
      <w:r w:rsidRPr="007114AF">
        <w:rPr>
          <w:rFonts w:cstheme="minorHAnsi"/>
        </w:rPr>
        <w:t>i përvetësojnë fondet e rinovimit, që ata do të kishin kryer</w:t>
      </w:r>
      <w:r w:rsidR="00C15277">
        <w:rPr>
          <w:rFonts w:cstheme="minorHAnsi"/>
        </w:rPr>
        <w:t xml:space="preserve"> </w:t>
      </w:r>
      <w:r w:rsidRPr="007114AF">
        <w:rPr>
          <w:rFonts w:cstheme="minorHAnsi"/>
        </w:rPr>
        <w:t>gjithsesi. Kështu, efektiviteti i kostos së programit mund të jetë tejet i ulët</w:t>
      </w:r>
      <w:r w:rsidRPr="007114AF">
        <w:t>. Fatmir</w:t>
      </w:r>
      <w:r w:rsidRPr="007114AF">
        <w:rPr>
          <w:rFonts w:cstheme="minorHAnsi"/>
        </w:rPr>
        <w:t>ësisht, këto politika</w:t>
      </w:r>
      <w:r w:rsidRPr="007114AF">
        <w:t xml:space="preserve"> n</w:t>
      </w:r>
      <w:r w:rsidRPr="007114AF">
        <w:rPr>
          <w:rFonts w:cstheme="minorHAnsi"/>
        </w:rPr>
        <w:t xml:space="preserve">ë </w:t>
      </w:r>
      <w:r w:rsidRPr="007114AF">
        <w:t>NAMA-n e p</w:t>
      </w:r>
      <w:r w:rsidRPr="007114AF">
        <w:rPr>
          <w:rFonts w:cstheme="minorHAnsi"/>
        </w:rPr>
        <w:t xml:space="preserve">ërmendur dhe në </w:t>
      </w:r>
      <w:r w:rsidRPr="007114AF">
        <w:t>PKVEE-n nuk q</w:t>
      </w:r>
      <w:r w:rsidRPr="007114AF">
        <w:rPr>
          <w:rFonts w:cstheme="minorHAnsi"/>
        </w:rPr>
        <w:t xml:space="preserve">ëndrojnë vetëm, por përfshihen në paketa që përfshijnë masa </w:t>
      </w:r>
      <w:r w:rsidRPr="007114AF">
        <w:t>(t</w:t>
      </w:r>
      <w:r w:rsidRPr="007114AF">
        <w:rPr>
          <w:rFonts w:cstheme="minorHAnsi"/>
        </w:rPr>
        <w:t xml:space="preserve">ë tilla si: standardet e detyrueshme, masat </w:t>
      </w:r>
      <w:r w:rsidRPr="007114AF">
        <w:t>monitoruese dhe rritjen e nd</w:t>
      </w:r>
      <w:r w:rsidRPr="007114AF">
        <w:rPr>
          <w:rFonts w:cstheme="minorHAnsi"/>
        </w:rPr>
        <w:t>ërgjegjësimit</w:t>
      </w:r>
      <w:r w:rsidRPr="007114AF">
        <w:t>),q</w:t>
      </w:r>
      <w:r w:rsidRPr="007114AF">
        <w:rPr>
          <w:rFonts w:cstheme="minorHAnsi"/>
        </w:rPr>
        <w:t>ë janë në gjendje ta</w:t>
      </w:r>
      <w:r w:rsidR="00C15277">
        <w:rPr>
          <w:rFonts w:cstheme="minorHAnsi"/>
        </w:rPr>
        <w:t xml:space="preserve"> </w:t>
      </w:r>
      <w:r w:rsidRPr="007114AF">
        <w:rPr>
          <w:rFonts w:cstheme="minorHAnsi"/>
        </w:rPr>
        <w:t>zbusin këtë pengesë të mundshme</w:t>
      </w:r>
      <w:r w:rsidRPr="007114AF">
        <w:t xml:space="preserve">. </w:t>
      </w:r>
    </w:p>
    <w:p w14:paraId="6EDCFE36" w14:textId="39F8346E" w:rsidR="00A9766F" w:rsidRPr="007114AF" w:rsidRDefault="00A9766F" w:rsidP="00206985">
      <w:pPr>
        <w:pStyle w:val="TEKSTI"/>
      </w:pPr>
      <w:r w:rsidRPr="007114AF">
        <w:t>Nj</w:t>
      </w:r>
      <w:r w:rsidRPr="007114AF">
        <w:rPr>
          <w:rFonts w:cstheme="minorHAnsi"/>
        </w:rPr>
        <w:t>ë arsye e pestë për t</w:t>
      </w:r>
      <w:r w:rsidR="00D10DAB" w:rsidRPr="007114AF">
        <w:rPr>
          <w:rFonts w:cstheme="minorHAnsi"/>
        </w:rPr>
        <w:t>’</w:t>
      </w:r>
      <w:r w:rsidRPr="007114AF">
        <w:rPr>
          <w:rFonts w:cstheme="minorHAnsi"/>
        </w:rPr>
        <w:t xml:space="preserve">u shqetësuar është nevoja e forcimit të anës së zbatimit. Ligji i </w:t>
      </w:r>
      <w:r w:rsidRPr="007114AF">
        <w:t>eficiencës</w:t>
      </w:r>
      <w:r w:rsidRPr="007114AF">
        <w:rPr>
          <w:rFonts w:cstheme="minorHAnsi"/>
        </w:rPr>
        <w:t xml:space="preserve"> së energjisë është dokumenti i vetëm i politikave, ku parashikohen sanksionet për mospajtueshmëri</w:t>
      </w:r>
      <w:r w:rsidRPr="007114AF">
        <w:t>. Kjo duhet t</w:t>
      </w:r>
      <w:r w:rsidRPr="007114AF">
        <w:rPr>
          <w:rFonts w:cstheme="minorHAnsi"/>
        </w:rPr>
        <w:t>ë shtrihet në të gjithë spektrin e veprimeve të politikave që lidhen me zbutjen e ndryshimeve klimatike</w:t>
      </w:r>
      <w:r w:rsidRPr="007114AF">
        <w:t>; n</w:t>
      </w:r>
      <w:r w:rsidRPr="007114AF">
        <w:rPr>
          <w:rFonts w:cstheme="minorHAnsi"/>
        </w:rPr>
        <w:t>ë veçanti, ky nen thelbësor mungon në projektligjin mbi</w:t>
      </w:r>
      <w:r w:rsidR="00C15277">
        <w:rPr>
          <w:rFonts w:cstheme="minorHAnsi"/>
        </w:rPr>
        <w:t xml:space="preserve"> </w:t>
      </w:r>
      <w:r w:rsidRPr="007114AF">
        <w:t xml:space="preserve">BER dhe </w:t>
      </w:r>
      <w:r w:rsidRPr="007114AF">
        <w:rPr>
          <w:rFonts w:cstheme="minorHAnsi"/>
        </w:rPr>
        <w:t>parandalimin e humbjeve joteknike</w:t>
      </w:r>
      <w:r w:rsidRPr="007114AF">
        <w:t>. P</w:t>
      </w:r>
      <w:r w:rsidRPr="007114AF">
        <w:rPr>
          <w:rFonts w:cstheme="minorHAnsi"/>
        </w:rPr>
        <w:t>ër shkeljet më të rënda</w:t>
      </w:r>
      <w:r w:rsidRPr="007114AF">
        <w:t xml:space="preserve"> duhen marrë në konsideratë sanksione administrative shtes</w:t>
      </w:r>
      <w:r w:rsidRPr="007114AF">
        <w:rPr>
          <w:rFonts w:cstheme="minorHAnsi"/>
        </w:rPr>
        <w:t>ë për vepra penale</w:t>
      </w:r>
      <w:r w:rsidRPr="007114AF">
        <w:t>.</w:t>
      </w:r>
    </w:p>
    <w:p w14:paraId="6EDCFE37" w14:textId="77777777" w:rsidR="00A9766F" w:rsidRPr="007114AF" w:rsidRDefault="00A9766F" w:rsidP="00206985">
      <w:pPr>
        <w:pStyle w:val="TEKSTI"/>
      </w:pPr>
      <w:r w:rsidRPr="007114AF">
        <w:t>S</w:t>
      </w:r>
      <w:r w:rsidRPr="007114AF">
        <w:rPr>
          <w:rFonts w:cstheme="minorHAnsi"/>
        </w:rPr>
        <w:t>ë fundi</w:t>
      </w:r>
      <w:r w:rsidRPr="007114AF">
        <w:t>, veprimi i politikave t</w:t>
      </w:r>
      <w:r w:rsidRPr="007114AF">
        <w:rPr>
          <w:rFonts w:cstheme="minorHAnsi"/>
        </w:rPr>
        <w:t>ë</w:t>
      </w:r>
      <w:r w:rsidRPr="007114AF">
        <w:t xml:space="preserve"> BE-s</w:t>
      </w:r>
      <w:r w:rsidRPr="007114AF">
        <w:rPr>
          <w:rFonts w:cstheme="minorHAnsi"/>
        </w:rPr>
        <w:t>ë në fushën e energjisë së qëndrueshme thekson fort zhvillimet teknologjike që mundësojnë një përdorim më efikas të energjisë, dhe shpërndarjen e më shumë burimeve konkurruese të energjisë së rinovueshme</w:t>
      </w:r>
      <w:r w:rsidRPr="007114AF">
        <w:t>. Pra, ka nj</w:t>
      </w:r>
      <w:r w:rsidRPr="007114AF">
        <w:rPr>
          <w:rFonts w:cstheme="minorHAnsi"/>
        </w:rPr>
        <w:t>ë mundësi të qartë për Shqipërinë që të përfitojë nga kjo tendencë dhe të ndërmarrë një perspektivë që drejtohet nga zgjidhjet teknologjike të avancuara</w:t>
      </w:r>
      <w:r w:rsidRPr="007114AF">
        <w:t>, çka sigurisht do t</w:t>
      </w:r>
      <w:r w:rsidRPr="007114AF">
        <w:rPr>
          <w:rFonts w:cstheme="minorHAnsi"/>
        </w:rPr>
        <w:t>ë mirëpritet nga BE-ja në procesin e anëtarësimit</w:t>
      </w:r>
      <w:r w:rsidRPr="007114AF">
        <w:t>.</w:t>
      </w:r>
    </w:p>
    <w:p w14:paraId="6EDCFE38" w14:textId="77777777" w:rsidR="00A9766F" w:rsidRPr="007114AF" w:rsidRDefault="00A9766F" w:rsidP="00206985">
      <w:pPr>
        <w:pStyle w:val="TEKSTI"/>
        <w:rPr>
          <w:b/>
          <w:i/>
        </w:rPr>
      </w:pPr>
      <w:bookmarkStart w:id="135" w:name="_Toc450135247"/>
      <w:r w:rsidRPr="007114AF">
        <w:rPr>
          <w:b/>
          <w:i/>
        </w:rPr>
        <w:t>Transport</w:t>
      </w:r>
      <w:bookmarkEnd w:id="135"/>
      <w:r w:rsidRPr="007114AF">
        <w:rPr>
          <w:b/>
          <w:i/>
        </w:rPr>
        <w:t>i</w:t>
      </w:r>
    </w:p>
    <w:p w14:paraId="6EDCFE39" w14:textId="5F0C4FC1" w:rsidR="00A9766F" w:rsidRPr="007114AF" w:rsidRDefault="00A9766F" w:rsidP="00206985">
      <w:pPr>
        <w:pStyle w:val="TEKSTI"/>
      </w:pPr>
      <w:bookmarkStart w:id="136" w:name="_Toc450135248"/>
      <w:r w:rsidRPr="007114AF">
        <w:rPr>
          <w:i/>
          <w:u w:val="single"/>
        </w:rPr>
        <w:t xml:space="preserve">Sinergjitë dhe </w:t>
      </w:r>
      <w:r w:rsidR="00C15277" w:rsidRPr="007114AF">
        <w:rPr>
          <w:i/>
          <w:u w:val="single"/>
        </w:rPr>
        <w:t>pikëtakimet ndërsektoriale</w:t>
      </w:r>
      <w:r w:rsidRPr="007114AF">
        <w:rPr>
          <w:i/>
          <w:u w:val="single"/>
        </w:rPr>
        <w:t>:</w:t>
      </w:r>
      <w:r w:rsidRPr="007114AF">
        <w:t xml:space="preserve"> Duke q</w:t>
      </w:r>
      <w:r w:rsidRPr="007114AF">
        <w:rPr>
          <w:rFonts w:cstheme="minorHAnsi"/>
        </w:rPr>
        <w:t xml:space="preserve">enë se </w:t>
      </w:r>
      <w:r w:rsidRPr="007114AF">
        <w:t xml:space="preserve">transporti </w:t>
      </w:r>
      <w:r w:rsidRPr="007114AF">
        <w:rPr>
          <w:rFonts w:cstheme="minorHAnsi"/>
        </w:rPr>
        <w:t>është një burim i rëndësishëm i shkarkimeve GES</w:t>
      </w:r>
      <w:r w:rsidRPr="007114AF">
        <w:t>, masat q</w:t>
      </w:r>
      <w:r w:rsidRPr="007114AF">
        <w:rPr>
          <w:rFonts w:cstheme="minorHAnsi"/>
        </w:rPr>
        <w:t>ë lidhen me një lëvizshmëri të qëndrueshme shpesh përfshihen gjithashtu, në strategjitë dhe planet ndërsektoriale</w:t>
      </w:r>
      <w:r w:rsidRPr="007114AF">
        <w:t xml:space="preserve">: INDC, SKZHI-II, PKT, SMNS dhe PKVEE. </w:t>
      </w:r>
    </w:p>
    <w:p w14:paraId="6EDCFE3A" w14:textId="6CD420A2" w:rsidR="00A9766F" w:rsidRPr="007114AF" w:rsidRDefault="00A9766F" w:rsidP="00206985">
      <w:pPr>
        <w:pStyle w:val="TEKSTI"/>
      </w:pPr>
      <w:r w:rsidRPr="007114AF">
        <w:t>Masat nd</w:t>
      </w:r>
      <w:r w:rsidRPr="007114AF">
        <w:rPr>
          <w:rFonts w:cstheme="minorHAnsi"/>
        </w:rPr>
        <w:t xml:space="preserve">ërsektoriale marrin në </w:t>
      </w:r>
      <w:r w:rsidRPr="007114AF">
        <w:t xml:space="preserve">konsideratë </w:t>
      </w:r>
      <w:r w:rsidRPr="007114AF">
        <w:rPr>
          <w:rFonts w:cstheme="minorHAnsi"/>
        </w:rPr>
        <w:t>disa nga praktikat më të mira ndërkombëtare</w:t>
      </w:r>
      <w:r w:rsidRPr="007114AF">
        <w:t>, duke p</w:t>
      </w:r>
      <w:r w:rsidRPr="007114AF">
        <w:rPr>
          <w:rFonts w:cstheme="minorHAnsi"/>
        </w:rPr>
        <w:t xml:space="preserve">ërjashtuar ndryshimin kundrejt lëvizjes me mjete </w:t>
      </w:r>
      <w:r w:rsidRPr="007114AF">
        <w:t>elektrike, që nuk duket prioritet afatshkurt</w:t>
      </w:r>
      <w:r w:rsidRPr="007114AF">
        <w:rPr>
          <w:rFonts w:cstheme="minorHAnsi"/>
        </w:rPr>
        <w:t xml:space="preserve">ër </w:t>
      </w:r>
      <w:r w:rsidRPr="007114AF">
        <w:t xml:space="preserve">i këtij </w:t>
      </w:r>
      <w:r w:rsidRPr="007114AF">
        <w:rPr>
          <w:rFonts w:cstheme="minorHAnsi"/>
        </w:rPr>
        <w:t>sektori</w:t>
      </w:r>
      <w:r w:rsidRPr="007114AF">
        <w:t>. Megjithat</w:t>
      </w:r>
      <w:r w:rsidRPr="007114AF">
        <w:rPr>
          <w:rFonts w:cstheme="minorHAnsi"/>
        </w:rPr>
        <w:t>ë, praktikat më të mira mbeten për t</w:t>
      </w:r>
      <w:r w:rsidR="00D10DAB" w:rsidRPr="007114AF">
        <w:rPr>
          <w:rFonts w:cstheme="minorHAnsi"/>
        </w:rPr>
        <w:t>’</w:t>
      </w:r>
      <w:r w:rsidRPr="007114AF">
        <w:rPr>
          <w:rFonts w:cstheme="minorHAnsi"/>
        </w:rPr>
        <w:t>u integruar plotësisht në planifikimin sektorial</w:t>
      </w:r>
      <w:r w:rsidRPr="007114AF">
        <w:t>.</w:t>
      </w:r>
    </w:p>
    <w:p w14:paraId="6EDCFE3B" w14:textId="1E541A18" w:rsidR="00A9766F" w:rsidRPr="007114AF" w:rsidRDefault="00A9766F" w:rsidP="00206985">
      <w:pPr>
        <w:pStyle w:val="TEKSTI"/>
        <w:rPr>
          <w:rFonts w:cstheme="minorHAnsi"/>
        </w:rPr>
      </w:pPr>
      <w:r w:rsidRPr="007114AF">
        <w:t>Si PKVEE-ja dhe SMNS-ja thekso</w:t>
      </w:r>
      <w:r w:rsidRPr="007114AF">
        <w:rPr>
          <w:rFonts w:cstheme="minorHAnsi"/>
        </w:rPr>
        <w:t xml:space="preserve">jnë rëndësinë e miratimit të standardeve të BE-së në sektorin e </w:t>
      </w:r>
      <w:r w:rsidRPr="007114AF">
        <w:t>transportit dhe cil</w:t>
      </w:r>
      <w:r w:rsidRPr="007114AF">
        <w:rPr>
          <w:rFonts w:cstheme="minorHAnsi"/>
        </w:rPr>
        <w:t>ësisë së ajrit</w:t>
      </w:r>
      <w:r w:rsidRPr="007114AF">
        <w:t>. Rinovimi i flot</w:t>
      </w:r>
      <w:r w:rsidRPr="007114AF">
        <w:rPr>
          <w:rFonts w:cstheme="minorHAnsi"/>
        </w:rPr>
        <w:t>ës së automjeteve</w:t>
      </w:r>
      <w:r w:rsidRPr="007114AF">
        <w:t>, rregullimi, sistemi</w:t>
      </w:r>
      <w:r w:rsidR="00C15277">
        <w:t xml:space="preserve"> </w:t>
      </w:r>
      <w:r w:rsidRPr="007114AF">
        <w:rPr>
          <w:rFonts w:cstheme="minorHAnsi"/>
        </w:rPr>
        <w:t>i monitorimit dhe kontrollit</w:t>
      </w:r>
      <w:r w:rsidR="00C15277">
        <w:rPr>
          <w:rFonts w:cstheme="minorHAnsi"/>
        </w:rPr>
        <w:t xml:space="preserve"> </w:t>
      </w:r>
      <w:r w:rsidRPr="007114AF">
        <w:rPr>
          <w:rFonts w:cstheme="minorHAnsi"/>
        </w:rPr>
        <w:t>të shkarkimeve të makinave janë prioritete të rëndësishme</w:t>
      </w:r>
      <w:r w:rsidRPr="007114AF">
        <w:t>. PKVEE-ja p</w:t>
      </w:r>
      <w:r w:rsidRPr="007114AF">
        <w:rPr>
          <w:rFonts w:cstheme="minorHAnsi"/>
        </w:rPr>
        <w:t>ërshkruan përmirësimin e transportit publik (</w:t>
      </w:r>
      <w:r w:rsidRPr="007114AF">
        <w:t>urban dhe rajonal), si dhe merr në konsideratë disa masa t</w:t>
      </w:r>
      <w:r w:rsidRPr="007114AF">
        <w:rPr>
          <w:rFonts w:cstheme="minorHAnsi"/>
        </w:rPr>
        <w:t>ë vogla, si:</w:t>
      </w:r>
      <w:r w:rsidR="00C15277">
        <w:rPr>
          <w:rFonts w:cstheme="minorHAnsi"/>
        </w:rPr>
        <w:t xml:space="preserve"> </w:t>
      </w:r>
      <w:r w:rsidRPr="007114AF">
        <w:rPr>
          <w:rFonts w:cstheme="minorHAnsi"/>
        </w:rPr>
        <w:t>ngarja e mjeteve</w:t>
      </w:r>
      <w:r w:rsidR="00C15277">
        <w:rPr>
          <w:rFonts w:cstheme="minorHAnsi"/>
        </w:rPr>
        <w:t xml:space="preserve"> </w:t>
      </w:r>
      <w:r w:rsidRPr="007114AF">
        <w:rPr>
          <w:rFonts w:cstheme="minorHAnsi"/>
        </w:rPr>
        <w:t xml:space="preserve">ekologjie, </w:t>
      </w:r>
      <w:r w:rsidRPr="007114AF">
        <w:t xml:space="preserve">nxitja e lëvizjes më këmbë </w:t>
      </w:r>
      <w:r w:rsidRPr="007114AF">
        <w:rPr>
          <w:rFonts w:cstheme="minorHAnsi"/>
        </w:rPr>
        <w:t>dhe përdorimit të biçikletës në bashkitë e zgjedhura</w:t>
      </w:r>
      <w:r w:rsidRPr="007114AF">
        <w:t>. Nj</w:t>
      </w:r>
      <w:r w:rsidRPr="007114AF">
        <w:rPr>
          <w:rFonts w:cstheme="minorHAnsi"/>
        </w:rPr>
        <w:t>ë kërkesë e përgjithshme për integrimin në planet vendore të çështjeve të ndryshimeve klimatike përshkruhet në SMNS-ën</w:t>
      </w:r>
      <w:r w:rsidRPr="007114AF">
        <w:t>.</w:t>
      </w:r>
    </w:p>
    <w:p w14:paraId="6EDCFE3C" w14:textId="1B79BDE6" w:rsidR="00A9766F" w:rsidRPr="007114AF" w:rsidRDefault="00A9766F" w:rsidP="00206985">
      <w:pPr>
        <w:pStyle w:val="TEKSTI"/>
      </w:pPr>
      <w:r w:rsidRPr="007114AF">
        <w:rPr>
          <w:i/>
          <w:u w:val="single"/>
        </w:rPr>
        <w:t>Boshllëqe/mungesa dhe konflikte:</w:t>
      </w:r>
      <w:r w:rsidR="00C15277">
        <w:rPr>
          <w:i/>
          <w:u w:val="single"/>
        </w:rPr>
        <w:t xml:space="preserve"> </w:t>
      </w:r>
      <w:r w:rsidRPr="007114AF">
        <w:t>N</w:t>
      </w:r>
      <w:r w:rsidRPr="007114AF">
        <w:rPr>
          <w:rFonts w:cstheme="minorHAnsi"/>
        </w:rPr>
        <w:t>ë zbatim të objektivave të disa dokumenteve</w:t>
      </w:r>
      <w:r w:rsidRPr="007114AF">
        <w:t xml:space="preserve"> nd</w:t>
      </w:r>
      <w:r w:rsidRPr="007114AF">
        <w:rPr>
          <w:rFonts w:cstheme="minorHAnsi"/>
        </w:rPr>
        <w:t xml:space="preserve">ërsektoriale </w:t>
      </w:r>
      <w:r w:rsidRPr="007114AF">
        <w:t>(SKZHI-II dhe PKT), p</w:t>
      </w:r>
      <w:r w:rsidRPr="007114AF">
        <w:rPr>
          <w:rFonts w:cstheme="minorHAnsi"/>
        </w:rPr>
        <w:t>ër të përballuar shkëmbimin në rritje të mallrave në treg përmes zgjerimit të rrugëve dhe zhvillimit të porteve</w:t>
      </w:r>
      <w:r w:rsidRPr="007114AF">
        <w:t>, mund t</w:t>
      </w:r>
      <w:r w:rsidRPr="007114AF">
        <w:rPr>
          <w:rFonts w:cstheme="minorHAnsi"/>
        </w:rPr>
        <w:t>ë ketë rrezik që disa nga masat të ndikojnë negativisht në zbutjen e efekteve të ndryshimeve klimatike. Megjithatë, ky rrezik duhet të shmanget përmes një vizioni të qartë të politikave gjithëpërfshirëse të rritjes ekonomike, përmes përdorimit të qëndrueshëm të burimeve</w:t>
      </w:r>
      <w:r w:rsidRPr="007114AF">
        <w:t>.</w:t>
      </w:r>
    </w:p>
    <w:p w14:paraId="6EDCFE3D" w14:textId="77777777" w:rsidR="00A9766F" w:rsidRPr="007114AF" w:rsidRDefault="00A9766F" w:rsidP="00206985">
      <w:pPr>
        <w:pStyle w:val="TEKSTI"/>
        <w:rPr>
          <w:rFonts w:eastAsia="MS Mincho"/>
          <w:i/>
          <w:u w:val="single"/>
        </w:rPr>
      </w:pPr>
      <w:r w:rsidRPr="007114AF">
        <w:t>Duke marrë në konsideratë nevoj</w:t>
      </w:r>
      <w:r w:rsidRPr="007114AF">
        <w:rPr>
          <w:rFonts w:cstheme="minorHAnsi"/>
        </w:rPr>
        <w:t xml:space="preserve">ën e përgjithshme të </w:t>
      </w:r>
      <w:r w:rsidRPr="007114AF">
        <w:t>rehabilitimit dhe modernizimit t</w:t>
      </w:r>
      <w:r w:rsidRPr="007114AF">
        <w:rPr>
          <w:rFonts w:cstheme="minorHAnsi"/>
        </w:rPr>
        <w:t xml:space="preserve">ë sektorit të transportit, është e nevojshme të krijohet një lidhje e fortë ndërmjet lëvizshmërisë dhe strukturës </w:t>
      </w:r>
      <w:r w:rsidRPr="007114AF">
        <w:t>urbane</w:t>
      </w:r>
      <w:r w:rsidRPr="007114AF">
        <w:rPr>
          <w:rFonts w:cstheme="minorHAnsi"/>
        </w:rPr>
        <w:t>, me qëllim optimizimin e sektorit të transportit</w:t>
      </w:r>
      <w:r w:rsidRPr="007114AF">
        <w:t xml:space="preserve">. Kjo </w:t>
      </w:r>
      <w:r w:rsidRPr="007114AF">
        <w:rPr>
          <w:rFonts w:cstheme="minorHAnsi"/>
        </w:rPr>
        <w:t>çështje nuk është studiuar gjithmonë dhe transporti u</w:t>
      </w:r>
      <w:r w:rsidRPr="007114AF">
        <w:t xml:space="preserve">rban </w:t>
      </w:r>
      <w:r w:rsidRPr="007114AF">
        <w:rPr>
          <w:rFonts w:cstheme="minorHAnsi"/>
        </w:rPr>
        <w:t>pothuajse, është anashkaluar në strategjitë sektoriale</w:t>
      </w:r>
      <w:r w:rsidRPr="007114AF">
        <w:t xml:space="preserve">. Edhe pse </w:t>
      </w:r>
      <w:r w:rsidRPr="007114AF">
        <w:rPr>
          <w:rFonts w:cstheme="minorHAnsi"/>
        </w:rPr>
        <w:t xml:space="preserve">është cituar në disa raporte ndërsektoriale </w:t>
      </w:r>
      <w:r w:rsidRPr="007114AF">
        <w:t>(INDC, PKVEE) dhe shkurtimisht n</w:t>
      </w:r>
      <w:r w:rsidRPr="007114AF">
        <w:rPr>
          <w:rFonts w:cstheme="minorHAnsi"/>
        </w:rPr>
        <w:t xml:space="preserve">ë </w:t>
      </w:r>
      <w:r w:rsidRPr="007114AF">
        <w:t xml:space="preserve">TECTQ, </w:t>
      </w:r>
      <w:r w:rsidRPr="007114AF">
        <w:rPr>
          <w:rFonts w:cstheme="minorHAnsi"/>
        </w:rPr>
        <w:t>duhet marrë në konsideratë në mënyrë korrekte</w:t>
      </w:r>
      <w:r w:rsidRPr="007114AF">
        <w:t xml:space="preserve"> nj</w:t>
      </w:r>
      <w:r w:rsidRPr="007114AF">
        <w:rPr>
          <w:rFonts w:cstheme="minorHAnsi"/>
        </w:rPr>
        <w:t>ë kuadër ligjor lidhur me planifikimin e qëndrueshëm të transportit urban, duke qenë se popullsia parashikohet të rritet, veçanërisht në qendrat kryesore urbane</w:t>
      </w:r>
      <w:r w:rsidRPr="007114AF">
        <w:t xml:space="preserve">. </w:t>
      </w:r>
    </w:p>
    <w:p w14:paraId="6EDCFE3E" w14:textId="2876D65B" w:rsidR="00A9766F" w:rsidRPr="007114AF" w:rsidRDefault="00A9766F" w:rsidP="00206985">
      <w:pPr>
        <w:pStyle w:val="TEKSTI"/>
      </w:pPr>
      <w:r w:rsidRPr="007114AF">
        <w:t>Mungesa e vëmendjes ndaj planifikimit të territorit shpesh rezulton n</w:t>
      </w:r>
      <w:r w:rsidRPr="007114AF">
        <w:rPr>
          <w:rFonts w:cstheme="minorHAnsi"/>
        </w:rPr>
        <w:t>ë rritje të frekuencës dhe gjatësisë së udhëtimeve</w:t>
      </w:r>
      <w:r w:rsidRPr="007114AF">
        <w:t>, p</w:t>
      </w:r>
      <w:r w:rsidRPr="007114AF">
        <w:rPr>
          <w:rFonts w:cstheme="minorHAnsi"/>
        </w:rPr>
        <w:t>ër shkak të mungesës së strategjive që synojnë bashkërendimin e zhvillimit në fushat e banesave,</w:t>
      </w:r>
      <w:r w:rsidR="00C15277">
        <w:rPr>
          <w:rFonts w:cstheme="minorHAnsi"/>
        </w:rPr>
        <w:t xml:space="preserve"> </w:t>
      </w:r>
      <w:r w:rsidRPr="007114AF">
        <w:t>industriale dhe t</w:t>
      </w:r>
      <w:r w:rsidRPr="007114AF">
        <w:rPr>
          <w:rFonts w:cstheme="minorHAnsi"/>
        </w:rPr>
        <w:t>ë shërbimeve</w:t>
      </w:r>
      <w:r w:rsidRPr="007114AF">
        <w:t xml:space="preserve">. </w:t>
      </w:r>
    </w:p>
    <w:p w14:paraId="6EDCFE3F" w14:textId="77777777" w:rsidR="00A9766F" w:rsidRPr="007114AF" w:rsidRDefault="00A9766F" w:rsidP="00206985">
      <w:pPr>
        <w:pStyle w:val="TEKSTI"/>
      </w:pPr>
      <w:r w:rsidRPr="007114AF">
        <w:t>P</w:t>
      </w:r>
      <w:r w:rsidRPr="007114AF">
        <w:rPr>
          <w:rFonts w:cstheme="minorHAnsi"/>
        </w:rPr>
        <w:t>ërmirësimi i nënsektorit të transportit hekurudhor kombëtar mund të jetë një qasje e rëndësishme për një strategji të masave lehtësuese</w:t>
      </w:r>
      <w:r w:rsidRPr="007114AF">
        <w:t>, n</w:t>
      </w:r>
      <w:r w:rsidRPr="007114AF">
        <w:rPr>
          <w:rFonts w:cstheme="minorHAnsi"/>
        </w:rPr>
        <w:t>ë sajë të zhvendosjes së</w:t>
      </w:r>
      <w:r w:rsidRPr="007114AF">
        <w:t xml:space="preserve"> pasagjer</w:t>
      </w:r>
      <w:r w:rsidRPr="007114AF">
        <w:rPr>
          <w:rFonts w:cstheme="minorHAnsi"/>
        </w:rPr>
        <w:t>ëve dhe mallrave nga transporti rrugor në hekurudhor.</w:t>
      </w:r>
      <w:r w:rsidRPr="007114AF">
        <w:t xml:space="preserve"> Ky objektiv strategjik </w:t>
      </w:r>
      <w:r w:rsidRPr="007114AF">
        <w:rPr>
          <w:rFonts w:cstheme="minorHAnsi"/>
        </w:rPr>
        <w:t xml:space="preserve">është </w:t>
      </w:r>
      <w:r w:rsidRPr="007114AF">
        <w:t>parashikuar n</w:t>
      </w:r>
      <w:r w:rsidRPr="007114AF">
        <w:rPr>
          <w:rFonts w:cstheme="minorHAnsi"/>
        </w:rPr>
        <w:t xml:space="preserve">ë </w:t>
      </w:r>
      <w:r w:rsidRPr="007114AF">
        <w:t xml:space="preserve">SKZHI-II, edhe pse </w:t>
      </w:r>
      <w:r w:rsidRPr="007114AF">
        <w:rPr>
          <w:rFonts w:cstheme="minorHAnsi"/>
        </w:rPr>
        <w:t>rehabilitimi i plotë i rrjeteve përkatëse hekurudhore do të jetë i mundur vetëm pas shumë kohësh. Objektivi i</w:t>
      </w:r>
      <w:r w:rsidRPr="007114AF">
        <w:rPr>
          <w:rFonts w:eastAsia="Calibri"/>
        </w:rPr>
        <w:t>SKZHI-II p</w:t>
      </w:r>
      <w:r w:rsidRPr="007114AF">
        <w:rPr>
          <w:rFonts w:cstheme="minorHAnsi"/>
        </w:rPr>
        <w:t xml:space="preserve">ër të rritur në mënyrë të dukshme </w:t>
      </w:r>
      <w:r w:rsidRPr="007114AF">
        <w:rPr>
          <w:rFonts w:eastAsia="Calibri"/>
        </w:rPr>
        <w:t>transportin hekurudhor deri n</w:t>
      </w:r>
      <w:r w:rsidRPr="007114AF">
        <w:rPr>
          <w:rFonts w:cstheme="minorHAnsi"/>
        </w:rPr>
        <w:t>ë vitin 2</w:t>
      </w:r>
      <w:r w:rsidRPr="007114AF">
        <w:rPr>
          <w:rFonts w:eastAsia="Calibri"/>
        </w:rPr>
        <w:t>020, p</w:t>
      </w:r>
      <w:r w:rsidRPr="007114AF">
        <w:rPr>
          <w:rFonts w:cstheme="minorHAnsi"/>
        </w:rPr>
        <w:t xml:space="preserve">ërmes rikonstruksionit të hekurudhave që lidhin </w:t>
      </w:r>
      <w:r w:rsidRPr="007114AF">
        <w:rPr>
          <w:rFonts w:eastAsia="Calibri"/>
        </w:rPr>
        <w:t>Tiran</w:t>
      </w:r>
      <w:r w:rsidRPr="007114AF">
        <w:rPr>
          <w:rFonts w:cstheme="minorHAnsi"/>
        </w:rPr>
        <w:t xml:space="preserve">ën me </w:t>
      </w:r>
      <w:r w:rsidRPr="007114AF">
        <w:rPr>
          <w:rFonts w:eastAsia="Calibri"/>
        </w:rPr>
        <w:t>Durr</w:t>
      </w:r>
      <w:r w:rsidRPr="007114AF">
        <w:rPr>
          <w:rFonts w:cstheme="minorHAnsi"/>
        </w:rPr>
        <w:t>ë</w:t>
      </w:r>
      <w:r w:rsidRPr="007114AF">
        <w:rPr>
          <w:rFonts w:eastAsia="Calibri"/>
        </w:rPr>
        <w:t>sin, Vor</w:t>
      </w:r>
      <w:r w:rsidRPr="007114AF">
        <w:rPr>
          <w:rFonts w:cstheme="minorHAnsi"/>
        </w:rPr>
        <w:t>ën me H</w:t>
      </w:r>
      <w:r w:rsidRPr="007114AF">
        <w:rPr>
          <w:rFonts w:eastAsia="Calibri"/>
        </w:rPr>
        <w:t>anin e Hotit, Durr</w:t>
      </w:r>
      <w:r w:rsidRPr="007114AF">
        <w:rPr>
          <w:rFonts w:cstheme="minorHAnsi"/>
        </w:rPr>
        <w:t>ë</w:t>
      </w:r>
      <w:r w:rsidRPr="007114AF">
        <w:rPr>
          <w:rFonts w:eastAsia="Calibri"/>
        </w:rPr>
        <w:t>sin me Elbasanin, Rrogozhin</w:t>
      </w:r>
      <w:r w:rsidRPr="007114AF">
        <w:rPr>
          <w:rFonts w:cstheme="minorHAnsi"/>
        </w:rPr>
        <w:t xml:space="preserve">ën me Vlorën dhe </w:t>
      </w:r>
      <w:r w:rsidRPr="007114AF">
        <w:rPr>
          <w:rFonts w:eastAsia="Calibri"/>
        </w:rPr>
        <w:t>Elbasanin me Pogradecin, duhet t</w:t>
      </w:r>
      <w:r w:rsidRPr="007114AF">
        <w:rPr>
          <w:rFonts w:cstheme="minorHAnsi"/>
        </w:rPr>
        <w:t>ë monitorohet dhe përfundimisht të përafrohet me ecurinë aktuale të punës</w:t>
      </w:r>
      <w:r w:rsidRPr="007114AF">
        <w:rPr>
          <w:rFonts w:eastAsia="Calibri"/>
        </w:rPr>
        <w:t>.</w:t>
      </w:r>
    </w:p>
    <w:p w14:paraId="6EDCFE40" w14:textId="77777777" w:rsidR="00A9766F" w:rsidRPr="007114AF" w:rsidRDefault="00A9766F" w:rsidP="00206985">
      <w:pPr>
        <w:pStyle w:val="TEKSTI"/>
      </w:pPr>
      <w:r w:rsidRPr="007114AF">
        <w:rPr>
          <w:rFonts w:eastAsia="Calibri"/>
        </w:rPr>
        <w:t>Masat e parashikuara p</w:t>
      </w:r>
      <w:r w:rsidRPr="007114AF">
        <w:rPr>
          <w:rFonts w:cstheme="minorHAnsi"/>
        </w:rPr>
        <w:t>ër këtë sektor kanë si qëllim uljen e GES-it, edhe duke u nisur nga një bazë e dobët të dhënash dhe të gjitha masat dhe vlerësimi i planeve të analizuara duket se bazohen në parametra agregatë</w:t>
      </w:r>
      <w:r w:rsidRPr="007114AF">
        <w:t>, me besueshm</w:t>
      </w:r>
      <w:r w:rsidRPr="007114AF">
        <w:rPr>
          <w:rFonts w:cstheme="minorHAnsi"/>
        </w:rPr>
        <w:t>ëri të ulët dhe prirje historike</w:t>
      </w:r>
      <w:r w:rsidRPr="007114AF">
        <w:t>. Prandaj, efikasiteti dhe efektiviteti i masave mund t</w:t>
      </w:r>
      <w:r w:rsidRPr="007114AF">
        <w:rPr>
          <w:rFonts w:cstheme="minorHAnsi"/>
        </w:rPr>
        <w:t>ë mbivlerësohet</w:t>
      </w:r>
      <w:r w:rsidRPr="007114AF">
        <w:t xml:space="preserve"> (ose n</w:t>
      </w:r>
      <w:r w:rsidRPr="007114AF">
        <w:rPr>
          <w:rFonts w:cstheme="minorHAnsi"/>
        </w:rPr>
        <w:t>ënvlerësohet</w:t>
      </w:r>
      <w:r w:rsidRPr="007114AF">
        <w:t xml:space="preserve">). </w:t>
      </w:r>
    </w:p>
    <w:p w14:paraId="6EDCFE41" w14:textId="77777777" w:rsidR="00A9766F" w:rsidRPr="007114AF" w:rsidRDefault="00A9766F" w:rsidP="00206985">
      <w:pPr>
        <w:pStyle w:val="TEKSTI"/>
      </w:pPr>
      <w:r w:rsidRPr="007114AF">
        <w:t>Ndarja mes SSTPV-ës dhe Planit t</w:t>
      </w:r>
      <w:r w:rsidRPr="007114AF">
        <w:rPr>
          <w:rFonts w:cstheme="minorHAnsi"/>
        </w:rPr>
        <w:t xml:space="preserve">ë Qëndrueshëm të Transportit i jep formë strategjive të ndryshme dhe masave për zhvillimin e </w:t>
      </w:r>
      <w:r w:rsidRPr="007114AF">
        <w:t>transportit dhe zhvillimit ve</w:t>
      </w:r>
      <w:r w:rsidRPr="007114AF">
        <w:rPr>
          <w:rFonts w:cstheme="minorHAnsi"/>
        </w:rPr>
        <w:t>ç</w:t>
      </w:r>
      <w:r w:rsidRPr="007114AF">
        <w:t>mas t</w:t>
      </w:r>
      <w:r w:rsidRPr="007114AF">
        <w:rPr>
          <w:rFonts w:cstheme="minorHAnsi"/>
        </w:rPr>
        <w:t xml:space="preserve">ë </w:t>
      </w:r>
      <w:r w:rsidRPr="007114AF">
        <w:t>Transportit t</w:t>
      </w:r>
      <w:r w:rsidRPr="007114AF">
        <w:rPr>
          <w:rFonts w:cstheme="minorHAnsi"/>
        </w:rPr>
        <w:t>ë Qëndrueshëm</w:t>
      </w:r>
      <w:r w:rsidRPr="007114AF">
        <w:t>. P</w:t>
      </w:r>
      <w:r w:rsidRPr="007114AF">
        <w:rPr>
          <w:rFonts w:cstheme="minorHAnsi"/>
        </w:rPr>
        <w:t>ër përditësime të mëtejshme</w:t>
      </w:r>
      <w:r w:rsidRPr="007114AF">
        <w:t>, MTI-ja duhet t</w:t>
      </w:r>
      <w:r w:rsidRPr="007114AF">
        <w:rPr>
          <w:rFonts w:cstheme="minorHAnsi"/>
        </w:rPr>
        <w:t>ë marrë në konsideratë lidhjen e dy planeve dhe të krijojë një strategji të vetme transporti me një objektiv gjithëpërfshirës për uljen e shkarkimeve</w:t>
      </w:r>
      <w:r w:rsidRPr="007114AF">
        <w:t>.</w:t>
      </w:r>
    </w:p>
    <w:p w14:paraId="6EDCFE42" w14:textId="0A29C1C5" w:rsidR="00A9766F" w:rsidRPr="007114AF" w:rsidRDefault="00A9766F" w:rsidP="00206985">
      <w:pPr>
        <w:pStyle w:val="TEKSTI"/>
      </w:pPr>
      <w:r w:rsidRPr="007114AF">
        <w:t>Nj</w:t>
      </w:r>
      <w:r w:rsidRPr="007114AF">
        <w:rPr>
          <w:rFonts w:cstheme="minorHAnsi"/>
        </w:rPr>
        <w:t xml:space="preserve">ë rrezik i mundshëm në sektorin e </w:t>
      </w:r>
      <w:r w:rsidRPr="007114AF">
        <w:t>transportit mund t</w:t>
      </w:r>
      <w:r w:rsidRPr="007114AF">
        <w:rPr>
          <w:rFonts w:cstheme="minorHAnsi"/>
        </w:rPr>
        <w:t>ë jetë një zhvendosje</w:t>
      </w:r>
      <w:r w:rsidR="000A2A01" w:rsidRPr="007114AF">
        <w:rPr>
          <w:rFonts w:cstheme="minorHAnsi"/>
        </w:rPr>
        <w:t xml:space="preserve"> </w:t>
      </w:r>
      <w:r w:rsidRPr="007114AF">
        <w:rPr>
          <w:rFonts w:cstheme="minorHAnsi"/>
        </w:rPr>
        <w:t>drejt një rritjeje të madhe të trafikut rrugor</w:t>
      </w:r>
      <w:r w:rsidRPr="007114AF">
        <w:t>, n</w:t>
      </w:r>
      <w:r w:rsidRPr="007114AF">
        <w:rPr>
          <w:rFonts w:cstheme="minorHAnsi"/>
        </w:rPr>
        <w:t>ë sajë të përmirësimeve të kapacitetit që duhet monitoruar</w:t>
      </w:r>
      <w:r w:rsidRPr="007114AF">
        <w:t>. Numri total i automjeteve n</w:t>
      </w:r>
      <w:r w:rsidRPr="007114AF">
        <w:rPr>
          <w:rFonts w:cstheme="minorHAnsi"/>
        </w:rPr>
        <w:t>ë rrugë po rritet</w:t>
      </w:r>
      <w:r w:rsidRPr="007114AF">
        <w:t xml:space="preserve"> (burim i INSTAT), edhe pse </w:t>
      </w:r>
      <w:r w:rsidRPr="007114AF">
        <w:rPr>
          <w:rFonts w:cstheme="minorHAnsi"/>
        </w:rPr>
        <w:t xml:space="preserve">është ende mesatarisht </w:t>
      </w:r>
      <w:r w:rsidRPr="007114AF">
        <w:t>200 automjete p</w:t>
      </w:r>
      <w:r w:rsidRPr="007114AF">
        <w:rPr>
          <w:rFonts w:cstheme="minorHAnsi"/>
        </w:rPr>
        <w:t xml:space="preserve">ër </w:t>
      </w:r>
      <w:r w:rsidRPr="007114AF">
        <w:t>1000 banor</w:t>
      </w:r>
      <w:r w:rsidRPr="007114AF">
        <w:rPr>
          <w:rFonts w:cstheme="minorHAnsi"/>
        </w:rPr>
        <w:t>ë</w:t>
      </w:r>
      <w:r w:rsidRPr="007114AF">
        <w:t>. P</w:t>
      </w:r>
      <w:r w:rsidRPr="007114AF">
        <w:rPr>
          <w:rFonts w:cstheme="minorHAnsi"/>
        </w:rPr>
        <w:t>ërmirësimi i kapacitetit rrugor, stimujt për makina të reja dhe një objektiv i zhvillimit ekonomik dhe mirëqenies mund të rrisin dukshëm numrin e makinave, krahasuar me mesataren</w:t>
      </w:r>
      <w:r w:rsidR="00C15277">
        <w:rPr>
          <w:rFonts w:cstheme="minorHAnsi"/>
        </w:rPr>
        <w:t xml:space="preserve"> </w:t>
      </w:r>
      <w:r w:rsidRPr="007114AF">
        <w:rPr>
          <w:rFonts w:cstheme="minorHAnsi"/>
        </w:rPr>
        <w:t>e BE-së</w:t>
      </w:r>
      <w:r w:rsidR="00C15277">
        <w:rPr>
          <w:rFonts w:cstheme="minorHAnsi"/>
        </w:rPr>
        <w:t xml:space="preserve"> </w:t>
      </w:r>
      <w:r w:rsidRPr="007114AF">
        <w:rPr>
          <w:rFonts w:cstheme="minorHAnsi"/>
        </w:rPr>
        <w:t xml:space="preserve">prej </w:t>
      </w:r>
      <w:r w:rsidRPr="007114AF">
        <w:t>450-500 automjete/1000 banor</w:t>
      </w:r>
      <w:r w:rsidRPr="007114AF">
        <w:rPr>
          <w:rFonts w:cstheme="minorHAnsi"/>
        </w:rPr>
        <w:t>ë</w:t>
      </w:r>
      <w:r w:rsidRPr="007114AF">
        <w:t xml:space="preserve">. </w:t>
      </w:r>
    </w:p>
    <w:bookmarkEnd w:id="136"/>
    <w:p w14:paraId="6EDCFE43" w14:textId="77777777" w:rsidR="00A9766F" w:rsidRPr="007114AF" w:rsidRDefault="00A9766F" w:rsidP="00206985">
      <w:pPr>
        <w:pStyle w:val="TEKSTI"/>
        <w:rPr>
          <w:b/>
          <w:i/>
        </w:rPr>
      </w:pPr>
      <w:r w:rsidRPr="007114AF">
        <w:rPr>
          <w:b/>
          <w:i/>
        </w:rPr>
        <w:t>Bujqësia dhe LUCF-ja</w:t>
      </w:r>
    </w:p>
    <w:p w14:paraId="6EDCFE44" w14:textId="1B5F81D1" w:rsidR="00A9766F" w:rsidRPr="007114AF" w:rsidRDefault="00A9766F" w:rsidP="00206985">
      <w:pPr>
        <w:pStyle w:val="TEKSTI"/>
      </w:pPr>
      <w:r w:rsidRPr="007114AF">
        <w:rPr>
          <w:i/>
          <w:u w:val="single"/>
        </w:rPr>
        <w:t xml:space="preserve">Sinergjitë dhe </w:t>
      </w:r>
      <w:r w:rsidR="00C15277" w:rsidRPr="007114AF">
        <w:rPr>
          <w:i/>
          <w:u w:val="single"/>
        </w:rPr>
        <w:t>pikëtakimet ndërsektoriale</w:t>
      </w:r>
      <w:r w:rsidRPr="007114AF">
        <w:rPr>
          <w:i/>
          <w:u w:val="single"/>
        </w:rPr>
        <w:t>:</w:t>
      </w:r>
      <w:r w:rsidRPr="007114AF">
        <w:t xml:space="preserve"> Strategjia kryesore q</w:t>
      </w:r>
      <w:r w:rsidRPr="007114AF">
        <w:rPr>
          <w:rFonts w:cstheme="minorHAnsi"/>
        </w:rPr>
        <w:t xml:space="preserve">ë mbulon sektorët e bujqësisë dhe </w:t>
      </w:r>
      <w:r w:rsidRPr="007114AF">
        <w:t>LUCF-ës</w:t>
      </w:r>
      <w:r w:rsidRPr="007114AF">
        <w:rPr>
          <w:rFonts w:cstheme="minorHAnsi"/>
        </w:rPr>
        <w:t xml:space="preserve">është </w:t>
      </w:r>
      <w:r w:rsidRPr="007114AF">
        <w:t xml:space="preserve">SNBZHR-ja, e cila </w:t>
      </w:r>
      <w:r w:rsidRPr="007114AF">
        <w:rPr>
          <w:rFonts w:cstheme="minorHAnsi"/>
        </w:rPr>
        <w:t>është një strategji shumë e plotë, që synon përmirësimin dhe rritjen e nivelit të përgjithshëm të bujqësisë shqiptare, për të përmbushur standardet përkatëse të</w:t>
      </w:r>
      <w:r w:rsidR="00C15277">
        <w:rPr>
          <w:rFonts w:cstheme="minorHAnsi"/>
        </w:rPr>
        <w:t xml:space="preserve"> </w:t>
      </w:r>
      <w:r w:rsidRPr="007114AF">
        <w:t>PBB-ës të BE-së. Masat specifike t</w:t>
      </w:r>
      <w:r w:rsidRPr="007114AF">
        <w:rPr>
          <w:rFonts w:cstheme="minorHAnsi"/>
        </w:rPr>
        <w:t>ë përfshira në SNBZHR-në</w:t>
      </w:r>
      <w:r w:rsidRPr="007114AF">
        <w:t xml:space="preserve"> dhe n</w:t>
      </w:r>
      <w:r w:rsidRPr="007114AF">
        <w:rPr>
          <w:rFonts w:cstheme="minorHAnsi"/>
        </w:rPr>
        <w:t xml:space="preserve">ë </w:t>
      </w:r>
      <w:r w:rsidRPr="007114AF">
        <w:t>IPARD mbulojn</w:t>
      </w:r>
      <w:r w:rsidRPr="007114AF">
        <w:rPr>
          <w:rFonts w:cstheme="minorHAnsi"/>
        </w:rPr>
        <w:t xml:space="preserve">ë bujqësinë dhe pyjet, si dhe përmbajnë disa masa që ndërlidhen me sektorët e energjisë dhe </w:t>
      </w:r>
      <w:r w:rsidRPr="007114AF">
        <w:t>transportit,</w:t>
      </w:r>
      <w:r w:rsidR="00C15277">
        <w:t xml:space="preserve"> </w:t>
      </w:r>
      <w:r w:rsidRPr="007114AF">
        <w:t xml:space="preserve">lidhur </w:t>
      </w:r>
      <w:r w:rsidRPr="007114AF">
        <w:rPr>
          <w:rFonts w:cstheme="minorHAnsi"/>
        </w:rPr>
        <w:t xml:space="preserve">me përmirësimin e </w:t>
      </w:r>
      <w:r w:rsidRPr="007114AF">
        <w:t>eficiencës</w:t>
      </w:r>
      <w:r w:rsidRPr="007114AF">
        <w:rPr>
          <w:rFonts w:cstheme="minorHAnsi"/>
        </w:rPr>
        <w:t xml:space="preserve"> së energjisë në pajisjet e fermave dhe zhvillimin e infrastrukturës rrugore në zonat rurale</w:t>
      </w:r>
      <w:r w:rsidRPr="007114AF">
        <w:t xml:space="preserve">. </w:t>
      </w:r>
    </w:p>
    <w:p w14:paraId="6EDCFE45" w14:textId="77777777" w:rsidR="00A9766F" w:rsidRPr="007114AF" w:rsidRDefault="00A9766F" w:rsidP="00206985">
      <w:pPr>
        <w:pStyle w:val="TEKSTI"/>
      </w:pPr>
      <w:r w:rsidRPr="007114AF">
        <w:t>Sektori pyjor mbulohet nga projektligji p</w:t>
      </w:r>
      <w:r w:rsidRPr="007114AF">
        <w:rPr>
          <w:rFonts w:cstheme="minorHAnsi"/>
        </w:rPr>
        <w:t xml:space="preserve">ër </w:t>
      </w:r>
      <w:r w:rsidRPr="007114AF">
        <w:t xml:space="preserve">Administrimin e Fondit </w:t>
      </w:r>
      <w:r w:rsidRPr="007114AF">
        <w:rPr>
          <w:rFonts w:cstheme="minorHAnsi"/>
        </w:rPr>
        <w:t xml:space="preserve">Kombëtar </w:t>
      </w:r>
      <w:r w:rsidRPr="007114AF">
        <w:t xml:space="preserve">të Pyjeve dhe Kullotave </w:t>
      </w:r>
      <w:r w:rsidRPr="007114AF">
        <w:rPr>
          <w:rFonts w:cstheme="minorHAnsi"/>
        </w:rPr>
        <w:t>në Republikën e Shqipërisë</w:t>
      </w:r>
      <w:r w:rsidRPr="007114AF">
        <w:t>, dhe rregullohet me Dokumentin Strategjik p</w:t>
      </w:r>
      <w:r w:rsidRPr="007114AF">
        <w:rPr>
          <w:rFonts w:cstheme="minorHAnsi"/>
        </w:rPr>
        <w:t xml:space="preserve">ër </w:t>
      </w:r>
      <w:r w:rsidRPr="007114AF">
        <w:t>Planin e Veprimit p</w:t>
      </w:r>
      <w:r w:rsidRPr="007114AF">
        <w:rPr>
          <w:rFonts w:cstheme="minorHAnsi"/>
        </w:rPr>
        <w:t>ër</w:t>
      </w:r>
      <w:r w:rsidRPr="007114AF">
        <w:t xml:space="preserve"> Mbrojtjen e Biodiversitetit (DPSMB) dhe</w:t>
      </w:r>
      <w:r w:rsidRPr="007114AF">
        <w:rPr>
          <w:rFonts w:cstheme="minorHAnsi"/>
        </w:rPr>
        <w:t xml:space="preserve"> strategjia specifike sektoriale për Zhvillimin e Pyjeve dhe Kullotave</w:t>
      </w:r>
      <w:r w:rsidRPr="007114AF">
        <w:t>. DPSMB-ja trajton me v</w:t>
      </w:r>
      <w:r w:rsidRPr="007114AF">
        <w:rPr>
          <w:rFonts w:cstheme="minorHAnsi"/>
        </w:rPr>
        <w:t xml:space="preserve">ëmendje të veçantë çështjen në lidhje me prodhimin e energjisë nga hidrocentralet </w:t>
      </w:r>
      <w:r w:rsidRPr="007114AF">
        <w:t>n</w:t>
      </w:r>
      <w:r w:rsidRPr="007114AF">
        <w:rPr>
          <w:rFonts w:cstheme="minorHAnsi"/>
        </w:rPr>
        <w:t>ë zonat natyrore</w:t>
      </w:r>
      <w:r w:rsidRPr="007114AF">
        <w:t>, me q</w:t>
      </w:r>
      <w:r w:rsidRPr="007114AF">
        <w:rPr>
          <w:rFonts w:cstheme="minorHAnsi"/>
        </w:rPr>
        <w:t xml:space="preserve">ëllim sigurimin e mbrojtjes së zonave natyrore të prekura nga hidrocentralet, </w:t>
      </w:r>
      <w:r w:rsidRPr="007114AF">
        <w:t>p</w:t>
      </w:r>
      <w:r w:rsidRPr="007114AF">
        <w:rPr>
          <w:rFonts w:cstheme="minorHAnsi"/>
        </w:rPr>
        <w:t>ërmes monitorimit dhe vlerësimit periodik të</w:t>
      </w:r>
      <w:r w:rsidRPr="007114AF">
        <w:t xml:space="preserve"> flor</w:t>
      </w:r>
      <w:r w:rsidRPr="007114AF">
        <w:rPr>
          <w:rFonts w:cstheme="minorHAnsi"/>
        </w:rPr>
        <w:t xml:space="preserve">ës dhe </w:t>
      </w:r>
      <w:r w:rsidRPr="007114AF">
        <w:t>faun</w:t>
      </w:r>
      <w:r w:rsidRPr="007114AF">
        <w:rPr>
          <w:rFonts w:cstheme="minorHAnsi"/>
        </w:rPr>
        <w:t>ës në lumenj dhe degët e lumenjve në të cilët janë ndërtuar dhe do të ndërtohen hidrocentralet</w:t>
      </w:r>
      <w:r w:rsidRPr="007114AF">
        <w:t>.</w:t>
      </w:r>
    </w:p>
    <w:p w14:paraId="6EDCFE46" w14:textId="45B4BCB1" w:rsidR="00A9766F" w:rsidRPr="007114AF" w:rsidRDefault="00A9766F" w:rsidP="00524E98">
      <w:pPr>
        <w:pStyle w:val="TEKSTI"/>
      </w:pPr>
      <w:r w:rsidRPr="007114AF">
        <w:t>Masat që lidhen me zbutjen e ndryshimeve klimatike të parashikuara nga dokumentet kryesore të përgatitura për sektorin bujqësor dhe LUCF-ës konsiderohen gjithashtu si opsione të vlefshme në KTK-ë;</w:t>
      </w:r>
      <w:r w:rsidR="008D30FC" w:rsidRPr="007114AF">
        <w:t xml:space="preserve"> </w:t>
      </w:r>
      <w:r w:rsidRPr="007114AF">
        <w:t>seksioni i analizës së masave zbutëse për bujqësinë dhe pyjet, me një mbivendosje të objektivave koherentë, të tilla si ulja e shkarkimeve nga tokat bujqësore, kullotat dhe bagëtitë; ulja e humbjeve të karbonit nga gjallesa dhe toka; rritja e sekuestrimit të karbonit në toka, gjallesa dhe produkte që jetojnë gjatë.</w:t>
      </w:r>
    </w:p>
    <w:p w14:paraId="6EDCFE47" w14:textId="3A03FAAE" w:rsidR="00A9766F" w:rsidRPr="007114AF" w:rsidRDefault="00A9766F" w:rsidP="00524E98">
      <w:pPr>
        <w:pStyle w:val="TEKSTI"/>
      </w:pPr>
      <w:r w:rsidRPr="007114AF">
        <w:t>Masat synonin zbutjen e efekteve të ndryshimeve klimatike, të cilat konsiderohen në dokumentet ndërsektoriale, të tilla si SMNS, SKZHI-II dhe PKT,</w:t>
      </w:r>
      <w:r w:rsidR="00C15277">
        <w:t xml:space="preserve"> </w:t>
      </w:r>
      <w:r w:rsidRPr="007114AF">
        <w:t>dhe përputhen në mënyrë koherente me masat kryesore të përfshira në dokumentet sektoriale dhe ato mbi bujqësinë dhe LUCF-ë, dhe me masat që synonin promovimin e prodhimit të ushqimit të qëndrueshëm, përmirësimin dhe forcimin e mbrojtjes së natyrës, si dhe ruajtjen e pyjeve dhe kullotave.</w:t>
      </w:r>
    </w:p>
    <w:p w14:paraId="6EDCFE48" w14:textId="77777777" w:rsidR="00A9766F" w:rsidRPr="007114AF" w:rsidRDefault="00A9766F" w:rsidP="00524E98">
      <w:pPr>
        <w:pStyle w:val="TEKSTI"/>
      </w:pPr>
      <w:r w:rsidRPr="007114AF">
        <w:t>Boshllëqet/mungesat, dobësitë dhe konfliktet: Rreziku hipotetik i një rritje të madhe të shkarkimeve GES nga sektori i bujqësisë, për shkak të masave që nxisin prodhimin bujqësor shqiptar dhe konkurrencën në SNBZHR-ë, parandalohet nga qasja e tij e fortë dhe e qëndrueshme ndaj përdorimit të burimeve natyrore. Nga ana tjetër, në sektorin e pyjeve, mungesa e strategjive sektoriale specifike për zhvillimin e pyjeve dhe kullotave, përfaqëson një mangësi thelbësore, veçanërisht duke pasur parasysh faktin se biomasa e pyjeve drusore konsiderohet si burim alternativ i energjisë për ngrohje, siç parashikohet nga masat e përfshira në KTK-ë dhe BER. Ashtu sikurse theksohet edhe nga projektligji mbi Administrimin e Fondit Kombëtar të Pyjeve dhe Kullotave në Republikën e Shqipërisë, do të duhej një qasje e bashkërenduar me qëllim parandalimin e shfrytëzimit të burimeve pyjore.</w:t>
      </w:r>
    </w:p>
    <w:p w14:paraId="6EDCFE49" w14:textId="1DBA1867" w:rsidR="00A9766F" w:rsidRPr="007114AF" w:rsidRDefault="00524E98" w:rsidP="00206985">
      <w:pPr>
        <w:pStyle w:val="TEKSTI"/>
        <w:rPr>
          <w:b/>
        </w:rPr>
      </w:pPr>
      <w:bookmarkStart w:id="137" w:name="_Toc484424504"/>
      <w:r w:rsidRPr="007114AF">
        <w:rPr>
          <w:b/>
        </w:rPr>
        <w:t xml:space="preserve">4.2 </w:t>
      </w:r>
      <w:r w:rsidR="00A9766F" w:rsidRPr="007114AF">
        <w:rPr>
          <w:b/>
        </w:rPr>
        <w:t>Objektivat kryesor</w:t>
      </w:r>
      <w:r w:rsidR="00163F78">
        <w:rPr>
          <w:b/>
        </w:rPr>
        <w:t>ë</w:t>
      </w:r>
      <w:r w:rsidR="00A9766F" w:rsidRPr="007114AF">
        <w:rPr>
          <w:b/>
        </w:rPr>
        <w:t xml:space="preserve"> për trajtimin e zbutjes së efekteve prej ndryshimeve klimatike</w:t>
      </w:r>
      <w:bookmarkEnd w:id="137"/>
    </w:p>
    <w:p w14:paraId="6EDCFE4A" w14:textId="0AED756A" w:rsidR="00A9766F" w:rsidRPr="007114AF" w:rsidRDefault="00A9766F" w:rsidP="00524E98">
      <w:pPr>
        <w:pStyle w:val="TEKSTI"/>
        <w:rPr>
          <w:rFonts w:eastAsia="Times New Roman" w:cs="Times New Roman"/>
          <w:b/>
          <w:bCs/>
          <w:sz w:val="20"/>
          <w:szCs w:val="20"/>
        </w:rPr>
      </w:pPr>
      <w:r w:rsidRPr="007114AF">
        <w:t>Për të siguruar që politikat dhe instrumentet e Qeverisë</w:t>
      </w:r>
      <w:r w:rsidR="00C15277">
        <w:t xml:space="preserve"> </w:t>
      </w:r>
      <w:r w:rsidRPr="007114AF">
        <w:t>shqiptare përpiqen të orientohen drejt një ekonomie me nivel të ulët të karbonit, më poshtë janë identifikuar një grup objektivash kryesore të nevojshme për t</w:t>
      </w:r>
      <w:r w:rsidR="00D10DAB" w:rsidRPr="007114AF">
        <w:t>’</w:t>
      </w:r>
      <w:r w:rsidRPr="007114AF">
        <w:t>iu përgjigjur gjashtë prioriteteve të identifikuara të</w:t>
      </w:r>
      <w:r w:rsidR="00C15277">
        <w:t xml:space="preserve"> </w:t>
      </w:r>
      <w:r w:rsidRPr="007114AF">
        <w:t>SKZNK-ës</w:t>
      </w:r>
      <w:r w:rsidR="00C15277">
        <w:t xml:space="preserve"> </w:t>
      </w:r>
      <w:r w:rsidRPr="007114AF">
        <w:rPr>
          <w:bCs/>
        </w:rPr>
        <w:t>(tabela 13).</w:t>
      </w:r>
    </w:p>
    <w:p w14:paraId="6EDCFE4B" w14:textId="52BE2B4A" w:rsidR="00A9766F" w:rsidRPr="007114AF" w:rsidRDefault="00A9766F" w:rsidP="00524E98">
      <w:pPr>
        <w:pStyle w:val="FIGURA"/>
      </w:pPr>
      <w:r w:rsidRPr="007114AF">
        <w:rPr>
          <w:sz w:val="20"/>
          <w:szCs w:val="20"/>
        </w:rPr>
        <w:t xml:space="preserve">Tabela </w:t>
      </w:r>
      <w:r w:rsidRPr="007114AF">
        <w:rPr>
          <w:sz w:val="20"/>
          <w:szCs w:val="20"/>
        </w:rPr>
        <w:fldChar w:fldCharType="begin"/>
      </w:r>
      <w:r w:rsidRPr="007114AF">
        <w:rPr>
          <w:sz w:val="20"/>
          <w:szCs w:val="20"/>
        </w:rPr>
        <w:instrText xml:space="preserve"> SEQ Table \* ARABIC </w:instrText>
      </w:r>
      <w:r w:rsidRPr="007114AF">
        <w:rPr>
          <w:sz w:val="20"/>
          <w:szCs w:val="20"/>
        </w:rPr>
        <w:fldChar w:fldCharType="separate"/>
      </w:r>
      <w:r w:rsidRPr="007114AF">
        <w:rPr>
          <w:sz w:val="20"/>
          <w:szCs w:val="20"/>
        </w:rPr>
        <w:t>13</w:t>
      </w:r>
      <w:r w:rsidRPr="007114AF">
        <w:rPr>
          <w:sz w:val="20"/>
          <w:szCs w:val="20"/>
        </w:rPr>
        <w:fldChar w:fldCharType="end"/>
      </w:r>
      <w:r w:rsidR="00C15277">
        <w:rPr>
          <w:sz w:val="20"/>
          <w:szCs w:val="20"/>
        </w:rPr>
        <w:t xml:space="preserve"> </w:t>
      </w:r>
      <w:r w:rsidRPr="007114AF">
        <w:rPr>
          <w:sz w:val="20"/>
          <w:szCs w:val="20"/>
        </w:rPr>
        <w:t>– Objektivat e politikave kryesore dhe lidhja e tyre me prioritetet strategjike</w:t>
      </w:r>
      <w:r w:rsidRPr="007114AF">
        <w:t>.</w:t>
      </w:r>
    </w:p>
    <w:tbl>
      <w:tblPr>
        <w:tblStyle w:val="GridTable1Light-Accent11"/>
        <w:tblW w:w="5000" w:type="pct"/>
        <w:tblLook w:val="04A0" w:firstRow="1" w:lastRow="0" w:firstColumn="1" w:lastColumn="0" w:noHBand="0" w:noVBand="1"/>
      </w:tblPr>
      <w:tblGrid>
        <w:gridCol w:w="7354"/>
        <w:gridCol w:w="1933"/>
      </w:tblGrid>
      <w:tr w:rsidR="00A9766F" w:rsidRPr="007114AF" w14:paraId="6EDCFE4E" w14:textId="77777777" w:rsidTr="00A9766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4C" w14:textId="77777777" w:rsidR="00A9766F" w:rsidRPr="007114AF" w:rsidRDefault="00A9766F" w:rsidP="00721B1B">
            <w:pPr>
              <w:spacing w:after="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Objektivi i politikave kryesore</w:t>
            </w:r>
          </w:p>
        </w:tc>
        <w:tc>
          <w:tcPr>
            <w:tcW w:w="1083" w:type="pct"/>
            <w:noWrap/>
            <w:vAlign w:val="center"/>
            <w:hideMark/>
          </w:tcPr>
          <w:p w14:paraId="6EDCFE4D" w14:textId="77777777" w:rsidR="00A9766F" w:rsidRPr="007114AF" w:rsidRDefault="00A9766F" w:rsidP="00721B1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Lidhja me Prioritetet Strategjike (SP)</w:t>
            </w:r>
          </w:p>
        </w:tc>
      </w:tr>
      <w:tr w:rsidR="00A9766F" w:rsidRPr="007114AF" w14:paraId="6EDCFE51" w14:textId="77777777" w:rsidTr="00A9766F">
        <w:trPr>
          <w:trHeight w:val="38"/>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4F" w14:textId="77777777" w:rsidR="00A9766F" w:rsidRPr="007114AF" w:rsidRDefault="00A9766F" w:rsidP="00037830">
            <w:pPr>
              <w:pStyle w:val="ListParagraph"/>
              <w:numPr>
                <w:ilvl w:val="0"/>
                <w:numId w:val="11"/>
              </w:numPr>
              <w:spacing w:before="0" w:after="0"/>
              <w:ind w:left="0" w:firstLine="0"/>
              <w:rPr>
                <w:rFonts w:ascii="Garamond" w:hAnsi="Garamond"/>
                <w:b w:val="0"/>
                <w:color w:val="000000"/>
                <w:sz w:val="18"/>
                <w:szCs w:val="18"/>
              </w:rPr>
            </w:pPr>
            <w:r w:rsidRPr="007114AF">
              <w:rPr>
                <w:rFonts w:ascii="Garamond" w:hAnsi="Garamond"/>
                <w:color w:val="000000"/>
                <w:sz w:val="18"/>
                <w:szCs w:val="18"/>
              </w:rPr>
              <w:t>P</w:t>
            </w:r>
            <w:r w:rsidRPr="007114AF">
              <w:rPr>
                <w:rFonts w:ascii="Garamond" w:hAnsi="Garamond" w:cs="Calibri"/>
                <w:color w:val="000000"/>
                <w:sz w:val="18"/>
                <w:szCs w:val="18"/>
              </w:rPr>
              <w:t>ërpjekja për të përmbushur Kontributin e Synuar të Përcaktuar në Nivel Kombëtar në kuadrin e Marrëveshjes së Parisit.</w:t>
            </w:r>
          </w:p>
        </w:tc>
        <w:tc>
          <w:tcPr>
            <w:tcW w:w="1083" w:type="pct"/>
            <w:noWrap/>
            <w:vAlign w:val="center"/>
            <w:hideMark/>
          </w:tcPr>
          <w:p w14:paraId="6EDCFE50"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SP.1</w:t>
            </w:r>
          </w:p>
        </w:tc>
      </w:tr>
      <w:tr w:rsidR="00A9766F" w:rsidRPr="007114AF" w14:paraId="6EDCFE54" w14:textId="77777777" w:rsidTr="00A9766F">
        <w:trPr>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52" w14:textId="77777777" w:rsidR="00A9766F" w:rsidRPr="007114AF" w:rsidRDefault="00A9766F" w:rsidP="00037830">
            <w:pPr>
              <w:pStyle w:val="ListParagraph"/>
              <w:numPr>
                <w:ilvl w:val="0"/>
                <w:numId w:val="11"/>
              </w:numPr>
              <w:spacing w:before="0" w:after="0"/>
              <w:ind w:left="0" w:firstLine="0"/>
              <w:rPr>
                <w:rFonts w:ascii="Garamond" w:hAnsi="Garamond"/>
                <w:b w:val="0"/>
                <w:color w:val="000000"/>
                <w:sz w:val="18"/>
                <w:szCs w:val="18"/>
              </w:rPr>
            </w:pPr>
            <w:r w:rsidRPr="007114AF">
              <w:rPr>
                <w:rFonts w:ascii="Garamond" w:hAnsi="Garamond"/>
                <w:color w:val="000000"/>
                <w:sz w:val="18"/>
                <w:szCs w:val="18"/>
              </w:rPr>
              <w:t>Forcimi i kapaciteteve t</w:t>
            </w:r>
            <w:r w:rsidRPr="007114AF">
              <w:rPr>
                <w:rFonts w:ascii="Garamond" w:hAnsi="Garamond" w:cs="Calibri"/>
                <w:color w:val="000000"/>
                <w:sz w:val="18"/>
                <w:szCs w:val="18"/>
              </w:rPr>
              <w:t>ë institucioneve përkatëse dhe bashkëpunimi ndër</w:t>
            </w:r>
            <w:r w:rsidRPr="007114AF">
              <w:rPr>
                <w:rFonts w:ascii="Garamond" w:hAnsi="Garamond"/>
                <w:color w:val="000000"/>
                <w:sz w:val="18"/>
                <w:szCs w:val="18"/>
              </w:rPr>
              <w:t>institucional p</w:t>
            </w:r>
            <w:r w:rsidRPr="007114AF">
              <w:rPr>
                <w:rFonts w:ascii="Garamond" w:hAnsi="Garamond" w:cs="Calibri"/>
                <w:color w:val="000000"/>
                <w:sz w:val="18"/>
                <w:szCs w:val="18"/>
              </w:rPr>
              <w:t>ër trajtimin e zbutjes së ndryshimeve klimatike.</w:t>
            </w:r>
          </w:p>
        </w:tc>
        <w:tc>
          <w:tcPr>
            <w:tcW w:w="1083" w:type="pct"/>
            <w:noWrap/>
            <w:vAlign w:val="center"/>
            <w:hideMark/>
          </w:tcPr>
          <w:p w14:paraId="6EDCFE53"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SP.3; SP.4; SP.5</w:t>
            </w:r>
          </w:p>
        </w:tc>
      </w:tr>
      <w:tr w:rsidR="00A9766F" w:rsidRPr="007114AF" w14:paraId="6EDCFE57" w14:textId="77777777" w:rsidTr="00A9766F">
        <w:trPr>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55" w14:textId="77777777" w:rsidR="00A9766F" w:rsidRPr="007114AF" w:rsidRDefault="00A9766F" w:rsidP="00037830">
            <w:pPr>
              <w:pStyle w:val="ListParagraph"/>
              <w:numPr>
                <w:ilvl w:val="0"/>
                <w:numId w:val="11"/>
              </w:numPr>
              <w:spacing w:before="0" w:after="0"/>
              <w:ind w:left="0" w:firstLine="0"/>
              <w:rPr>
                <w:rFonts w:ascii="Garamond" w:hAnsi="Garamond"/>
                <w:b w:val="0"/>
                <w:color w:val="000000"/>
                <w:sz w:val="18"/>
                <w:szCs w:val="18"/>
              </w:rPr>
            </w:pPr>
            <w:r w:rsidRPr="007114AF">
              <w:rPr>
                <w:rFonts w:ascii="Garamond" w:hAnsi="Garamond"/>
                <w:color w:val="000000"/>
                <w:sz w:val="18"/>
                <w:szCs w:val="18"/>
              </w:rPr>
              <w:t>Krijimi i sistemit t</w:t>
            </w:r>
            <w:r w:rsidRPr="007114AF">
              <w:rPr>
                <w:rFonts w:ascii="Garamond" w:hAnsi="Garamond" w:cs="Calibri"/>
                <w:color w:val="000000"/>
                <w:sz w:val="18"/>
                <w:szCs w:val="18"/>
              </w:rPr>
              <w:t xml:space="preserve">ë të dhënave dhe sistemeve </w:t>
            </w:r>
            <w:r w:rsidRPr="007114AF">
              <w:rPr>
                <w:rFonts w:ascii="Garamond" w:hAnsi="Garamond"/>
                <w:color w:val="000000"/>
                <w:sz w:val="18"/>
                <w:szCs w:val="18"/>
              </w:rPr>
              <w:t>MRV p</w:t>
            </w:r>
            <w:r w:rsidRPr="007114AF">
              <w:rPr>
                <w:rFonts w:ascii="Garamond" w:hAnsi="Garamond" w:cs="Calibri"/>
                <w:color w:val="000000"/>
                <w:sz w:val="18"/>
                <w:szCs w:val="18"/>
              </w:rPr>
              <w:t>ër inventarin vjetor GES,</w:t>
            </w:r>
            <w:r w:rsidRPr="007114AF">
              <w:rPr>
                <w:rFonts w:ascii="Garamond" w:hAnsi="Garamond"/>
                <w:color w:val="000000"/>
                <w:sz w:val="18"/>
                <w:szCs w:val="18"/>
              </w:rPr>
              <w:t xml:space="preserve"> n</w:t>
            </w:r>
            <w:r w:rsidRPr="007114AF">
              <w:rPr>
                <w:rFonts w:ascii="Garamond" w:hAnsi="Garamond" w:cs="Calibri"/>
                <w:color w:val="000000"/>
                <w:sz w:val="18"/>
                <w:szCs w:val="18"/>
              </w:rPr>
              <w:t xml:space="preserve">ë përputhje me kërkesat e raportimit të BE-së dhe </w:t>
            </w:r>
            <w:r w:rsidRPr="007114AF">
              <w:rPr>
                <w:rFonts w:ascii="Garamond" w:hAnsi="Garamond"/>
                <w:color w:val="000000"/>
                <w:sz w:val="18"/>
                <w:szCs w:val="18"/>
              </w:rPr>
              <w:t>UNFCCC –së.</w:t>
            </w:r>
          </w:p>
        </w:tc>
        <w:tc>
          <w:tcPr>
            <w:tcW w:w="1083" w:type="pct"/>
            <w:noWrap/>
            <w:vAlign w:val="center"/>
            <w:hideMark/>
          </w:tcPr>
          <w:p w14:paraId="6EDCFE56"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SP.2; SP.5</w:t>
            </w:r>
          </w:p>
        </w:tc>
      </w:tr>
      <w:tr w:rsidR="00A9766F" w:rsidRPr="007114AF" w14:paraId="6EDCFE5A" w14:textId="77777777" w:rsidTr="00A9766F">
        <w:trPr>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58" w14:textId="77777777" w:rsidR="00A9766F" w:rsidRPr="007114AF" w:rsidRDefault="00A9766F" w:rsidP="00037830">
            <w:pPr>
              <w:pStyle w:val="ListParagraph"/>
              <w:numPr>
                <w:ilvl w:val="0"/>
                <w:numId w:val="11"/>
              </w:numPr>
              <w:spacing w:before="0" w:after="0"/>
              <w:ind w:left="0" w:firstLine="0"/>
              <w:rPr>
                <w:rFonts w:ascii="Garamond" w:hAnsi="Garamond"/>
                <w:b w:val="0"/>
                <w:color w:val="000000"/>
                <w:sz w:val="18"/>
                <w:szCs w:val="18"/>
              </w:rPr>
            </w:pPr>
            <w:r w:rsidRPr="007114AF">
              <w:rPr>
                <w:rFonts w:ascii="Garamond" w:hAnsi="Garamond"/>
                <w:color w:val="000000"/>
                <w:sz w:val="18"/>
                <w:szCs w:val="18"/>
              </w:rPr>
              <w:t xml:space="preserve">Nxitja e </w:t>
            </w:r>
            <w:r w:rsidRPr="007114AF">
              <w:rPr>
                <w:rFonts w:ascii="Garamond" w:hAnsi="Garamond" w:cs="Calibri"/>
                <w:color w:val="000000"/>
                <w:sz w:val="18"/>
                <w:szCs w:val="18"/>
              </w:rPr>
              <w:t>aktiviteteve ndërgjegjësuese dhe edukuese që mbështetin veprimet e uljes së shkarkimeve.</w:t>
            </w:r>
          </w:p>
        </w:tc>
        <w:tc>
          <w:tcPr>
            <w:tcW w:w="1083" w:type="pct"/>
            <w:noWrap/>
            <w:vAlign w:val="center"/>
            <w:hideMark/>
          </w:tcPr>
          <w:p w14:paraId="6EDCFE59"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SP.1; SP.5</w:t>
            </w:r>
          </w:p>
        </w:tc>
      </w:tr>
      <w:tr w:rsidR="00A9766F" w:rsidRPr="007114AF" w14:paraId="6EDCFE5D" w14:textId="77777777" w:rsidTr="00A9766F">
        <w:trPr>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5B" w14:textId="77777777" w:rsidR="00A9766F" w:rsidRPr="007114AF" w:rsidRDefault="00A9766F" w:rsidP="00037830">
            <w:pPr>
              <w:pStyle w:val="ListParagraph"/>
              <w:numPr>
                <w:ilvl w:val="0"/>
                <w:numId w:val="11"/>
              </w:numPr>
              <w:spacing w:before="0" w:after="0"/>
              <w:ind w:left="0" w:firstLine="0"/>
              <w:rPr>
                <w:rFonts w:ascii="Garamond" w:hAnsi="Garamond"/>
                <w:b w:val="0"/>
                <w:color w:val="000000"/>
                <w:sz w:val="18"/>
                <w:szCs w:val="18"/>
              </w:rPr>
            </w:pPr>
            <w:r w:rsidRPr="007114AF">
              <w:rPr>
                <w:rFonts w:ascii="Garamond" w:hAnsi="Garamond"/>
                <w:color w:val="000000"/>
                <w:sz w:val="18"/>
                <w:szCs w:val="18"/>
              </w:rPr>
              <w:t xml:space="preserve">Nxitja e eficiencës së </w:t>
            </w:r>
            <w:r w:rsidRPr="007114AF">
              <w:rPr>
                <w:rFonts w:ascii="Garamond" w:hAnsi="Garamond" w:cs="Calibri"/>
                <w:color w:val="000000"/>
                <w:sz w:val="18"/>
                <w:szCs w:val="18"/>
              </w:rPr>
              <w:t>energjisë.</w:t>
            </w:r>
          </w:p>
        </w:tc>
        <w:tc>
          <w:tcPr>
            <w:tcW w:w="1083" w:type="pct"/>
            <w:noWrap/>
            <w:vAlign w:val="center"/>
            <w:hideMark/>
          </w:tcPr>
          <w:p w14:paraId="6EDCFE5C"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SP.1; SP.6</w:t>
            </w:r>
          </w:p>
        </w:tc>
      </w:tr>
      <w:tr w:rsidR="00A9766F" w:rsidRPr="007114AF" w14:paraId="6EDCFE60" w14:textId="77777777" w:rsidTr="00A9766F">
        <w:trPr>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5E" w14:textId="2EFCB76C" w:rsidR="00A9766F" w:rsidRPr="007114AF" w:rsidRDefault="00A9766F" w:rsidP="00037830">
            <w:pPr>
              <w:pStyle w:val="ListParagraph"/>
              <w:numPr>
                <w:ilvl w:val="0"/>
                <w:numId w:val="11"/>
              </w:numPr>
              <w:spacing w:before="0" w:after="0"/>
              <w:ind w:left="0" w:firstLine="0"/>
              <w:rPr>
                <w:rFonts w:ascii="Garamond" w:hAnsi="Garamond"/>
                <w:b w:val="0"/>
                <w:color w:val="000000"/>
                <w:sz w:val="18"/>
                <w:szCs w:val="18"/>
              </w:rPr>
            </w:pPr>
            <w:r w:rsidRPr="007114AF">
              <w:rPr>
                <w:rFonts w:ascii="Garamond" w:hAnsi="Garamond"/>
                <w:color w:val="000000"/>
                <w:sz w:val="18"/>
                <w:szCs w:val="18"/>
              </w:rPr>
              <w:t>Nxitja e</w:t>
            </w:r>
            <w:r w:rsidR="000A2A01" w:rsidRPr="007114AF">
              <w:rPr>
                <w:rFonts w:ascii="Garamond" w:hAnsi="Garamond"/>
                <w:color w:val="000000"/>
                <w:sz w:val="18"/>
                <w:szCs w:val="18"/>
              </w:rPr>
              <w:t xml:space="preserve"> </w:t>
            </w:r>
            <w:r w:rsidRPr="007114AF">
              <w:rPr>
                <w:rFonts w:ascii="Garamond" w:hAnsi="Garamond" w:cs="Calibri"/>
                <w:color w:val="000000"/>
                <w:sz w:val="18"/>
                <w:szCs w:val="18"/>
              </w:rPr>
              <w:t xml:space="preserve">Burimeve të </w:t>
            </w:r>
            <w:r w:rsidRPr="007114AF">
              <w:rPr>
                <w:rFonts w:ascii="Garamond" w:hAnsi="Garamond"/>
                <w:color w:val="000000"/>
                <w:sz w:val="18"/>
                <w:szCs w:val="18"/>
              </w:rPr>
              <w:t>Q</w:t>
            </w:r>
            <w:r w:rsidRPr="007114AF">
              <w:rPr>
                <w:rFonts w:ascii="Garamond" w:hAnsi="Garamond" w:cs="Calibri"/>
                <w:color w:val="000000"/>
                <w:sz w:val="18"/>
                <w:szCs w:val="18"/>
              </w:rPr>
              <w:t>ëndrueshme të Energjisë së Rinovueshme.</w:t>
            </w:r>
          </w:p>
        </w:tc>
        <w:tc>
          <w:tcPr>
            <w:tcW w:w="1083" w:type="pct"/>
            <w:noWrap/>
            <w:vAlign w:val="center"/>
            <w:hideMark/>
          </w:tcPr>
          <w:p w14:paraId="6EDCFE5F"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SP.1; SP.6</w:t>
            </w:r>
          </w:p>
        </w:tc>
      </w:tr>
      <w:tr w:rsidR="00A9766F" w:rsidRPr="007114AF" w14:paraId="6EDCFE63" w14:textId="77777777" w:rsidTr="00A9766F">
        <w:trPr>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61" w14:textId="77777777" w:rsidR="00A9766F" w:rsidRPr="007114AF" w:rsidRDefault="00A9766F" w:rsidP="00037830">
            <w:pPr>
              <w:pStyle w:val="ListParagraph"/>
              <w:numPr>
                <w:ilvl w:val="0"/>
                <w:numId w:val="11"/>
              </w:numPr>
              <w:spacing w:before="0" w:after="0"/>
              <w:ind w:left="0" w:firstLine="0"/>
              <w:rPr>
                <w:rFonts w:ascii="Garamond" w:hAnsi="Garamond"/>
                <w:b w:val="0"/>
                <w:color w:val="000000"/>
                <w:sz w:val="18"/>
                <w:szCs w:val="18"/>
              </w:rPr>
            </w:pPr>
            <w:r w:rsidRPr="007114AF">
              <w:rPr>
                <w:rFonts w:ascii="Garamond" w:hAnsi="Garamond"/>
                <w:color w:val="000000"/>
                <w:sz w:val="18"/>
                <w:szCs w:val="18"/>
              </w:rPr>
              <w:t>Nxitja e m</w:t>
            </w:r>
            <w:r w:rsidRPr="007114AF">
              <w:rPr>
                <w:rFonts w:ascii="Garamond" w:hAnsi="Garamond" w:cs="Calibri"/>
                <w:color w:val="000000"/>
                <w:sz w:val="18"/>
                <w:szCs w:val="18"/>
              </w:rPr>
              <w:t>ënyrave të qëndrueshme të transportit.</w:t>
            </w:r>
          </w:p>
        </w:tc>
        <w:tc>
          <w:tcPr>
            <w:tcW w:w="1083" w:type="pct"/>
            <w:noWrap/>
            <w:vAlign w:val="center"/>
            <w:hideMark/>
          </w:tcPr>
          <w:p w14:paraId="6EDCFE62"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SP.1; SP.6</w:t>
            </w:r>
          </w:p>
        </w:tc>
      </w:tr>
      <w:tr w:rsidR="00A9766F" w:rsidRPr="007114AF" w14:paraId="6EDCFE66" w14:textId="77777777" w:rsidTr="00A9766F">
        <w:trPr>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64" w14:textId="77777777" w:rsidR="00A9766F" w:rsidRPr="007114AF" w:rsidRDefault="00A9766F" w:rsidP="00037830">
            <w:pPr>
              <w:pStyle w:val="ListParagraph"/>
              <w:numPr>
                <w:ilvl w:val="0"/>
                <w:numId w:val="11"/>
              </w:numPr>
              <w:spacing w:before="0" w:after="0"/>
              <w:ind w:left="0" w:firstLine="0"/>
              <w:rPr>
                <w:rFonts w:ascii="Garamond" w:hAnsi="Garamond"/>
                <w:b w:val="0"/>
                <w:color w:val="000000"/>
                <w:sz w:val="18"/>
                <w:szCs w:val="18"/>
              </w:rPr>
            </w:pPr>
            <w:r w:rsidRPr="007114AF">
              <w:rPr>
                <w:rFonts w:ascii="Garamond" w:hAnsi="Garamond"/>
                <w:color w:val="000000"/>
                <w:sz w:val="18"/>
                <w:szCs w:val="18"/>
              </w:rPr>
              <w:t>Nxitja e nj</w:t>
            </w:r>
            <w:r w:rsidRPr="007114AF">
              <w:rPr>
                <w:rFonts w:ascii="Garamond" w:hAnsi="Garamond" w:cs="Calibri"/>
                <w:color w:val="000000"/>
                <w:sz w:val="18"/>
                <w:szCs w:val="18"/>
              </w:rPr>
              <w:t>ë sistemi mjetesh miqësore me mjedisin.</w:t>
            </w:r>
          </w:p>
        </w:tc>
        <w:tc>
          <w:tcPr>
            <w:tcW w:w="1083" w:type="pct"/>
            <w:noWrap/>
            <w:vAlign w:val="center"/>
            <w:hideMark/>
          </w:tcPr>
          <w:p w14:paraId="6EDCFE65"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SP.1; SP.6</w:t>
            </w:r>
          </w:p>
        </w:tc>
      </w:tr>
      <w:tr w:rsidR="00A9766F" w:rsidRPr="007114AF" w14:paraId="6EDCFE69" w14:textId="77777777" w:rsidTr="00A9766F">
        <w:trPr>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67" w14:textId="77777777" w:rsidR="00A9766F" w:rsidRPr="007114AF" w:rsidRDefault="00A9766F" w:rsidP="00037830">
            <w:pPr>
              <w:pStyle w:val="ListParagraph"/>
              <w:numPr>
                <w:ilvl w:val="0"/>
                <w:numId w:val="11"/>
              </w:numPr>
              <w:spacing w:before="0" w:after="0"/>
              <w:ind w:left="0" w:firstLine="0"/>
              <w:rPr>
                <w:rFonts w:ascii="Garamond" w:hAnsi="Garamond"/>
                <w:b w:val="0"/>
                <w:color w:val="000000"/>
                <w:sz w:val="18"/>
                <w:szCs w:val="18"/>
              </w:rPr>
            </w:pPr>
            <w:r w:rsidRPr="007114AF">
              <w:rPr>
                <w:rFonts w:ascii="Garamond" w:hAnsi="Garamond"/>
                <w:color w:val="000000"/>
                <w:sz w:val="18"/>
                <w:szCs w:val="18"/>
              </w:rPr>
              <w:t>Nxitja e shkarkimeve t</w:t>
            </w:r>
            <w:r w:rsidRPr="007114AF">
              <w:rPr>
                <w:rFonts w:ascii="Garamond" w:hAnsi="Garamond" w:cs="Calibri"/>
                <w:color w:val="000000"/>
                <w:sz w:val="18"/>
                <w:szCs w:val="18"/>
              </w:rPr>
              <w:t>ë ulëta të qëndrueshme për prodhimin e ushqimit.</w:t>
            </w:r>
          </w:p>
        </w:tc>
        <w:tc>
          <w:tcPr>
            <w:tcW w:w="1083" w:type="pct"/>
            <w:noWrap/>
            <w:vAlign w:val="center"/>
            <w:hideMark/>
          </w:tcPr>
          <w:p w14:paraId="6EDCFE68"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SP.1; SP.6</w:t>
            </w:r>
          </w:p>
        </w:tc>
      </w:tr>
      <w:tr w:rsidR="00A9766F" w:rsidRPr="007114AF" w14:paraId="6EDCFE6C" w14:textId="77777777" w:rsidTr="00A9766F">
        <w:trPr>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hideMark/>
          </w:tcPr>
          <w:p w14:paraId="6EDCFE6A" w14:textId="77777777" w:rsidR="00A9766F" w:rsidRPr="007114AF" w:rsidRDefault="00A9766F" w:rsidP="00037830">
            <w:pPr>
              <w:pStyle w:val="ListParagraph"/>
              <w:numPr>
                <w:ilvl w:val="0"/>
                <w:numId w:val="11"/>
              </w:numPr>
              <w:spacing w:before="0" w:after="0"/>
              <w:ind w:left="0" w:firstLine="0"/>
              <w:rPr>
                <w:rFonts w:ascii="Garamond" w:hAnsi="Garamond"/>
                <w:b w:val="0"/>
                <w:color w:val="000000"/>
                <w:sz w:val="18"/>
                <w:szCs w:val="18"/>
              </w:rPr>
            </w:pPr>
            <w:r w:rsidRPr="007114AF">
              <w:rPr>
                <w:rFonts w:ascii="Garamond" w:hAnsi="Garamond" w:cs="Calibri"/>
                <w:color w:val="000000"/>
                <w:sz w:val="18"/>
                <w:szCs w:val="18"/>
              </w:rPr>
              <w:t>Mbajtja në kontroll dhe rritja e</w:t>
            </w:r>
            <w:r w:rsidRPr="007114AF">
              <w:rPr>
                <w:rFonts w:ascii="Garamond" w:hAnsi="Garamond"/>
                <w:color w:val="000000"/>
                <w:sz w:val="18"/>
                <w:szCs w:val="18"/>
              </w:rPr>
              <w:t xml:space="preserve"> p</w:t>
            </w:r>
            <w:r w:rsidRPr="007114AF">
              <w:rPr>
                <w:rFonts w:ascii="Garamond" w:hAnsi="Garamond" w:cs="Calibri"/>
                <w:color w:val="000000"/>
                <w:sz w:val="18"/>
                <w:szCs w:val="18"/>
              </w:rPr>
              <w:t xml:space="preserve">ërmbajtjes së karbonit </w:t>
            </w:r>
            <w:r w:rsidRPr="007114AF">
              <w:rPr>
                <w:rFonts w:ascii="Garamond" w:hAnsi="Garamond"/>
                <w:color w:val="000000"/>
                <w:sz w:val="18"/>
                <w:szCs w:val="18"/>
              </w:rPr>
              <w:t>n</w:t>
            </w:r>
            <w:r w:rsidRPr="007114AF">
              <w:rPr>
                <w:rFonts w:ascii="Garamond" w:hAnsi="Garamond" w:cs="Calibri"/>
                <w:color w:val="000000"/>
                <w:sz w:val="18"/>
                <w:szCs w:val="18"/>
              </w:rPr>
              <w:t>ë tokat bujqësore.</w:t>
            </w:r>
          </w:p>
        </w:tc>
        <w:tc>
          <w:tcPr>
            <w:tcW w:w="1083" w:type="pct"/>
            <w:noWrap/>
            <w:vAlign w:val="center"/>
            <w:hideMark/>
          </w:tcPr>
          <w:p w14:paraId="6EDCFE6B"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SP.1; SP.6</w:t>
            </w:r>
          </w:p>
        </w:tc>
      </w:tr>
      <w:tr w:rsidR="00A9766F" w:rsidRPr="007114AF" w14:paraId="6EDCFE6F" w14:textId="77777777" w:rsidTr="00A9766F">
        <w:trPr>
          <w:trHeight w:val="300"/>
        </w:trPr>
        <w:tc>
          <w:tcPr>
            <w:cnfStyle w:val="001000000000" w:firstRow="0" w:lastRow="0" w:firstColumn="1" w:lastColumn="0" w:oddVBand="0" w:evenVBand="0" w:oddHBand="0" w:evenHBand="0" w:firstRowFirstColumn="0" w:firstRowLastColumn="0" w:lastRowFirstColumn="0" w:lastRowLastColumn="0"/>
            <w:tcW w:w="3917" w:type="pct"/>
            <w:noWrap/>
            <w:vAlign w:val="center"/>
          </w:tcPr>
          <w:p w14:paraId="6EDCFE6D" w14:textId="77777777" w:rsidR="00A9766F" w:rsidRPr="007114AF" w:rsidRDefault="00A9766F" w:rsidP="00037830">
            <w:pPr>
              <w:pStyle w:val="ListParagraph"/>
              <w:numPr>
                <w:ilvl w:val="0"/>
                <w:numId w:val="11"/>
              </w:numPr>
              <w:spacing w:before="0" w:after="0"/>
              <w:ind w:left="0" w:firstLine="0"/>
              <w:rPr>
                <w:rFonts w:ascii="Garamond" w:hAnsi="Garamond"/>
                <w:b w:val="0"/>
                <w:bCs w:val="0"/>
                <w:color w:val="000000"/>
                <w:sz w:val="18"/>
                <w:szCs w:val="18"/>
              </w:rPr>
            </w:pPr>
            <w:r w:rsidRPr="007114AF">
              <w:rPr>
                <w:rFonts w:ascii="Garamond" w:hAnsi="Garamond"/>
                <w:color w:val="000000"/>
                <w:sz w:val="18"/>
                <w:szCs w:val="18"/>
              </w:rPr>
              <w:t>Rritja e potencialit të përthithësve të karbonit dhe mbrojtja e rezervave të karbonit në ekosistemet tokësore.</w:t>
            </w:r>
          </w:p>
        </w:tc>
        <w:tc>
          <w:tcPr>
            <w:tcW w:w="1083" w:type="pct"/>
            <w:noWrap/>
            <w:vAlign w:val="center"/>
          </w:tcPr>
          <w:p w14:paraId="6EDCFE6E" w14:textId="77777777" w:rsidR="00A9766F" w:rsidRPr="007114AF" w:rsidRDefault="00A9766F" w:rsidP="00721B1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SP.1; SP.6</w:t>
            </w:r>
          </w:p>
        </w:tc>
      </w:tr>
    </w:tbl>
    <w:p w14:paraId="6EDCFE70" w14:textId="77777777" w:rsidR="00A9766F" w:rsidRPr="007114AF" w:rsidRDefault="00A9766F" w:rsidP="00524E98">
      <w:pPr>
        <w:pStyle w:val="TEKSTI"/>
      </w:pPr>
    </w:p>
    <w:p w14:paraId="6EDCFE71" w14:textId="284383DF" w:rsidR="00A9766F" w:rsidRPr="007114AF" w:rsidRDefault="00A9766F" w:rsidP="00524E98">
      <w:pPr>
        <w:pStyle w:val="TEKSTI"/>
      </w:pPr>
      <w:r w:rsidRPr="007114AF">
        <w:rPr>
          <w:rFonts w:cstheme="minorHAnsi"/>
        </w:rPr>
        <w:t>Prandaj, objektivat e çdo sektori grupohen sipas njëmbëdhjetë objektivave të politikave kryesore, që tregojnë burimin e dokumenteve ku trajtohet</w:t>
      </w:r>
      <w:r w:rsidRPr="007114AF">
        <w:t>, p</w:t>
      </w:r>
      <w:r w:rsidRPr="007114AF">
        <w:rPr>
          <w:rFonts w:cstheme="minorHAnsi"/>
        </w:rPr>
        <w:t>ër t</w:t>
      </w:r>
      <w:r w:rsidR="00D10DAB" w:rsidRPr="007114AF">
        <w:rPr>
          <w:rFonts w:cstheme="minorHAnsi"/>
        </w:rPr>
        <w:t>’</w:t>
      </w:r>
      <w:r w:rsidRPr="007114AF">
        <w:rPr>
          <w:rFonts w:cstheme="minorHAnsi"/>
        </w:rPr>
        <w:t xml:space="preserve">i siguruar Qeverisë shqiptare një hartë strategjike mbi politikat që duhet të jenë prioritet </w:t>
      </w:r>
      <w:r w:rsidRPr="007114AF">
        <w:t>n</w:t>
      </w:r>
      <w:r w:rsidRPr="007114AF">
        <w:rPr>
          <w:rFonts w:cstheme="minorHAnsi"/>
        </w:rPr>
        <w:t>ë sektorë të ndryshëm në procesin e uljes së nivelit të karbonit</w:t>
      </w:r>
      <w:r w:rsidRPr="007114AF">
        <w:t>.</w:t>
      </w:r>
    </w:p>
    <w:p w14:paraId="6EDCFE72" w14:textId="77777777" w:rsidR="00BC2BE4" w:rsidRPr="007114AF" w:rsidRDefault="00BC2BE4" w:rsidP="00524E98">
      <w:pPr>
        <w:pStyle w:val="TEKSTI"/>
      </w:pPr>
    </w:p>
    <w:p w14:paraId="6EDCFE73" w14:textId="77777777" w:rsidR="0025723E" w:rsidRPr="007114AF" w:rsidRDefault="0025723E" w:rsidP="00524E98">
      <w:pPr>
        <w:pStyle w:val="TEKSTI"/>
      </w:pPr>
    </w:p>
    <w:p w14:paraId="6EDCFE74" w14:textId="77777777" w:rsidR="00721B1B" w:rsidRPr="007114AF" w:rsidRDefault="00721B1B" w:rsidP="00524E98">
      <w:pPr>
        <w:pStyle w:val="TEKSTI"/>
      </w:pPr>
    </w:p>
    <w:p w14:paraId="6EDCFE75" w14:textId="77777777" w:rsidR="00721B1B" w:rsidRPr="007114AF" w:rsidRDefault="00721B1B" w:rsidP="00524E98">
      <w:pPr>
        <w:pStyle w:val="TEKSTI"/>
      </w:pPr>
    </w:p>
    <w:p w14:paraId="6EDCFE76" w14:textId="77777777" w:rsidR="00721B1B" w:rsidRPr="007114AF" w:rsidRDefault="00721B1B" w:rsidP="00524E98">
      <w:pPr>
        <w:pStyle w:val="TEKSTI"/>
      </w:pPr>
    </w:p>
    <w:p w14:paraId="6EDCFE77" w14:textId="77777777" w:rsidR="00721B1B" w:rsidRPr="007114AF" w:rsidRDefault="00721B1B" w:rsidP="00524E98">
      <w:pPr>
        <w:pStyle w:val="TEKSTI"/>
      </w:pPr>
    </w:p>
    <w:p w14:paraId="6EDCFE78" w14:textId="77777777" w:rsidR="00721B1B" w:rsidRPr="007114AF" w:rsidRDefault="00721B1B" w:rsidP="00524E98">
      <w:pPr>
        <w:pStyle w:val="TEKSTI"/>
      </w:pPr>
    </w:p>
    <w:p w14:paraId="6EDCFE79" w14:textId="77777777" w:rsidR="00721B1B" w:rsidRPr="007114AF" w:rsidRDefault="00721B1B" w:rsidP="00524E98">
      <w:pPr>
        <w:pStyle w:val="TEKSTI"/>
      </w:pPr>
    </w:p>
    <w:p w14:paraId="6EDCFE7A" w14:textId="77777777" w:rsidR="00721B1B" w:rsidRPr="007114AF" w:rsidRDefault="00721B1B" w:rsidP="00524E98">
      <w:pPr>
        <w:pStyle w:val="TEKSTI"/>
      </w:pPr>
    </w:p>
    <w:p w14:paraId="6EDCFE7B" w14:textId="77777777" w:rsidR="00721B1B" w:rsidRPr="007114AF" w:rsidRDefault="00721B1B" w:rsidP="00524E98">
      <w:pPr>
        <w:pStyle w:val="TEKSTI"/>
      </w:pPr>
    </w:p>
    <w:p w14:paraId="6EDCFE7C" w14:textId="77777777" w:rsidR="00721B1B" w:rsidRPr="007114AF" w:rsidRDefault="00721B1B" w:rsidP="00524E98">
      <w:pPr>
        <w:pStyle w:val="TEKSTI"/>
      </w:pPr>
    </w:p>
    <w:p w14:paraId="6EDCFE7D" w14:textId="77777777" w:rsidR="00721B1B" w:rsidRPr="007114AF" w:rsidRDefault="00721B1B" w:rsidP="00524E98">
      <w:pPr>
        <w:pStyle w:val="TEKSTI"/>
      </w:pPr>
    </w:p>
    <w:p w14:paraId="6EDCFE7E" w14:textId="77777777" w:rsidR="00721B1B" w:rsidRPr="007114AF" w:rsidRDefault="00721B1B" w:rsidP="00524E98">
      <w:pPr>
        <w:pStyle w:val="TEKSTI"/>
      </w:pPr>
    </w:p>
    <w:p w14:paraId="6EDCFE7F" w14:textId="77777777" w:rsidR="00721B1B" w:rsidRPr="007114AF" w:rsidRDefault="00721B1B" w:rsidP="00524E98">
      <w:pPr>
        <w:pStyle w:val="TEKSTI"/>
      </w:pPr>
    </w:p>
    <w:p w14:paraId="6EDCFE80" w14:textId="77777777" w:rsidR="00721B1B" w:rsidRPr="007114AF" w:rsidRDefault="00721B1B" w:rsidP="00524E98">
      <w:pPr>
        <w:pStyle w:val="TEKSTI"/>
      </w:pPr>
    </w:p>
    <w:p w14:paraId="6EDCFE81" w14:textId="77777777" w:rsidR="00721B1B" w:rsidRPr="007114AF" w:rsidRDefault="00721B1B" w:rsidP="00524E98">
      <w:pPr>
        <w:pStyle w:val="TEKSTI"/>
      </w:pPr>
    </w:p>
    <w:p w14:paraId="6EDCFE82" w14:textId="77777777" w:rsidR="00721B1B" w:rsidRPr="007114AF" w:rsidRDefault="00721B1B" w:rsidP="00524E98">
      <w:pPr>
        <w:pStyle w:val="TEKSTI"/>
      </w:pPr>
    </w:p>
    <w:p w14:paraId="6EDCFE83" w14:textId="77777777" w:rsidR="00721B1B" w:rsidRPr="007114AF" w:rsidRDefault="00721B1B" w:rsidP="00524E98">
      <w:pPr>
        <w:pStyle w:val="TEKSTI"/>
      </w:pPr>
    </w:p>
    <w:p w14:paraId="6EDCFE84" w14:textId="77777777" w:rsidR="00721B1B" w:rsidRPr="007114AF" w:rsidRDefault="00721B1B" w:rsidP="00524E98">
      <w:pPr>
        <w:pStyle w:val="TEKSTI"/>
      </w:pPr>
    </w:p>
    <w:p w14:paraId="6EDCFE85" w14:textId="77777777" w:rsidR="00721B1B" w:rsidRPr="007114AF" w:rsidRDefault="00721B1B" w:rsidP="00524E98">
      <w:pPr>
        <w:pStyle w:val="TEKSTI"/>
      </w:pPr>
    </w:p>
    <w:p w14:paraId="6EDCFE86" w14:textId="77777777" w:rsidR="00721B1B" w:rsidRPr="007114AF" w:rsidRDefault="00721B1B" w:rsidP="00524E98">
      <w:pPr>
        <w:pStyle w:val="TEKSTI"/>
      </w:pPr>
    </w:p>
    <w:p w14:paraId="6EDCFE87" w14:textId="77777777" w:rsidR="00721B1B" w:rsidRPr="007114AF" w:rsidRDefault="00721B1B" w:rsidP="00524E98">
      <w:pPr>
        <w:pStyle w:val="TEKSTI"/>
      </w:pPr>
    </w:p>
    <w:p w14:paraId="6EDCFE88" w14:textId="77777777" w:rsidR="00721B1B" w:rsidRPr="007114AF" w:rsidRDefault="00721B1B" w:rsidP="00524E98">
      <w:pPr>
        <w:pStyle w:val="TEKSTI"/>
      </w:pPr>
    </w:p>
    <w:p w14:paraId="6EDCFE89" w14:textId="77777777" w:rsidR="00721B1B" w:rsidRPr="007114AF" w:rsidRDefault="00721B1B" w:rsidP="00524E98">
      <w:pPr>
        <w:pStyle w:val="TEKSTI"/>
      </w:pPr>
    </w:p>
    <w:p w14:paraId="6EDCFE8A" w14:textId="77777777" w:rsidR="00721B1B" w:rsidRPr="007114AF" w:rsidRDefault="00721B1B" w:rsidP="00524E98">
      <w:pPr>
        <w:pStyle w:val="TEKSTI"/>
      </w:pPr>
    </w:p>
    <w:p w14:paraId="6EDCFE8B" w14:textId="77777777" w:rsidR="00721B1B" w:rsidRPr="007114AF" w:rsidRDefault="00721B1B" w:rsidP="00524E98">
      <w:pPr>
        <w:pStyle w:val="TEKSTI"/>
      </w:pPr>
    </w:p>
    <w:p w14:paraId="6EDCFE8C" w14:textId="77777777" w:rsidR="00721B1B" w:rsidRPr="007114AF" w:rsidRDefault="00721B1B" w:rsidP="00524E98">
      <w:pPr>
        <w:pStyle w:val="TEKSTI"/>
      </w:pPr>
    </w:p>
    <w:p w14:paraId="6EDCFE8D" w14:textId="77777777" w:rsidR="00721B1B" w:rsidRPr="007114AF" w:rsidRDefault="00721B1B" w:rsidP="00524E98">
      <w:pPr>
        <w:pStyle w:val="TEKSTI"/>
      </w:pPr>
    </w:p>
    <w:p w14:paraId="6EDCFE8E" w14:textId="77777777" w:rsidR="00721B1B" w:rsidRPr="007114AF" w:rsidRDefault="00721B1B" w:rsidP="00524E98">
      <w:pPr>
        <w:pStyle w:val="TEKSTI"/>
      </w:pPr>
    </w:p>
    <w:p w14:paraId="6EDCFE8F" w14:textId="77777777" w:rsidR="00721B1B" w:rsidRPr="007114AF" w:rsidRDefault="00721B1B" w:rsidP="00524E98">
      <w:pPr>
        <w:pStyle w:val="TEKSTI"/>
      </w:pPr>
    </w:p>
    <w:p w14:paraId="6EDCFE90" w14:textId="77777777" w:rsidR="00721B1B" w:rsidRPr="007114AF" w:rsidRDefault="00721B1B" w:rsidP="00524E98">
      <w:pPr>
        <w:pStyle w:val="TEKSTI"/>
      </w:pPr>
    </w:p>
    <w:p w14:paraId="6EDCFE91" w14:textId="77777777" w:rsidR="00721B1B" w:rsidRPr="007114AF" w:rsidRDefault="00721B1B" w:rsidP="00524E98">
      <w:pPr>
        <w:pStyle w:val="TEKSTI"/>
      </w:pPr>
    </w:p>
    <w:p w14:paraId="6EDCFE92" w14:textId="77777777" w:rsidR="00721B1B" w:rsidRPr="007114AF" w:rsidRDefault="00721B1B" w:rsidP="00524E98">
      <w:pPr>
        <w:pStyle w:val="TEKSTI"/>
      </w:pPr>
    </w:p>
    <w:p w14:paraId="6EDCFE93" w14:textId="77777777" w:rsidR="00721B1B" w:rsidRPr="007114AF" w:rsidRDefault="00721B1B" w:rsidP="00524E98">
      <w:pPr>
        <w:pStyle w:val="TEKSTI"/>
      </w:pPr>
    </w:p>
    <w:p w14:paraId="6EDCFE94" w14:textId="77777777" w:rsidR="00721B1B" w:rsidRPr="007114AF" w:rsidRDefault="00721B1B" w:rsidP="00524E98">
      <w:pPr>
        <w:pStyle w:val="TEKSTI"/>
      </w:pPr>
    </w:p>
    <w:p w14:paraId="6EDCFE95" w14:textId="77777777" w:rsidR="00721B1B" w:rsidRPr="007114AF" w:rsidRDefault="00721B1B" w:rsidP="00524E98">
      <w:pPr>
        <w:pStyle w:val="TEKSTI"/>
      </w:pPr>
    </w:p>
    <w:p w14:paraId="6EDCFE96" w14:textId="77777777" w:rsidR="00721B1B" w:rsidRPr="007114AF" w:rsidRDefault="00721B1B" w:rsidP="00524E98">
      <w:pPr>
        <w:pStyle w:val="TEKSTI"/>
        <w:sectPr w:rsidR="00721B1B" w:rsidRPr="007114AF" w:rsidSect="00F72723">
          <w:pgSz w:w="11907" w:h="16840" w:code="9"/>
          <w:pgMar w:top="1418" w:right="1418" w:bottom="1418" w:left="1418" w:header="1304" w:footer="1134" w:gutter="0"/>
          <w:cols w:space="720"/>
          <w:docGrid w:linePitch="360"/>
        </w:sectPr>
      </w:pPr>
    </w:p>
    <w:p w14:paraId="6EDCFE97" w14:textId="232FF2BB" w:rsidR="00291489" w:rsidRPr="007114AF" w:rsidRDefault="00291489" w:rsidP="00291489">
      <w:pPr>
        <w:pStyle w:val="FIGURA"/>
      </w:pPr>
      <w:r w:rsidRPr="007114AF">
        <w:t xml:space="preserve">Tabela </w:t>
      </w:r>
      <w:r w:rsidRPr="007114AF">
        <w:fldChar w:fldCharType="begin"/>
      </w:r>
      <w:r w:rsidRPr="007114AF">
        <w:instrText xml:space="preserve"> SEQ Table \* ARABIC </w:instrText>
      </w:r>
      <w:r w:rsidRPr="007114AF">
        <w:fldChar w:fldCharType="separate"/>
      </w:r>
      <w:r w:rsidRPr="007114AF">
        <w:t>14</w:t>
      </w:r>
      <w:r w:rsidRPr="007114AF">
        <w:fldChar w:fldCharType="end"/>
      </w:r>
      <w:r w:rsidR="00C15277">
        <w:t xml:space="preserve"> </w:t>
      </w:r>
      <w:r w:rsidRPr="007114AF">
        <w:t>– Lista e objektivave</w:t>
      </w:r>
      <w:r w:rsidR="00C15277">
        <w:t xml:space="preserve"> </w:t>
      </w:r>
      <w:r w:rsidRPr="007114AF">
        <w:t>kryesor</w:t>
      </w:r>
      <w:r w:rsidR="00163F78">
        <w:t>ë</w:t>
      </w:r>
      <w:r w:rsidRPr="007114AF">
        <w:t xml:space="preserve"> politik</w:t>
      </w:r>
      <w:r w:rsidR="00163F78">
        <w:t>ë</w:t>
      </w:r>
      <w:r w:rsidR="00C15277">
        <w:t xml:space="preserve"> </w:t>
      </w:r>
      <w:r w:rsidRPr="007114AF">
        <w:t>që lidhen me objektiva specifikë për secilin sektor dhe burim</w:t>
      </w:r>
    </w:p>
    <w:tbl>
      <w:tblPr>
        <w:tblStyle w:val="Sfondomedio1-Colore11"/>
        <w:tblW w:w="5000" w:type="pct"/>
        <w:tblLayout w:type="fixed"/>
        <w:tblLook w:val="04A0" w:firstRow="1" w:lastRow="0" w:firstColumn="1" w:lastColumn="0" w:noHBand="0" w:noVBand="1"/>
      </w:tblPr>
      <w:tblGrid>
        <w:gridCol w:w="2658"/>
        <w:gridCol w:w="8319"/>
        <w:gridCol w:w="919"/>
        <w:gridCol w:w="2324"/>
      </w:tblGrid>
      <w:tr w:rsidR="008A4207" w:rsidRPr="007114AF" w14:paraId="6EDCFE9B" w14:textId="77777777" w:rsidTr="001C467C">
        <w:trPr>
          <w:trHeight w:val="20"/>
        </w:trPr>
        <w:tc>
          <w:tcPr>
            <w:tcW w:w="935" w:type="pct"/>
            <w:noWrap/>
            <w:vAlign w:val="center"/>
            <w:hideMark/>
          </w:tcPr>
          <w:p w14:paraId="6EDCFE98" w14:textId="77777777" w:rsidR="008A4207" w:rsidRPr="007114AF" w:rsidRDefault="008A4207" w:rsidP="001C467C">
            <w:pPr>
              <w:spacing w:after="0"/>
              <w:rPr>
                <w:rFonts w:ascii="Garamond" w:hAnsi="Garamond"/>
                <w:b/>
                <w:bCs/>
                <w:i/>
                <w:iCs/>
                <w:color w:val="000000" w:themeColor="text1"/>
                <w:u w:val="single"/>
              </w:rPr>
            </w:pPr>
            <w:r w:rsidRPr="007114AF">
              <w:rPr>
                <w:rFonts w:ascii="Garamond" w:hAnsi="Garamond"/>
                <w:b/>
                <w:bCs/>
                <w:i/>
                <w:iCs/>
                <w:color w:val="000000" w:themeColor="text1"/>
                <w:u w:val="single"/>
              </w:rPr>
              <w:t>Objektivi kryesor i politik</w:t>
            </w:r>
            <w:r w:rsidRPr="007114AF">
              <w:rPr>
                <w:rFonts w:ascii="Garamond" w:hAnsi="Garamond" w:cstheme="minorHAnsi"/>
                <w:b/>
                <w:bCs/>
                <w:i/>
                <w:iCs/>
                <w:color w:val="000000" w:themeColor="text1"/>
                <w:u w:val="single"/>
              </w:rPr>
              <w:t>ë</w:t>
            </w:r>
            <w:r w:rsidRPr="007114AF">
              <w:rPr>
                <w:rFonts w:ascii="Garamond" w:hAnsi="Garamond"/>
                <w:b/>
                <w:bCs/>
                <w:i/>
                <w:iCs/>
                <w:color w:val="000000" w:themeColor="text1"/>
                <w:u w:val="single"/>
              </w:rPr>
              <w:t>s /Sektori</w:t>
            </w:r>
          </w:p>
        </w:tc>
        <w:tc>
          <w:tcPr>
            <w:tcW w:w="2925" w:type="pct"/>
            <w:vAlign w:val="center"/>
            <w:hideMark/>
          </w:tcPr>
          <w:p w14:paraId="6EDCFE99" w14:textId="77777777" w:rsidR="008A4207" w:rsidRPr="007114AF" w:rsidRDefault="008A4207" w:rsidP="001C467C">
            <w:pPr>
              <w:spacing w:after="0"/>
              <w:rPr>
                <w:rFonts w:ascii="Garamond" w:hAnsi="Garamond"/>
                <w:b/>
                <w:bCs/>
                <w:i/>
                <w:iCs/>
                <w:color w:val="000000" w:themeColor="text1"/>
                <w:u w:val="single"/>
              </w:rPr>
            </w:pPr>
            <w:r w:rsidRPr="007114AF">
              <w:rPr>
                <w:rFonts w:ascii="Garamond" w:hAnsi="Garamond"/>
                <w:b/>
                <w:bCs/>
                <w:i/>
                <w:iCs/>
                <w:color w:val="000000" w:themeColor="text1"/>
                <w:u w:val="single"/>
              </w:rPr>
              <w:t>P</w:t>
            </w:r>
            <w:r w:rsidRPr="007114AF">
              <w:rPr>
                <w:rFonts w:ascii="Garamond" w:hAnsi="Garamond" w:cs="Calibri"/>
                <w:b/>
                <w:bCs/>
                <w:i/>
                <w:iCs/>
                <w:color w:val="000000" w:themeColor="text1"/>
                <w:u w:val="single"/>
              </w:rPr>
              <w:t>ë</w:t>
            </w:r>
            <w:r w:rsidRPr="007114AF">
              <w:rPr>
                <w:rFonts w:ascii="Garamond" w:hAnsi="Garamond"/>
                <w:b/>
                <w:bCs/>
                <w:i/>
                <w:iCs/>
                <w:color w:val="000000" w:themeColor="text1"/>
                <w:u w:val="single"/>
              </w:rPr>
              <w:t>rshkrimi</w:t>
            </w:r>
          </w:p>
        </w:tc>
        <w:tc>
          <w:tcPr>
            <w:tcW w:w="1140" w:type="pct"/>
            <w:gridSpan w:val="2"/>
            <w:noWrap/>
            <w:vAlign w:val="center"/>
            <w:hideMark/>
          </w:tcPr>
          <w:p w14:paraId="6EDCFE9A" w14:textId="77777777" w:rsidR="008A4207" w:rsidRPr="007114AF" w:rsidRDefault="008A4207" w:rsidP="001C467C">
            <w:pPr>
              <w:spacing w:after="0"/>
              <w:rPr>
                <w:rFonts w:ascii="Garamond" w:hAnsi="Garamond"/>
                <w:b/>
                <w:bCs/>
                <w:i/>
                <w:iCs/>
                <w:color w:val="000000" w:themeColor="text1"/>
                <w:u w:val="single"/>
              </w:rPr>
            </w:pPr>
            <w:r w:rsidRPr="007114AF">
              <w:rPr>
                <w:rFonts w:ascii="Garamond" w:hAnsi="Garamond"/>
                <w:b/>
                <w:bCs/>
                <w:i/>
                <w:iCs/>
                <w:color w:val="000000" w:themeColor="text1"/>
                <w:u w:val="single"/>
              </w:rPr>
              <w:t>Burimi</w:t>
            </w:r>
          </w:p>
        </w:tc>
      </w:tr>
      <w:tr w:rsidR="008A4207" w:rsidRPr="007114AF" w14:paraId="6EDCFE9D" w14:textId="77777777" w:rsidTr="001C467C">
        <w:trPr>
          <w:trHeight w:val="20"/>
        </w:trPr>
        <w:tc>
          <w:tcPr>
            <w:tcW w:w="5000" w:type="pct"/>
            <w:gridSpan w:val="4"/>
            <w:shd w:val="clear" w:color="auto" w:fill="C6D9F1" w:themeFill="text2" w:themeFillTint="33"/>
            <w:noWrap/>
            <w:vAlign w:val="center"/>
            <w:hideMark/>
          </w:tcPr>
          <w:p w14:paraId="6EDCFE9C" w14:textId="77777777" w:rsidR="008A4207" w:rsidRPr="007114AF" w:rsidRDefault="008A4207" w:rsidP="001C467C">
            <w:pPr>
              <w:spacing w:after="0"/>
              <w:rPr>
                <w:rFonts w:ascii="Garamond" w:hAnsi="Garamond"/>
                <w:b/>
                <w:bCs/>
                <w:color w:val="000000"/>
              </w:rPr>
            </w:pPr>
            <w:r w:rsidRPr="007114AF">
              <w:rPr>
                <w:rFonts w:ascii="Garamond" w:hAnsi="Garamond"/>
                <w:b/>
                <w:bCs/>
                <w:color w:val="000000"/>
              </w:rPr>
              <w:t>Ngritja e sistemit të të dhënave dhe sistemeve MRV për inventarin vjetor GES në përputhje me kërkesat e raportimit të BE-së dhe UNFCCC-ë (SP2; SP5)</w:t>
            </w:r>
          </w:p>
        </w:tc>
      </w:tr>
      <w:tr w:rsidR="008A4207" w:rsidRPr="007114AF" w14:paraId="6EDCFEA1" w14:textId="77777777" w:rsidTr="001C467C">
        <w:trPr>
          <w:trHeight w:val="20"/>
        </w:trPr>
        <w:tc>
          <w:tcPr>
            <w:tcW w:w="935" w:type="pct"/>
            <w:noWrap/>
            <w:vAlign w:val="center"/>
            <w:hideMark/>
          </w:tcPr>
          <w:p w14:paraId="6EDCFE9E" w14:textId="77777777" w:rsidR="008A4207" w:rsidRPr="007114AF" w:rsidRDefault="008A4207" w:rsidP="001C467C">
            <w:pPr>
              <w:spacing w:after="0"/>
              <w:rPr>
                <w:rFonts w:ascii="Garamond" w:hAnsi="Garamond"/>
                <w:i/>
                <w:color w:val="000000"/>
              </w:rPr>
            </w:pPr>
            <w:r w:rsidRPr="007114AF">
              <w:rPr>
                <w:rFonts w:ascii="Garamond" w:hAnsi="Garamond"/>
                <w:i/>
                <w:color w:val="000000"/>
              </w:rPr>
              <w:t>Energjia</w:t>
            </w:r>
          </w:p>
        </w:tc>
        <w:tc>
          <w:tcPr>
            <w:tcW w:w="3248" w:type="pct"/>
            <w:gridSpan w:val="2"/>
            <w:vAlign w:val="center"/>
            <w:hideMark/>
          </w:tcPr>
          <w:p w14:paraId="6EDCFE9F" w14:textId="445BDFDE" w:rsidR="008A4207" w:rsidRPr="007114AF" w:rsidRDefault="008A4207" w:rsidP="001C467C">
            <w:pPr>
              <w:spacing w:after="0"/>
              <w:rPr>
                <w:rFonts w:ascii="Garamond" w:hAnsi="Garamond"/>
                <w:color w:val="000000"/>
              </w:rPr>
            </w:pPr>
            <w:r w:rsidRPr="007114AF">
              <w:rPr>
                <w:rFonts w:ascii="Garamond" w:hAnsi="Garamond"/>
                <w:color w:val="000000"/>
              </w:rPr>
              <w:t>Krijimi</w:t>
            </w:r>
            <w:r w:rsidR="000A2A01" w:rsidRPr="007114AF">
              <w:rPr>
                <w:rFonts w:ascii="Garamond" w:hAnsi="Garamond"/>
                <w:color w:val="000000"/>
              </w:rPr>
              <w:t xml:space="preserve"> </w:t>
            </w:r>
            <w:r w:rsidRPr="007114AF">
              <w:rPr>
                <w:rFonts w:ascii="Garamond" w:hAnsi="Garamond"/>
                <w:color w:val="000000"/>
              </w:rPr>
              <w:t>i nj</w:t>
            </w:r>
            <w:r w:rsidRPr="007114AF">
              <w:rPr>
                <w:rFonts w:ascii="Garamond" w:hAnsi="Garamond" w:cs="Calibri"/>
                <w:color w:val="000000"/>
              </w:rPr>
              <w:t>ë baze të dhënash mbi energjinë e cila do të mbledhë gjithë informacionin që i duhet një sistemi monitorimi</w:t>
            </w:r>
          </w:p>
        </w:tc>
        <w:tc>
          <w:tcPr>
            <w:tcW w:w="817" w:type="pct"/>
            <w:noWrap/>
            <w:vAlign w:val="center"/>
            <w:hideMark/>
          </w:tcPr>
          <w:p w14:paraId="6EDCFEA0" w14:textId="584B8AAB" w:rsidR="008A4207" w:rsidRPr="007114AF" w:rsidRDefault="008A4207" w:rsidP="0028717C">
            <w:pPr>
              <w:spacing w:after="0"/>
              <w:ind w:left="-108"/>
              <w:rPr>
                <w:rFonts w:ascii="Garamond" w:hAnsi="Garamond"/>
                <w:color w:val="000000"/>
              </w:rPr>
            </w:pPr>
            <w:r w:rsidRPr="007114AF">
              <w:rPr>
                <w:rFonts w:ascii="Garamond" w:hAnsi="Garamond"/>
                <w:color w:val="000000"/>
              </w:rPr>
              <w:t>Ligji 124/2015 mbi Efic</w:t>
            </w:r>
            <w:r w:rsidR="0028717C">
              <w:rPr>
                <w:rFonts w:ascii="Garamond" w:hAnsi="Garamond"/>
                <w:color w:val="000000"/>
              </w:rPr>
              <w:t>i</w:t>
            </w:r>
            <w:r w:rsidRPr="007114AF">
              <w:rPr>
                <w:rFonts w:ascii="Garamond" w:hAnsi="Garamond"/>
                <w:color w:val="000000"/>
              </w:rPr>
              <w:t>encën e Energjis</w:t>
            </w:r>
            <w:r w:rsidRPr="007114AF">
              <w:rPr>
                <w:rFonts w:ascii="Garamond" w:hAnsi="Garamond" w:cs="Calibri"/>
                <w:color w:val="000000"/>
              </w:rPr>
              <w:t>ë</w:t>
            </w:r>
          </w:p>
        </w:tc>
      </w:tr>
      <w:tr w:rsidR="008A4207" w:rsidRPr="007114AF" w14:paraId="6EDCFEA5" w14:textId="77777777" w:rsidTr="001C467C">
        <w:trPr>
          <w:trHeight w:val="20"/>
        </w:trPr>
        <w:tc>
          <w:tcPr>
            <w:tcW w:w="935" w:type="pct"/>
            <w:noWrap/>
            <w:vAlign w:val="center"/>
            <w:hideMark/>
          </w:tcPr>
          <w:p w14:paraId="6EDCFEA2" w14:textId="77777777" w:rsidR="008A4207" w:rsidRPr="007114AF" w:rsidRDefault="008A4207" w:rsidP="001C467C">
            <w:pPr>
              <w:spacing w:after="0"/>
              <w:rPr>
                <w:rFonts w:ascii="Garamond" w:hAnsi="Garamond"/>
                <w:i/>
                <w:color w:val="000000"/>
              </w:rPr>
            </w:pPr>
            <w:r w:rsidRPr="007114AF">
              <w:rPr>
                <w:rFonts w:ascii="Garamond" w:hAnsi="Garamond"/>
                <w:i/>
                <w:color w:val="000000"/>
              </w:rPr>
              <w:t>Transporti</w:t>
            </w:r>
          </w:p>
        </w:tc>
        <w:tc>
          <w:tcPr>
            <w:tcW w:w="3248" w:type="pct"/>
            <w:gridSpan w:val="2"/>
            <w:vAlign w:val="center"/>
            <w:hideMark/>
          </w:tcPr>
          <w:p w14:paraId="6EDCFEA3" w14:textId="77777777" w:rsidR="008A4207" w:rsidRPr="007114AF" w:rsidRDefault="008A4207" w:rsidP="001C467C">
            <w:pPr>
              <w:spacing w:after="0"/>
              <w:rPr>
                <w:rFonts w:ascii="Garamond" w:hAnsi="Garamond"/>
                <w:color w:val="000000"/>
              </w:rPr>
            </w:pPr>
            <w:r w:rsidRPr="007114AF">
              <w:rPr>
                <w:rFonts w:ascii="Garamond" w:hAnsi="Garamond"/>
                <w:color w:val="000000"/>
              </w:rPr>
              <w:t>Konsolidimi i Sistemit Komb</w:t>
            </w:r>
            <w:r w:rsidRPr="007114AF">
              <w:rPr>
                <w:rFonts w:ascii="Garamond" w:hAnsi="Garamond" w:cs="Calibri"/>
                <w:color w:val="000000"/>
              </w:rPr>
              <w:t>ëtar të Monitorimit të Cilësisë së Ajrit dhe Trafikut</w:t>
            </w:r>
          </w:p>
        </w:tc>
        <w:tc>
          <w:tcPr>
            <w:tcW w:w="817" w:type="pct"/>
            <w:noWrap/>
            <w:vAlign w:val="center"/>
            <w:hideMark/>
          </w:tcPr>
          <w:p w14:paraId="6EDCFEA4"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SMNS; TECTQ; OZHQ 13</w:t>
            </w:r>
          </w:p>
        </w:tc>
      </w:tr>
      <w:tr w:rsidR="008A4207" w:rsidRPr="007114AF" w14:paraId="6EDCFEA9" w14:textId="77777777" w:rsidTr="001C467C">
        <w:trPr>
          <w:trHeight w:val="20"/>
        </w:trPr>
        <w:tc>
          <w:tcPr>
            <w:tcW w:w="935" w:type="pct"/>
            <w:noWrap/>
            <w:vAlign w:val="center"/>
            <w:hideMark/>
          </w:tcPr>
          <w:p w14:paraId="6EDCFEA6" w14:textId="77777777" w:rsidR="008A4207" w:rsidRPr="007114AF" w:rsidRDefault="008A4207" w:rsidP="001C467C">
            <w:pPr>
              <w:spacing w:after="0"/>
              <w:rPr>
                <w:rFonts w:ascii="Garamond" w:hAnsi="Garamond"/>
                <w:i/>
                <w:color w:val="000000"/>
              </w:rPr>
            </w:pPr>
            <w:r w:rsidRPr="007114AF">
              <w:rPr>
                <w:rFonts w:ascii="Garamond" w:hAnsi="Garamond"/>
                <w:i/>
                <w:color w:val="000000"/>
              </w:rPr>
              <w:t>Bujq</w:t>
            </w:r>
            <w:r w:rsidRPr="007114AF">
              <w:rPr>
                <w:rFonts w:ascii="Garamond" w:hAnsi="Garamond" w:cs="Calibri"/>
                <w:i/>
                <w:color w:val="000000"/>
              </w:rPr>
              <w:t>ë</w:t>
            </w:r>
            <w:r w:rsidRPr="007114AF">
              <w:rPr>
                <w:rFonts w:ascii="Garamond" w:hAnsi="Garamond"/>
                <w:i/>
                <w:color w:val="000000"/>
              </w:rPr>
              <w:t>sia</w:t>
            </w:r>
          </w:p>
        </w:tc>
        <w:tc>
          <w:tcPr>
            <w:tcW w:w="3248" w:type="pct"/>
            <w:gridSpan w:val="2"/>
            <w:vAlign w:val="center"/>
            <w:hideMark/>
          </w:tcPr>
          <w:p w14:paraId="6EDCFEA7" w14:textId="77777777" w:rsidR="008A4207" w:rsidRPr="007114AF" w:rsidRDefault="008A4207" w:rsidP="001C467C">
            <w:pPr>
              <w:spacing w:after="0"/>
              <w:rPr>
                <w:rFonts w:ascii="Garamond" w:hAnsi="Garamond"/>
                <w:color w:val="000000"/>
              </w:rPr>
            </w:pPr>
            <w:r w:rsidRPr="007114AF">
              <w:rPr>
                <w:rFonts w:ascii="Garamond" w:hAnsi="Garamond"/>
                <w:color w:val="000000"/>
              </w:rPr>
              <w:t>Krijimi i nj</w:t>
            </w:r>
            <w:r w:rsidRPr="007114AF">
              <w:rPr>
                <w:rFonts w:ascii="Garamond" w:hAnsi="Garamond" w:cs="Calibri"/>
                <w:color w:val="000000"/>
              </w:rPr>
              <w:t>ë monitorimi të përhershëm kombëtar të tokave dhe aktiviteteve bujqësore</w:t>
            </w:r>
          </w:p>
        </w:tc>
        <w:tc>
          <w:tcPr>
            <w:tcW w:w="817" w:type="pct"/>
            <w:noWrap/>
            <w:vAlign w:val="center"/>
            <w:hideMark/>
          </w:tcPr>
          <w:p w14:paraId="6EDCFEA8"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Dokumenti i SKNK; OZHQ 13</w:t>
            </w:r>
          </w:p>
        </w:tc>
      </w:tr>
      <w:tr w:rsidR="008A4207" w:rsidRPr="007114AF" w14:paraId="6EDCFEAD" w14:textId="77777777" w:rsidTr="001C467C">
        <w:trPr>
          <w:trHeight w:val="20"/>
        </w:trPr>
        <w:tc>
          <w:tcPr>
            <w:tcW w:w="935" w:type="pct"/>
            <w:noWrap/>
            <w:vAlign w:val="center"/>
            <w:hideMark/>
          </w:tcPr>
          <w:p w14:paraId="6EDCFEAA" w14:textId="77777777" w:rsidR="008A4207" w:rsidRPr="007114AF" w:rsidRDefault="008A4207" w:rsidP="001C467C">
            <w:pPr>
              <w:spacing w:after="0"/>
              <w:rPr>
                <w:rFonts w:ascii="Garamond" w:hAnsi="Garamond"/>
                <w:i/>
                <w:color w:val="000000"/>
              </w:rPr>
            </w:pPr>
            <w:r w:rsidRPr="007114AF">
              <w:rPr>
                <w:rFonts w:ascii="Garamond" w:hAnsi="Garamond"/>
                <w:i/>
                <w:color w:val="000000"/>
              </w:rPr>
              <w:t>LUCF-ja</w:t>
            </w:r>
          </w:p>
        </w:tc>
        <w:tc>
          <w:tcPr>
            <w:tcW w:w="3248" w:type="pct"/>
            <w:gridSpan w:val="2"/>
            <w:vAlign w:val="center"/>
            <w:hideMark/>
          </w:tcPr>
          <w:p w14:paraId="6EDCFEAB" w14:textId="77777777" w:rsidR="008A4207" w:rsidRPr="007114AF" w:rsidRDefault="008A4207" w:rsidP="001C467C">
            <w:pPr>
              <w:spacing w:after="0"/>
              <w:rPr>
                <w:rFonts w:ascii="Garamond" w:hAnsi="Garamond"/>
                <w:color w:val="000000"/>
              </w:rPr>
            </w:pPr>
            <w:r w:rsidRPr="007114AF">
              <w:rPr>
                <w:rFonts w:ascii="Garamond" w:hAnsi="Garamond"/>
                <w:color w:val="000000"/>
              </w:rPr>
              <w:t>Krijimi i nj</w:t>
            </w:r>
            <w:r w:rsidRPr="007114AF">
              <w:rPr>
                <w:rFonts w:ascii="Garamond" w:hAnsi="Garamond" w:cs="Calibri"/>
                <w:color w:val="000000"/>
              </w:rPr>
              <w:t>ë monitorimi të përhershëm kombëtar të pyjeve dhe kullotave</w:t>
            </w:r>
            <w:r w:rsidRPr="007114AF">
              <w:rPr>
                <w:rFonts w:ascii="Garamond" w:hAnsi="Garamond"/>
                <w:color w:val="000000"/>
              </w:rPr>
              <w:t>, q</w:t>
            </w:r>
            <w:r w:rsidRPr="007114AF">
              <w:rPr>
                <w:rFonts w:ascii="Garamond" w:hAnsi="Garamond" w:cs="Calibri"/>
                <w:color w:val="000000"/>
              </w:rPr>
              <w:t>ë përfshijnë zonat e konservimit</w:t>
            </w:r>
          </w:p>
        </w:tc>
        <w:tc>
          <w:tcPr>
            <w:tcW w:w="817" w:type="pct"/>
            <w:noWrap/>
            <w:vAlign w:val="center"/>
            <w:hideMark/>
          </w:tcPr>
          <w:p w14:paraId="6EDCFEAC"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SMNS; SKZHI-II; DPSMB; Projektligji i fondit të pyjeve dhe kullotave; OZHQ 13</w:t>
            </w:r>
          </w:p>
        </w:tc>
      </w:tr>
      <w:tr w:rsidR="008A4207" w:rsidRPr="007114AF" w14:paraId="6EDCFEAF" w14:textId="77777777" w:rsidTr="001C467C">
        <w:trPr>
          <w:trHeight w:val="20"/>
        </w:trPr>
        <w:tc>
          <w:tcPr>
            <w:tcW w:w="5000" w:type="pct"/>
            <w:gridSpan w:val="4"/>
            <w:shd w:val="clear" w:color="auto" w:fill="C6D9F1" w:themeFill="text2" w:themeFillTint="33"/>
            <w:noWrap/>
            <w:vAlign w:val="center"/>
            <w:hideMark/>
          </w:tcPr>
          <w:p w14:paraId="6EDCFEAE" w14:textId="77777777" w:rsidR="008A4207" w:rsidRPr="007114AF" w:rsidRDefault="008A4207" w:rsidP="001C467C">
            <w:pPr>
              <w:spacing w:after="0"/>
              <w:ind w:left="-108"/>
              <w:rPr>
                <w:rFonts w:ascii="Garamond" w:hAnsi="Garamond"/>
                <w:color w:val="000000"/>
              </w:rPr>
            </w:pPr>
            <w:r w:rsidRPr="007114AF">
              <w:rPr>
                <w:rFonts w:ascii="Garamond" w:hAnsi="Garamond"/>
                <w:b/>
                <w:bCs/>
                <w:color w:val="000000"/>
              </w:rPr>
              <w:t>Përpjekja për të përmbushur Kontributin e Synuar të Përcaktuar në Nivel Kombëtar në kuadrin e Marrëveshjessë Parisit (SP1)</w:t>
            </w:r>
          </w:p>
        </w:tc>
      </w:tr>
      <w:tr w:rsidR="008A4207" w:rsidRPr="007114AF" w14:paraId="6EDCFEB4" w14:textId="77777777" w:rsidTr="001C467C">
        <w:trPr>
          <w:trHeight w:val="20"/>
        </w:trPr>
        <w:tc>
          <w:tcPr>
            <w:tcW w:w="935" w:type="pct"/>
            <w:vMerge w:val="restart"/>
            <w:noWrap/>
            <w:vAlign w:val="center"/>
            <w:hideMark/>
          </w:tcPr>
          <w:p w14:paraId="6EDCFEB0" w14:textId="77777777" w:rsidR="008A4207" w:rsidRPr="007114AF" w:rsidRDefault="008A4207" w:rsidP="001C467C">
            <w:pPr>
              <w:spacing w:after="0"/>
              <w:rPr>
                <w:rFonts w:ascii="Garamond" w:hAnsi="Garamond"/>
                <w:color w:val="000000"/>
              </w:rPr>
            </w:pPr>
            <w:r w:rsidRPr="007114AF">
              <w:rPr>
                <w:rFonts w:ascii="Garamond" w:hAnsi="Garamond"/>
                <w:i/>
                <w:color w:val="000000"/>
              </w:rPr>
              <w:t>Ndërsektoriale</w:t>
            </w:r>
          </w:p>
          <w:p w14:paraId="6EDCFEB1"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EB2" w14:textId="77777777" w:rsidR="008A4207" w:rsidRPr="007114AF" w:rsidRDefault="008A4207" w:rsidP="001C467C">
            <w:pPr>
              <w:spacing w:after="0"/>
              <w:rPr>
                <w:rFonts w:ascii="Garamond" w:hAnsi="Garamond"/>
                <w:color w:val="000000"/>
              </w:rPr>
            </w:pPr>
            <w:r w:rsidRPr="007114AF">
              <w:rPr>
                <w:rFonts w:ascii="Garamond" w:hAnsi="Garamond"/>
                <w:color w:val="000000"/>
              </w:rPr>
              <w:t>Ulja e shkarkimeve CO</w:t>
            </w:r>
            <w:r w:rsidRPr="007114AF">
              <w:rPr>
                <w:rFonts w:ascii="Garamond" w:hAnsi="Garamond"/>
                <w:color w:val="000000"/>
                <w:vertAlign w:val="subscript"/>
              </w:rPr>
              <w:t>2</w:t>
            </w:r>
            <w:r w:rsidRPr="007114AF">
              <w:rPr>
                <w:rFonts w:ascii="Garamond" w:hAnsi="Garamond"/>
                <w:color w:val="000000"/>
              </w:rPr>
              <w:t>krahasuar me skenarin baz</w:t>
            </w:r>
            <w:r w:rsidRPr="007114AF">
              <w:rPr>
                <w:rFonts w:ascii="Garamond" w:hAnsi="Garamond" w:cs="Calibri"/>
                <w:color w:val="000000"/>
              </w:rPr>
              <w:t xml:space="preserve">ë në periudhën </w:t>
            </w:r>
            <w:r w:rsidRPr="007114AF">
              <w:rPr>
                <w:rFonts w:ascii="Garamond" w:hAnsi="Garamond"/>
                <w:color w:val="000000"/>
              </w:rPr>
              <w:t>2016 dhe 2030 n</w:t>
            </w:r>
            <w:r w:rsidRPr="007114AF">
              <w:rPr>
                <w:rFonts w:ascii="Garamond" w:hAnsi="Garamond" w:cs="Calibri"/>
                <w:color w:val="000000"/>
              </w:rPr>
              <w:t xml:space="preserve">ë masën </w:t>
            </w:r>
            <w:r w:rsidRPr="007114AF">
              <w:rPr>
                <w:rFonts w:ascii="Garamond" w:hAnsi="Garamond"/>
                <w:color w:val="000000"/>
              </w:rPr>
              <w:t>11.5%. Kjo do t</w:t>
            </w:r>
            <w:r w:rsidRPr="007114AF">
              <w:rPr>
                <w:rFonts w:ascii="Garamond" w:hAnsi="Garamond" w:cs="Calibri"/>
                <w:color w:val="000000"/>
              </w:rPr>
              <w:t xml:space="preserve">ë thotë </w:t>
            </w:r>
            <w:r w:rsidRPr="007114AF">
              <w:rPr>
                <w:rFonts w:ascii="Garamond" w:hAnsi="Garamond"/>
                <w:color w:val="000000"/>
              </w:rPr>
              <w:t>708 kt CO</w:t>
            </w:r>
            <w:r w:rsidRPr="007114AF">
              <w:rPr>
                <w:rFonts w:ascii="Garamond" w:hAnsi="Garamond"/>
                <w:color w:val="000000"/>
                <w:vertAlign w:val="subscript"/>
              </w:rPr>
              <w:t xml:space="preserve">2 </w:t>
            </w:r>
            <w:r w:rsidRPr="007114AF">
              <w:rPr>
                <w:rFonts w:ascii="Garamond" w:hAnsi="Garamond"/>
                <w:color w:val="000000"/>
              </w:rPr>
              <w:t>ulje deri n</w:t>
            </w:r>
            <w:r w:rsidRPr="007114AF">
              <w:rPr>
                <w:rFonts w:ascii="Garamond" w:hAnsi="Garamond" w:cs="Calibri"/>
                <w:color w:val="000000"/>
              </w:rPr>
              <w:t>ë vitin</w:t>
            </w:r>
            <w:r w:rsidRPr="007114AF">
              <w:rPr>
                <w:rFonts w:ascii="Garamond" w:hAnsi="Garamond"/>
                <w:color w:val="000000"/>
              </w:rPr>
              <w:t xml:space="preserve"> 2030</w:t>
            </w:r>
          </w:p>
        </w:tc>
        <w:tc>
          <w:tcPr>
            <w:tcW w:w="817" w:type="pct"/>
            <w:noWrap/>
            <w:vAlign w:val="center"/>
            <w:hideMark/>
          </w:tcPr>
          <w:p w14:paraId="6EDCFEB3"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INDC; OZHQ 13</w:t>
            </w:r>
          </w:p>
        </w:tc>
      </w:tr>
      <w:tr w:rsidR="008A4207" w:rsidRPr="007114AF" w14:paraId="6EDCFEB8" w14:textId="77777777" w:rsidTr="001C467C">
        <w:trPr>
          <w:trHeight w:val="20"/>
        </w:trPr>
        <w:tc>
          <w:tcPr>
            <w:tcW w:w="935" w:type="pct"/>
            <w:vMerge/>
            <w:noWrap/>
            <w:vAlign w:val="center"/>
            <w:hideMark/>
          </w:tcPr>
          <w:p w14:paraId="6EDCFEB5"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EB6" w14:textId="77777777" w:rsidR="008A4207" w:rsidRPr="007114AF" w:rsidRDefault="008A4207" w:rsidP="001C467C">
            <w:pPr>
              <w:spacing w:after="0"/>
              <w:rPr>
                <w:rFonts w:ascii="Garamond" w:hAnsi="Garamond"/>
                <w:color w:val="000000"/>
              </w:rPr>
            </w:pPr>
            <w:r w:rsidRPr="007114AF">
              <w:rPr>
                <w:rFonts w:ascii="Garamond" w:hAnsi="Garamond"/>
                <w:color w:val="000000"/>
              </w:rPr>
              <w:t>Rishikim t</w:t>
            </w:r>
            <w:r w:rsidRPr="007114AF">
              <w:rPr>
                <w:rFonts w:ascii="Garamond" w:hAnsi="Garamond" w:cs="Calibri"/>
                <w:color w:val="000000"/>
              </w:rPr>
              <w:t>ë objektivave të</w:t>
            </w:r>
            <w:r w:rsidRPr="007114AF">
              <w:rPr>
                <w:rFonts w:ascii="Garamond" w:hAnsi="Garamond"/>
                <w:color w:val="000000"/>
              </w:rPr>
              <w:t>INDC-sëderi n</w:t>
            </w:r>
            <w:r w:rsidRPr="007114AF">
              <w:rPr>
                <w:rFonts w:ascii="Garamond" w:hAnsi="Garamond" w:cs="Calibri"/>
                <w:color w:val="000000"/>
              </w:rPr>
              <w:t>ë vitin 2</w:t>
            </w:r>
            <w:r w:rsidRPr="007114AF">
              <w:rPr>
                <w:rFonts w:ascii="Garamond" w:hAnsi="Garamond"/>
                <w:color w:val="000000"/>
              </w:rPr>
              <w:t>020, p</w:t>
            </w:r>
            <w:r w:rsidRPr="007114AF">
              <w:rPr>
                <w:rFonts w:ascii="Garamond" w:hAnsi="Garamond" w:cs="Calibri"/>
                <w:color w:val="000000"/>
              </w:rPr>
              <w:t>ër përfshirjen e gazeve të tjera përveç</w:t>
            </w:r>
            <w:r w:rsidRPr="007114AF">
              <w:rPr>
                <w:rFonts w:ascii="Garamond" w:hAnsi="Garamond"/>
                <w:color w:val="000000"/>
              </w:rPr>
              <w:t xml:space="preserve"> CO</w:t>
            </w:r>
            <w:r w:rsidRPr="007114AF">
              <w:rPr>
                <w:rFonts w:ascii="Garamond" w:hAnsi="Garamond"/>
                <w:color w:val="000000"/>
                <w:vertAlign w:val="subscript"/>
              </w:rPr>
              <w:t>2</w:t>
            </w:r>
            <w:r w:rsidRPr="007114AF">
              <w:rPr>
                <w:rFonts w:ascii="Garamond" w:hAnsi="Garamond"/>
                <w:color w:val="000000"/>
              </w:rPr>
              <w:t>, dhe sektor</w:t>
            </w:r>
            <w:r w:rsidRPr="007114AF">
              <w:rPr>
                <w:rFonts w:ascii="Garamond" w:hAnsi="Garamond" w:cs="Calibri"/>
                <w:color w:val="000000"/>
              </w:rPr>
              <w:t xml:space="preserve">ëve të tjerë, si Bujqësia dhe </w:t>
            </w:r>
            <w:r w:rsidRPr="007114AF">
              <w:rPr>
                <w:rFonts w:ascii="Garamond" w:hAnsi="Garamond"/>
                <w:color w:val="000000"/>
              </w:rPr>
              <w:t>LUCF-ja</w:t>
            </w:r>
          </w:p>
        </w:tc>
        <w:tc>
          <w:tcPr>
            <w:tcW w:w="817" w:type="pct"/>
            <w:noWrap/>
            <w:vAlign w:val="center"/>
            <w:hideMark/>
          </w:tcPr>
          <w:p w14:paraId="6EDCFEB7"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INDC; OZHQ 13</w:t>
            </w:r>
          </w:p>
        </w:tc>
      </w:tr>
      <w:tr w:rsidR="008A4207" w:rsidRPr="007114AF" w14:paraId="6EDCFEBC" w14:textId="77777777" w:rsidTr="001C467C">
        <w:trPr>
          <w:trHeight w:val="20"/>
        </w:trPr>
        <w:tc>
          <w:tcPr>
            <w:tcW w:w="935" w:type="pct"/>
            <w:vMerge/>
            <w:noWrap/>
            <w:vAlign w:val="center"/>
            <w:hideMark/>
          </w:tcPr>
          <w:p w14:paraId="6EDCFEB9"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EBA" w14:textId="77777777" w:rsidR="008A4207" w:rsidRPr="007114AF" w:rsidRDefault="008A4207" w:rsidP="001C467C">
            <w:pPr>
              <w:spacing w:after="0"/>
              <w:rPr>
                <w:rFonts w:ascii="Garamond" w:hAnsi="Garamond"/>
                <w:color w:val="000000"/>
              </w:rPr>
            </w:pPr>
            <w:r w:rsidRPr="007114AF">
              <w:rPr>
                <w:rFonts w:ascii="Garamond" w:hAnsi="Garamond"/>
                <w:color w:val="000000"/>
              </w:rPr>
              <w:t xml:space="preserve">Integrimi i </w:t>
            </w:r>
            <w:r w:rsidRPr="007114AF">
              <w:rPr>
                <w:rFonts w:ascii="Garamond" w:hAnsi="Garamond" w:cs="Calibri"/>
                <w:color w:val="000000"/>
              </w:rPr>
              <w:t>objektivave</w:t>
            </w:r>
            <w:r w:rsidRPr="007114AF">
              <w:rPr>
                <w:rFonts w:ascii="Garamond" w:hAnsi="Garamond"/>
                <w:color w:val="000000"/>
              </w:rPr>
              <w:t xml:space="preserve"> të p</w:t>
            </w:r>
            <w:r w:rsidRPr="007114AF">
              <w:rPr>
                <w:rFonts w:ascii="Garamond" w:hAnsi="Garamond" w:cs="Calibri"/>
                <w:color w:val="000000"/>
              </w:rPr>
              <w:t>ërshtatjes dhe masave zbutëse në planifikimin fizik</w:t>
            </w:r>
            <w:r w:rsidRPr="007114AF">
              <w:rPr>
                <w:rFonts w:ascii="Garamond" w:hAnsi="Garamond"/>
                <w:color w:val="000000"/>
              </w:rPr>
              <w:t>, administrimit t</w:t>
            </w:r>
            <w:r w:rsidRPr="007114AF">
              <w:rPr>
                <w:rFonts w:ascii="Garamond" w:hAnsi="Garamond" w:cs="Calibri"/>
                <w:color w:val="000000"/>
              </w:rPr>
              <w:t>ë ujit dhe tokës që përfshijnë bujqësinë</w:t>
            </w:r>
            <w:r w:rsidRPr="007114AF">
              <w:rPr>
                <w:rFonts w:ascii="Garamond" w:hAnsi="Garamond"/>
                <w:color w:val="000000"/>
              </w:rPr>
              <w:t>, pyjet, ujërat dhe konservimin e natyr</w:t>
            </w:r>
            <w:r w:rsidRPr="007114AF">
              <w:rPr>
                <w:rFonts w:ascii="Garamond" w:hAnsi="Garamond" w:cs="Calibri"/>
                <w:color w:val="000000"/>
              </w:rPr>
              <w:t>ës</w:t>
            </w:r>
          </w:p>
        </w:tc>
        <w:tc>
          <w:tcPr>
            <w:tcW w:w="817" w:type="pct"/>
            <w:noWrap/>
            <w:vAlign w:val="center"/>
            <w:hideMark/>
          </w:tcPr>
          <w:p w14:paraId="6EDCFEBB"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SMNS; OZHQ 13</w:t>
            </w:r>
          </w:p>
        </w:tc>
      </w:tr>
      <w:tr w:rsidR="008A4207" w:rsidRPr="007114AF" w14:paraId="6EDCFEBE" w14:textId="77777777" w:rsidTr="001C467C">
        <w:trPr>
          <w:trHeight w:val="20"/>
        </w:trPr>
        <w:tc>
          <w:tcPr>
            <w:tcW w:w="5000" w:type="pct"/>
            <w:gridSpan w:val="4"/>
            <w:shd w:val="clear" w:color="auto" w:fill="C6D9F1" w:themeFill="text2" w:themeFillTint="33"/>
            <w:noWrap/>
            <w:vAlign w:val="center"/>
            <w:hideMark/>
          </w:tcPr>
          <w:p w14:paraId="6EDCFEBD" w14:textId="77777777" w:rsidR="008A4207" w:rsidRPr="007114AF" w:rsidRDefault="008A4207" w:rsidP="001C467C">
            <w:pPr>
              <w:spacing w:after="0"/>
              <w:ind w:left="-108"/>
              <w:rPr>
                <w:rFonts w:ascii="Garamond" w:hAnsi="Garamond"/>
                <w:color w:val="000000"/>
              </w:rPr>
            </w:pPr>
            <w:r w:rsidRPr="007114AF">
              <w:rPr>
                <w:rFonts w:ascii="Garamond" w:hAnsi="Garamond"/>
                <w:b/>
                <w:bCs/>
                <w:color w:val="000000"/>
              </w:rPr>
              <w:t>Forcimi i kapaciteteve të institucioneve përkatëse dhe bashkëpunimi ndërinstitucional për trajtimin e zbutjes së ndryshimeve klimatike (SP3; SP4; SP5)</w:t>
            </w:r>
          </w:p>
        </w:tc>
      </w:tr>
      <w:tr w:rsidR="008A4207" w:rsidRPr="007114AF" w14:paraId="6EDCFEC2" w14:textId="77777777" w:rsidTr="001C467C">
        <w:trPr>
          <w:trHeight w:val="20"/>
        </w:trPr>
        <w:tc>
          <w:tcPr>
            <w:tcW w:w="935" w:type="pct"/>
            <w:noWrap/>
            <w:vAlign w:val="center"/>
            <w:hideMark/>
          </w:tcPr>
          <w:p w14:paraId="6EDCFEBF" w14:textId="77777777" w:rsidR="008A4207" w:rsidRPr="007114AF" w:rsidRDefault="008A4207" w:rsidP="001C467C">
            <w:pPr>
              <w:spacing w:after="0"/>
              <w:rPr>
                <w:rFonts w:ascii="Garamond" w:hAnsi="Garamond"/>
                <w:i/>
                <w:color w:val="000000"/>
              </w:rPr>
            </w:pPr>
            <w:r w:rsidRPr="007114AF">
              <w:rPr>
                <w:rFonts w:ascii="Garamond" w:hAnsi="Garamond"/>
                <w:i/>
                <w:color w:val="000000"/>
              </w:rPr>
              <w:t>Energjia</w:t>
            </w:r>
          </w:p>
        </w:tc>
        <w:tc>
          <w:tcPr>
            <w:tcW w:w="3248" w:type="pct"/>
            <w:gridSpan w:val="2"/>
            <w:vAlign w:val="center"/>
            <w:hideMark/>
          </w:tcPr>
          <w:p w14:paraId="6EDCFEC0" w14:textId="77777777" w:rsidR="008A4207" w:rsidRPr="007114AF" w:rsidRDefault="008A4207" w:rsidP="001C467C">
            <w:pPr>
              <w:spacing w:after="0"/>
              <w:rPr>
                <w:rFonts w:ascii="Garamond" w:hAnsi="Garamond"/>
                <w:color w:val="000000"/>
              </w:rPr>
            </w:pPr>
            <w:r w:rsidRPr="007114AF">
              <w:rPr>
                <w:rFonts w:ascii="Garamond" w:hAnsi="Garamond"/>
                <w:color w:val="000000"/>
              </w:rPr>
              <w:t>Bashk</w:t>
            </w:r>
            <w:r w:rsidRPr="007114AF">
              <w:rPr>
                <w:rFonts w:ascii="Garamond" w:hAnsi="Garamond" w:cs="Calibri"/>
                <w:color w:val="000000"/>
              </w:rPr>
              <w:t>ëpunim mes të gjitha strategjive dhe planeve të Ministrive që lidhen direkt ose indirekt me energjinë, kryesisht ndërmjet e</w:t>
            </w:r>
            <w:r w:rsidRPr="007114AF">
              <w:rPr>
                <w:rFonts w:ascii="Garamond" w:hAnsi="Garamond"/>
                <w:color w:val="000000"/>
              </w:rPr>
              <w:t>nergjis</w:t>
            </w:r>
            <w:r w:rsidRPr="007114AF">
              <w:rPr>
                <w:rFonts w:ascii="Garamond" w:hAnsi="Garamond" w:cs="Calibri"/>
                <w:color w:val="000000"/>
              </w:rPr>
              <w:t>ë dhe transportit për lëndët e djegshme fosile dhe në një perspektivë afatgjatë, për energjinë elektrike dhe me bujqësinë dhe pyjet për biomasën</w:t>
            </w:r>
            <w:r w:rsidRPr="007114AF">
              <w:rPr>
                <w:rFonts w:ascii="Garamond" w:hAnsi="Garamond"/>
                <w:color w:val="000000"/>
              </w:rPr>
              <w:t>.</w:t>
            </w:r>
          </w:p>
        </w:tc>
        <w:tc>
          <w:tcPr>
            <w:tcW w:w="817" w:type="pct"/>
            <w:noWrap/>
            <w:vAlign w:val="center"/>
            <w:hideMark/>
          </w:tcPr>
          <w:p w14:paraId="6EDCFEC1" w14:textId="77777777" w:rsidR="008A4207" w:rsidRPr="007114AF" w:rsidRDefault="008A4207" w:rsidP="001C467C">
            <w:pPr>
              <w:spacing w:after="0"/>
              <w:ind w:left="-108" w:firstLine="1"/>
              <w:rPr>
                <w:rFonts w:ascii="Garamond" w:hAnsi="Garamond"/>
                <w:color w:val="000000"/>
              </w:rPr>
            </w:pPr>
            <w:r w:rsidRPr="007114AF">
              <w:rPr>
                <w:rFonts w:ascii="Garamond" w:hAnsi="Garamond"/>
                <w:color w:val="000000"/>
              </w:rPr>
              <w:t>Dokumenti i SKNK; OZHQ 13</w:t>
            </w:r>
          </w:p>
        </w:tc>
      </w:tr>
      <w:tr w:rsidR="008A4207" w:rsidRPr="007114AF" w14:paraId="6EDCFEC6" w14:textId="77777777" w:rsidTr="001C467C">
        <w:trPr>
          <w:trHeight w:val="20"/>
        </w:trPr>
        <w:tc>
          <w:tcPr>
            <w:tcW w:w="935" w:type="pct"/>
            <w:noWrap/>
            <w:vAlign w:val="center"/>
            <w:hideMark/>
          </w:tcPr>
          <w:p w14:paraId="6EDCFEC3" w14:textId="77777777" w:rsidR="008A4207" w:rsidRPr="007114AF" w:rsidRDefault="008A4207" w:rsidP="001C467C">
            <w:pPr>
              <w:spacing w:after="0"/>
              <w:rPr>
                <w:rFonts w:ascii="Garamond" w:hAnsi="Garamond"/>
                <w:i/>
                <w:color w:val="000000"/>
              </w:rPr>
            </w:pPr>
            <w:r w:rsidRPr="007114AF">
              <w:rPr>
                <w:rFonts w:ascii="Garamond" w:hAnsi="Garamond"/>
                <w:i/>
                <w:color w:val="000000"/>
              </w:rPr>
              <w:t>Transporti</w:t>
            </w:r>
          </w:p>
        </w:tc>
        <w:tc>
          <w:tcPr>
            <w:tcW w:w="3248" w:type="pct"/>
            <w:gridSpan w:val="2"/>
            <w:vAlign w:val="center"/>
            <w:hideMark/>
          </w:tcPr>
          <w:p w14:paraId="6EDCFEC4" w14:textId="77777777" w:rsidR="008A4207" w:rsidRPr="007114AF" w:rsidRDefault="008A4207" w:rsidP="001C467C">
            <w:pPr>
              <w:spacing w:after="0"/>
              <w:rPr>
                <w:rFonts w:ascii="Garamond" w:hAnsi="Garamond"/>
                <w:color w:val="000000"/>
              </w:rPr>
            </w:pPr>
            <w:r w:rsidRPr="007114AF">
              <w:rPr>
                <w:rFonts w:ascii="Garamond" w:hAnsi="Garamond"/>
                <w:color w:val="000000"/>
              </w:rPr>
              <w:t>Bashk</w:t>
            </w:r>
            <w:r w:rsidRPr="007114AF">
              <w:rPr>
                <w:rFonts w:ascii="Garamond" w:hAnsi="Garamond" w:cs="Calibri"/>
                <w:color w:val="000000"/>
              </w:rPr>
              <w:t>ëpunimi mes institucioneve dhe qeverive lokale për cilësinë e ajrit dhe politikave të trafikut, si dhe miratimin dhe zbatimin e planeve të veprimit për cilësinë e ajrit</w:t>
            </w:r>
          </w:p>
        </w:tc>
        <w:tc>
          <w:tcPr>
            <w:tcW w:w="817" w:type="pct"/>
            <w:noWrap/>
            <w:vAlign w:val="center"/>
            <w:hideMark/>
          </w:tcPr>
          <w:p w14:paraId="6EDCFEC5" w14:textId="77777777" w:rsidR="008A4207" w:rsidRPr="007114AF" w:rsidRDefault="008A4207" w:rsidP="001C467C">
            <w:pPr>
              <w:spacing w:after="0"/>
              <w:ind w:left="-108" w:firstLine="1"/>
              <w:rPr>
                <w:rFonts w:ascii="Garamond" w:hAnsi="Garamond"/>
                <w:color w:val="000000"/>
              </w:rPr>
            </w:pPr>
            <w:r w:rsidRPr="007114AF">
              <w:rPr>
                <w:rFonts w:ascii="Garamond" w:hAnsi="Garamond"/>
                <w:color w:val="000000"/>
              </w:rPr>
              <w:t>SMNS; OZHQ 13</w:t>
            </w:r>
          </w:p>
        </w:tc>
      </w:tr>
      <w:tr w:rsidR="008A4207" w:rsidRPr="007114AF" w14:paraId="6EDCFECA" w14:textId="77777777" w:rsidTr="001C467C">
        <w:trPr>
          <w:trHeight w:val="20"/>
        </w:trPr>
        <w:tc>
          <w:tcPr>
            <w:tcW w:w="935" w:type="pct"/>
            <w:noWrap/>
            <w:vAlign w:val="center"/>
            <w:hideMark/>
          </w:tcPr>
          <w:p w14:paraId="6EDCFEC7" w14:textId="77777777" w:rsidR="008A4207" w:rsidRPr="007114AF" w:rsidRDefault="008A4207" w:rsidP="001C467C">
            <w:pPr>
              <w:spacing w:after="0"/>
              <w:rPr>
                <w:rFonts w:ascii="Garamond" w:hAnsi="Garamond"/>
                <w:i/>
              </w:rPr>
            </w:pPr>
            <w:r w:rsidRPr="007114AF">
              <w:rPr>
                <w:rFonts w:ascii="Garamond" w:hAnsi="Garamond"/>
                <w:i/>
                <w:color w:val="000000"/>
              </w:rPr>
              <w:t>Bujq</w:t>
            </w:r>
            <w:r w:rsidRPr="007114AF">
              <w:rPr>
                <w:rFonts w:ascii="Garamond" w:hAnsi="Garamond" w:cs="Calibri"/>
                <w:i/>
                <w:color w:val="000000"/>
              </w:rPr>
              <w:t>ë</w:t>
            </w:r>
            <w:r w:rsidRPr="007114AF">
              <w:rPr>
                <w:rFonts w:ascii="Garamond" w:hAnsi="Garamond"/>
                <w:i/>
                <w:color w:val="000000"/>
              </w:rPr>
              <w:t>sia</w:t>
            </w:r>
          </w:p>
        </w:tc>
        <w:tc>
          <w:tcPr>
            <w:tcW w:w="3248" w:type="pct"/>
            <w:gridSpan w:val="2"/>
            <w:vAlign w:val="center"/>
            <w:hideMark/>
          </w:tcPr>
          <w:p w14:paraId="6EDCFEC8" w14:textId="77777777" w:rsidR="008A4207" w:rsidRPr="007114AF" w:rsidRDefault="008A4207" w:rsidP="001C467C">
            <w:pPr>
              <w:spacing w:after="0"/>
              <w:rPr>
                <w:rFonts w:ascii="Garamond" w:hAnsi="Garamond"/>
              </w:rPr>
            </w:pPr>
            <w:r w:rsidRPr="007114AF">
              <w:rPr>
                <w:rFonts w:ascii="Garamond" w:hAnsi="Garamond"/>
              </w:rPr>
              <w:t>Forcimi i administrimit t</w:t>
            </w:r>
            <w:r w:rsidRPr="007114AF">
              <w:rPr>
                <w:rFonts w:ascii="Garamond" w:hAnsi="Garamond" w:cs="Calibri"/>
                <w:color w:val="000000"/>
              </w:rPr>
              <w:t>ë përdorimit të ujit, me qëllim uljen e përmbytjeve dhe fenomenit të erozionit dhe humbjes së tokës</w:t>
            </w:r>
          </w:p>
        </w:tc>
        <w:tc>
          <w:tcPr>
            <w:tcW w:w="817" w:type="pct"/>
            <w:noWrap/>
            <w:vAlign w:val="center"/>
            <w:hideMark/>
          </w:tcPr>
          <w:p w14:paraId="6EDCFEC9" w14:textId="77777777" w:rsidR="008A4207" w:rsidRPr="007114AF" w:rsidRDefault="008A4207" w:rsidP="001C467C">
            <w:pPr>
              <w:spacing w:after="0"/>
              <w:ind w:left="-108" w:firstLine="1"/>
              <w:rPr>
                <w:rFonts w:ascii="Garamond" w:hAnsi="Garamond"/>
                <w:color w:val="000000"/>
              </w:rPr>
            </w:pPr>
            <w:r w:rsidRPr="007114AF">
              <w:rPr>
                <w:rFonts w:ascii="Garamond" w:hAnsi="Garamond"/>
                <w:color w:val="000000"/>
              </w:rPr>
              <w:t>SKZHI-II; OZHQ 13</w:t>
            </w:r>
          </w:p>
        </w:tc>
      </w:tr>
      <w:tr w:rsidR="008A4207" w:rsidRPr="007114AF" w14:paraId="6EDCFECE" w14:textId="77777777" w:rsidTr="001C467C">
        <w:trPr>
          <w:trHeight w:val="20"/>
        </w:trPr>
        <w:tc>
          <w:tcPr>
            <w:tcW w:w="935" w:type="pct"/>
            <w:noWrap/>
            <w:vAlign w:val="center"/>
            <w:hideMark/>
          </w:tcPr>
          <w:p w14:paraId="6EDCFECB" w14:textId="77777777" w:rsidR="008A4207" w:rsidRPr="007114AF" w:rsidRDefault="008A4207" w:rsidP="001C467C">
            <w:pPr>
              <w:spacing w:after="0"/>
              <w:rPr>
                <w:rFonts w:ascii="Garamond" w:hAnsi="Garamond"/>
                <w:i/>
              </w:rPr>
            </w:pPr>
            <w:r w:rsidRPr="007114AF">
              <w:rPr>
                <w:rFonts w:ascii="Garamond" w:hAnsi="Garamond"/>
                <w:i/>
              </w:rPr>
              <w:t>LUCF-ja</w:t>
            </w:r>
          </w:p>
        </w:tc>
        <w:tc>
          <w:tcPr>
            <w:tcW w:w="3248" w:type="pct"/>
            <w:gridSpan w:val="2"/>
            <w:vAlign w:val="center"/>
            <w:hideMark/>
          </w:tcPr>
          <w:p w14:paraId="6EDCFECC" w14:textId="77777777" w:rsidR="008A4207" w:rsidRPr="007114AF" w:rsidRDefault="008A4207" w:rsidP="001C467C">
            <w:pPr>
              <w:spacing w:after="0"/>
              <w:rPr>
                <w:rFonts w:ascii="Garamond" w:hAnsi="Garamond"/>
              </w:rPr>
            </w:pPr>
            <w:r w:rsidRPr="007114AF">
              <w:rPr>
                <w:rFonts w:ascii="Garamond" w:hAnsi="Garamond"/>
              </w:rPr>
              <w:t>Forcimi i kapaciteteve p</w:t>
            </w:r>
            <w:r w:rsidRPr="007114AF">
              <w:rPr>
                <w:rFonts w:ascii="Garamond" w:hAnsi="Garamond" w:cs="Calibri"/>
                <w:color w:val="000000"/>
              </w:rPr>
              <w:t>ër administrimin e qëndrueshëm dhe shumëfunksional të pyjeve dhe kullotave</w:t>
            </w:r>
          </w:p>
        </w:tc>
        <w:tc>
          <w:tcPr>
            <w:tcW w:w="817" w:type="pct"/>
            <w:noWrap/>
            <w:vAlign w:val="center"/>
            <w:hideMark/>
          </w:tcPr>
          <w:p w14:paraId="6EDCFECD" w14:textId="77777777" w:rsidR="008A4207" w:rsidRPr="007114AF" w:rsidRDefault="008A4207" w:rsidP="001C467C">
            <w:pPr>
              <w:spacing w:after="0"/>
              <w:ind w:left="-108" w:firstLine="1"/>
              <w:rPr>
                <w:rFonts w:ascii="Garamond" w:hAnsi="Garamond"/>
                <w:color w:val="000000"/>
              </w:rPr>
            </w:pPr>
            <w:r w:rsidRPr="007114AF">
              <w:rPr>
                <w:rFonts w:ascii="Garamond" w:hAnsi="Garamond"/>
                <w:color w:val="000000"/>
              </w:rPr>
              <w:t>SMNS; SNBZHR OZHQ 13</w:t>
            </w:r>
          </w:p>
        </w:tc>
      </w:tr>
      <w:tr w:rsidR="008A4207" w:rsidRPr="007114AF" w14:paraId="6EDCFED0" w14:textId="77777777" w:rsidTr="001C467C">
        <w:trPr>
          <w:trHeight w:val="20"/>
        </w:trPr>
        <w:tc>
          <w:tcPr>
            <w:tcW w:w="5000" w:type="pct"/>
            <w:gridSpan w:val="4"/>
            <w:shd w:val="clear" w:color="auto" w:fill="C6D9F1" w:themeFill="text2" w:themeFillTint="33"/>
            <w:noWrap/>
            <w:vAlign w:val="center"/>
            <w:hideMark/>
          </w:tcPr>
          <w:p w14:paraId="6EDCFECF" w14:textId="77777777" w:rsidR="008A4207" w:rsidRPr="007114AF" w:rsidRDefault="008A4207" w:rsidP="001C467C">
            <w:pPr>
              <w:spacing w:after="0"/>
              <w:ind w:left="-108" w:firstLine="109"/>
              <w:rPr>
                <w:rFonts w:ascii="Garamond" w:hAnsi="Garamond"/>
                <w:color w:val="000000"/>
              </w:rPr>
            </w:pPr>
            <w:r w:rsidRPr="007114AF">
              <w:rPr>
                <w:rFonts w:ascii="Garamond" w:hAnsi="Garamond"/>
                <w:b/>
                <w:bCs/>
                <w:color w:val="000000"/>
              </w:rPr>
              <w:t>Nxitja e aktiviteteve ndërgjegjësuese dhe edukuese që mbështetin veprimet e uljes së shkarkimeve (SP1; SP5)</w:t>
            </w:r>
          </w:p>
        </w:tc>
      </w:tr>
      <w:tr w:rsidR="008A4207" w:rsidRPr="007114AF" w14:paraId="6EDCFED4" w14:textId="77777777" w:rsidTr="001C467C">
        <w:trPr>
          <w:trHeight w:val="20"/>
        </w:trPr>
        <w:tc>
          <w:tcPr>
            <w:tcW w:w="935" w:type="pct"/>
            <w:noWrap/>
            <w:vAlign w:val="center"/>
            <w:hideMark/>
          </w:tcPr>
          <w:p w14:paraId="6EDCFED1" w14:textId="77777777" w:rsidR="008A4207" w:rsidRPr="007114AF" w:rsidRDefault="008A4207" w:rsidP="001C467C">
            <w:pPr>
              <w:spacing w:after="0"/>
              <w:rPr>
                <w:rFonts w:ascii="Garamond" w:hAnsi="Garamond"/>
                <w:i/>
                <w:color w:val="000000"/>
              </w:rPr>
            </w:pPr>
            <w:r w:rsidRPr="007114AF">
              <w:rPr>
                <w:rFonts w:ascii="Garamond" w:hAnsi="Garamond"/>
                <w:i/>
                <w:color w:val="000000"/>
              </w:rPr>
              <w:t xml:space="preserve">Ndërsektoriale </w:t>
            </w:r>
          </w:p>
        </w:tc>
        <w:tc>
          <w:tcPr>
            <w:tcW w:w="3248" w:type="pct"/>
            <w:gridSpan w:val="2"/>
            <w:vAlign w:val="center"/>
            <w:hideMark/>
          </w:tcPr>
          <w:p w14:paraId="6EDCFED2" w14:textId="77777777" w:rsidR="008A4207" w:rsidRPr="007114AF" w:rsidRDefault="008A4207" w:rsidP="001C467C">
            <w:pPr>
              <w:spacing w:after="0"/>
              <w:rPr>
                <w:rFonts w:ascii="Garamond" w:hAnsi="Garamond"/>
                <w:color w:val="000000"/>
              </w:rPr>
            </w:pPr>
            <w:r w:rsidRPr="007114AF">
              <w:rPr>
                <w:rFonts w:ascii="Garamond" w:hAnsi="Garamond"/>
                <w:color w:val="000000"/>
              </w:rPr>
              <w:t xml:space="preserve">Riorganizimi i </w:t>
            </w:r>
            <w:r w:rsidRPr="007114AF">
              <w:rPr>
                <w:rFonts w:ascii="Garamond" w:hAnsi="Garamond" w:cs="Calibri"/>
                <w:color w:val="000000"/>
              </w:rPr>
              <w:t>ç</w:t>
            </w:r>
            <w:r w:rsidRPr="007114AF">
              <w:rPr>
                <w:rFonts w:ascii="Garamond" w:hAnsi="Garamond" w:cstheme="minorHAnsi"/>
                <w:color w:val="000000"/>
              </w:rPr>
              <w:t>ështjeve të ndryshimeve klimatike në arsim dhe rritja e aktiviteteve ndërgjegjësuese në të gjithë sektorët</w:t>
            </w:r>
          </w:p>
        </w:tc>
        <w:tc>
          <w:tcPr>
            <w:tcW w:w="817" w:type="pct"/>
            <w:noWrap/>
            <w:vAlign w:val="center"/>
            <w:hideMark/>
          </w:tcPr>
          <w:p w14:paraId="6EDCFED3" w14:textId="77777777" w:rsidR="008A4207" w:rsidRPr="007114AF" w:rsidRDefault="008A4207" w:rsidP="001C467C">
            <w:pPr>
              <w:spacing w:after="0"/>
              <w:ind w:left="-108" w:firstLine="1"/>
              <w:rPr>
                <w:rFonts w:ascii="Garamond" w:hAnsi="Garamond"/>
                <w:color w:val="000000"/>
              </w:rPr>
            </w:pPr>
            <w:r w:rsidRPr="007114AF">
              <w:rPr>
                <w:rFonts w:ascii="Garamond" w:hAnsi="Garamond"/>
                <w:color w:val="000000"/>
              </w:rPr>
              <w:t>Dokumenti i SKNK; OZHQ 13</w:t>
            </w:r>
          </w:p>
        </w:tc>
      </w:tr>
      <w:tr w:rsidR="008A4207" w:rsidRPr="007114AF" w14:paraId="6EDCFED8" w14:textId="77777777" w:rsidTr="001C467C">
        <w:trPr>
          <w:trHeight w:val="20"/>
        </w:trPr>
        <w:tc>
          <w:tcPr>
            <w:tcW w:w="935" w:type="pct"/>
            <w:noWrap/>
            <w:vAlign w:val="center"/>
            <w:hideMark/>
          </w:tcPr>
          <w:p w14:paraId="6EDCFED5" w14:textId="77777777" w:rsidR="008A4207" w:rsidRPr="007114AF" w:rsidRDefault="008A4207" w:rsidP="001C467C">
            <w:pPr>
              <w:spacing w:after="0"/>
              <w:rPr>
                <w:rFonts w:ascii="Garamond" w:hAnsi="Garamond"/>
              </w:rPr>
            </w:pPr>
            <w:r w:rsidRPr="007114AF">
              <w:rPr>
                <w:rFonts w:ascii="Garamond" w:hAnsi="Garamond"/>
              </w:rPr>
              <w:t>Energjia</w:t>
            </w:r>
          </w:p>
        </w:tc>
        <w:tc>
          <w:tcPr>
            <w:tcW w:w="3248" w:type="pct"/>
            <w:gridSpan w:val="2"/>
            <w:vAlign w:val="center"/>
            <w:hideMark/>
          </w:tcPr>
          <w:p w14:paraId="6EDCFED6" w14:textId="77777777" w:rsidR="008A4207" w:rsidRPr="007114AF" w:rsidRDefault="008A4207" w:rsidP="001C467C">
            <w:pPr>
              <w:spacing w:after="0"/>
              <w:rPr>
                <w:rFonts w:ascii="Garamond" w:hAnsi="Garamond"/>
              </w:rPr>
            </w:pPr>
            <w:r w:rsidRPr="007114AF">
              <w:rPr>
                <w:rFonts w:ascii="Garamond" w:hAnsi="Garamond"/>
              </w:rPr>
              <w:t>Nxitja e fushatave t</w:t>
            </w:r>
            <w:r w:rsidRPr="007114AF">
              <w:rPr>
                <w:rFonts w:ascii="Garamond" w:hAnsi="Garamond" w:cstheme="minorHAnsi"/>
                <w:color w:val="000000"/>
              </w:rPr>
              <w:t xml:space="preserve">ë ndërgjegjësimit publik, për të informuar publikun mbi mundësitë dhe përfitimet nga </w:t>
            </w:r>
            <w:r w:rsidRPr="007114AF">
              <w:rPr>
                <w:rFonts w:ascii="Garamond" w:hAnsi="Garamond"/>
                <w:color w:val="000000"/>
              </w:rPr>
              <w:t xml:space="preserve">eficienca e </w:t>
            </w:r>
            <w:r w:rsidRPr="007114AF">
              <w:rPr>
                <w:rFonts w:ascii="Garamond" w:hAnsi="Garamond" w:cstheme="minorHAnsi"/>
                <w:color w:val="000000"/>
              </w:rPr>
              <w:t>energjisë</w:t>
            </w:r>
          </w:p>
        </w:tc>
        <w:tc>
          <w:tcPr>
            <w:tcW w:w="817" w:type="pct"/>
            <w:vAlign w:val="center"/>
            <w:hideMark/>
          </w:tcPr>
          <w:p w14:paraId="6EDCFED7" w14:textId="6513A014" w:rsidR="008A4207" w:rsidRPr="007114AF" w:rsidRDefault="008A4207" w:rsidP="001C467C">
            <w:pPr>
              <w:spacing w:after="0"/>
              <w:ind w:left="-108" w:firstLine="1"/>
              <w:rPr>
                <w:rFonts w:ascii="Garamond" w:hAnsi="Garamond"/>
              </w:rPr>
            </w:pPr>
            <w:r w:rsidRPr="007114AF">
              <w:rPr>
                <w:rFonts w:ascii="Garamond" w:hAnsi="Garamond"/>
              </w:rPr>
              <w:t>Nama – Mekaniz</w:t>
            </w:r>
            <w:r w:rsidRPr="007114AF">
              <w:rPr>
                <w:rFonts w:ascii="Garamond" w:hAnsi="Garamond" w:cs="Calibri"/>
              </w:rPr>
              <w:t xml:space="preserve">ëm </w:t>
            </w:r>
            <w:r w:rsidRPr="007114AF">
              <w:rPr>
                <w:rFonts w:ascii="Garamond" w:hAnsi="Garamond"/>
              </w:rPr>
              <w:t>Financimi p</w:t>
            </w:r>
            <w:r w:rsidRPr="007114AF">
              <w:rPr>
                <w:rFonts w:ascii="Garamond" w:hAnsi="Garamond" w:cs="Calibri"/>
              </w:rPr>
              <w:t>ër</w:t>
            </w:r>
            <w:r w:rsidR="0028717C">
              <w:rPr>
                <w:rFonts w:ascii="Garamond" w:hAnsi="Garamond" w:cs="Calibri"/>
              </w:rPr>
              <w:t xml:space="preserve"> </w:t>
            </w:r>
            <w:r w:rsidRPr="007114AF">
              <w:rPr>
                <w:rFonts w:ascii="Garamond" w:hAnsi="Garamond"/>
                <w:color w:val="000000"/>
              </w:rPr>
              <w:t>Eficencën</w:t>
            </w:r>
            <w:r w:rsidRPr="007114AF">
              <w:rPr>
                <w:rFonts w:ascii="Garamond" w:hAnsi="Garamond"/>
              </w:rPr>
              <w:t xml:space="preserve"> e Energjis</w:t>
            </w:r>
            <w:r w:rsidRPr="007114AF">
              <w:rPr>
                <w:rFonts w:ascii="Garamond" w:hAnsi="Garamond" w:cs="Calibri"/>
              </w:rPr>
              <w:t>ë në Banesa</w:t>
            </w:r>
            <w:r w:rsidRPr="007114AF">
              <w:rPr>
                <w:rFonts w:ascii="Garamond" w:hAnsi="Garamond"/>
              </w:rPr>
              <w:t xml:space="preserve"> (fondi p</w:t>
            </w:r>
            <w:r w:rsidRPr="007114AF">
              <w:rPr>
                <w:rFonts w:ascii="Garamond" w:hAnsi="Garamond" w:cs="Calibri"/>
              </w:rPr>
              <w:t xml:space="preserve">ër </w:t>
            </w:r>
            <w:r w:rsidRPr="007114AF">
              <w:rPr>
                <w:rFonts w:ascii="Garamond" w:hAnsi="Garamond"/>
                <w:color w:val="000000"/>
              </w:rPr>
              <w:t>eficencën</w:t>
            </w:r>
            <w:r w:rsidRPr="007114AF">
              <w:rPr>
                <w:rFonts w:ascii="Garamond" w:hAnsi="Garamond" w:cs="Calibri"/>
              </w:rPr>
              <w:t xml:space="preserve"> e energjisë</w:t>
            </w:r>
            <w:r w:rsidRPr="007114AF">
              <w:rPr>
                <w:rFonts w:ascii="Garamond" w:hAnsi="Garamond"/>
              </w:rPr>
              <w:t xml:space="preserve">); PKVEE; </w:t>
            </w:r>
            <w:r w:rsidRPr="007114AF">
              <w:rPr>
                <w:rFonts w:ascii="Garamond" w:hAnsi="Garamond"/>
                <w:color w:val="000000"/>
              </w:rPr>
              <w:t>OZHQ 13</w:t>
            </w:r>
          </w:p>
        </w:tc>
      </w:tr>
      <w:tr w:rsidR="008A4207" w:rsidRPr="007114AF" w14:paraId="6EDCFEDC" w14:textId="77777777" w:rsidTr="001C467C">
        <w:trPr>
          <w:trHeight w:val="20"/>
        </w:trPr>
        <w:tc>
          <w:tcPr>
            <w:tcW w:w="935" w:type="pct"/>
            <w:noWrap/>
            <w:vAlign w:val="center"/>
            <w:hideMark/>
          </w:tcPr>
          <w:p w14:paraId="6EDCFED9" w14:textId="77777777" w:rsidR="008A4207" w:rsidRPr="007114AF" w:rsidRDefault="008A4207" w:rsidP="001C467C">
            <w:pPr>
              <w:spacing w:after="0"/>
              <w:rPr>
                <w:rFonts w:ascii="Garamond" w:hAnsi="Garamond"/>
                <w:i/>
                <w:color w:val="000000"/>
              </w:rPr>
            </w:pPr>
            <w:r w:rsidRPr="007114AF">
              <w:rPr>
                <w:rFonts w:ascii="Garamond" w:hAnsi="Garamond"/>
                <w:i/>
                <w:color w:val="000000"/>
              </w:rPr>
              <w:t>Transporti</w:t>
            </w:r>
          </w:p>
        </w:tc>
        <w:tc>
          <w:tcPr>
            <w:tcW w:w="3248" w:type="pct"/>
            <w:gridSpan w:val="2"/>
            <w:vAlign w:val="center"/>
            <w:hideMark/>
          </w:tcPr>
          <w:p w14:paraId="6EDCFEDA" w14:textId="77777777" w:rsidR="008A4207" w:rsidRPr="007114AF" w:rsidRDefault="008A4207" w:rsidP="001C467C">
            <w:pPr>
              <w:spacing w:after="0"/>
              <w:rPr>
                <w:rFonts w:ascii="Garamond" w:hAnsi="Garamond"/>
              </w:rPr>
            </w:pPr>
            <w:r w:rsidRPr="007114AF">
              <w:rPr>
                <w:rFonts w:ascii="Garamond" w:hAnsi="Garamond"/>
              </w:rPr>
              <w:t>Investime n</w:t>
            </w:r>
            <w:r w:rsidRPr="007114AF">
              <w:rPr>
                <w:rFonts w:ascii="Garamond" w:hAnsi="Garamond" w:cstheme="minorHAnsi"/>
                <w:color w:val="000000"/>
              </w:rPr>
              <w:t>ë arsimin publik dhe ndërgjegjësim, për të ndikuar në sjelljen i</w:t>
            </w:r>
            <w:r w:rsidRPr="007114AF">
              <w:rPr>
                <w:rFonts w:ascii="Garamond" w:hAnsi="Garamond"/>
              </w:rPr>
              <w:t>ndividuale</w:t>
            </w:r>
          </w:p>
        </w:tc>
        <w:tc>
          <w:tcPr>
            <w:tcW w:w="817" w:type="pct"/>
            <w:noWrap/>
            <w:vAlign w:val="center"/>
            <w:hideMark/>
          </w:tcPr>
          <w:p w14:paraId="6EDCFEDB"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SMNS; TECTQ; PKT; OZHQ 13</w:t>
            </w:r>
          </w:p>
        </w:tc>
      </w:tr>
      <w:tr w:rsidR="008A4207" w:rsidRPr="007114AF" w14:paraId="6EDCFEE0" w14:textId="77777777" w:rsidTr="001C467C">
        <w:trPr>
          <w:trHeight w:val="20"/>
        </w:trPr>
        <w:tc>
          <w:tcPr>
            <w:tcW w:w="935" w:type="pct"/>
            <w:noWrap/>
            <w:vAlign w:val="center"/>
            <w:hideMark/>
          </w:tcPr>
          <w:p w14:paraId="6EDCFEDD" w14:textId="77777777" w:rsidR="008A4207" w:rsidRPr="007114AF" w:rsidRDefault="008A4207" w:rsidP="001C467C">
            <w:pPr>
              <w:spacing w:after="0"/>
              <w:rPr>
                <w:rFonts w:ascii="Garamond" w:hAnsi="Garamond"/>
                <w:i/>
                <w:color w:val="000000"/>
              </w:rPr>
            </w:pPr>
            <w:r w:rsidRPr="007114AF">
              <w:rPr>
                <w:rFonts w:ascii="Garamond" w:hAnsi="Garamond"/>
                <w:i/>
                <w:color w:val="000000"/>
              </w:rPr>
              <w:t>Bujq</w:t>
            </w:r>
            <w:r w:rsidRPr="007114AF">
              <w:rPr>
                <w:rFonts w:ascii="Garamond" w:hAnsi="Garamond" w:cs="Calibri"/>
                <w:i/>
                <w:color w:val="000000"/>
              </w:rPr>
              <w:t>ë</w:t>
            </w:r>
            <w:r w:rsidRPr="007114AF">
              <w:rPr>
                <w:rFonts w:ascii="Garamond" w:hAnsi="Garamond"/>
                <w:i/>
                <w:color w:val="000000"/>
              </w:rPr>
              <w:t>sia</w:t>
            </w:r>
          </w:p>
        </w:tc>
        <w:tc>
          <w:tcPr>
            <w:tcW w:w="3248" w:type="pct"/>
            <w:gridSpan w:val="2"/>
            <w:vAlign w:val="center"/>
            <w:hideMark/>
          </w:tcPr>
          <w:p w14:paraId="6EDCFEDE" w14:textId="77777777" w:rsidR="008A4207" w:rsidRPr="007114AF" w:rsidRDefault="008A4207" w:rsidP="001C467C">
            <w:pPr>
              <w:spacing w:after="0"/>
              <w:rPr>
                <w:rFonts w:ascii="Garamond" w:hAnsi="Garamond"/>
                <w:color w:val="000000"/>
              </w:rPr>
            </w:pPr>
            <w:r w:rsidRPr="007114AF">
              <w:rPr>
                <w:rFonts w:ascii="Garamond" w:hAnsi="Garamond"/>
                <w:color w:val="000000"/>
              </w:rPr>
              <w:t>Forcimi i sistemit k</w:t>
            </w:r>
            <w:r w:rsidRPr="007114AF">
              <w:rPr>
                <w:rFonts w:ascii="Garamond" w:hAnsi="Garamond" w:cstheme="minorHAnsi"/>
                <w:color w:val="000000"/>
              </w:rPr>
              <w:t>ërkimor</w:t>
            </w:r>
            <w:r w:rsidRPr="007114AF">
              <w:rPr>
                <w:rFonts w:ascii="Garamond" w:hAnsi="Garamond"/>
                <w:color w:val="000000"/>
              </w:rPr>
              <w:t>, zhvillimeve teknologjike dhe inovacionit n</w:t>
            </w:r>
            <w:r w:rsidRPr="007114AF">
              <w:rPr>
                <w:rFonts w:ascii="Garamond" w:hAnsi="Garamond" w:cstheme="minorHAnsi"/>
                <w:color w:val="000000"/>
              </w:rPr>
              <w:t>ë sektorin bujqësor, duhet të kryhen nga institucionet arsimore dhe shkencore</w:t>
            </w:r>
          </w:p>
        </w:tc>
        <w:tc>
          <w:tcPr>
            <w:tcW w:w="817" w:type="pct"/>
            <w:noWrap/>
            <w:vAlign w:val="center"/>
            <w:hideMark/>
          </w:tcPr>
          <w:p w14:paraId="6EDCFEDF"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SMNS; SNBZHR; PKT; OZHQ 13</w:t>
            </w:r>
          </w:p>
        </w:tc>
      </w:tr>
      <w:tr w:rsidR="008A4207" w:rsidRPr="007114AF" w14:paraId="6EDCFEE4" w14:textId="77777777" w:rsidTr="001C467C">
        <w:trPr>
          <w:trHeight w:val="20"/>
        </w:trPr>
        <w:tc>
          <w:tcPr>
            <w:tcW w:w="935" w:type="pct"/>
            <w:noWrap/>
            <w:vAlign w:val="center"/>
            <w:hideMark/>
          </w:tcPr>
          <w:p w14:paraId="6EDCFEE1" w14:textId="77777777" w:rsidR="008A4207" w:rsidRPr="007114AF" w:rsidRDefault="008A4207" w:rsidP="001C467C">
            <w:pPr>
              <w:spacing w:after="0"/>
              <w:rPr>
                <w:rFonts w:ascii="Garamond" w:hAnsi="Garamond"/>
                <w:i/>
                <w:color w:val="000000"/>
              </w:rPr>
            </w:pPr>
            <w:r w:rsidRPr="007114AF">
              <w:rPr>
                <w:rFonts w:ascii="Garamond" w:hAnsi="Garamond"/>
                <w:i/>
                <w:color w:val="000000"/>
              </w:rPr>
              <w:t>LUCF-ja</w:t>
            </w:r>
          </w:p>
        </w:tc>
        <w:tc>
          <w:tcPr>
            <w:tcW w:w="3248" w:type="pct"/>
            <w:gridSpan w:val="2"/>
            <w:vAlign w:val="center"/>
            <w:hideMark/>
          </w:tcPr>
          <w:p w14:paraId="6EDCFEE2" w14:textId="77777777" w:rsidR="008A4207" w:rsidRPr="007114AF" w:rsidRDefault="008A4207" w:rsidP="001C467C">
            <w:pPr>
              <w:spacing w:after="0"/>
              <w:rPr>
                <w:rFonts w:ascii="Garamond" w:hAnsi="Garamond"/>
                <w:color w:val="000000"/>
              </w:rPr>
            </w:pPr>
            <w:r w:rsidRPr="007114AF">
              <w:rPr>
                <w:rFonts w:ascii="Garamond" w:hAnsi="Garamond"/>
                <w:color w:val="000000"/>
              </w:rPr>
              <w:t>Forcimi i sistemit k</w:t>
            </w:r>
            <w:r w:rsidRPr="007114AF">
              <w:rPr>
                <w:rFonts w:ascii="Garamond" w:hAnsi="Garamond" w:cstheme="minorHAnsi"/>
                <w:color w:val="000000"/>
              </w:rPr>
              <w:t>ërkimor</w:t>
            </w:r>
            <w:r w:rsidRPr="007114AF">
              <w:rPr>
                <w:rFonts w:ascii="Garamond" w:hAnsi="Garamond"/>
                <w:color w:val="000000"/>
              </w:rPr>
              <w:t>, zhvillimeve teknologjike dhe inovacionit n</w:t>
            </w:r>
            <w:r w:rsidRPr="007114AF">
              <w:rPr>
                <w:rFonts w:ascii="Garamond" w:hAnsi="Garamond" w:cstheme="minorHAnsi"/>
                <w:color w:val="000000"/>
              </w:rPr>
              <w:t>ë sektorin e pyjeve dhe kullotave duhet të kryet nga institucionet arsimore dhe shkencore</w:t>
            </w:r>
          </w:p>
        </w:tc>
        <w:tc>
          <w:tcPr>
            <w:tcW w:w="817" w:type="pct"/>
            <w:noWrap/>
            <w:vAlign w:val="center"/>
            <w:hideMark/>
          </w:tcPr>
          <w:p w14:paraId="6EDCFEE3"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SMNS; PKT; Projektligji mbi fondin e pyjeve dhe kullotave; OZHQ 13</w:t>
            </w:r>
          </w:p>
        </w:tc>
      </w:tr>
      <w:tr w:rsidR="008A4207" w:rsidRPr="007114AF" w14:paraId="6EDCFEE6" w14:textId="77777777" w:rsidTr="001C467C">
        <w:trPr>
          <w:trHeight w:val="20"/>
        </w:trPr>
        <w:tc>
          <w:tcPr>
            <w:tcW w:w="5000" w:type="pct"/>
            <w:gridSpan w:val="4"/>
            <w:shd w:val="clear" w:color="auto" w:fill="C6D9F1" w:themeFill="text2" w:themeFillTint="33"/>
            <w:noWrap/>
            <w:vAlign w:val="center"/>
            <w:hideMark/>
          </w:tcPr>
          <w:p w14:paraId="6EDCFEE5" w14:textId="77777777" w:rsidR="008A4207" w:rsidRPr="007114AF" w:rsidRDefault="008A4207" w:rsidP="001C467C">
            <w:pPr>
              <w:spacing w:after="0"/>
              <w:ind w:left="-108" w:firstLine="109"/>
              <w:rPr>
                <w:rFonts w:ascii="Garamond" w:hAnsi="Garamond"/>
                <w:b/>
                <w:bCs/>
                <w:color w:val="000000"/>
              </w:rPr>
            </w:pPr>
            <w:r w:rsidRPr="007114AF">
              <w:rPr>
                <w:rFonts w:ascii="Garamond" w:hAnsi="Garamond"/>
                <w:b/>
                <w:bCs/>
                <w:color w:val="000000"/>
              </w:rPr>
              <w:t>Nxitja e eficiencës s</w:t>
            </w:r>
            <w:r w:rsidRPr="007114AF">
              <w:rPr>
                <w:rFonts w:ascii="Garamond" w:hAnsi="Garamond" w:cs="Calibri"/>
                <w:b/>
                <w:bCs/>
                <w:color w:val="000000"/>
              </w:rPr>
              <w:t>ë energjis</w:t>
            </w:r>
            <w:r w:rsidRPr="007114AF">
              <w:rPr>
                <w:rFonts w:ascii="Garamond" w:hAnsi="Garamond" w:cstheme="minorHAnsi"/>
                <w:b/>
                <w:bCs/>
                <w:color w:val="000000"/>
              </w:rPr>
              <w:t>ë</w:t>
            </w:r>
            <w:r w:rsidRPr="007114AF">
              <w:rPr>
                <w:rFonts w:ascii="Garamond" w:hAnsi="Garamond"/>
                <w:b/>
                <w:bCs/>
                <w:color w:val="000000"/>
              </w:rPr>
              <w:t xml:space="preserve"> (SP1; SP6)</w:t>
            </w:r>
          </w:p>
        </w:tc>
      </w:tr>
      <w:tr w:rsidR="008A4207" w:rsidRPr="007114AF" w14:paraId="6EDCFEEB" w14:textId="77777777" w:rsidTr="001C467C">
        <w:trPr>
          <w:trHeight w:val="20"/>
        </w:trPr>
        <w:tc>
          <w:tcPr>
            <w:tcW w:w="935" w:type="pct"/>
            <w:vMerge w:val="restart"/>
            <w:noWrap/>
            <w:vAlign w:val="center"/>
            <w:hideMark/>
          </w:tcPr>
          <w:p w14:paraId="6EDCFEE7" w14:textId="77777777" w:rsidR="008A4207" w:rsidRPr="007114AF" w:rsidRDefault="008A4207" w:rsidP="001C467C">
            <w:pPr>
              <w:spacing w:after="0"/>
              <w:rPr>
                <w:rFonts w:ascii="Garamond" w:hAnsi="Garamond"/>
                <w:color w:val="000000"/>
              </w:rPr>
            </w:pPr>
            <w:r w:rsidRPr="007114AF">
              <w:rPr>
                <w:rFonts w:ascii="Garamond" w:hAnsi="Garamond"/>
                <w:color w:val="000000"/>
              </w:rPr>
              <w:t>Energjia</w:t>
            </w:r>
          </w:p>
          <w:p w14:paraId="6EDCFEE8"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EE9" w14:textId="77777777" w:rsidR="008A4207" w:rsidRPr="007114AF" w:rsidRDefault="008A4207" w:rsidP="001C467C">
            <w:pPr>
              <w:spacing w:after="0"/>
              <w:rPr>
                <w:rFonts w:ascii="Garamond" w:hAnsi="Garamond"/>
                <w:color w:val="000000"/>
              </w:rPr>
            </w:pPr>
            <w:r w:rsidRPr="007114AF">
              <w:rPr>
                <w:rFonts w:ascii="Garamond" w:hAnsi="Garamond"/>
                <w:color w:val="000000"/>
              </w:rPr>
              <w:t>Ulja e humbjeve t</w:t>
            </w:r>
            <w:r w:rsidRPr="007114AF">
              <w:rPr>
                <w:rFonts w:ascii="Garamond" w:hAnsi="Garamond" w:cstheme="minorHAnsi"/>
                <w:color w:val="000000"/>
              </w:rPr>
              <w:t xml:space="preserve">ë energjisë elektrike në rrjetin e rrjetin e shpërndarjes deri në </w:t>
            </w:r>
            <w:r w:rsidRPr="007114AF">
              <w:rPr>
                <w:rFonts w:ascii="Garamond" w:hAnsi="Garamond"/>
                <w:color w:val="000000"/>
              </w:rPr>
              <w:t>14%</w:t>
            </w:r>
          </w:p>
        </w:tc>
        <w:tc>
          <w:tcPr>
            <w:tcW w:w="817" w:type="pct"/>
            <w:noWrap/>
            <w:vAlign w:val="center"/>
            <w:hideMark/>
          </w:tcPr>
          <w:p w14:paraId="6EDCFEEA"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SKZHI-II; OZHQ 13</w:t>
            </w:r>
          </w:p>
        </w:tc>
      </w:tr>
      <w:tr w:rsidR="008A4207" w:rsidRPr="007114AF" w14:paraId="6EDCFEEF" w14:textId="77777777" w:rsidTr="001C467C">
        <w:trPr>
          <w:trHeight w:val="20"/>
        </w:trPr>
        <w:tc>
          <w:tcPr>
            <w:tcW w:w="935" w:type="pct"/>
            <w:vMerge/>
            <w:noWrap/>
            <w:vAlign w:val="center"/>
            <w:hideMark/>
          </w:tcPr>
          <w:p w14:paraId="6EDCFEEC"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EED" w14:textId="77777777" w:rsidR="008A4207" w:rsidRPr="007114AF" w:rsidRDefault="008A4207" w:rsidP="001C467C">
            <w:pPr>
              <w:spacing w:after="0"/>
              <w:rPr>
                <w:rFonts w:ascii="Garamond" w:hAnsi="Garamond"/>
                <w:color w:val="000000"/>
              </w:rPr>
            </w:pPr>
            <w:r w:rsidRPr="007114AF">
              <w:rPr>
                <w:rFonts w:ascii="Garamond" w:hAnsi="Garamond"/>
                <w:color w:val="000000"/>
              </w:rPr>
              <w:t>Arritja e rritjes n</w:t>
            </w:r>
            <w:r w:rsidRPr="007114AF">
              <w:rPr>
                <w:rFonts w:ascii="Garamond" w:hAnsi="Garamond" w:cstheme="minorHAnsi"/>
                <w:color w:val="000000"/>
              </w:rPr>
              <w:t xml:space="preserve">ë masën </w:t>
            </w:r>
            <w:r w:rsidRPr="007114AF">
              <w:rPr>
                <w:rFonts w:ascii="Garamond" w:hAnsi="Garamond"/>
                <w:color w:val="000000"/>
              </w:rPr>
              <w:t>6.8% t</w:t>
            </w:r>
            <w:r w:rsidRPr="007114AF">
              <w:rPr>
                <w:rFonts w:ascii="Garamond" w:hAnsi="Garamond" w:cstheme="minorHAnsi"/>
                <w:color w:val="000000"/>
              </w:rPr>
              <w:t xml:space="preserve">ë </w:t>
            </w:r>
            <w:r w:rsidRPr="007114AF">
              <w:rPr>
                <w:rFonts w:ascii="Garamond" w:hAnsi="Garamond"/>
                <w:color w:val="000000"/>
              </w:rPr>
              <w:t>eficiencës</w:t>
            </w:r>
            <w:r w:rsidRPr="007114AF">
              <w:rPr>
                <w:rFonts w:ascii="Garamond" w:hAnsi="Garamond" w:cstheme="minorHAnsi"/>
                <w:color w:val="000000"/>
              </w:rPr>
              <w:t xml:space="preserve"> së energjisë në të gjithë sektorët ekonomikë</w:t>
            </w:r>
            <w:r w:rsidRPr="007114AF">
              <w:rPr>
                <w:rFonts w:ascii="Garamond" w:hAnsi="Garamond"/>
                <w:color w:val="000000"/>
              </w:rPr>
              <w:t>, krahasuar me konsumin p</w:t>
            </w:r>
            <w:r w:rsidRPr="007114AF">
              <w:rPr>
                <w:rFonts w:ascii="Garamond" w:hAnsi="Garamond" w:cstheme="minorHAnsi"/>
                <w:color w:val="000000"/>
              </w:rPr>
              <w:t xml:space="preserve">ërfundimtar </w:t>
            </w:r>
            <w:r w:rsidRPr="007114AF">
              <w:rPr>
                <w:rFonts w:ascii="Garamond" w:hAnsi="Garamond"/>
                <w:color w:val="000000"/>
              </w:rPr>
              <w:t>total</w:t>
            </w:r>
            <w:r w:rsidRPr="007114AF">
              <w:rPr>
                <w:rFonts w:ascii="Garamond" w:hAnsi="Garamond" w:cstheme="minorHAnsi"/>
                <w:color w:val="000000"/>
              </w:rPr>
              <w:t xml:space="preserve"> të energjisë deri në vitin </w:t>
            </w:r>
            <w:r w:rsidRPr="007114AF">
              <w:rPr>
                <w:rFonts w:ascii="Garamond" w:hAnsi="Garamond"/>
                <w:color w:val="000000"/>
              </w:rPr>
              <w:t>2020</w:t>
            </w:r>
          </w:p>
        </w:tc>
        <w:tc>
          <w:tcPr>
            <w:tcW w:w="817" w:type="pct"/>
            <w:noWrap/>
            <w:vAlign w:val="center"/>
            <w:hideMark/>
          </w:tcPr>
          <w:p w14:paraId="6EDCFEEE" w14:textId="347585F2" w:rsidR="008A4207" w:rsidRPr="007114AF" w:rsidRDefault="008A4207" w:rsidP="001C467C">
            <w:pPr>
              <w:spacing w:after="0"/>
              <w:ind w:left="-108"/>
              <w:rPr>
                <w:rFonts w:ascii="Garamond" w:hAnsi="Garamond"/>
                <w:color w:val="000000"/>
              </w:rPr>
            </w:pPr>
            <w:r w:rsidRPr="007114AF">
              <w:rPr>
                <w:rFonts w:ascii="Garamond" w:hAnsi="Garamond"/>
                <w:color w:val="000000"/>
              </w:rPr>
              <w:t>SKZHI-II;</w:t>
            </w:r>
            <w:r w:rsidR="000A2A01" w:rsidRPr="007114AF">
              <w:rPr>
                <w:rFonts w:ascii="Garamond" w:hAnsi="Garamond"/>
                <w:color w:val="000000"/>
              </w:rPr>
              <w:t xml:space="preserve"> </w:t>
            </w:r>
            <w:r w:rsidRPr="007114AF">
              <w:rPr>
                <w:rFonts w:ascii="Garamond" w:hAnsi="Garamond"/>
                <w:color w:val="000000"/>
              </w:rPr>
              <w:t>PKVEE 2020; OZHQ 13</w:t>
            </w:r>
          </w:p>
        </w:tc>
      </w:tr>
      <w:tr w:rsidR="008A4207" w:rsidRPr="007114AF" w14:paraId="6EDCFEF3" w14:textId="77777777" w:rsidTr="001C467C">
        <w:trPr>
          <w:trHeight w:val="20"/>
        </w:trPr>
        <w:tc>
          <w:tcPr>
            <w:tcW w:w="935" w:type="pct"/>
            <w:vMerge/>
            <w:noWrap/>
            <w:vAlign w:val="center"/>
            <w:hideMark/>
          </w:tcPr>
          <w:p w14:paraId="6EDCFEF0"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EF1" w14:textId="77777777" w:rsidR="008A4207" w:rsidRPr="007114AF" w:rsidRDefault="008A4207" w:rsidP="001C467C">
            <w:pPr>
              <w:spacing w:after="0"/>
              <w:rPr>
                <w:rFonts w:ascii="Garamond" w:hAnsi="Garamond"/>
                <w:color w:val="000000"/>
                <w:highlight w:val="yellow"/>
              </w:rPr>
            </w:pPr>
            <w:r w:rsidRPr="007114AF">
              <w:rPr>
                <w:rFonts w:ascii="Garamond" w:hAnsi="Garamond"/>
                <w:color w:val="000000"/>
              </w:rPr>
              <w:t>Arritja e uljes në masën 6.8% deri në vitin 2020 krahasuar me skenarin baze, ose një ulje në konsumin e energjisë prej 123.7 Ktoe</w:t>
            </w:r>
          </w:p>
        </w:tc>
        <w:tc>
          <w:tcPr>
            <w:tcW w:w="817" w:type="pct"/>
            <w:noWrap/>
            <w:vAlign w:val="center"/>
            <w:hideMark/>
          </w:tcPr>
          <w:p w14:paraId="6EDCFEF2"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PKVEE 2&amp;3 2020; OZHQ 13</w:t>
            </w:r>
          </w:p>
        </w:tc>
      </w:tr>
      <w:tr w:rsidR="008A4207" w:rsidRPr="007114AF" w14:paraId="6EDCFEF8" w14:textId="77777777" w:rsidTr="001C467C">
        <w:trPr>
          <w:trHeight w:val="20"/>
        </w:trPr>
        <w:tc>
          <w:tcPr>
            <w:tcW w:w="935" w:type="pct"/>
            <w:vMerge w:val="restart"/>
            <w:noWrap/>
            <w:vAlign w:val="center"/>
            <w:hideMark/>
          </w:tcPr>
          <w:p w14:paraId="6EDCFEF4" w14:textId="77777777" w:rsidR="008A4207" w:rsidRPr="007114AF" w:rsidRDefault="008A4207" w:rsidP="001C467C">
            <w:pPr>
              <w:spacing w:after="0"/>
              <w:rPr>
                <w:rFonts w:ascii="Garamond" w:hAnsi="Garamond"/>
                <w:color w:val="000000"/>
              </w:rPr>
            </w:pPr>
            <w:r w:rsidRPr="007114AF">
              <w:rPr>
                <w:rFonts w:ascii="Garamond" w:hAnsi="Garamond"/>
                <w:color w:val="000000"/>
              </w:rPr>
              <w:t>Transporti</w:t>
            </w:r>
          </w:p>
          <w:p w14:paraId="6EDCFEF5"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EF6" w14:textId="3CF116ED" w:rsidR="008A4207" w:rsidRPr="007114AF" w:rsidRDefault="008A4207" w:rsidP="001C467C">
            <w:pPr>
              <w:spacing w:after="0"/>
              <w:rPr>
                <w:rFonts w:ascii="Garamond" w:hAnsi="Garamond"/>
                <w:color w:val="000000"/>
              </w:rPr>
            </w:pPr>
            <w:r w:rsidRPr="007114AF">
              <w:rPr>
                <w:rFonts w:ascii="Garamond" w:hAnsi="Garamond"/>
                <w:color w:val="000000"/>
              </w:rPr>
              <w:t>Ulja e shkarkimit t</w:t>
            </w:r>
            <w:r w:rsidRPr="007114AF">
              <w:rPr>
                <w:rFonts w:ascii="Garamond" w:hAnsi="Garamond" w:cstheme="minorHAnsi"/>
                <w:color w:val="000000"/>
              </w:rPr>
              <w:t xml:space="preserve">ë </w:t>
            </w:r>
            <w:r w:rsidRPr="007114AF">
              <w:rPr>
                <w:rFonts w:ascii="Garamond" w:hAnsi="Garamond"/>
                <w:color w:val="000000"/>
              </w:rPr>
              <w:t>ndot</w:t>
            </w:r>
            <w:r w:rsidRPr="007114AF">
              <w:rPr>
                <w:rFonts w:ascii="Garamond" w:hAnsi="Garamond" w:cstheme="minorHAnsi"/>
                <w:color w:val="000000"/>
              </w:rPr>
              <w:t>ësve të ajrit dhe konsumit të energjisë, përmes përmirësimit të kushteve të rrugëve dhe futja e teknologjive të reja të shtrimit të</w:t>
            </w:r>
            <w:r w:rsidR="0028717C">
              <w:rPr>
                <w:rFonts w:ascii="Garamond" w:hAnsi="Garamond" w:cstheme="minorHAnsi"/>
                <w:color w:val="000000"/>
              </w:rPr>
              <w:t xml:space="preserve"> </w:t>
            </w:r>
            <w:r w:rsidRPr="007114AF">
              <w:rPr>
                <w:rFonts w:ascii="Garamond" w:hAnsi="Garamond"/>
                <w:color w:val="000000"/>
              </w:rPr>
              <w:t>rrug</w:t>
            </w:r>
            <w:r w:rsidRPr="007114AF">
              <w:rPr>
                <w:rFonts w:ascii="Garamond" w:hAnsi="Garamond" w:cstheme="minorHAnsi"/>
                <w:color w:val="000000"/>
              </w:rPr>
              <w:t>ëve</w:t>
            </w:r>
          </w:p>
        </w:tc>
        <w:tc>
          <w:tcPr>
            <w:tcW w:w="817" w:type="pct"/>
            <w:noWrap/>
            <w:vAlign w:val="center"/>
            <w:hideMark/>
          </w:tcPr>
          <w:p w14:paraId="6EDCFEF7"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TECTQ; OZHQ 13</w:t>
            </w:r>
          </w:p>
        </w:tc>
      </w:tr>
      <w:tr w:rsidR="008A4207" w:rsidRPr="007114AF" w14:paraId="6EDCFEFC" w14:textId="77777777" w:rsidTr="001C467C">
        <w:trPr>
          <w:trHeight w:val="20"/>
        </w:trPr>
        <w:tc>
          <w:tcPr>
            <w:tcW w:w="935" w:type="pct"/>
            <w:vMerge/>
            <w:noWrap/>
            <w:vAlign w:val="center"/>
            <w:hideMark/>
          </w:tcPr>
          <w:p w14:paraId="6EDCFEF9"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EFA" w14:textId="77777777" w:rsidR="008A4207" w:rsidRPr="007114AF" w:rsidRDefault="008A4207" w:rsidP="001C467C">
            <w:pPr>
              <w:spacing w:after="0"/>
              <w:rPr>
                <w:rFonts w:ascii="Garamond" w:hAnsi="Garamond"/>
                <w:color w:val="000000"/>
              </w:rPr>
            </w:pPr>
            <w:r w:rsidRPr="007114AF">
              <w:rPr>
                <w:rFonts w:ascii="Garamond" w:hAnsi="Garamond"/>
                <w:color w:val="000000"/>
              </w:rPr>
              <w:t>P</w:t>
            </w:r>
            <w:r w:rsidRPr="007114AF">
              <w:rPr>
                <w:rFonts w:ascii="Garamond" w:hAnsi="Garamond" w:cstheme="minorHAnsi"/>
                <w:color w:val="000000"/>
              </w:rPr>
              <w:t>ërmirësimi i transportit rrugor që nxit kalimin nga trafiku privat në atë publik, përmes racionalizimit dhe qasjes më të mirë në rrjetin e autobusëve ndërurbanë</w:t>
            </w:r>
          </w:p>
        </w:tc>
        <w:tc>
          <w:tcPr>
            <w:tcW w:w="817" w:type="pct"/>
            <w:noWrap/>
            <w:vAlign w:val="center"/>
            <w:hideMark/>
          </w:tcPr>
          <w:p w14:paraId="6EDCFEFB"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TECTQ</w:t>
            </w:r>
          </w:p>
        </w:tc>
      </w:tr>
      <w:tr w:rsidR="008A4207" w:rsidRPr="007114AF" w14:paraId="6EDCFEFE" w14:textId="77777777" w:rsidTr="001C467C">
        <w:trPr>
          <w:trHeight w:val="20"/>
        </w:trPr>
        <w:tc>
          <w:tcPr>
            <w:tcW w:w="5000" w:type="pct"/>
            <w:gridSpan w:val="4"/>
            <w:shd w:val="clear" w:color="auto" w:fill="C6D9F1" w:themeFill="text2" w:themeFillTint="33"/>
            <w:noWrap/>
            <w:vAlign w:val="center"/>
            <w:hideMark/>
          </w:tcPr>
          <w:p w14:paraId="6EDCFEFD" w14:textId="77777777" w:rsidR="008A4207" w:rsidRPr="007114AF" w:rsidRDefault="008A4207" w:rsidP="001C467C">
            <w:pPr>
              <w:spacing w:after="0"/>
              <w:ind w:left="-108" w:firstLine="109"/>
              <w:rPr>
                <w:rFonts w:ascii="Garamond" w:hAnsi="Garamond"/>
                <w:color w:val="000000"/>
              </w:rPr>
            </w:pPr>
            <w:r w:rsidRPr="007114AF">
              <w:rPr>
                <w:rFonts w:ascii="Garamond" w:hAnsi="Garamond"/>
                <w:b/>
                <w:bCs/>
                <w:color w:val="000000"/>
              </w:rPr>
              <w:t>Nxitja e Burimeve të Qëndrueshme të Energjisë së Rinovueshme(SP1; SP6)</w:t>
            </w:r>
          </w:p>
        </w:tc>
      </w:tr>
      <w:tr w:rsidR="008A4207" w:rsidRPr="007114AF" w14:paraId="6EDCFF02" w14:textId="77777777" w:rsidTr="001C467C">
        <w:trPr>
          <w:trHeight w:val="20"/>
        </w:trPr>
        <w:tc>
          <w:tcPr>
            <w:tcW w:w="935" w:type="pct"/>
            <w:vMerge w:val="restart"/>
            <w:noWrap/>
            <w:vAlign w:val="center"/>
            <w:hideMark/>
          </w:tcPr>
          <w:p w14:paraId="6EDCFEFF" w14:textId="77777777" w:rsidR="008A4207" w:rsidRPr="007114AF" w:rsidRDefault="008A4207" w:rsidP="001C467C">
            <w:pPr>
              <w:spacing w:after="0"/>
              <w:rPr>
                <w:rFonts w:ascii="Garamond" w:hAnsi="Garamond"/>
                <w:color w:val="000000"/>
              </w:rPr>
            </w:pPr>
            <w:r w:rsidRPr="007114AF">
              <w:rPr>
                <w:rFonts w:ascii="Garamond" w:hAnsi="Garamond"/>
                <w:color w:val="000000"/>
              </w:rPr>
              <w:t>Energjia</w:t>
            </w:r>
          </w:p>
        </w:tc>
        <w:tc>
          <w:tcPr>
            <w:tcW w:w="3248" w:type="pct"/>
            <w:gridSpan w:val="2"/>
            <w:vAlign w:val="center"/>
            <w:hideMark/>
          </w:tcPr>
          <w:p w14:paraId="6EDCFF00" w14:textId="77777777" w:rsidR="008A4207" w:rsidRPr="007114AF" w:rsidRDefault="008A4207" w:rsidP="001C467C">
            <w:pPr>
              <w:spacing w:after="0"/>
              <w:rPr>
                <w:rFonts w:ascii="Garamond" w:hAnsi="Garamond"/>
                <w:color w:val="000000"/>
              </w:rPr>
            </w:pPr>
            <w:r w:rsidRPr="007114AF">
              <w:rPr>
                <w:rFonts w:ascii="Garamond" w:hAnsi="Garamond"/>
                <w:color w:val="000000"/>
              </w:rPr>
              <w:t>Arritja e rritjes n</w:t>
            </w:r>
            <w:r w:rsidRPr="007114AF">
              <w:rPr>
                <w:rFonts w:ascii="Garamond" w:hAnsi="Garamond" w:cstheme="minorHAnsi"/>
                <w:color w:val="000000"/>
              </w:rPr>
              <w:t xml:space="preserve">ë masën </w:t>
            </w:r>
            <w:r w:rsidRPr="007114AF">
              <w:rPr>
                <w:rFonts w:ascii="Garamond" w:hAnsi="Garamond"/>
                <w:color w:val="000000"/>
              </w:rPr>
              <w:t>38% t</w:t>
            </w:r>
            <w:r w:rsidRPr="007114AF">
              <w:rPr>
                <w:rFonts w:ascii="Garamond" w:hAnsi="Garamond" w:cstheme="minorHAnsi"/>
                <w:color w:val="000000"/>
              </w:rPr>
              <w:t>ë përdorimit të energjisë së rinovueshme krahasuar me konsumin përfundimtar total të energjisë</w:t>
            </w:r>
            <w:r w:rsidRPr="007114AF">
              <w:rPr>
                <w:rFonts w:ascii="Garamond" w:hAnsi="Garamond"/>
                <w:color w:val="000000"/>
              </w:rPr>
              <w:t>, p</w:t>
            </w:r>
            <w:r w:rsidRPr="007114AF">
              <w:rPr>
                <w:rFonts w:ascii="Garamond" w:hAnsi="Garamond" w:cstheme="minorHAnsi"/>
                <w:color w:val="000000"/>
              </w:rPr>
              <w:t>ërmes aprovimit dhe zbatimit të Planit Kombëtar të Veprimit për Energjinë e Rinovueshme</w:t>
            </w:r>
          </w:p>
        </w:tc>
        <w:tc>
          <w:tcPr>
            <w:tcW w:w="817" w:type="pct"/>
            <w:noWrap/>
            <w:vAlign w:val="center"/>
            <w:hideMark/>
          </w:tcPr>
          <w:p w14:paraId="6EDCFF01" w14:textId="77777777" w:rsidR="008A4207" w:rsidRPr="007114AF" w:rsidRDefault="008A4207" w:rsidP="001C467C">
            <w:pPr>
              <w:spacing w:after="0"/>
              <w:ind w:left="-108"/>
              <w:rPr>
                <w:rFonts w:ascii="Garamond" w:hAnsi="Garamond"/>
                <w:color w:val="000000"/>
              </w:rPr>
            </w:pPr>
            <w:r w:rsidRPr="007114AF">
              <w:rPr>
                <w:rFonts w:ascii="Garamond" w:hAnsi="Garamond"/>
                <w:color w:val="000000"/>
              </w:rPr>
              <w:t>SKZHI-II; BER 2020; LOCSEE Plani i Procesit të Uljes së Karbonit; OZHQ 13</w:t>
            </w:r>
          </w:p>
        </w:tc>
      </w:tr>
      <w:tr w:rsidR="008A4207" w:rsidRPr="007114AF" w14:paraId="6EDCFF06" w14:textId="77777777" w:rsidTr="001C467C">
        <w:trPr>
          <w:trHeight w:val="20"/>
        </w:trPr>
        <w:tc>
          <w:tcPr>
            <w:tcW w:w="935" w:type="pct"/>
            <w:vMerge/>
            <w:noWrap/>
            <w:vAlign w:val="center"/>
            <w:hideMark/>
          </w:tcPr>
          <w:p w14:paraId="6EDCFF03"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04" w14:textId="18FF8898" w:rsidR="008A4207" w:rsidRPr="007114AF" w:rsidRDefault="008A4207" w:rsidP="0000517F">
            <w:pPr>
              <w:spacing w:after="0"/>
              <w:rPr>
                <w:rFonts w:ascii="Garamond" w:hAnsi="Garamond"/>
                <w:color w:val="000000"/>
              </w:rPr>
            </w:pPr>
            <w:r w:rsidRPr="007114AF">
              <w:rPr>
                <w:rFonts w:ascii="Garamond" w:hAnsi="Garamond"/>
                <w:color w:val="000000"/>
              </w:rPr>
              <w:t>Rritje t</w:t>
            </w:r>
            <w:r w:rsidR="0028717C">
              <w:rPr>
                <w:rFonts w:ascii="Garamond" w:hAnsi="Garamond"/>
                <w:color w:val="000000"/>
              </w:rPr>
              <w:t>ë</w:t>
            </w:r>
            <w:r w:rsidRPr="007114AF">
              <w:rPr>
                <w:rFonts w:ascii="Garamond" w:hAnsi="Garamond"/>
                <w:color w:val="000000"/>
              </w:rPr>
              <w:t xml:space="preserve"> </w:t>
            </w:r>
            <w:r w:rsidR="0028717C" w:rsidRPr="007114AF">
              <w:rPr>
                <w:rFonts w:ascii="Garamond" w:hAnsi="Garamond"/>
                <w:color w:val="000000"/>
              </w:rPr>
              <w:t>sasisë</w:t>
            </w:r>
            <w:r w:rsidRPr="007114AF">
              <w:rPr>
                <w:rFonts w:ascii="Garamond" w:hAnsi="Garamond"/>
                <w:color w:val="000000"/>
              </w:rPr>
              <w:t xml:space="preserve"> shtes</w:t>
            </w:r>
            <w:r w:rsidR="0028717C">
              <w:rPr>
                <w:rFonts w:ascii="Garamond" w:hAnsi="Garamond"/>
                <w:color w:val="000000"/>
              </w:rPr>
              <w:t>ë</w:t>
            </w:r>
            <w:r w:rsidRPr="007114AF">
              <w:rPr>
                <w:rFonts w:ascii="Garamond" w:hAnsi="Garamond"/>
                <w:color w:val="000000"/>
              </w:rPr>
              <w:t xml:space="preserve"> t</w:t>
            </w:r>
            <w:r w:rsidR="0028717C">
              <w:rPr>
                <w:rFonts w:ascii="Garamond" w:hAnsi="Garamond"/>
                <w:color w:val="000000"/>
              </w:rPr>
              <w:t>ë</w:t>
            </w:r>
            <w:r w:rsidRPr="007114AF">
              <w:rPr>
                <w:rFonts w:ascii="Garamond" w:hAnsi="Garamond"/>
                <w:color w:val="000000"/>
              </w:rPr>
              <w:t xml:space="preserve"> konsumuar </w:t>
            </w:r>
            <w:r w:rsidR="0028717C" w:rsidRPr="007114AF">
              <w:rPr>
                <w:rFonts w:ascii="Garamond" w:hAnsi="Garamond"/>
                <w:color w:val="000000"/>
              </w:rPr>
              <w:t>energjisë</w:t>
            </w:r>
            <w:r w:rsidRPr="007114AF">
              <w:rPr>
                <w:rFonts w:ascii="Garamond" w:hAnsi="Garamond"/>
                <w:color w:val="000000"/>
              </w:rPr>
              <w:t xml:space="preserve"> elektrike nga burime te rinovueshme me t</w:t>
            </w:r>
            <w:r w:rsidR="0028717C">
              <w:rPr>
                <w:rFonts w:ascii="Garamond" w:hAnsi="Garamond"/>
                <w:color w:val="000000"/>
              </w:rPr>
              <w:t>ë</w:t>
            </w:r>
            <w:r w:rsidRPr="007114AF">
              <w:rPr>
                <w:rFonts w:ascii="Garamond" w:hAnsi="Garamond"/>
                <w:color w:val="000000"/>
              </w:rPr>
              <w:t xml:space="preserve"> pakt</w:t>
            </w:r>
            <w:r w:rsidR="0028717C">
              <w:rPr>
                <w:rFonts w:ascii="Garamond" w:hAnsi="Garamond"/>
                <w:color w:val="000000"/>
              </w:rPr>
              <w:t>ë</w:t>
            </w:r>
            <w:r w:rsidRPr="007114AF">
              <w:rPr>
                <w:rFonts w:ascii="Garamond" w:hAnsi="Garamond"/>
                <w:color w:val="000000"/>
              </w:rPr>
              <w:t>n 172 ktoe (2,044 GWh) deri n</w:t>
            </w:r>
            <w:r w:rsidR="0000517F">
              <w:rPr>
                <w:rFonts w:ascii="Garamond" w:hAnsi="Garamond"/>
                <w:color w:val="000000"/>
              </w:rPr>
              <w:t>ë</w:t>
            </w:r>
            <w:r w:rsidRPr="007114AF">
              <w:rPr>
                <w:rFonts w:ascii="Garamond" w:hAnsi="Garamond"/>
                <w:color w:val="000000"/>
              </w:rPr>
              <w:t xml:space="preserve"> vitin 2020</w:t>
            </w:r>
          </w:p>
        </w:tc>
        <w:tc>
          <w:tcPr>
            <w:tcW w:w="817" w:type="pct"/>
            <w:noWrap/>
            <w:vAlign w:val="center"/>
            <w:hideMark/>
          </w:tcPr>
          <w:p w14:paraId="6EDCFF05"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Plani i Veprimit BER</w:t>
            </w:r>
          </w:p>
        </w:tc>
      </w:tr>
      <w:tr w:rsidR="008A4207" w:rsidRPr="007114AF" w14:paraId="6EDCFF0B" w14:textId="77777777" w:rsidTr="001C467C">
        <w:trPr>
          <w:trHeight w:val="20"/>
        </w:trPr>
        <w:tc>
          <w:tcPr>
            <w:tcW w:w="935" w:type="pct"/>
            <w:vMerge w:val="restart"/>
            <w:noWrap/>
            <w:vAlign w:val="center"/>
            <w:hideMark/>
          </w:tcPr>
          <w:p w14:paraId="6EDCFF07" w14:textId="77777777" w:rsidR="008A4207" w:rsidRPr="007114AF" w:rsidRDefault="008A4207" w:rsidP="001C467C">
            <w:pPr>
              <w:spacing w:after="0"/>
              <w:rPr>
                <w:rFonts w:ascii="Garamond" w:hAnsi="Garamond"/>
                <w:color w:val="000000"/>
              </w:rPr>
            </w:pPr>
            <w:r w:rsidRPr="007114AF">
              <w:rPr>
                <w:rFonts w:ascii="Garamond" w:hAnsi="Garamond"/>
                <w:color w:val="000000"/>
              </w:rPr>
              <w:t>Transporti</w:t>
            </w:r>
          </w:p>
          <w:p w14:paraId="6EDCFF08"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09" w14:textId="77777777" w:rsidR="008A4207" w:rsidRPr="007114AF" w:rsidRDefault="008A4207" w:rsidP="001C467C">
            <w:pPr>
              <w:spacing w:after="0"/>
              <w:rPr>
                <w:rFonts w:ascii="Garamond" w:hAnsi="Garamond"/>
                <w:color w:val="000000"/>
              </w:rPr>
            </w:pPr>
            <w:r w:rsidRPr="007114AF">
              <w:rPr>
                <w:rFonts w:ascii="Garamond" w:hAnsi="Garamond"/>
                <w:color w:val="000000"/>
              </w:rPr>
              <w:t>Arritja e kuotës së transportit tëBERnë 3% në konsumin final bruto të energjisë</w:t>
            </w:r>
          </w:p>
        </w:tc>
        <w:tc>
          <w:tcPr>
            <w:tcW w:w="817" w:type="pct"/>
            <w:noWrap/>
            <w:vAlign w:val="center"/>
            <w:hideMark/>
          </w:tcPr>
          <w:p w14:paraId="6EDCFF0A"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Plani i Veprimit BER</w:t>
            </w:r>
          </w:p>
        </w:tc>
      </w:tr>
      <w:tr w:rsidR="008A4207" w:rsidRPr="007114AF" w14:paraId="6EDCFF0F" w14:textId="77777777" w:rsidTr="001C467C">
        <w:trPr>
          <w:trHeight w:val="20"/>
        </w:trPr>
        <w:tc>
          <w:tcPr>
            <w:tcW w:w="935" w:type="pct"/>
            <w:vMerge/>
            <w:noWrap/>
            <w:vAlign w:val="center"/>
            <w:hideMark/>
          </w:tcPr>
          <w:p w14:paraId="6EDCFF0C"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0D" w14:textId="77777777" w:rsidR="008A4207" w:rsidRPr="007114AF" w:rsidRDefault="008A4207" w:rsidP="001C467C">
            <w:pPr>
              <w:spacing w:after="0"/>
              <w:rPr>
                <w:rFonts w:ascii="Garamond" w:hAnsi="Garamond"/>
                <w:color w:val="000000"/>
              </w:rPr>
            </w:pPr>
            <w:r w:rsidRPr="007114AF">
              <w:rPr>
                <w:rFonts w:ascii="Garamond" w:hAnsi="Garamond"/>
                <w:color w:val="000000"/>
              </w:rPr>
              <w:t>Arritja e objektivit specifik p</w:t>
            </w:r>
            <w:r w:rsidRPr="007114AF">
              <w:rPr>
                <w:rFonts w:ascii="Garamond" w:hAnsi="Garamond" w:cstheme="minorHAnsi"/>
                <w:color w:val="000000"/>
              </w:rPr>
              <w:t>ër t</w:t>
            </w:r>
            <w:r w:rsidRPr="007114AF">
              <w:rPr>
                <w:rFonts w:ascii="Garamond" w:hAnsi="Garamond"/>
                <w:color w:val="000000"/>
              </w:rPr>
              <w:t>ransportin që k</w:t>
            </w:r>
            <w:r w:rsidRPr="007114AF">
              <w:rPr>
                <w:rFonts w:ascii="Garamond" w:hAnsi="Garamond" w:cstheme="minorHAnsi"/>
                <w:color w:val="000000"/>
              </w:rPr>
              <w:t>ërkon që</w:t>
            </w:r>
            <w:r w:rsidRPr="007114AF">
              <w:rPr>
                <w:rFonts w:ascii="Garamond" w:hAnsi="Garamond"/>
                <w:color w:val="000000"/>
              </w:rPr>
              <w:t xml:space="preserve"> 10% e konsumit t</w:t>
            </w:r>
            <w:r w:rsidRPr="007114AF">
              <w:rPr>
                <w:rFonts w:ascii="Garamond" w:hAnsi="Garamond" w:cstheme="minorHAnsi"/>
                <w:color w:val="000000"/>
              </w:rPr>
              <w:t>ë të gjithë karburantit në transport të vijë nga b</w:t>
            </w:r>
            <w:r w:rsidRPr="007114AF">
              <w:rPr>
                <w:rFonts w:ascii="Garamond" w:hAnsi="Garamond"/>
                <w:color w:val="000000"/>
              </w:rPr>
              <w:t>iokarburet</w:t>
            </w:r>
          </w:p>
        </w:tc>
        <w:tc>
          <w:tcPr>
            <w:tcW w:w="817" w:type="pct"/>
            <w:noWrap/>
            <w:vAlign w:val="center"/>
            <w:hideMark/>
          </w:tcPr>
          <w:p w14:paraId="6EDCFF0E"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Plani i Veprimit BER; INDC</w:t>
            </w:r>
          </w:p>
        </w:tc>
      </w:tr>
      <w:tr w:rsidR="008A4207" w:rsidRPr="007114AF" w14:paraId="6EDCFF13" w14:textId="77777777" w:rsidTr="001C467C">
        <w:trPr>
          <w:trHeight w:val="20"/>
        </w:trPr>
        <w:tc>
          <w:tcPr>
            <w:tcW w:w="935" w:type="pct"/>
            <w:noWrap/>
            <w:vAlign w:val="center"/>
            <w:hideMark/>
          </w:tcPr>
          <w:p w14:paraId="6EDCFF10" w14:textId="77777777" w:rsidR="008A4207" w:rsidRPr="007114AF" w:rsidRDefault="008A4207" w:rsidP="001C467C">
            <w:pPr>
              <w:spacing w:after="0"/>
              <w:rPr>
                <w:rFonts w:ascii="Garamond" w:hAnsi="Garamond"/>
                <w:color w:val="000000"/>
              </w:rPr>
            </w:pPr>
            <w:r w:rsidRPr="007114AF">
              <w:rPr>
                <w:rFonts w:ascii="Garamond" w:hAnsi="Garamond"/>
                <w:color w:val="000000"/>
              </w:rPr>
              <w:t>Energjia/LUCF-ja</w:t>
            </w:r>
          </w:p>
        </w:tc>
        <w:tc>
          <w:tcPr>
            <w:tcW w:w="3248" w:type="pct"/>
            <w:gridSpan w:val="2"/>
            <w:vAlign w:val="center"/>
            <w:hideMark/>
          </w:tcPr>
          <w:p w14:paraId="6EDCFF11" w14:textId="72309187" w:rsidR="008A4207" w:rsidRPr="007114AF" w:rsidRDefault="008A4207" w:rsidP="001C467C">
            <w:pPr>
              <w:spacing w:after="0"/>
              <w:rPr>
                <w:rFonts w:ascii="Garamond" w:hAnsi="Garamond"/>
                <w:color w:val="000000"/>
              </w:rPr>
            </w:pPr>
            <w:r w:rsidRPr="007114AF">
              <w:rPr>
                <w:rFonts w:ascii="Garamond" w:hAnsi="Garamond"/>
                <w:color w:val="000000"/>
              </w:rPr>
              <w:t>Rritja e efektivitetit ekonomik dhe eficiencës s</w:t>
            </w:r>
            <w:r w:rsidRPr="007114AF">
              <w:rPr>
                <w:rFonts w:ascii="Garamond" w:hAnsi="Garamond" w:cstheme="minorHAnsi"/>
                <w:color w:val="000000"/>
              </w:rPr>
              <w:t>ë energjisë nga përdorimi i qëndrueshëm i pyjeve shtetërore, me qëllim uljen e shfrytëzimit të pyjeve dhe përmirësimin e përdorimit të teknologjisë drusore</w:t>
            </w:r>
            <w:r w:rsidRPr="007114AF">
              <w:rPr>
                <w:rFonts w:ascii="Garamond" w:hAnsi="Garamond"/>
                <w:color w:val="000000"/>
              </w:rPr>
              <w:t xml:space="preserve"> (p</w:t>
            </w:r>
            <w:r w:rsidRPr="007114AF">
              <w:rPr>
                <w:rFonts w:ascii="Garamond" w:hAnsi="Garamond" w:cstheme="minorHAnsi"/>
                <w:color w:val="000000"/>
              </w:rPr>
              <w:t>ërdorimi i mbetjeve nga të korrat dhe përmirësimi</w:t>
            </w:r>
            <w:r w:rsidR="000A2A01" w:rsidRPr="007114AF">
              <w:rPr>
                <w:rFonts w:ascii="Garamond" w:hAnsi="Garamond" w:cstheme="minorHAnsi"/>
                <w:color w:val="000000"/>
              </w:rPr>
              <w:t xml:space="preserve"> </w:t>
            </w:r>
            <w:r w:rsidRPr="007114AF">
              <w:rPr>
                <w:rFonts w:ascii="Garamond" w:hAnsi="Garamond" w:cstheme="minorHAnsi"/>
                <w:color w:val="000000"/>
              </w:rPr>
              <w:t xml:space="preserve">teknologjive </w:t>
            </w:r>
            <w:r w:rsidRPr="007114AF">
              <w:rPr>
                <w:rFonts w:ascii="Garamond" w:hAnsi="Garamond"/>
                <w:color w:val="000000"/>
              </w:rPr>
              <w:t>t</w:t>
            </w:r>
            <w:r w:rsidRPr="007114AF">
              <w:rPr>
                <w:rFonts w:ascii="Garamond" w:hAnsi="Garamond" w:cstheme="minorHAnsi"/>
                <w:color w:val="000000"/>
              </w:rPr>
              <w:t xml:space="preserve">ë djegies së </w:t>
            </w:r>
            <w:r w:rsidRPr="007114AF">
              <w:rPr>
                <w:rFonts w:ascii="Garamond" w:hAnsi="Garamond"/>
                <w:color w:val="000000"/>
              </w:rPr>
              <w:t>biomas</w:t>
            </w:r>
            <w:r w:rsidRPr="007114AF">
              <w:rPr>
                <w:rFonts w:ascii="Garamond" w:hAnsi="Garamond" w:cstheme="minorHAnsi"/>
                <w:color w:val="000000"/>
              </w:rPr>
              <w:t>ës</w:t>
            </w:r>
            <w:r w:rsidRPr="007114AF">
              <w:rPr>
                <w:rFonts w:ascii="Garamond" w:hAnsi="Garamond"/>
                <w:color w:val="000000"/>
              </w:rPr>
              <w:t>)</w:t>
            </w:r>
          </w:p>
        </w:tc>
        <w:tc>
          <w:tcPr>
            <w:tcW w:w="817" w:type="pct"/>
            <w:noWrap/>
            <w:vAlign w:val="center"/>
            <w:hideMark/>
          </w:tcPr>
          <w:p w14:paraId="6EDCFF12"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SMNS; KTK</w:t>
            </w:r>
          </w:p>
        </w:tc>
      </w:tr>
      <w:tr w:rsidR="008A4207" w:rsidRPr="007114AF" w14:paraId="6EDCFF17" w14:textId="77777777" w:rsidTr="001C467C">
        <w:trPr>
          <w:trHeight w:val="20"/>
        </w:trPr>
        <w:tc>
          <w:tcPr>
            <w:tcW w:w="935" w:type="pct"/>
            <w:noWrap/>
            <w:vAlign w:val="center"/>
            <w:hideMark/>
          </w:tcPr>
          <w:p w14:paraId="6EDCFF14" w14:textId="77777777" w:rsidR="008A4207" w:rsidRPr="007114AF" w:rsidRDefault="008A4207" w:rsidP="001C467C">
            <w:pPr>
              <w:spacing w:after="0"/>
              <w:rPr>
                <w:rFonts w:ascii="Garamond" w:hAnsi="Garamond"/>
                <w:color w:val="000000"/>
              </w:rPr>
            </w:pPr>
            <w:r w:rsidRPr="007114AF">
              <w:rPr>
                <w:rFonts w:ascii="Garamond" w:hAnsi="Garamond"/>
                <w:color w:val="000000"/>
              </w:rPr>
              <w:t>Energjia</w:t>
            </w:r>
          </w:p>
        </w:tc>
        <w:tc>
          <w:tcPr>
            <w:tcW w:w="3248" w:type="pct"/>
            <w:gridSpan w:val="2"/>
            <w:vAlign w:val="center"/>
            <w:hideMark/>
          </w:tcPr>
          <w:p w14:paraId="6EDCFF15" w14:textId="77777777" w:rsidR="008A4207" w:rsidRPr="007114AF" w:rsidRDefault="008A4207" w:rsidP="001C467C">
            <w:pPr>
              <w:spacing w:after="0"/>
              <w:rPr>
                <w:rFonts w:ascii="Garamond" w:hAnsi="Garamond"/>
                <w:color w:val="000000"/>
              </w:rPr>
            </w:pPr>
            <w:r w:rsidRPr="007114AF">
              <w:rPr>
                <w:rFonts w:ascii="Garamond" w:hAnsi="Garamond"/>
                <w:color w:val="000000"/>
              </w:rPr>
              <w:t>Diversifikimi i burimeve t</w:t>
            </w:r>
            <w:r w:rsidRPr="007114AF">
              <w:rPr>
                <w:rFonts w:ascii="Garamond" w:hAnsi="Garamond" w:cstheme="minorHAnsi"/>
                <w:color w:val="000000"/>
              </w:rPr>
              <w:t>ë rinovueshme në vend</w:t>
            </w:r>
            <w:r w:rsidRPr="007114AF">
              <w:rPr>
                <w:rFonts w:ascii="Garamond" w:hAnsi="Garamond"/>
                <w:color w:val="000000"/>
              </w:rPr>
              <w:t>, jo vet</w:t>
            </w:r>
            <w:r w:rsidRPr="007114AF">
              <w:rPr>
                <w:rFonts w:ascii="Garamond" w:hAnsi="Garamond" w:cstheme="minorHAnsi"/>
                <w:color w:val="000000"/>
              </w:rPr>
              <w:t xml:space="preserve">ëm nga burimet </w:t>
            </w:r>
            <w:r w:rsidRPr="007114AF">
              <w:rPr>
                <w:rFonts w:ascii="Garamond" w:hAnsi="Garamond"/>
                <w:color w:val="000000"/>
              </w:rPr>
              <w:t>hidrike, por edhe nga era, dielli, biomasa dhe burimet gjeotermale</w:t>
            </w:r>
          </w:p>
        </w:tc>
        <w:tc>
          <w:tcPr>
            <w:tcW w:w="817" w:type="pct"/>
            <w:noWrap/>
            <w:vAlign w:val="center"/>
            <w:hideMark/>
          </w:tcPr>
          <w:p w14:paraId="6EDCFF16"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SKZHI-II</w:t>
            </w:r>
          </w:p>
        </w:tc>
      </w:tr>
      <w:tr w:rsidR="008A4207" w:rsidRPr="007114AF" w14:paraId="6EDCFF19" w14:textId="77777777" w:rsidTr="001C467C">
        <w:trPr>
          <w:trHeight w:val="20"/>
        </w:trPr>
        <w:tc>
          <w:tcPr>
            <w:tcW w:w="5000" w:type="pct"/>
            <w:gridSpan w:val="4"/>
            <w:shd w:val="clear" w:color="auto" w:fill="C6D9F1" w:themeFill="text2" w:themeFillTint="33"/>
            <w:noWrap/>
            <w:vAlign w:val="center"/>
            <w:hideMark/>
          </w:tcPr>
          <w:p w14:paraId="6EDCFF18" w14:textId="77777777" w:rsidR="008A4207" w:rsidRPr="007114AF" w:rsidRDefault="008A4207" w:rsidP="001C467C">
            <w:pPr>
              <w:spacing w:after="0"/>
              <w:ind w:left="-109" w:firstLine="1"/>
              <w:rPr>
                <w:rFonts w:ascii="Garamond" w:hAnsi="Garamond"/>
                <w:b/>
                <w:bCs/>
                <w:color w:val="000000"/>
              </w:rPr>
            </w:pPr>
            <w:r w:rsidRPr="007114AF">
              <w:rPr>
                <w:rFonts w:ascii="Garamond" w:hAnsi="Garamond"/>
                <w:b/>
                <w:bCs/>
                <w:color w:val="000000"/>
              </w:rPr>
              <w:t>Nxitja e mënyrave të transportit të qëndruesh</w:t>
            </w:r>
            <w:r w:rsidRPr="007114AF">
              <w:rPr>
                <w:rFonts w:ascii="Garamond" w:hAnsi="Garamond" w:cstheme="minorHAnsi"/>
                <w:b/>
                <w:bCs/>
                <w:color w:val="000000"/>
              </w:rPr>
              <w:t>ë</w:t>
            </w:r>
            <w:r w:rsidRPr="007114AF">
              <w:rPr>
                <w:rFonts w:ascii="Garamond" w:hAnsi="Garamond"/>
                <w:b/>
                <w:bCs/>
                <w:color w:val="000000"/>
              </w:rPr>
              <w:t>m(SP1; SP6)</w:t>
            </w:r>
          </w:p>
        </w:tc>
      </w:tr>
      <w:tr w:rsidR="008A4207" w:rsidRPr="007114AF" w14:paraId="6EDCFF1E" w14:textId="77777777" w:rsidTr="001C467C">
        <w:trPr>
          <w:trHeight w:val="20"/>
        </w:trPr>
        <w:tc>
          <w:tcPr>
            <w:tcW w:w="935" w:type="pct"/>
            <w:vMerge w:val="restart"/>
            <w:noWrap/>
            <w:vAlign w:val="center"/>
            <w:hideMark/>
          </w:tcPr>
          <w:p w14:paraId="6EDCFF1A" w14:textId="77777777" w:rsidR="008A4207" w:rsidRPr="007114AF" w:rsidRDefault="008A4207" w:rsidP="001C467C">
            <w:pPr>
              <w:spacing w:after="0"/>
              <w:rPr>
                <w:rFonts w:ascii="Garamond" w:hAnsi="Garamond"/>
                <w:color w:val="000000"/>
              </w:rPr>
            </w:pPr>
            <w:r w:rsidRPr="007114AF">
              <w:rPr>
                <w:rFonts w:ascii="Garamond" w:hAnsi="Garamond"/>
                <w:color w:val="000000"/>
              </w:rPr>
              <w:t>Transporti</w:t>
            </w:r>
          </w:p>
          <w:p w14:paraId="6EDCFF1B"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1C" w14:textId="77777777" w:rsidR="008A4207" w:rsidRPr="007114AF" w:rsidRDefault="008A4207" w:rsidP="001C467C">
            <w:pPr>
              <w:spacing w:after="0"/>
              <w:rPr>
                <w:rFonts w:ascii="Garamond" w:hAnsi="Garamond"/>
                <w:color w:val="000000"/>
              </w:rPr>
            </w:pPr>
            <w:r w:rsidRPr="007114AF">
              <w:rPr>
                <w:rFonts w:ascii="Garamond" w:hAnsi="Garamond"/>
                <w:color w:val="000000"/>
              </w:rPr>
              <w:t>Bashk</w:t>
            </w:r>
            <w:r w:rsidRPr="007114AF">
              <w:rPr>
                <w:rFonts w:ascii="Garamond" w:hAnsi="Garamond" w:cstheme="minorHAnsi"/>
                <w:color w:val="000000"/>
              </w:rPr>
              <w:t>ërendimi i masave politike kombëtare që nxisin transportin shumëformësh dhe atë të kombinuar</w:t>
            </w:r>
          </w:p>
        </w:tc>
        <w:tc>
          <w:tcPr>
            <w:tcW w:w="817" w:type="pct"/>
            <w:noWrap/>
            <w:vAlign w:val="center"/>
            <w:hideMark/>
          </w:tcPr>
          <w:p w14:paraId="6EDCFF1D"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SSTPV</w:t>
            </w:r>
          </w:p>
        </w:tc>
      </w:tr>
      <w:tr w:rsidR="008A4207" w:rsidRPr="007114AF" w14:paraId="6EDCFF22" w14:textId="77777777" w:rsidTr="001C467C">
        <w:trPr>
          <w:trHeight w:val="20"/>
        </w:trPr>
        <w:tc>
          <w:tcPr>
            <w:tcW w:w="935" w:type="pct"/>
            <w:vMerge/>
            <w:noWrap/>
            <w:vAlign w:val="center"/>
            <w:hideMark/>
          </w:tcPr>
          <w:p w14:paraId="6EDCFF1F"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20" w14:textId="77777777" w:rsidR="008A4207" w:rsidRPr="007114AF" w:rsidRDefault="008A4207" w:rsidP="001C467C">
            <w:pPr>
              <w:spacing w:after="0"/>
              <w:rPr>
                <w:rFonts w:ascii="Garamond" w:hAnsi="Garamond"/>
                <w:color w:val="000000"/>
              </w:rPr>
            </w:pPr>
            <w:r w:rsidRPr="007114AF">
              <w:rPr>
                <w:rFonts w:ascii="Garamond" w:hAnsi="Garamond"/>
                <w:color w:val="000000"/>
              </w:rPr>
              <w:t>Integrimi dhe nxitja e proceseve t</w:t>
            </w:r>
            <w:r w:rsidRPr="007114AF">
              <w:rPr>
                <w:rFonts w:ascii="Garamond" w:hAnsi="Garamond" w:cstheme="minorHAnsi"/>
                <w:color w:val="000000"/>
              </w:rPr>
              <w:t>ë planifikimit të lëvizjes në planet lokale dhe programet e bashkive si dhe në planifikimin e përdorimit të tokës</w:t>
            </w:r>
          </w:p>
        </w:tc>
        <w:tc>
          <w:tcPr>
            <w:tcW w:w="817" w:type="pct"/>
            <w:noWrap/>
            <w:vAlign w:val="center"/>
            <w:hideMark/>
          </w:tcPr>
          <w:p w14:paraId="6EDCFF21"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TECTQ; PKT</w:t>
            </w:r>
          </w:p>
        </w:tc>
      </w:tr>
      <w:tr w:rsidR="008A4207" w:rsidRPr="007114AF" w14:paraId="6EDCFF26" w14:textId="77777777" w:rsidTr="001C467C">
        <w:trPr>
          <w:trHeight w:val="20"/>
        </w:trPr>
        <w:tc>
          <w:tcPr>
            <w:tcW w:w="935" w:type="pct"/>
            <w:vMerge/>
            <w:noWrap/>
            <w:vAlign w:val="center"/>
            <w:hideMark/>
          </w:tcPr>
          <w:p w14:paraId="6EDCFF23"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24" w14:textId="77777777" w:rsidR="008A4207" w:rsidRPr="007114AF" w:rsidRDefault="008A4207" w:rsidP="001C467C">
            <w:pPr>
              <w:spacing w:after="0"/>
              <w:rPr>
                <w:rFonts w:ascii="Garamond" w:hAnsi="Garamond"/>
                <w:color w:val="000000"/>
              </w:rPr>
            </w:pPr>
            <w:r w:rsidRPr="007114AF">
              <w:rPr>
                <w:rFonts w:ascii="Garamond" w:hAnsi="Garamond"/>
                <w:color w:val="000000"/>
              </w:rPr>
              <w:t>Dyfishimi i transportit hekurudhor t</w:t>
            </w:r>
            <w:r w:rsidRPr="007114AF">
              <w:rPr>
                <w:rFonts w:ascii="Garamond" w:hAnsi="Garamond" w:cstheme="minorHAnsi"/>
                <w:color w:val="000000"/>
              </w:rPr>
              <w:t xml:space="preserve">ë mallrave mbi nivelet e vitit </w:t>
            </w:r>
            <w:r w:rsidRPr="007114AF">
              <w:rPr>
                <w:rFonts w:ascii="Garamond" w:hAnsi="Garamond"/>
                <w:color w:val="000000"/>
              </w:rPr>
              <w:t>2013 deri n</w:t>
            </w:r>
            <w:r w:rsidRPr="007114AF">
              <w:rPr>
                <w:rFonts w:ascii="Garamond" w:hAnsi="Garamond" w:cstheme="minorHAnsi"/>
                <w:color w:val="000000"/>
              </w:rPr>
              <w:t xml:space="preserve">ë vitin </w:t>
            </w:r>
            <w:r w:rsidRPr="007114AF">
              <w:rPr>
                <w:rFonts w:ascii="Garamond" w:hAnsi="Garamond"/>
                <w:color w:val="000000"/>
              </w:rPr>
              <w:t>2020</w:t>
            </w:r>
          </w:p>
        </w:tc>
        <w:tc>
          <w:tcPr>
            <w:tcW w:w="817" w:type="pct"/>
            <w:noWrap/>
            <w:vAlign w:val="center"/>
            <w:hideMark/>
          </w:tcPr>
          <w:p w14:paraId="6EDCFF25"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SKZHI-II</w:t>
            </w:r>
          </w:p>
        </w:tc>
      </w:tr>
      <w:tr w:rsidR="008A4207" w:rsidRPr="007114AF" w14:paraId="6EDCFF29" w14:textId="77777777" w:rsidTr="001C467C">
        <w:trPr>
          <w:trHeight w:val="20"/>
        </w:trPr>
        <w:tc>
          <w:tcPr>
            <w:tcW w:w="4183" w:type="pct"/>
            <w:gridSpan w:val="3"/>
            <w:shd w:val="clear" w:color="auto" w:fill="C6D9F1" w:themeFill="text2" w:themeFillTint="33"/>
            <w:noWrap/>
            <w:vAlign w:val="center"/>
            <w:hideMark/>
          </w:tcPr>
          <w:p w14:paraId="6EDCFF27" w14:textId="77777777" w:rsidR="008A4207" w:rsidRPr="007114AF" w:rsidRDefault="008A4207" w:rsidP="001C467C">
            <w:pPr>
              <w:spacing w:after="0"/>
              <w:rPr>
                <w:rFonts w:ascii="Garamond" w:hAnsi="Garamond"/>
                <w:b/>
                <w:bCs/>
                <w:color w:val="000000"/>
              </w:rPr>
            </w:pPr>
            <w:r w:rsidRPr="007114AF">
              <w:rPr>
                <w:rFonts w:ascii="Garamond" w:hAnsi="Garamond"/>
                <w:b/>
                <w:bCs/>
                <w:color w:val="000000"/>
              </w:rPr>
              <w:t>Nxitja e një sistemi të makinave miqësor me mjedisin (SP1; SP6)</w:t>
            </w:r>
          </w:p>
        </w:tc>
        <w:tc>
          <w:tcPr>
            <w:tcW w:w="817" w:type="pct"/>
            <w:shd w:val="clear" w:color="auto" w:fill="C6D9F1" w:themeFill="text2" w:themeFillTint="33"/>
            <w:noWrap/>
            <w:vAlign w:val="center"/>
            <w:hideMark/>
          </w:tcPr>
          <w:p w14:paraId="6EDCFF28" w14:textId="77777777" w:rsidR="008A4207" w:rsidRPr="007114AF" w:rsidRDefault="008A4207" w:rsidP="001C467C">
            <w:pPr>
              <w:spacing w:after="0"/>
              <w:ind w:left="-109" w:firstLine="1"/>
              <w:rPr>
                <w:rFonts w:ascii="Garamond" w:hAnsi="Garamond"/>
                <w:color w:val="000000"/>
              </w:rPr>
            </w:pPr>
          </w:p>
        </w:tc>
      </w:tr>
      <w:tr w:rsidR="008A4207" w:rsidRPr="007114AF" w14:paraId="6EDCFF2E" w14:textId="77777777" w:rsidTr="001C467C">
        <w:trPr>
          <w:trHeight w:val="20"/>
        </w:trPr>
        <w:tc>
          <w:tcPr>
            <w:tcW w:w="935" w:type="pct"/>
            <w:vMerge w:val="restart"/>
            <w:noWrap/>
            <w:vAlign w:val="center"/>
            <w:hideMark/>
          </w:tcPr>
          <w:p w14:paraId="6EDCFF2A" w14:textId="77777777" w:rsidR="008A4207" w:rsidRPr="007114AF" w:rsidRDefault="008A4207" w:rsidP="001C467C">
            <w:pPr>
              <w:spacing w:after="0"/>
              <w:rPr>
                <w:rFonts w:ascii="Garamond" w:hAnsi="Garamond"/>
                <w:color w:val="000000"/>
              </w:rPr>
            </w:pPr>
            <w:r w:rsidRPr="007114AF">
              <w:rPr>
                <w:rFonts w:ascii="Garamond" w:hAnsi="Garamond"/>
                <w:color w:val="000000"/>
              </w:rPr>
              <w:t>Transporti</w:t>
            </w:r>
          </w:p>
          <w:p w14:paraId="6EDCFF2B"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2C" w14:textId="77777777" w:rsidR="008A4207" w:rsidRPr="007114AF" w:rsidRDefault="008A4207" w:rsidP="001C467C">
            <w:pPr>
              <w:spacing w:after="0"/>
              <w:rPr>
                <w:rFonts w:ascii="Garamond" w:hAnsi="Garamond"/>
                <w:color w:val="000000"/>
              </w:rPr>
            </w:pPr>
            <w:r w:rsidRPr="007114AF">
              <w:rPr>
                <w:rFonts w:ascii="Garamond" w:hAnsi="Garamond"/>
                <w:color w:val="000000"/>
              </w:rPr>
              <w:t>Miratimi dhe zbatimi i plot</w:t>
            </w:r>
            <w:r w:rsidRPr="007114AF">
              <w:rPr>
                <w:rFonts w:ascii="Garamond" w:hAnsi="Garamond" w:cs="Calibri"/>
                <w:color w:val="000000"/>
              </w:rPr>
              <w:t xml:space="preserve">ë i standardeve evropiane të cilësisë së ajrit </w:t>
            </w:r>
            <w:r w:rsidRPr="007114AF">
              <w:rPr>
                <w:rFonts w:ascii="Garamond" w:hAnsi="Garamond"/>
                <w:color w:val="000000"/>
              </w:rPr>
              <w:t>urban dhe shkarkimeve n</w:t>
            </w:r>
            <w:r w:rsidRPr="007114AF">
              <w:rPr>
                <w:rFonts w:ascii="Garamond" w:hAnsi="Garamond" w:cs="Calibri"/>
                <w:color w:val="000000"/>
              </w:rPr>
              <w:t>ë ajër</w:t>
            </w:r>
          </w:p>
        </w:tc>
        <w:tc>
          <w:tcPr>
            <w:tcW w:w="817" w:type="pct"/>
            <w:noWrap/>
            <w:vAlign w:val="center"/>
            <w:hideMark/>
          </w:tcPr>
          <w:p w14:paraId="6EDCFF2D"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SMNS; TECTQ</w:t>
            </w:r>
          </w:p>
        </w:tc>
      </w:tr>
      <w:tr w:rsidR="008A4207" w:rsidRPr="007114AF" w14:paraId="6EDCFF32" w14:textId="77777777" w:rsidTr="001C467C">
        <w:trPr>
          <w:trHeight w:val="20"/>
        </w:trPr>
        <w:tc>
          <w:tcPr>
            <w:tcW w:w="935" w:type="pct"/>
            <w:vMerge/>
            <w:noWrap/>
            <w:vAlign w:val="center"/>
            <w:hideMark/>
          </w:tcPr>
          <w:p w14:paraId="6EDCFF2F"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30" w14:textId="77777777" w:rsidR="008A4207" w:rsidRPr="007114AF" w:rsidRDefault="008A4207" w:rsidP="001C467C">
            <w:pPr>
              <w:spacing w:after="0"/>
              <w:rPr>
                <w:rFonts w:ascii="Garamond" w:hAnsi="Garamond"/>
                <w:color w:val="000000"/>
              </w:rPr>
            </w:pPr>
            <w:r w:rsidRPr="007114AF">
              <w:rPr>
                <w:rFonts w:ascii="Garamond" w:hAnsi="Garamond"/>
                <w:color w:val="000000"/>
              </w:rPr>
              <w:t>Ulja e shkarkimeve t</w:t>
            </w:r>
            <w:r w:rsidRPr="007114AF">
              <w:rPr>
                <w:rFonts w:ascii="Garamond" w:hAnsi="Garamond" w:cs="Calibri"/>
                <w:color w:val="000000"/>
              </w:rPr>
              <w:t>ë ndotësve të ajrit dhe konsumi i energjisë së automjeteve</w:t>
            </w:r>
          </w:p>
        </w:tc>
        <w:tc>
          <w:tcPr>
            <w:tcW w:w="817" w:type="pct"/>
            <w:noWrap/>
            <w:vAlign w:val="center"/>
            <w:hideMark/>
          </w:tcPr>
          <w:p w14:paraId="6EDCFF31" w14:textId="15591ED0" w:rsidR="008A4207" w:rsidRPr="007114AF" w:rsidRDefault="008A4207" w:rsidP="001C467C">
            <w:pPr>
              <w:spacing w:after="0"/>
              <w:ind w:left="-109" w:firstLine="1"/>
              <w:rPr>
                <w:rFonts w:ascii="Garamond" w:hAnsi="Garamond"/>
                <w:color w:val="000000"/>
              </w:rPr>
            </w:pPr>
            <w:r w:rsidRPr="007114AF">
              <w:rPr>
                <w:rFonts w:ascii="Garamond" w:hAnsi="Garamond"/>
                <w:color w:val="000000"/>
              </w:rPr>
              <w:t>TECTQ; SSTPV;</w:t>
            </w:r>
            <w:r w:rsidR="000A2A01" w:rsidRPr="007114AF">
              <w:rPr>
                <w:rFonts w:ascii="Garamond" w:hAnsi="Garamond"/>
                <w:color w:val="000000"/>
              </w:rPr>
              <w:t xml:space="preserve"> </w:t>
            </w:r>
            <w:r w:rsidRPr="007114AF">
              <w:rPr>
                <w:rFonts w:ascii="Garamond" w:hAnsi="Garamond"/>
                <w:color w:val="000000"/>
              </w:rPr>
              <w:t>PKVEE</w:t>
            </w:r>
          </w:p>
        </w:tc>
      </w:tr>
      <w:tr w:rsidR="008A4207" w:rsidRPr="007114AF" w14:paraId="6EDCFF36" w14:textId="77777777" w:rsidTr="001C467C">
        <w:trPr>
          <w:trHeight w:val="20"/>
        </w:trPr>
        <w:tc>
          <w:tcPr>
            <w:tcW w:w="935" w:type="pct"/>
            <w:vMerge/>
            <w:noWrap/>
            <w:vAlign w:val="center"/>
            <w:hideMark/>
          </w:tcPr>
          <w:p w14:paraId="6EDCFF33"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34" w14:textId="77777777" w:rsidR="008A4207" w:rsidRPr="007114AF" w:rsidRDefault="008A4207" w:rsidP="001C467C">
            <w:pPr>
              <w:spacing w:after="0"/>
              <w:rPr>
                <w:rFonts w:ascii="Garamond" w:hAnsi="Garamond"/>
                <w:color w:val="000000"/>
              </w:rPr>
            </w:pPr>
            <w:r w:rsidRPr="007114AF">
              <w:rPr>
                <w:rFonts w:ascii="Garamond" w:hAnsi="Garamond"/>
                <w:color w:val="000000"/>
              </w:rPr>
              <w:t>P</w:t>
            </w:r>
            <w:r w:rsidRPr="007114AF">
              <w:rPr>
                <w:rFonts w:ascii="Garamond" w:hAnsi="Garamond" w:cs="Calibri"/>
                <w:color w:val="000000"/>
              </w:rPr>
              <w:t xml:space="preserve">ërmbushja e përafrimit të legjislacionit shqiptar të transportit me </w:t>
            </w:r>
            <w:r w:rsidRPr="007114AF">
              <w:rPr>
                <w:rFonts w:ascii="Garamond" w:hAnsi="Garamond"/>
                <w:i/>
                <w:color w:val="000000"/>
              </w:rPr>
              <w:t>acquis</w:t>
            </w:r>
            <w:r w:rsidRPr="007114AF">
              <w:rPr>
                <w:rFonts w:ascii="Garamond" w:hAnsi="Garamond"/>
                <w:color w:val="000000"/>
              </w:rPr>
              <w:t xml:space="preserve"> e BE-së</w:t>
            </w:r>
          </w:p>
        </w:tc>
        <w:tc>
          <w:tcPr>
            <w:tcW w:w="817" w:type="pct"/>
            <w:noWrap/>
            <w:vAlign w:val="center"/>
            <w:hideMark/>
          </w:tcPr>
          <w:p w14:paraId="6EDCFF35"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SSTPV</w:t>
            </w:r>
          </w:p>
        </w:tc>
      </w:tr>
      <w:tr w:rsidR="008A4207" w:rsidRPr="007114AF" w14:paraId="6EDCFF38" w14:textId="77777777" w:rsidTr="001C467C">
        <w:trPr>
          <w:trHeight w:val="20"/>
        </w:trPr>
        <w:tc>
          <w:tcPr>
            <w:tcW w:w="5000" w:type="pct"/>
            <w:gridSpan w:val="4"/>
            <w:shd w:val="clear" w:color="auto" w:fill="C6D9F1" w:themeFill="text2" w:themeFillTint="33"/>
            <w:noWrap/>
            <w:vAlign w:val="center"/>
            <w:hideMark/>
          </w:tcPr>
          <w:p w14:paraId="6EDCFF37" w14:textId="1A398C09" w:rsidR="008A4207" w:rsidRPr="007114AF" w:rsidRDefault="008A4207" w:rsidP="001C467C">
            <w:pPr>
              <w:spacing w:after="0"/>
              <w:ind w:left="-109" w:firstLine="109"/>
              <w:rPr>
                <w:rFonts w:ascii="Garamond" w:hAnsi="Garamond"/>
                <w:color w:val="000000"/>
              </w:rPr>
            </w:pPr>
            <w:r w:rsidRPr="007114AF">
              <w:rPr>
                <w:rFonts w:ascii="Garamond" w:hAnsi="Garamond"/>
                <w:b/>
                <w:bCs/>
                <w:color w:val="000000"/>
              </w:rPr>
              <w:t>Nxitja e prodhimit të ushqimit të</w:t>
            </w:r>
            <w:r w:rsidR="0028717C">
              <w:rPr>
                <w:rFonts w:ascii="Garamond" w:hAnsi="Garamond"/>
                <w:b/>
                <w:bCs/>
                <w:color w:val="000000"/>
              </w:rPr>
              <w:t xml:space="preserve"> </w:t>
            </w:r>
            <w:r w:rsidRPr="007114AF">
              <w:rPr>
                <w:rFonts w:ascii="Garamond" w:hAnsi="Garamond"/>
                <w:b/>
                <w:bCs/>
                <w:color w:val="000000"/>
              </w:rPr>
              <w:t>qëndrueshëm me shkarkime të ulëta (SP1; SP6)</w:t>
            </w:r>
          </w:p>
        </w:tc>
      </w:tr>
      <w:tr w:rsidR="008A4207" w:rsidRPr="007114AF" w14:paraId="6EDCFF3D" w14:textId="77777777" w:rsidTr="001C467C">
        <w:trPr>
          <w:trHeight w:val="20"/>
        </w:trPr>
        <w:tc>
          <w:tcPr>
            <w:tcW w:w="935" w:type="pct"/>
            <w:vMerge w:val="restart"/>
            <w:noWrap/>
            <w:vAlign w:val="center"/>
            <w:hideMark/>
          </w:tcPr>
          <w:p w14:paraId="6EDCFF39" w14:textId="77777777" w:rsidR="008A4207" w:rsidRPr="007114AF" w:rsidRDefault="008A4207" w:rsidP="001C467C">
            <w:pPr>
              <w:spacing w:after="0"/>
              <w:rPr>
                <w:rFonts w:ascii="Garamond" w:hAnsi="Garamond"/>
                <w:color w:val="000000"/>
              </w:rPr>
            </w:pPr>
            <w:r w:rsidRPr="007114AF">
              <w:rPr>
                <w:rFonts w:ascii="Garamond" w:hAnsi="Garamond"/>
                <w:color w:val="000000"/>
              </w:rPr>
              <w:t xml:space="preserve">Bujqësia </w:t>
            </w:r>
          </w:p>
          <w:p w14:paraId="6EDCFF3A"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3B" w14:textId="77777777" w:rsidR="008A4207" w:rsidRPr="007114AF" w:rsidRDefault="008A4207" w:rsidP="001C467C">
            <w:pPr>
              <w:spacing w:after="0"/>
              <w:rPr>
                <w:rFonts w:ascii="Garamond" w:hAnsi="Garamond"/>
                <w:color w:val="000000"/>
              </w:rPr>
            </w:pPr>
            <w:r w:rsidRPr="007114AF">
              <w:rPr>
                <w:rFonts w:ascii="Garamond" w:hAnsi="Garamond"/>
                <w:color w:val="000000"/>
              </w:rPr>
              <w:t>Zhvillimi i nj</w:t>
            </w:r>
            <w:r w:rsidRPr="007114AF">
              <w:rPr>
                <w:rFonts w:ascii="Garamond" w:hAnsi="Garamond" w:cs="Calibri"/>
                <w:color w:val="000000"/>
              </w:rPr>
              <w:t>ë sektori agro-ushqimor konkurrues dhe novator, si dhe nxitja e prodhimit të ushqimit të qëndrueshëm dhe cilësisë</w:t>
            </w:r>
          </w:p>
        </w:tc>
        <w:tc>
          <w:tcPr>
            <w:tcW w:w="817" w:type="pct"/>
            <w:noWrap/>
            <w:vAlign w:val="center"/>
            <w:hideMark/>
          </w:tcPr>
          <w:p w14:paraId="6EDCFF3C"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SKZHI-II; SMNS; KTK</w:t>
            </w:r>
          </w:p>
        </w:tc>
      </w:tr>
      <w:tr w:rsidR="008A4207" w:rsidRPr="007114AF" w14:paraId="6EDCFF41" w14:textId="77777777" w:rsidTr="001C467C">
        <w:trPr>
          <w:trHeight w:val="20"/>
        </w:trPr>
        <w:tc>
          <w:tcPr>
            <w:tcW w:w="935" w:type="pct"/>
            <w:vMerge/>
            <w:noWrap/>
            <w:vAlign w:val="center"/>
            <w:hideMark/>
          </w:tcPr>
          <w:p w14:paraId="6EDCFF3E"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3F" w14:textId="77777777" w:rsidR="008A4207" w:rsidRPr="007114AF" w:rsidRDefault="008A4207" w:rsidP="001C467C">
            <w:pPr>
              <w:spacing w:after="0"/>
              <w:rPr>
                <w:rFonts w:ascii="Garamond" w:hAnsi="Garamond"/>
                <w:color w:val="000000"/>
              </w:rPr>
            </w:pPr>
            <w:r w:rsidRPr="007114AF">
              <w:rPr>
                <w:rFonts w:ascii="Garamond" w:hAnsi="Garamond"/>
                <w:color w:val="000000"/>
              </w:rPr>
              <w:t>Nxitja e futjes s</w:t>
            </w:r>
            <w:r w:rsidRPr="007114AF">
              <w:rPr>
                <w:rFonts w:ascii="Garamond" w:hAnsi="Garamond" w:cs="Calibri"/>
                <w:color w:val="000000"/>
              </w:rPr>
              <w:t>ë metodave të prodhimit bujqësor miqësore me mjedisin</w:t>
            </w:r>
            <w:r w:rsidRPr="007114AF">
              <w:rPr>
                <w:rFonts w:ascii="Garamond" w:hAnsi="Garamond"/>
                <w:color w:val="000000"/>
              </w:rPr>
              <w:t xml:space="preserve"> (buj</w:t>
            </w:r>
            <w:r w:rsidRPr="007114AF">
              <w:rPr>
                <w:rFonts w:ascii="Garamond" w:hAnsi="Garamond" w:cs="Calibri"/>
                <w:color w:val="000000"/>
              </w:rPr>
              <w:t xml:space="preserve">qësi </w:t>
            </w:r>
            <w:r w:rsidRPr="007114AF">
              <w:rPr>
                <w:rFonts w:ascii="Garamond" w:hAnsi="Garamond"/>
                <w:color w:val="000000"/>
              </w:rPr>
              <w:t>organike) dhe ajo e rritjes s</w:t>
            </w:r>
            <w:r w:rsidRPr="007114AF">
              <w:rPr>
                <w:rFonts w:ascii="Garamond" w:hAnsi="Garamond" w:cs="Calibri"/>
                <w:color w:val="000000"/>
              </w:rPr>
              <w:t>ë numrit të fermave organike të certifikuara deri në vitin</w:t>
            </w:r>
            <w:r w:rsidRPr="007114AF">
              <w:rPr>
                <w:rFonts w:ascii="Garamond" w:hAnsi="Garamond"/>
                <w:color w:val="000000"/>
              </w:rPr>
              <w:t xml:space="preserve"> 2020</w:t>
            </w:r>
          </w:p>
        </w:tc>
        <w:tc>
          <w:tcPr>
            <w:tcW w:w="817" w:type="pct"/>
            <w:noWrap/>
            <w:vAlign w:val="center"/>
            <w:hideMark/>
          </w:tcPr>
          <w:p w14:paraId="6EDCFF40"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SKZHI-II</w:t>
            </w:r>
          </w:p>
        </w:tc>
      </w:tr>
      <w:tr w:rsidR="008A4207" w:rsidRPr="007114AF" w14:paraId="6EDCFF45" w14:textId="77777777" w:rsidTr="001C467C">
        <w:trPr>
          <w:trHeight w:val="20"/>
        </w:trPr>
        <w:tc>
          <w:tcPr>
            <w:tcW w:w="935" w:type="pct"/>
            <w:noWrap/>
            <w:vAlign w:val="center"/>
            <w:hideMark/>
          </w:tcPr>
          <w:p w14:paraId="6EDCFF42" w14:textId="77777777" w:rsidR="008A4207" w:rsidRPr="007114AF" w:rsidRDefault="008A4207" w:rsidP="001C467C">
            <w:pPr>
              <w:spacing w:after="0"/>
              <w:rPr>
                <w:rFonts w:ascii="Garamond" w:hAnsi="Garamond"/>
                <w:color w:val="000000"/>
              </w:rPr>
            </w:pPr>
            <w:r w:rsidRPr="007114AF">
              <w:rPr>
                <w:rFonts w:ascii="Garamond" w:hAnsi="Garamond"/>
                <w:color w:val="000000"/>
              </w:rPr>
              <w:t>Bujqësia/Uji</w:t>
            </w:r>
          </w:p>
        </w:tc>
        <w:tc>
          <w:tcPr>
            <w:tcW w:w="3248" w:type="pct"/>
            <w:gridSpan w:val="2"/>
            <w:vAlign w:val="center"/>
            <w:hideMark/>
          </w:tcPr>
          <w:p w14:paraId="6EDCFF43" w14:textId="77777777" w:rsidR="008A4207" w:rsidRPr="007114AF" w:rsidRDefault="008A4207" w:rsidP="001C467C">
            <w:pPr>
              <w:spacing w:after="0"/>
              <w:rPr>
                <w:rFonts w:ascii="Garamond" w:hAnsi="Garamond"/>
                <w:color w:val="000000"/>
              </w:rPr>
            </w:pPr>
            <w:r w:rsidRPr="007114AF">
              <w:rPr>
                <w:rFonts w:ascii="Garamond" w:hAnsi="Garamond"/>
                <w:color w:val="000000"/>
              </w:rPr>
              <w:t xml:space="preserve">Përmirësimi i menaxhimit të ujit për bujqësinë për mbrojtjen e tokës dhe rritjen e produktivitetit të të mbjellave </w:t>
            </w:r>
          </w:p>
        </w:tc>
        <w:tc>
          <w:tcPr>
            <w:tcW w:w="817" w:type="pct"/>
            <w:noWrap/>
            <w:vAlign w:val="center"/>
            <w:hideMark/>
          </w:tcPr>
          <w:p w14:paraId="6EDCFF44"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SKZHI-II</w:t>
            </w:r>
          </w:p>
        </w:tc>
      </w:tr>
      <w:tr w:rsidR="008A4207" w:rsidRPr="007114AF" w14:paraId="6EDCFF47" w14:textId="77777777" w:rsidTr="001C467C">
        <w:trPr>
          <w:trHeight w:val="20"/>
        </w:trPr>
        <w:tc>
          <w:tcPr>
            <w:tcW w:w="5000" w:type="pct"/>
            <w:gridSpan w:val="4"/>
            <w:shd w:val="clear" w:color="auto" w:fill="C6D9F1" w:themeFill="text2" w:themeFillTint="33"/>
            <w:noWrap/>
            <w:vAlign w:val="center"/>
            <w:hideMark/>
          </w:tcPr>
          <w:p w14:paraId="6EDCFF46" w14:textId="77777777" w:rsidR="008A4207" w:rsidRPr="007114AF" w:rsidRDefault="008A4207" w:rsidP="001C467C">
            <w:pPr>
              <w:spacing w:after="0"/>
              <w:ind w:left="-109" w:firstLine="1"/>
              <w:rPr>
                <w:rFonts w:ascii="Garamond" w:hAnsi="Garamond"/>
                <w:color w:val="000000"/>
              </w:rPr>
            </w:pPr>
            <w:r w:rsidRPr="007114AF">
              <w:rPr>
                <w:rFonts w:ascii="Garamond" w:hAnsi="Garamond"/>
                <w:b/>
                <w:bCs/>
                <w:color w:val="000000"/>
              </w:rPr>
              <w:t>Mbajtja në kontroll dhe rritja e përmbajtjes së karbonit të tokave bujqësore(SP1; SP6)</w:t>
            </w:r>
          </w:p>
        </w:tc>
      </w:tr>
      <w:tr w:rsidR="008A4207" w:rsidRPr="007114AF" w14:paraId="6EDCFF4B" w14:textId="77777777" w:rsidTr="001C467C">
        <w:trPr>
          <w:trHeight w:val="20"/>
        </w:trPr>
        <w:tc>
          <w:tcPr>
            <w:tcW w:w="935" w:type="pct"/>
            <w:vMerge w:val="restart"/>
            <w:noWrap/>
            <w:vAlign w:val="center"/>
            <w:hideMark/>
          </w:tcPr>
          <w:p w14:paraId="6EDCFF48" w14:textId="77777777" w:rsidR="008A4207" w:rsidRPr="007114AF" w:rsidRDefault="008A4207" w:rsidP="001C467C">
            <w:pPr>
              <w:spacing w:after="0"/>
              <w:rPr>
                <w:rFonts w:ascii="Garamond" w:hAnsi="Garamond"/>
                <w:color w:val="000000"/>
              </w:rPr>
            </w:pPr>
            <w:r w:rsidRPr="007114AF">
              <w:rPr>
                <w:rFonts w:ascii="Garamond" w:hAnsi="Garamond"/>
                <w:color w:val="000000"/>
              </w:rPr>
              <w:t>Bujq</w:t>
            </w:r>
            <w:r w:rsidRPr="007114AF">
              <w:rPr>
                <w:rFonts w:ascii="Garamond" w:hAnsi="Garamond" w:cstheme="minorHAnsi"/>
                <w:color w:val="000000"/>
              </w:rPr>
              <w:t>ësia</w:t>
            </w:r>
            <w:r w:rsidRPr="007114AF">
              <w:rPr>
                <w:rFonts w:ascii="Garamond" w:hAnsi="Garamond"/>
                <w:color w:val="000000"/>
              </w:rPr>
              <w:t>/LUCF-ja</w:t>
            </w:r>
          </w:p>
        </w:tc>
        <w:tc>
          <w:tcPr>
            <w:tcW w:w="3248" w:type="pct"/>
            <w:gridSpan w:val="2"/>
            <w:vAlign w:val="center"/>
            <w:hideMark/>
          </w:tcPr>
          <w:p w14:paraId="6EDCFF49" w14:textId="77777777" w:rsidR="008A4207" w:rsidRPr="007114AF" w:rsidRDefault="008A4207" w:rsidP="001C467C">
            <w:pPr>
              <w:spacing w:after="0"/>
              <w:rPr>
                <w:rFonts w:ascii="Garamond" w:hAnsi="Garamond"/>
                <w:color w:val="000000"/>
              </w:rPr>
            </w:pPr>
            <w:r w:rsidRPr="007114AF">
              <w:rPr>
                <w:rFonts w:ascii="Garamond" w:hAnsi="Garamond"/>
                <w:color w:val="000000"/>
              </w:rPr>
              <w:t>Ulja e nd</w:t>
            </w:r>
            <w:r w:rsidRPr="007114AF">
              <w:rPr>
                <w:rFonts w:ascii="Garamond" w:hAnsi="Garamond" w:cs="Calibri"/>
                <w:color w:val="000000"/>
              </w:rPr>
              <w:t xml:space="preserve">ërhyrjeve në tokë dhe parandalimi i erozioneve të mëtejshme të tokës së punueshme dhe kullotave në masën </w:t>
            </w:r>
            <w:r w:rsidRPr="007114AF">
              <w:rPr>
                <w:rFonts w:ascii="Garamond" w:hAnsi="Garamond"/>
                <w:color w:val="000000"/>
              </w:rPr>
              <w:t>25% t</w:t>
            </w:r>
            <w:r w:rsidRPr="007114AF">
              <w:rPr>
                <w:rFonts w:ascii="Garamond" w:hAnsi="Garamond" w:cs="Calibri"/>
                <w:color w:val="000000"/>
              </w:rPr>
              <w:t xml:space="preserve">ë sipërfaqes deri në vitin </w:t>
            </w:r>
            <w:r w:rsidRPr="007114AF">
              <w:rPr>
                <w:rFonts w:ascii="Garamond" w:hAnsi="Garamond"/>
                <w:color w:val="000000"/>
              </w:rPr>
              <w:t>2020</w:t>
            </w:r>
          </w:p>
        </w:tc>
        <w:tc>
          <w:tcPr>
            <w:tcW w:w="817" w:type="pct"/>
            <w:noWrap/>
            <w:vAlign w:val="center"/>
            <w:hideMark/>
          </w:tcPr>
          <w:p w14:paraId="6EDCFF4A"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KTK; SMNS</w:t>
            </w:r>
          </w:p>
        </w:tc>
      </w:tr>
      <w:tr w:rsidR="008A4207" w:rsidRPr="007114AF" w14:paraId="6EDCFF4F" w14:textId="77777777" w:rsidTr="001C467C">
        <w:trPr>
          <w:trHeight w:val="20"/>
        </w:trPr>
        <w:tc>
          <w:tcPr>
            <w:tcW w:w="935" w:type="pct"/>
            <w:vMerge/>
            <w:noWrap/>
            <w:vAlign w:val="center"/>
            <w:hideMark/>
          </w:tcPr>
          <w:p w14:paraId="6EDCFF4C"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4D" w14:textId="2CBE048C" w:rsidR="008A4207" w:rsidRPr="007114AF" w:rsidRDefault="008A4207" w:rsidP="001C467C">
            <w:pPr>
              <w:spacing w:after="0"/>
              <w:rPr>
                <w:rFonts w:ascii="Garamond" w:hAnsi="Garamond"/>
                <w:color w:val="000000"/>
              </w:rPr>
            </w:pPr>
            <w:r w:rsidRPr="007114AF">
              <w:rPr>
                <w:rFonts w:ascii="Garamond" w:hAnsi="Garamond"/>
                <w:color w:val="000000"/>
              </w:rPr>
              <w:t>Optimizimi i administrimit të mbetjeve me q</w:t>
            </w:r>
            <w:r w:rsidRPr="007114AF">
              <w:rPr>
                <w:rFonts w:ascii="Garamond" w:hAnsi="Garamond" w:cs="Calibri"/>
                <w:color w:val="000000"/>
              </w:rPr>
              <w:t>ëllim rritjen e karbonit të tokës</w:t>
            </w:r>
            <w:r w:rsidR="0028717C">
              <w:rPr>
                <w:rFonts w:ascii="Garamond" w:hAnsi="Garamond" w:cs="Calibri"/>
                <w:color w:val="000000"/>
              </w:rPr>
              <w:t xml:space="preserve"> </w:t>
            </w:r>
            <w:r w:rsidRPr="007114AF">
              <w:rPr>
                <w:rFonts w:ascii="Garamond" w:hAnsi="Garamond"/>
                <w:color w:val="000000"/>
              </w:rPr>
              <w:t>dhe z</w:t>
            </w:r>
            <w:r w:rsidRPr="007114AF">
              <w:rPr>
                <w:rFonts w:ascii="Garamond" w:hAnsi="Garamond" w:cs="Calibri"/>
                <w:color w:val="000000"/>
              </w:rPr>
              <w:t>ëvendësimin e plehrave kimike</w:t>
            </w:r>
          </w:p>
        </w:tc>
        <w:tc>
          <w:tcPr>
            <w:tcW w:w="817" w:type="pct"/>
            <w:noWrap/>
            <w:vAlign w:val="center"/>
            <w:hideMark/>
          </w:tcPr>
          <w:p w14:paraId="6EDCFF4E"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KTK</w:t>
            </w:r>
          </w:p>
        </w:tc>
      </w:tr>
      <w:tr w:rsidR="008A4207" w:rsidRPr="007114AF" w14:paraId="6EDCFF53" w14:textId="77777777" w:rsidTr="001C467C">
        <w:trPr>
          <w:trHeight w:val="20"/>
        </w:trPr>
        <w:tc>
          <w:tcPr>
            <w:tcW w:w="935" w:type="pct"/>
            <w:vMerge/>
            <w:noWrap/>
            <w:vAlign w:val="center"/>
            <w:hideMark/>
          </w:tcPr>
          <w:p w14:paraId="6EDCFF50"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51" w14:textId="77777777" w:rsidR="008A4207" w:rsidRPr="007114AF" w:rsidRDefault="008A4207" w:rsidP="001C467C">
            <w:pPr>
              <w:spacing w:after="0"/>
              <w:rPr>
                <w:rFonts w:ascii="Garamond" w:hAnsi="Garamond"/>
                <w:color w:val="000000"/>
              </w:rPr>
            </w:pPr>
            <w:r w:rsidRPr="007114AF">
              <w:rPr>
                <w:rFonts w:ascii="Garamond" w:hAnsi="Garamond"/>
                <w:color w:val="000000"/>
              </w:rPr>
              <w:t>P</w:t>
            </w:r>
            <w:r w:rsidRPr="007114AF">
              <w:rPr>
                <w:rFonts w:ascii="Garamond" w:hAnsi="Garamond" w:cs="Calibri"/>
                <w:color w:val="000000"/>
              </w:rPr>
              <w:t>ërmirësimi i eficiencës së plehrave kimike dhe rritja e ndryshimeve organike me qëllim rritjen e ruajtjes së karbonit të tokës dhe produktivitetit të tokës</w:t>
            </w:r>
          </w:p>
        </w:tc>
        <w:tc>
          <w:tcPr>
            <w:tcW w:w="817" w:type="pct"/>
            <w:noWrap/>
            <w:vAlign w:val="center"/>
            <w:hideMark/>
          </w:tcPr>
          <w:p w14:paraId="6EDCFF52"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KTK</w:t>
            </w:r>
          </w:p>
        </w:tc>
      </w:tr>
      <w:tr w:rsidR="008A4207" w:rsidRPr="007114AF" w14:paraId="6EDCFF57" w14:textId="77777777" w:rsidTr="001C467C">
        <w:trPr>
          <w:trHeight w:val="20"/>
        </w:trPr>
        <w:tc>
          <w:tcPr>
            <w:tcW w:w="935" w:type="pct"/>
            <w:vMerge/>
            <w:noWrap/>
            <w:vAlign w:val="center"/>
            <w:hideMark/>
          </w:tcPr>
          <w:p w14:paraId="6EDCFF54"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55" w14:textId="77777777" w:rsidR="008A4207" w:rsidRPr="007114AF" w:rsidRDefault="008A4207" w:rsidP="001C467C">
            <w:pPr>
              <w:spacing w:after="0"/>
              <w:rPr>
                <w:rFonts w:ascii="Garamond" w:hAnsi="Garamond"/>
                <w:color w:val="000000"/>
              </w:rPr>
            </w:pPr>
            <w:r w:rsidRPr="007114AF">
              <w:rPr>
                <w:rFonts w:ascii="Garamond" w:hAnsi="Garamond"/>
                <w:color w:val="000000"/>
              </w:rPr>
              <w:t>Stimulimi i intensitetit dhe koh</w:t>
            </w:r>
            <w:r w:rsidRPr="007114AF">
              <w:rPr>
                <w:rFonts w:ascii="Garamond" w:hAnsi="Garamond" w:cs="Calibri"/>
                <w:color w:val="000000"/>
              </w:rPr>
              <w:t>ëmatjes së kullotave të qëndrueshme me qëllim ruajtjen e rritjes</w:t>
            </w:r>
            <w:r w:rsidRPr="007114AF">
              <w:rPr>
                <w:rFonts w:ascii="Garamond" w:hAnsi="Garamond"/>
                <w:color w:val="000000"/>
              </w:rPr>
              <w:t>, shp</w:t>
            </w:r>
            <w:r w:rsidRPr="007114AF">
              <w:rPr>
                <w:rFonts w:ascii="Garamond" w:hAnsi="Garamond" w:cs="Calibri"/>
                <w:color w:val="000000"/>
              </w:rPr>
              <w:t>ërndarjen e karbonit dhe florën e kullotave</w:t>
            </w:r>
            <w:r w:rsidRPr="007114AF">
              <w:rPr>
                <w:rFonts w:ascii="Garamond" w:hAnsi="Garamond"/>
                <w:color w:val="000000"/>
              </w:rPr>
              <w:t>, duke ndikuar n</w:t>
            </w:r>
            <w:r w:rsidRPr="007114AF">
              <w:rPr>
                <w:rFonts w:ascii="Garamond" w:hAnsi="Garamond" w:cs="Calibri"/>
                <w:color w:val="000000"/>
              </w:rPr>
              <w:t xml:space="preserve">ë këtë mënyrë në sasinë e depozitimit të </w:t>
            </w:r>
            <w:r w:rsidRPr="007114AF">
              <w:rPr>
                <w:rFonts w:ascii="Garamond" w:hAnsi="Garamond"/>
                <w:color w:val="000000"/>
              </w:rPr>
              <w:t>C n</w:t>
            </w:r>
            <w:r w:rsidRPr="007114AF">
              <w:rPr>
                <w:rFonts w:ascii="Garamond" w:hAnsi="Garamond" w:cs="Calibri"/>
                <w:color w:val="000000"/>
              </w:rPr>
              <w:t>ë toka</w:t>
            </w:r>
            <w:r w:rsidRPr="007114AF">
              <w:rPr>
                <w:rFonts w:ascii="Garamond" w:hAnsi="Garamond"/>
                <w:color w:val="000000"/>
              </w:rPr>
              <w:t>.</w:t>
            </w:r>
          </w:p>
        </w:tc>
        <w:tc>
          <w:tcPr>
            <w:tcW w:w="817" w:type="pct"/>
            <w:noWrap/>
            <w:vAlign w:val="center"/>
            <w:hideMark/>
          </w:tcPr>
          <w:p w14:paraId="6EDCFF56"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KTK</w:t>
            </w:r>
          </w:p>
        </w:tc>
      </w:tr>
      <w:tr w:rsidR="008A4207" w:rsidRPr="007114AF" w14:paraId="6EDCFF59" w14:textId="77777777" w:rsidTr="001C467C">
        <w:trPr>
          <w:trHeight w:val="20"/>
        </w:trPr>
        <w:tc>
          <w:tcPr>
            <w:tcW w:w="5000" w:type="pct"/>
            <w:gridSpan w:val="4"/>
            <w:shd w:val="clear" w:color="auto" w:fill="C6D9F1" w:themeFill="text2" w:themeFillTint="33"/>
            <w:noWrap/>
            <w:vAlign w:val="center"/>
            <w:hideMark/>
          </w:tcPr>
          <w:p w14:paraId="6EDCFF58" w14:textId="77777777" w:rsidR="008A4207" w:rsidRPr="007114AF" w:rsidRDefault="008A4207" w:rsidP="001C467C">
            <w:pPr>
              <w:spacing w:after="0"/>
              <w:ind w:left="-109" w:firstLine="109"/>
              <w:rPr>
                <w:rFonts w:ascii="Garamond" w:hAnsi="Garamond"/>
                <w:color w:val="000000"/>
              </w:rPr>
            </w:pPr>
            <w:r w:rsidRPr="007114AF">
              <w:rPr>
                <w:rFonts w:ascii="Garamond" w:hAnsi="Garamond"/>
                <w:b/>
                <w:bCs/>
                <w:color w:val="000000"/>
              </w:rPr>
              <w:t>Rritja e potencialit të depozitës së karbonit dhe mbrojtja e stoqeve të karbonit në ekosistemet tokësore (SP1; SP6))</w:t>
            </w:r>
          </w:p>
        </w:tc>
      </w:tr>
      <w:tr w:rsidR="008A4207" w:rsidRPr="007114AF" w14:paraId="6EDCFF5E" w14:textId="77777777" w:rsidTr="001C467C">
        <w:trPr>
          <w:trHeight w:val="20"/>
        </w:trPr>
        <w:tc>
          <w:tcPr>
            <w:tcW w:w="935" w:type="pct"/>
            <w:vMerge w:val="restart"/>
            <w:noWrap/>
            <w:vAlign w:val="center"/>
            <w:hideMark/>
          </w:tcPr>
          <w:p w14:paraId="6EDCFF5A" w14:textId="77777777" w:rsidR="008A4207" w:rsidRPr="007114AF" w:rsidRDefault="008A4207" w:rsidP="001C467C">
            <w:pPr>
              <w:spacing w:after="0"/>
              <w:rPr>
                <w:rFonts w:ascii="Garamond" w:hAnsi="Garamond"/>
                <w:color w:val="000000"/>
              </w:rPr>
            </w:pPr>
            <w:r w:rsidRPr="007114AF">
              <w:rPr>
                <w:rFonts w:ascii="Garamond" w:hAnsi="Garamond"/>
                <w:color w:val="000000"/>
              </w:rPr>
              <w:t>LUCF-ja</w:t>
            </w:r>
          </w:p>
          <w:p w14:paraId="6EDCFF5B"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5C" w14:textId="77777777" w:rsidR="008A4207" w:rsidRPr="007114AF" w:rsidRDefault="008A4207" w:rsidP="001C467C">
            <w:pPr>
              <w:spacing w:after="0"/>
              <w:rPr>
                <w:rFonts w:ascii="Garamond" w:hAnsi="Garamond"/>
                <w:color w:val="000000"/>
              </w:rPr>
            </w:pPr>
            <w:r w:rsidRPr="007114AF">
              <w:rPr>
                <w:rFonts w:ascii="Garamond" w:hAnsi="Garamond"/>
                <w:color w:val="000000"/>
              </w:rPr>
              <w:t>Mbrojtja e biodiversitetit dhe rritja e statusit t</w:t>
            </w:r>
            <w:r w:rsidRPr="007114AF">
              <w:rPr>
                <w:rFonts w:ascii="Garamond" w:hAnsi="Garamond" w:cs="Calibri"/>
                <w:color w:val="000000"/>
              </w:rPr>
              <w:t>ë k</w:t>
            </w:r>
            <w:r w:rsidRPr="007114AF">
              <w:rPr>
                <w:rFonts w:ascii="Garamond" w:hAnsi="Garamond"/>
                <w:color w:val="000000"/>
              </w:rPr>
              <w:t>onservimit t</w:t>
            </w:r>
            <w:r w:rsidRPr="007114AF">
              <w:rPr>
                <w:rFonts w:ascii="Garamond" w:hAnsi="Garamond" w:cs="Calibri"/>
                <w:color w:val="000000"/>
              </w:rPr>
              <w:t>ë specieve dhe habitateve të kërcënuara</w:t>
            </w:r>
          </w:p>
        </w:tc>
        <w:tc>
          <w:tcPr>
            <w:tcW w:w="817" w:type="pct"/>
            <w:noWrap/>
            <w:vAlign w:val="center"/>
            <w:hideMark/>
          </w:tcPr>
          <w:p w14:paraId="6EDCFF5D"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SMNS; SKZHI-II; DPSMB</w:t>
            </w:r>
          </w:p>
        </w:tc>
      </w:tr>
      <w:tr w:rsidR="008A4207" w:rsidRPr="007114AF" w14:paraId="6EDCFF62" w14:textId="77777777" w:rsidTr="001C467C">
        <w:trPr>
          <w:trHeight w:val="20"/>
        </w:trPr>
        <w:tc>
          <w:tcPr>
            <w:tcW w:w="935" w:type="pct"/>
            <w:vMerge/>
            <w:noWrap/>
            <w:vAlign w:val="center"/>
            <w:hideMark/>
          </w:tcPr>
          <w:p w14:paraId="6EDCFF5F"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60" w14:textId="77777777" w:rsidR="008A4207" w:rsidRPr="007114AF" w:rsidRDefault="008A4207" w:rsidP="001C467C">
            <w:pPr>
              <w:spacing w:after="0"/>
              <w:rPr>
                <w:rFonts w:ascii="Garamond" w:hAnsi="Garamond"/>
                <w:color w:val="000000"/>
              </w:rPr>
            </w:pPr>
            <w:r w:rsidRPr="007114AF">
              <w:rPr>
                <w:rFonts w:ascii="Garamond" w:hAnsi="Garamond"/>
                <w:color w:val="000000"/>
              </w:rPr>
              <w:t>Parandalimi i degradimit t</w:t>
            </w:r>
            <w:r w:rsidRPr="007114AF">
              <w:rPr>
                <w:rFonts w:ascii="Garamond" w:hAnsi="Garamond" w:cs="Calibri"/>
                <w:color w:val="000000"/>
              </w:rPr>
              <w:t>ë</w:t>
            </w:r>
            <w:r w:rsidRPr="007114AF">
              <w:rPr>
                <w:rFonts w:ascii="Garamond" w:hAnsi="Garamond"/>
                <w:color w:val="000000"/>
              </w:rPr>
              <w:t xml:space="preserve"> m</w:t>
            </w:r>
            <w:r w:rsidRPr="007114AF">
              <w:rPr>
                <w:rFonts w:ascii="Garamond" w:hAnsi="Garamond" w:cs="Calibri"/>
                <w:color w:val="000000"/>
              </w:rPr>
              <w:t>ëtejshëm të tokës dhe re</w:t>
            </w:r>
            <w:r w:rsidRPr="007114AF">
              <w:rPr>
                <w:rFonts w:ascii="Garamond" w:hAnsi="Garamond"/>
                <w:color w:val="000000"/>
              </w:rPr>
              <w:t>habilitimi n</w:t>
            </w:r>
            <w:r w:rsidRPr="007114AF">
              <w:rPr>
                <w:rFonts w:ascii="Garamond" w:hAnsi="Garamond" w:cs="Calibri"/>
                <w:color w:val="000000"/>
              </w:rPr>
              <w:t xml:space="preserve">ë masën </w:t>
            </w:r>
            <w:r w:rsidRPr="007114AF">
              <w:rPr>
                <w:rFonts w:ascii="Garamond" w:hAnsi="Garamond"/>
                <w:color w:val="000000"/>
              </w:rPr>
              <w:t>25% i</w:t>
            </w:r>
            <w:r w:rsidRPr="007114AF">
              <w:rPr>
                <w:rFonts w:ascii="Garamond" w:hAnsi="Garamond" w:cs="Calibri"/>
                <w:color w:val="000000"/>
              </w:rPr>
              <w:t xml:space="preserve"> zonave të degraduara deri në vitin</w:t>
            </w:r>
            <w:r w:rsidRPr="007114AF">
              <w:rPr>
                <w:rFonts w:ascii="Garamond" w:hAnsi="Garamond"/>
                <w:color w:val="000000"/>
              </w:rPr>
              <w:t xml:space="preserve"> 2020</w:t>
            </w:r>
          </w:p>
        </w:tc>
        <w:tc>
          <w:tcPr>
            <w:tcW w:w="817" w:type="pct"/>
            <w:noWrap/>
            <w:vAlign w:val="center"/>
            <w:hideMark/>
          </w:tcPr>
          <w:p w14:paraId="6EDCFF61" w14:textId="41A291DB" w:rsidR="008A4207" w:rsidRPr="007114AF" w:rsidRDefault="008A4207" w:rsidP="001C467C">
            <w:pPr>
              <w:spacing w:after="0"/>
              <w:ind w:left="-109" w:firstLine="1"/>
              <w:rPr>
                <w:rFonts w:ascii="Garamond" w:hAnsi="Garamond"/>
                <w:color w:val="000000"/>
              </w:rPr>
            </w:pPr>
            <w:r w:rsidRPr="007114AF">
              <w:rPr>
                <w:rFonts w:ascii="Garamond" w:hAnsi="Garamond"/>
                <w:color w:val="000000"/>
              </w:rPr>
              <w:t>SMNS</w:t>
            </w:r>
            <w:r w:rsidR="00191838" w:rsidRPr="007114AF">
              <w:rPr>
                <w:rFonts w:ascii="Garamond" w:hAnsi="Garamond"/>
                <w:color w:val="000000"/>
              </w:rPr>
              <w:t>;</w:t>
            </w:r>
            <w:r w:rsidRPr="007114AF">
              <w:rPr>
                <w:rFonts w:ascii="Garamond" w:hAnsi="Garamond"/>
                <w:color w:val="000000"/>
              </w:rPr>
              <w:t xml:space="preserve"> SKZHI-II</w:t>
            </w:r>
          </w:p>
        </w:tc>
      </w:tr>
      <w:tr w:rsidR="008A4207" w:rsidRPr="007114AF" w14:paraId="6EDCFF66" w14:textId="77777777" w:rsidTr="001C467C">
        <w:trPr>
          <w:trHeight w:val="20"/>
        </w:trPr>
        <w:tc>
          <w:tcPr>
            <w:tcW w:w="935" w:type="pct"/>
            <w:vMerge/>
            <w:noWrap/>
            <w:vAlign w:val="center"/>
            <w:hideMark/>
          </w:tcPr>
          <w:p w14:paraId="6EDCFF63"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64" w14:textId="77777777" w:rsidR="008A4207" w:rsidRPr="007114AF" w:rsidRDefault="008A4207" w:rsidP="001C467C">
            <w:pPr>
              <w:spacing w:after="0"/>
              <w:rPr>
                <w:rFonts w:ascii="Garamond" w:hAnsi="Garamond"/>
                <w:color w:val="000000"/>
              </w:rPr>
            </w:pPr>
            <w:r w:rsidRPr="007114AF">
              <w:rPr>
                <w:rFonts w:ascii="Garamond" w:hAnsi="Garamond"/>
                <w:color w:val="000000"/>
              </w:rPr>
              <w:t>P</w:t>
            </w:r>
            <w:r w:rsidRPr="007114AF">
              <w:rPr>
                <w:rFonts w:ascii="Garamond" w:hAnsi="Garamond" w:cs="Calibri"/>
                <w:color w:val="000000"/>
              </w:rPr>
              <w:t>ërfundimi i kuadrit ligjor kombëtar për natyrën dhe biod</w:t>
            </w:r>
            <w:r w:rsidRPr="007114AF">
              <w:rPr>
                <w:rFonts w:ascii="Garamond" w:hAnsi="Garamond"/>
                <w:color w:val="000000"/>
              </w:rPr>
              <w:t>iversitetin</w:t>
            </w:r>
          </w:p>
        </w:tc>
        <w:tc>
          <w:tcPr>
            <w:tcW w:w="817" w:type="pct"/>
            <w:noWrap/>
            <w:vAlign w:val="center"/>
            <w:hideMark/>
          </w:tcPr>
          <w:p w14:paraId="6EDCFF65"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DPSMB</w:t>
            </w:r>
          </w:p>
        </w:tc>
      </w:tr>
      <w:tr w:rsidR="008A4207" w:rsidRPr="007114AF" w14:paraId="6EDCFF6A" w14:textId="77777777" w:rsidTr="001C467C">
        <w:trPr>
          <w:trHeight w:val="20"/>
        </w:trPr>
        <w:tc>
          <w:tcPr>
            <w:tcW w:w="935" w:type="pct"/>
            <w:vMerge/>
            <w:noWrap/>
            <w:vAlign w:val="center"/>
            <w:hideMark/>
          </w:tcPr>
          <w:p w14:paraId="6EDCFF67"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68" w14:textId="77777777" w:rsidR="008A4207" w:rsidRPr="007114AF" w:rsidRDefault="008A4207" w:rsidP="001C467C">
            <w:pPr>
              <w:spacing w:after="0"/>
              <w:rPr>
                <w:rFonts w:ascii="Garamond" w:hAnsi="Garamond"/>
                <w:color w:val="000000"/>
              </w:rPr>
            </w:pPr>
            <w:r w:rsidRPr="007114AF">
              <w:rPr>
                <w:rFonts w:ascii="Garamond" w:hAnsi="Garamond"/>
                <w:color w:val="000000"/>
              </w:rPr>
              <w:t>Nxitja e zgjerimit dhe p</w:t>
            </w:r>
            <w:r w:rsidRPr="007114AF">
              <w:rPr>
                <w:rFonts w:ascii="Garamond" w:hAnsi="Garamond" w:cs="Calibri"/>
                <w:color w:val="000000"/>
              </w:rPr>
              <w:t>ërmirësimit të burimeve pyjore përmes pyllëzimit të tokës me qëllim parandalimin e erozionit</w:t>
            </w:r>
            <w:r w:rsidRPr="007114AF">
              <w:rPr>
                <w:rFonts w:ascii="Garamond" w:hAnsi="Garamond"/>
                <w:color w:val="000000"/>
              </w:rPr>
              <w:t>, mbrojtjen e burimeve ujore, rritjen e biodiversitetit dhe duke ndihm</w:t>
            </w:r>
            <w:r w:rsidRPr="007114AF">
              <w:rPr>
                <w:rFonts w:ascii="Garamond" w:hAnsi="Garamond" w:cs="Calibri"/>
                <w:color w:val="000000"/>
              </w:rPr>
              <w:t>uar në përshtatjen ndaj sfidave të ndryshimeve klimatike</w:t>
            </w:r>
          </w:p>
        </w:tc>
        <w:tc>
          <w:tcPr>
            <w:tcW w:w="817" w:type="pct"/>
            <w:noWrap/>
            <w:vAlign w:val="center"/>
            <w:hideMark/>
          </w:tcPr>
          <w:p w14:paraId="6EDCFF69" w14:textId="6CCC8716" w:rsidR="008A4207" w:rsidRPr="007114AF" w:rsidRDefault="008A4207" w:rsidP="001C467C">
            <w:pPr>
              <w:spacing w:after="0"/>
              <w:ind w:left="-109" w:firstLine="1"/>
              <w:rPr>
                <w:rFonts w:ascii="Garamond" w:hAnsi="Garamond"/>
                <w:color w:val="000000"/>
              </w:rPr>
            </w:pPr>
            <w:r w:rsidRPr="007114AF">
              <w:rPr>
                <w:rFonts w:ascii="Garamond" w:hAnsi="Garamond"/>
                <w:color w:val="000000"/>
              </w:rPr>
              <w:t>SNBZHR; SMNS;</w:t>
            </w:r>
            <w:r w:rsidR="000A2A01" w:rsidRPr="007114AF">
              <w:rPr>
                <w:rFonts w:ascii="Garamond" w:hAnsi="Garamond"/>
                <w:color w:val="000000"/>
              </w:rPr>
              <w:t xml:space="preserve"> </w:t>
            </w:r>
            <w:r w:rsidRPr="007114AF">
              <w:rPr>
                <w:rFonts w:ascii="Garamond" w:hAnsi="Garamond"/>
                <w:color w:val="000000"/>
              </w:rPr>
              <w:t>KTK; DPSMB</w:t>
            </w:r>
          </w:p>
        </w:tc>
      </w:tr>
      <w:tr w:rsidR="008A4207" w:rsidRPr="007114AF" w14:paraId="6EDCFF6E" w14:textId="77777777" w:rsidTr="001C467C">
        <w:trPr>
          <w:trHeight w:val="20"/>
        </w:trPr>
        <w:tc>
          <w:tcPr>
            <w:tcW w:w="935" w:type="pct"/>
            <w:vMerge/>
            <w:noWrap/>
            <w:vAlign w:val="center"/>
            <w:hideMark/>
          </w:tcPr>
          <w:p w14:paraId="6EDCFF6B"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6C" w14:textId="77777777" w:rsidR="008A4207" w:rsidRPr="007114AF" w:rsidRDefault="008A4207" w:rsidP="001C467C">
            <w:pPr>
              <w:spacing w:after="0"/>
              <w:rPr>
                <w:rFonts w:ascii="Garamond" w:hAnsi="Garamond"/>
                <w:color w:val="000000"/>
              </w:rPr>
            </w:pPr>
            <w:r w:rsidRPr="007114AF">
              <w:rPr>
                <w:rFonts w:ascii="Garamond" w:hAnsi="Garamond"/>
                <w:color w:val="000000"/>
              </w:rPr>
              <w:t>Parandalimi i zjarreve n</w:t>
            </w:r>
            <w:r w:rsidRPr="007114AF">
              <w:rPr>
                <w:rFonts w:ascii="Garamond" w:hAnsi="Garamond" w:cs="Calibri"/>
                <w:color w:val="000000"/>
              </w:rPr>
              <w:t>ë pyje dhe zbatimi i masave të nevojshme për zhdukjen e shpejtë të tyre</w:t>
            </w:r>
          </w:p>
        </w:tc>
        <w:tc>
          <w:tcPr>
            <w:tcW w:w="817" w:type="pct"/>
            <w:noWrap/>
            <w:vAlign w:val="center"/>
            <w:hideMark/>
          </w:tcPr>
          <w:p w14:paraId="6EDCFF6D"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SMNS; KTK</w:t>
            </w:r>
          </w:p>
        </w:tc>
      </w:tr>
      <w:tr w:rsidR="008A4207" w:rsidRPr="007114AF" w14:paraId="6EDCFF72" w14:textId="77777777" w:rsidTr="001C467C">
        <w:trPr>
          <w:trHeight w:val="20"/>
        </w:trPr>
        <w:tc>
          <w:tcPr>
            <w:tcW w:w="935" w:type="pct"/>
            <w:vMerge/>
            <w:noWrap/>
            <w:vAlign w:val="center"/>
            <w:hideMark/>
          </w:tcPr>
          <w:p w14:paraId="6EDCFF6F"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70" w14:textId="77777777" w:rsidR="008A4207" w:rsidRPr="007114AF" w:rsidRDefault="008A4207" w:rsidP="001C467C">
            <w:pPr>
              <w:spacing w:after="0"/>
              <w:rPr>
                <w:rFonts w:ascii="Garamond" w:hAnsi="Garamond"/>
                <w:color w:val="000000"/>
              </w:rPr>
            </w:pPr>
            <w:r w:rsidRPr="007114AF">
              <w:rPr>
                <w:rFonts w:ascii="Garamond" w:hAnsi="Garamond"/>
                <w:color w:val="000000"/>
              </w:rPr>
              <w:t>P</w:t>
            </w:r>
            <w:r w:rsidRPr="007114AF">
              <w:rPr>
                <w:rFonts w:ascii="Garamond" w:hAnsi="Garamond" w:cs="Calibri"/>
                <w:color w:val="000000"/>
              </w:rPr>
              <w:t>ërmirësimi i kushteve të pyjeve</w:t>
            </w:r>
            <w:r w:rsidRPr="007114AF">
              <w:rPr>
                <w:rFonts w:ascii="Garamond" w:hAnsi="Garamond"/>
                <w:color w:val="000000"/>
              </w:rPr>
              <w:t>, rritja e produktivitetit t</w:t>
            </w:r>
            <w:r w:rsidRPr="007114AF">
              <w:rPr>
                <w:rFonts w:ascii="Garamond" w:hAnsi="Garamond" w:cs="Calibri"/>
                <w:color w:val="000000"/>
              </w:rPr>
              <w:t>ë pyjeve</w:t>
            </w:r>
            <w:r w:rsidRPr="007114AF">
              <w:rPr>
                <w:rFonts w:ascii="Garamond" w:hAnsi="Garamond"/>
                <w:color w:val="000000"/>
              </w:rPr>
              <w:t>, mb</w:t>
            </w:r>
            <w:r w:rsidRPr="007114AF">
              <w:rPr>
                <w:rFonts w:ascii="Garamond" w:hAnsi="Garamond" w:cs="Calibri"/>
                <w:color w:val="000000"/>
              </w:rPr>
              <w:t xml:space="preserve">ështetja ndaj zhvillimit shumëfunksional të burimeve pyjore dhe të kullotave, si dhe rritja e aftësisë ripërtëritëse në </w:t>
            </w:r>
            <w:r w:rsidRPr="007114AF">
              <w:rPr>
                <w:rFonts w:ascii="Garamond" w:hAnsi="Garamond"/>
                <w:color w:val="000000"/>
              </w:rPr>
              <w:t>3.000 ha deri n</w:t>
            </w:r>
            <w:r w:rsidRPr="007114AF">
              <w:rPr>
                <w:rFonts w:ascii="Garamond" w:hAnsi="Garamond" w:cs="Calibri"/>
                <w:color w:val="000000"/>
              </w:rPr>
              <w:t xml:space="preserve">ë vitin </w:t>
            </w:r>
            <w:r w:rsidRPr="007114AF">
              <w:rPr>
                <w:rFonts w:ascii="Garamond" w:hAnsi="Garamond"/>
                <w:color w:val="000000"/>
              </w:rPr>
              <w:t>2017 dhe n</w:t>
            </w:r>
            <w:r w:rsidRPr="007114AF">
              <w:rPr>
                <w:rFonts w:ascii="Garamond" w:hAnsi="Garamond" w:cs="Calibri"/>
                <w:color w:val="000000"/>
              </w:rPr>
              <w:t>ë</w:t>
            </w:r>
            <w:r w:rsidRPr="007114AF">
              <w:rPr>
                <w:rFonts w:ascii="Garamond" w:hAnsi="Garamond"/>
                <w:color w:val="000000"/>
              </w:rPr>
              <w:t xml:space="preserve"> 30.000 ha deri n</w:t>
            </w:r>
            <w:r w:rsidRPr="007114AF">
              <w:rPr>
                <w:rFonts w:ascii="Garamond" w:hAnsi="Garamond" w:cs="Calibri"/>
                <w:color w:val="000000"/>
              </w:rPr>
              <w:t xml:space="preserve">ë vitin </w:t>
            </w:r>
            <w:r w:rsidRPr="007114AF">
              <w:rPr>
                <w:rFonts w:ascii="Garamond" w:hAnsi="Garamond"/>
                <w:color w:val="000000"/>
              </w:rPr>
              <w:t>2020</w:t>
            </w:r>
          </w:p>
        </w:tc>
        <w:tc>
          <w:tcPr>
            <w:tcW w:w="817" w:type="pct"/>
            <w:noWrap/>
            <w:vAlign w:val="center"/>
            <w:hideMark/>
          </w:tcPr>
          <w:p w14:paraId="6EDCFF71"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SMNS; PKT</w:t>
            </w:r>
          </w:p>
        </w:tc>
      </w:tr>
      <w:tr w:rsidR="008A4207" w:rsidRPr="007114AF" w14:paraId="6EDCFF76" w14:textId="77777777" w:rsidTr="001C467C">
        <w:trPr>
          <w:trHeight w:val="20"/>
        </w:trPr>
        <w:tc>
          <w:tcPr>
            <w:tcW w:w="935" w:type="pct"/>
            <w:vMerge/>
            <w:noWrap/>
            <w:vAlign w:val="center"/>
            <w:hideMark/>
          </w:tcPr>
          <w:p w14:paraId="6EDCFF73" w14:textId="77777777" w:rsidR="008A4207" w:rsidRPr="007114AF" w:rsidRDefault="008A4207" w:rsidP="001C467C">
            <w:pPr>
              <w:spacing w:after="0"/>
              <w:rPr>
                <w:rFonts w:ascii="Garamond" w:hAnsi="Garamond"/>
                <w:color w:val="000000"/>
              </w:rPr>
            </w:pPr>
          </w:p>
        </w:tc>
        <w:tc>
          <w:tcPr>
            <w:tcW w:w="3248" w:type="pct"/>
            <w:gridSpan w:val="2"/>
            <w:vAlign w:val="center"/>
            <w:hideMark/>
          </w:tcPr>
          <w:p w14:paraId="6EDCFF74" w14:textId="00524D4C" w:rsidR="008A4207" w:rsidRPr="007114AF" w:rsidRDefault="008A4207" w:rsidP="001C467C">
            <w:pPr>
              <w:spacing w:after="0"/>
              <w:rPr>
                <w:rFonts w:ascii="Garamond" w:hAnsi="Garamond"/>
                <w:color w:val="000000"/>
              </w:rPr>
            </w:pPr>
            <w:r w:rsidRPr="007114AF">
              <w:rPr>
                <w:rFonts w:ascii="Garamond" w:hAnsi="Garamond"/>
                <w:color w:val="000000"/>
              </w:rPr>
              <w:t>Rritja e zon</w:t>
            </w:r>
            <w:r w:rsidRPr="007114AF">
              <w:rPr>
                <w:rFonts w:ascii="Garamond" w:hAnsi="Garamond" w:cs="Calibri"/>
                <w:color w:val="000000"/>
              </w:rPr>
              <w:t>ës pyjore nëpërmjet pyllëzimit dhe ripyllëzimit me ara pyjore dhe sipërfaqe pyjesh, në një zonë prej</w:t>
            </w:r>
            <w:r w:rsidR="000A2A01" w:rsidRPr="007114AF">
              <w:rPr>
                <w:rFonts w:ascii="Garamond" w:hAnsi="Garamond" w:cs="Calibri"/>
                <w:color w:val="000000"/>
              </w:rPr>
              <w:t xml:space="preserve"> </w:t>
            </w:r>
            <w:r w:rsidRPr="007114AF">
              <w:rPr>
                <w:rFonts w:ascii="Garamond" w:hAnsi="Garamond"/>
                <w:color w:val="000000"/>
              </w:rPr>
              <w:t>6.000 ha deri n</w:t>
            </w:r>
            <w:r w:rsidRPr="007114AF">
              <w:rPr>
                <w:rFonts w:ascii="Garamond" w:hAnsi="Garamond" w:cs="Calibri"/>
                <w:color w:val="000000"/>
              </w:rPr>
              <w:t>ë vitin</w:t>
            </w:r>
            <w:r w:rsidRPr="007114AF">
              <w:rPr>
                <w:rFonts w:ascii="Garamond" w:hAnsi="Garamond"/>
                <w:color w:val="000000"/>
              </w:rPr>
              <w:t xml:space="preserve"> 2017, dhe n</w:t>
            </w:r>
            <w:r w:rsidRPr="007114AF">
              <w:rPr>
                <w:rFonts w:ascii="Garamond" w:hAnsi="Garamond" w:cs="Calibri"/>
                <w:color w:val="000000"/>
              </w:rPr>
              <w:t xml:space="preserve">ë masën </w:t>
            </w:r>
            <w:r w:rsidRPr="007114AF">
              <w:rPr>
                <w:rFonts w:ascii="Garamond" w:hAnsi="Garamond"/>
                <w:color w:val="000000"/>
              </w:rPr>
              <w:t>15% t</w:t>
            </w:r>
            <w:r w:rsidRPr="007114AF">
              <w:rPr>
                <w:rFonts w:ascii="Garamond" w:hAnsi="Garamond" w:cs="Calibri"/>
                <w:color w:val="000000"/>
              </w:rPr>
              <w:t>ë sipërfaqes me bimësi pyjore dhe tokë ugare deri në vitin</w:t>
            </w:r>
            <w:r w:rsidRPr="007114AF">
              <w:rPr>
                <w:rFonts w:ascii="Garamond" w:hAnsi="Garamond"/>
                <w:color w:val="000000"/>
              </w:rPr>
              <w:t xml:space="preserve"> 2020</w:t>
            </w:r>
          </w:p>
        </w:tc>
        <w:tc>
          <w:tcPr>
            <w:tcW w:w="817" w:type="pct"/>
            <w:noWrap/>
            <w:vAlign w:val="center"/>
            <w:hideMark/>
          </w:tcPr>
          <w:p w14:paraId="6EDCFF75" w14:textId="77777777" w:rsidR="008A4207" w:rsidRPr="007114AF" w:rsidRDefault="008A4207" w:rsidP="001C467C">
            <w:pPr>
              <w:spacing w:after="0"/>
              <w:ind w:left="-109" w:firstLine="1"/>
              <w:rPr>
                <w:rFonts w:ascii="Garamond" w:hAnsi="Garamond"/>
                <w:color w:val="000000"/>
              </w:rPr>
            </w:pPr>
            <w:r w:rsidRPr="007114AF">
              <w:rPr>
                <w:rFonts w:ascii="Garamond" w:hAnsi="Garamond"/>
                <w:color w:val="000000"/>
              </w:rPr>
              <w:t>SMNS; SNBZHR</w:t>
            </w:r>
          </w:p>
        </w:tc>
      </w:tr>
    </w:tbl>
    <w:p w14:paraId="6EDCFF77" w14:textId="77777777" w:rsidR="00BC2BE4" w:rsidRPr="007114AF" w:rsidRDefault="00BC2BE4" w:rsidP="00524E98">
      <w:pPr>
        <w:pStyle w:val="TEKSTI"/>
      </w:pPr>
    </w:p>
    <w:p w14:paraId="6EDCFF78" w14:textId="77777777" w:rsidR="0025723E" w:rsidRPr="007114AF" w:rsidRDefault="0025723E" w:rsidP="00524E98">
      <w:pPr>
        <w:pStyle w:val="TEKSTI"/>
      </w:pPr>
    </w:p>
    <w:p w14:paraId="6EDCFF79" w14:textId="77777777" w:rsidR="008A4207" w:rsidRPr="007114AF" w:rsidRDefault="008A4207" w:rsidP="00524E98">
      <w:pPr>
        <w:pStyle w:val="TEKSTI"/>
      </w:pPr>
    </w:p>
    <w:p w14:paraId="6EDCFF7A" w14:textId="77777777" w:rsidR="008A4207" w:rsidRPr="007114AF" w:rsidRDefault="008A4207" w:rsidP="00524E98">
      <w:pPr>
        <w:pStyle w:val="TEKSTI"/>
      </w:pPr>
    </w:p>
    <w:p w14:paraId="6EDCFF7B" w14:textId="77777777" w:rsidR="008A4207" w:rsidRPr="007114AF" w:rsidRDefault="008A4207" w:rsidP="00524E98">
      <w:pPr>
        <w:pStyle w:val="TEKSTI"/>
      </w:pPr>
    </w:p>
    <w:p w14:paraId="6EDCFF7C" w14:textId="77777777" w:rsidR="008A4207" w:rsidRPr="007114AF" w:rsidRDefault="008A4207" w:rsidP="00524E98">
      <w:pPr>
        <w:pStyle w:val="TEKSTI"/>
      </w:pPr>
    </w:p>
    <w:p w14:paraId="6EDCFF7D" w14:textId="77777777" w:rsidR="00056A3A" w:rsidRPr="007114AF" w:rsidRDefault="00056A3A" w:rsidP="00524E98">
      <w:pPr>
        <w:pStyle w:val="TEKSTI"/>
        <w:sectPr w:rsidR="00056A3A" w:rsidRPr="007114AF" w:rsidSect="00721B1B">
          <w:pgSz w:w="16840" w:h="11907" w:orient="landscape" w:code="9"/>
          <w:pgMar w:top="1418" w:right="1418" w:bottom="1418" w:left="1418" w:header="1304" w:footer="1134" w:gutter="0"/>
          <w:cols w:space="720"/>
          <w:docGrid w:linePitch="360"/>
        </w:sectPr>
      </w:pPr>
    </w:p>
    <w:p w14:paraId="6EDCFF7E" w14:textId="77777777" w:rsidR="002C406F" w:rsidRPr="007114AF" w:rsidRDefault="00056A3A" w:rsidP="002C406F">
      <w:pPr>
        <w:pStyle w:val="TEKSTI"/>
        <w:rPr>
          <w:b/>
        </w:rPr>
      </w:pPr>
      <w:bookmarkStart w:id="138" w:name="_Toc484424505"/>
      <w:bookmarkStart w:id="139" w:name="_Toc483570107"/>
      <w:r w:rsidRPr="007114AF">
        <w:rPr>
          <w:b/>
        </w:rPr>
        <w:t xml:space="preserve">4.3 </w:t>
      </w:r>
      <w:r w:rsidR="002C406F" w:rsidRPr="007114AF">
        <w:rPr>
          <w:b/>
        </w:rPr>
        <w:t>Integrimi i përshtatjes në qasjet sektoriale</w:t>
      </w:r>
      <w:bookmarkEnd w:id="138"/>
      <w:bookmarkEnd w:id="139"/>
    </w:p>
    <w:p w14:paraId="6EDCFF7F" w14:textId="10C12915" w:rsidR="002C406F" w:rsidRPr="007114AF" w:rsidRDefault="002C406F" w:rsidP="002C406F">
      <w:pPr>
        <w:pStyle w:val="TEKSTI"/>
        <w:rPr>
          <w:bCs/>
          <w:iCs/>
        </w:rPr>
      </w:pPr>
      <w:r w:rsidRPr="007114AF">
        <w:rPr>
          <w:bCs/>
          <w:iCs/>
        </w:rPr>
        <w:t>Integrimi i përshtatjes ndaj ndryshimeve klimatike, në planet dhe politikat sektoriale përkatëse, është parimi kryesor për procesin e NAP-it në Shqipëri. Aktivitete integruese janë kryer tashmë për disa sektorë</w:t>
      </w:r>
      <w:r w:rsidR="0028717C">
        <w:rPr>
          <w:bCs/>
          <w:iCs/>
        </w:rPr>
        <w:t xml:space="preserve"> </w:t>
      </w:r>
      <w:r w:rsidRPr="007114AF">
        <w:rPr>
          <w:bCs/>
          <w:iCs/>
        </w:rPr>
        <w:t xml:space="preserve">dhe për Strategjinë Kombëtare për Zhvillim dhe Integrim. Procesi i anëtarësimit në BE mund të kuptohet si një nxitës i fuqishëm për përshtatjen ndaj ndryshimeve klimatike, duke mbajtur në konsideratë qasjen integruese të Strategjisë së BE-së për Përshtatjen, si dhe integrimin e detyrueshëm në kuadër të procesit të IPA-s. Integrimi duhet të organizohet si një proces afatgjatë, i cili do të trajtojë edhe përgatitjen e politikave dhe planeve të ardhshme. </w:t>
      </w:r>
    </w:p>
    <w:p w14:paraId="6EDCFF80" w14:textId="77777777" w:rsidR="002C406F" w:rsidRPr="007114AF" w:rsidRDefault="002C406F" w:rsidP="002C406F">
      <w:pPr>
        <w:pStyle w:val="TEKSTI"/>
        <w:rPr>
          <w:b/>
        </w:rPr>
      </w:pPr>
      <w:r w:rsidRPr="007114AF">
        <w:rPr>
          <w:b/>
        </w:rPr>
        <w:t>Rast praktik: Integrimi i përshtatjes ndaj ndryshimeve klimatike në planin e integruar ndërsektorial për bregdetin</w:t>
      </w:r>
    </w:p>
    <w:p w14:paraId="6EDCFF81" w14:textId="77777777" w:rsidR="002C406F" w:rsidRPr="007114AF" w:rsidRDefault="002C406F" w:rsidP="002C406F">
      <w:pPr>
        <w:pStyle w:val="TEKSTI"/>
        <w:rPr>
          <w:bCs/>
          <w:iCs/>
        </w:rPr>
      </w:pPr>
      <w:r w:rsidRPr="007114AF">
        <w:rPr>
          <w:bCs/>
          <w:iCs/>
        </w:rPr>
        <w:t>Ministria përgjegjëse për Zhvillimin Urban lançoi një draftplan të integruar ndërsektorial për bregdetin, në vitin 2015. Gjatë hartimit të planit është kryer një vlerësim strategjik mjedisor, në të cilin janë pasqyruar edhe politikat për zbutjen e ndryshimeve klimatike dhe përshtatja ndaj tij. Doli se qe me rëndësi të merreshin në konsideratë efektet e mundshme të ndryshimeve klimatike në qytetet bregdetare, në infrastrukturë dhe në peizazhin natyror. Rekomandohet që bashkitë të mendojnë marrjen e masave të përshtatjes, të tilla si:</w:t>
      </w:r>
    </w:p>
    <w:p w14:paraId="6EDCFF82" w14:textId="77777777" w:rsidR="002C406F" w:rsidRPr="007114AF" w:rsidRDefault="00CF2A42" w:rsidP="002C406F">
      <w:pPr>
        <w:pStyle w:val="TEKSTI"/>
        <w:rPr>
          <w:bCs/>
          <w:iCs/>
        </w:rPr>
      </w:pPr>
      <w:r w:rsidRPr="007114AF">
        <w:rPr>
          <w:bCs/>
          <w:iCs/>
        </w:rPr>
        <w:t xml:space="preserve">- </w:t>
      </w:r>
      <w:r w:rsidR="002C406F" w:rsidRPr="007114AF">
        <w:rPr>
          <w:bCs/>
          <w:iCs/>
        </w:rPr>
        <w:t>Pyllëzimi / mbjellja e pemëve në zonat më vulnerabël;</w:t>
      </w:r>
    </w:p>
    <w:p w14:paraId="6EDCFF83" w14:textId="77777777" w:rsidR="002C406F" w:rsidRPr="007114AF" w:rsidRDefault="00CF2A42" w:rsidP="002C406F">
      <w:pPr>
        <w:pStyle w:val="TEKSTI"/>
        <w:rPr>
          <w:bCs/>
          <w:iCs/>
        </w:rPr>
      </w:pPr>
      <w:r w:rsidRPr="007114AF">
        <w:rPr>
          <w:bCs/>
          <w:iCs/>
        </w:rPr>
        <w:t xml:space="preserve">- </w:t>
      </w:r>
      <w:r w:rsidR="002C406F" w:rsidRPr="007114AF">
        <w:rPr>
          <w:bCs/>
          <w:iCs/>
        </w:rPr>
        <w:t>Ndërtimi i digave për parandalimin e përmbytjeve;</w:t>
      </w:r>
    </w:p>
    <w:p w14:paraId="6EDCFF84" w14:textId="5D51C346" w:rsidR="002C406F" w:rsidRPr="007114AF" w:rsidRDefault="00CF2A42" w:rsidP="002C406F">
      <w:pPr>
        <w:pStyle w:val="TEKSTI"/>
        <w:rPr>
          <w:bCs/>
          <w:iCs/>
        </w:rPr>
      </w:pPr>
      <w:r w:rsidRPr="007114AF">
        <w:rPr>
          <w:bCs/>
          <w:iCs/>
        </w:rPr>
        <w:t xml:space="preserve">- </w:t>
      </w:r>
      <w:r w:rsidR="002C406F" w:rsidRPr="007114AF">
        <w:rPr>
          <w:bCs/>
          <w:iCs/>
        </w:rPr>
        <w:t>Kufizimi i shtrirjes urbane etj</w:t>
      </w:r>
      <w:r w:rsidR="0028717C">
        <w:rPr>
          <w:bCs/>
          <w:iCs/>
        </w:rPr>
        <w:t>.</w:t>
      </w:r>
      <w:r w:rsidR="002C406F" w:rsidRPr="007114AF">
        <w:rPr>
          <w:bCs/>
          <w:iCs/>
        </w:rPr>
        <w:t>;</w:t>
      </w:r>
    </w:p>
    <w:p w14:paraId="6EDCFF85" w14:textId="77777777" w:rsidR="002C406F" w:rsidRPr="007114AF" w:rsidRDefault="002C406F" w:rsidP="002C406F">
      <w:pPr>
        <w:pStyle w:val="TEKSTI"/>
        <w:rPr>
          <w:bCs/>
          <w:iCs/>
        </w:rPr>
      </w:pPr>
      <w:r w:rsidRPr="007114AF">
        <w:rPr>
          <w:bCs/>
          <w:iCs/>
        </w:rPr>
        <w:t>Masat e përshtatjes përshkruhen në shtojcën e planit.</w:t>
      </w:r>
    </w:p>
    <w:p w14:paraId="6EDCFF86" w14:textId="77777777" w:rsidR="002C406F" w:rsidRPr="007114AF" w:rsidRDefault="00CF2A42" w:rsidP="002C406F">
      <w:pPr>
        <w:pStyle w:val="TEKSTI"/>
        <w:rPr>
          <w:b/>
        </w:rPr>
      </w:pPr>
      <w:bookmarkStart w:id="140" w:name="_Toc484424506"/>
      <w:bookmarkStart w:id="141" w:name="_Toc483570108"/>
      <w:r w:rsidRPr="007114AF">
        <w:rPr>
          <w:b/>
        </w:rPr>
        <w:t xml:space="preserve">4.3.1 </w:t>
      </w:r>
      <w:r w:rsidR="002C406F" w:rsidRPr="007114AF">
        <w:rPr>
          <w:b/>
        </w:rPr>
        <w:t>Qasja për integrim</w:t>
      </w:r>
      <w:bookmarkEnd w:id="140"/>
      <w:bookmarkEnd w:id="141"/>
    </w:p>
    <w:p w14:paraId="6EDCFF87" w14:textId="77777777" w:rsidR="002C406F" w:rsidRPr="007114AF" w:rsidRDefault="002C406F" w:rsidP="002C406F">
      <w:pPr>
        <w:pStyle w:val="TEKSTI"/>
        <w:rPr>
          <w:bCs/>
          <w:iCs/>
        </w:rPr>
      </w:pPr>
      <w:r w:rsidRPr="007114AF">
        <w:rPr>
          <w:bCs/>
          <w:iCs/>
        </w:rPr>
        <w:t>Si një sfidë e përgjithshme për zhvillimin, përshtatja ndaj ndryshimeve klimatike lipset të integrohet në proceset e qeverisjes qendrore, rajonale dhe vendore, përfshirë formulimin e politikave, planifikimin, shpërndarjen e burimeve, zbatimin dhe monitorimin. Integrimi i përshtatjes ka rëndësi, si për politikat e gjithanshme për zhvillimin ( p.sh. SKZHI), ashtu edhe për politikat sektoriale.</w:t>
      </w:r>
    </w:p>
    <w:p w14:paraId="6EDCFF88" w14:textId="77777777" w:rsidR="002C406F" w:rsidRPr="007114AF" w:rsidRDefault="002C406F" w:rsidP="002C406F">
      <w:pPr>
        <w:pStyle w:val="TEKSTI"/>
        <w:rPr>
          <w:b/>
          <w:bCs/>
        </w:rPr>
      </w:pPr>
      <w:bookmarkStart w:id="142" w:name="_Toc470186703"/>
      <w:r w:rsidRPr="007114AF">
        <w:rPr>
          <w:b/>
          <w:bCs/>
        </w:rPr>
        <w:t>Integrimi në kuadër të politikës së BE-së</w:t>
      </w:r>
      <w:bookmarkEnd w:id="142"/>
    </w:p>
    <w:p w14:paraId="6EDCFF89" w14:textId="5D1DA81E" w:rsidR="002C406F" w:rsidRPr="007114AF" w:rsidRDefault="002C406F" w:rsidP="002C406F">
      <w:pPr>
        <w:pStyle w:val="TEKSTI"/>
        <w:rPr>
          <w:lang w:eastAsia="en-US"/>
        </w:rPr>
      </w:pPr>
      <w:r w:rsidRPr="007114AF">
        <w:rPr>
          <w:lang w:eastAsia="en-US"/>
        </w:rPr>
        <w:t>Shqipëria është vend kandidat për anëtarësim në Bashkimin Evropian dhe, si i tillë, ka filluar ta harmonizojë legjislacionin dhe kuadrin e politikave me kërkesat e BE-së, në bazë të Marrëveshjes së Stabilizim-Asocimit. Sikurse shpjegohet në kapitullin 4, Strategjia e BE-së për Përshtatjen ndaj Ndryshimeve Klimatike do të bëhet e rëndësishme edhe për Shqipërinë. Kjo strategji përcakton në objektivin</w:t>
      </w:r>
      <w:r w:rsidR="00242009" w:rsidRPr="007114AF">
        <w:rPr>
          <w:lang w:eastAsia="en-US"/>
        </w:rPr>
        <w:t xml:space="preserve"> nr. </w:t>
      </w:r>
      <w:r w:rsidRPr="007114AF">
        <w:rPr>
          <w:lang w:eastAsia="en-US"/>
        </w:rPr>
        <w:t>3 të saj, se përshtatja duhet integruar në sektorët më kryesorë</w:t>
      </w:r>
      <w:r w:rsidR="000A2A01" w:rsidRPr="007114AF">
        <w:rPr>
          <w:lang w:eastAsia="en-US"/>
        </w:rPr>
        <w:t xml:space="preserve"> </w:t>
      </w:r>
      <w:r w:rsidRPr="007114AF">
        <w:rPr>
          <w:lang w:eastAsia="en-US"/>
        </w:rPr>
        <w:t>e</w:t>
      </w:r>
      <w:r w:rsidR="0028717C">
        <w:rPr>
          <w:lang w:eastAsia="en-US"/>
        </w:rPr>
        <w:t xml:space="preserve"> </w:t>
      </w:r>
      <w:r w:rsidRPr="007114AF">
        <w:rPr>
          <w:lang w:eastAsia="en-US"/>
        </w:rPr>
        <w:t xml:space="preserve">më vulnerabël, nëpërmjet politikave të bujqësisë, peshkimit dhe kohezionit. Po kështu, edhe Instrumenti për Asistencën Para-aderimit (IPA II) </w:t>
      </w:r>
      <w:r w:rsidR="00C6608F" w:rsidRPr="007114AF">
        <w:rPr>
          <w:lang w:eastAsia="en-US"/>
        </w:rPr>
        <w:t>2014–2020</w:t>
      </w:r>
      <w:r w:rsidR="0028717C">
        <w:rPr>
          <w:lang w:eastAsia="en-US"/>
        </w:rPr>
        <w:t xml:space="preserve"> </w:t>
      </w:r>
      <w:r w:rsidRPr="007114AF">
        <w:rPr>
          <w:lang w:eastAsia="en-US"/>
        </w:rPr>
        <w:t xml:space="preserve">ndjek një qasje ndërsektoriale për integrimin e përshtatjes ndaj ndryshimeve klimatike në shumicën e sektorëve, sidomos transportin, energjetikën, bujqësinë, zhvillimin rural dhe menaxhimin e fatkeqësive. Një instrument i fuqishëm për integrimin është qasja për të ndjekur shpenzimet e lidhura me klimën në të gjithë gamën e ndërhyrjeve të IPA II në Shqipëri, në përputhje me treguesit statistikorë të OECD-DAC-it për zbutjen e ndryshimeve klimatike dhe përshtatjen ndaj tyre. </w:t>
      </w:r>
    </w:p>
    <w:p w14:paraId="6EDCFF8A" w14:textId="5E8ED08B" w:rsidR="002C406F" w:rsidRPr="007114AF" w:rsidRDefault="00CF2A42" w:rsidP="002C406F">
      <w:pPr>
        <w:pStyle w:val="TEKSTI"/>
        <w:rPr>
          <w:b/>
        </w:rPr>
      </w:pPr>
      <w:bookmarkStart w:id="143" w:name="_Toc483570109"/>
      <w:bookmarkStart w:id="144" w:name="_Toc484424507"/>
      <w:r w:rsidRPr="007114AF">
        <w:rPr>
          <w:b/>
        </w:rPr>
        <w:t xml:space="preserve">4.3.2 </w:t>
      </w:r>
      <w:r w:rsidR="002C406F" w:rsidRPr="007114AF">
        <w:rPr>
          <w:b/>
        </w:rPr>
        <w:t>Integrimi për SKZHI 2014–2020</w:t>
      </w:r>
      <w:bookmarkEnd w:id="143"/>
      <w:bookmarkEnd w:id="144"/>
    </w:p>
    <w:p w14:paraId="6EDCFF8B" w14:textId="67A0E470" w:rsidR="002C406F" w:rsidRPr="007114AF" w:rsidRDefault="002C406F" w:rsidP="002C406F">
      <w:pPr>
        <w:pStyle w:val="TEKSTI"/>
      </w:pPr>
      <w:r w:rsidRPr="007114AF">
        <w:rPr>
          <w:bCs/>
          <w:iCs/>
        </w:rPr>
        <w:t xml:space="preserve">Përdorimi i thjerrës klimatike është një koncept që përshkruhet në Udhëzimin e OECD-ës </w:t>
      </w:r>
      <w:r w:rsidR="000A2A01" w:rsidRPr="007114AF">
        <w:rPr>
          <w:bCs/>
          <w:iCs/>
        </w:rPr>
        <w:t>“</w:t>
      </w:r>
      <w:r w:rsidRPr="007114AF">
        <w:rPr>
          <w:bCs/>
          <w:iCs/>
        </w:rPr>
        <w:t>Integrimi i përshtatjes ndaj ndryshimeve klimatike në bashkëpunimin për zhvillim</w:t>
      </w:r>
      <w:r w:rsidR="000A2A01" w:rsidRPr="007114AF">
        <w:rPr>
          <w:bCs/>
          <w:iCs/>
        </w:rPr>
        <w:t>”</w:t>
      </w:r>
      <w:bookmarkStart w:id="145" w:name="_Ref453841387"/>
      <w:r w:rsidRPr="007114AF">
        <w:rPr>
          <w:bCs/>
          <w:iCs/>
        </w:rPr>
        <w:footnoteReference w:id="52"/>
      </w:r>
      <w:bookmarkEnd w:id="145"/>
      <w:r w:rsidRPr="007114AF">
        <w:rPr>
          <w:bCs/>
          <w:iCs/>
        </w:rPr>
        <w:t>. Thjerra klimatike analizon korrelacionet e mundshme midis politikave sektoriale dhe përshtatjes ndaj ndryshimeve klimatike, me fokusin te dhënia e një informacioni dhe orientimi të përgjithshëm, çka dallon nga vlerësimet e thella klimatike.</w:t>
      </w:r>
    </w:p>
    <w:p w14:paraId="6EDCFF8C" w14:textId="5708B650" w:rsidR="002C406F" w:rsidRPr="007114AF" w:rsidRDefault="002C406F" w:rsidP="002C406F">
      <w:pPr>
        <w:pStyle w:val="TEKSTI"/>
        <w:rPr>
          <w:bCs/>
          <w:iCs/>
        </w:rPr>
      </w:pPr>
      <w:r w:rsidRPr="007114AF">
        <w:rPr>
          <w:bCs/>
          <w:iCs/>
        </w:rPr>
        <w:t>Thjerra klimatike është përdorur në qershor 2015 për Projektstrategjinë Kombëtare për Zhvillim dhe Integrim (SKZHI) 2014-2015, duke q</w:t>
      </w:r>
      <w:r w:rsidR="0028717C">
        <w:rPr>
          <w:bCs/>
          <w:iCs/>
        </w:rPr>
        <w:t>e</w:t>
      </w:r>
      <w:r w:rsidRPr="007114AF">
        <w:rPr>
          <w:bCs/>
          <w:iCs/>
        </w:rPr>
        <w:t>në se ekzistonte në atë kohë. Ky proces ndoqi një qasje me 3 hapa si më poshtë</w:t>
      </w:r>
      <w:r w:rsidR="00191838" w:rsidRPr="007114AF">
        <w:t>:</w:t>
      </w:r>
      <w:r w:rsidRPr="007114AF">
        <w:t xml:space="preserve"> </w:t>
      </w:r>
    </w:p>
    <w:p w14:paraId="6EDCFF8D" w14:textId="77777777" w:rsidR="002C406F" w:rsidRPr="007114AF" w:rsidRDefault="002C406F" w:rsidP="002C406F">
      <w:pPr>
        <w:pStyle w:val="TEKSTI"/>
      </w:pPr>
      <w:r w:rsidRPr="007114AF">
        <w:rPr>
          <w:b/>
        </w:rPr>
        <w:t>Hapi 1: Përcaktimi i fushëveprimit:</w:t>
      </w:r>
      <w:r w:rsidRPr="007114AF">
        <w:t xml:space="preserve"> SKZHI-ja mbulon një numër të madh sektorësh të ndryshëm, me objektiva dhe masa të ndryshme. Sigurisht, jo të gjithë këta sektorë kanë lidhje për integrimin e përshtatjes ndaj ndryshimeve klimatike. Prandaj, hapi i përcaktimit të fushëveprimit siguroi që përpjekjet (e kufizuara) e integrimit të fokusoheshin tek ato pjesë të SKZHI-së që kishin më shumë lidhje me këtë proces.</w:t>
      </w:r>
    </w:p>
    <w:p w14:paraId="6EDCFF8E" w14:textId="77777777" w:rsidR="002C406F" w:rsidRPr="007114AF" w:rsidRDefault="002C406F" w:rsidP="002C406F">
      <w:pPr>
        <w:pStyle w:val="TEKSTI"/>
      </w:pPr>
      <w:r w:rsidRPr="007114AF">
        <w:rPr>
          <w:b/>
        </w:rPr>
        <w:t>Hapi 2: Vlerësimi sipas objektivave.</w:t>
      </w:r>
      <w:r w:rsidRPr="007114AF">
        <w:t xml:space="preserve"> Objektivat e identifikuar në hapin 1, si objektiva që lidheshin me integrimin e mëtejshëm, u vlerësuan më me hollësi, sipas një skeme me matricë.</w:t>
      </w:r>
    </w:p>
    <w:p w14:paraId="6EDCFF8F" w14:textId="04470B75" w:rsidR="002C406F" w:rsidRPr="007114AF" w:rsidRDefault="002C406F" w:rsidP="002C406F">
      <w:pPr>
        <w:pStyle w:val="TEKSTI"/>
      </w:pPr>
      <w:r w:rsidRPr="007114AF">
        <w:rPr>
          <w:b/>
        </w:rPr>
        <w:t>Hapi 3: Përfundime dhe rekomandime</w:t>
      </w:r>
      <w:r w:rsidRPr="007114AF">
        <w:t>. Rezultatet e vlerësimit me matricë u</w:t>
      </w:r>
      <w:r w:rsidR="0028717C">
        <w:t xml:space="preserve"> </w:t>
      </w:r>
      <w:r w:rsidRPr="007114AF">
        <w:t>përmblodhën në konstatime dhe rekomandime kryesore, për të cilat duhej vepruar më tej.</w:t>
      </w:r>
    </w:p>
    <w:p w14:paraId="6EDCFF90" w14:textId="77777777" w:rsidR="002C406F" w:rsidRPr="007114AF" w:rsidRDefault="002C406F" w:rsidP="002C406F">
      <w:pPr>
        <w:pStyle w:val="TEKSTI"/>
        <w:rPr>
          <w:bCs/>
          <w:iCs/>
        </w:rPr>
      </w:pPr>
      <w:r w:rsidRPr="007114AF">
        <w:rPr>
          <w:bCs/>
          <w:iCs/>
        </w:rPr>
        <w:t>Vlerësimi sipas objektivave, në hapin 2, nxori përfundime sipas kategorive të mëposhtme (të paraqitura me kode me ngjyra):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6"/>
        <w:gridCol w:w="1134"/>
      </w:tblGrid>
      <w:tr w:rsidR="002C406F" w:rsidRPr="007114AF" w14:paraId="6EDCFF93" w14:textId="77777777" w:rsidTr="002C406F">
        <w:trPr>
          <w:jc w:val="center"/>
        </w:trPr>
        <w:tc>
          <w:tcPr>
            <w:tcW w:w="5386" w:type="dxa"/>
            <w:shd w:val="clear" w:color="auto" w:fill="auto"/>
          </w:tcPr>
          <w:p w14:paraId="6EDCFF91" w14:textId="77777777" w:rsidR="002C406F" w:rsidRPr="007114AF" w:rsidRDefault="002C406F" w:rsidP="001C467C">
            <w:pPr>
              <w:spacing w:after="200"/>
              <w:rPr>
                <w:rFonts w:ascii="Garamond" w:hAnsi="Garamond"/>
                <w:b/>
                <w:bCs/>
                <w:iCs/>
              </w:rPr>
            </w:pPr>
            <w:r w:rsidRPr="007114AF">
              <w:rPr>
                <w:rFonts w:ascii="Garamond" w:hAnsi="Garamond"/>
                <w:b/>
                <w:bCs/>
                <w:iCs/>
              </w:rPr>
              <w:t>Rekomandohen korrigjime të objektivave</w:t>
            </w:r>
          </w:p>
        </w:tc>
        <w:tc>
          <w:tcPr>
            <w:tcW w:w="1134" w:type="dxa"/>
            <w:shd w:val="clear" w:color="auto" w:fill="FF0000"/>
          </w:tcPr>
          <w:p w14:paraId="6EDCFF92" w14:textId="77777777" w:rsidR="002C406F" w:rsidRPr="007114AF" w:rsidRDefault="002C406F" w:rsidP="001C467C">
            <w:pPr>
              <w:spacing w:after="200"/>
              <w:rPr>
                <w:rFonts w:ascii="Garamond" w:hAnsi="Garamond"/>
                <w:b/>
                <w:bCs/>
                <w:iCs/>
              </w:rPr>
            </w:pPr>
          </w:p>
        </w:tc>
      </w:tr>
      <w:tr w:rsidR="002C406F" w:rsidRPr="007114AF" w14:paraId="6EDCFF96" w14:textId="77777777" w:rsidTr="002C406F">
        <w:trPr>
          <w:jc w:val="center"/>
        </w:trPr>
        <w:tc>
          <w:tcPr>
            <w:tcW w:w="5386" w:type="dxa"/>
            <w:shd w:val="clear" w:color="auto" w:fill="auto"/>
          </w:tcPr>
          <w:p w14:paraId="6EDCFF94" w14:textId="77777777" w:rsidR="002C406F" w:rsidRPr="007114AF" w:rsidRDefault="002C406F" w:rsidP="001C467C">
            <w:pPr>
              <w:spacing w:after="200"/>
              <w:rPr>
                <w:rFonts w:ascii="Garamond" w:hAnsi="Garamond"/>
                <w:b/>
                <w:bCs/>
                <w:iCs/>
              </w:rPr>
            </w:pPr>
            <w:r w:rsidRPr="007114AF">
              <w:rPr>
                <w:rFonts w:ascii="Garamond" w:hAnsi="Garamond"/>
                <w:b/>
                <w:bCs/>
                <w:iCs/>
              </w:rPr>
              <w:t>Nevojitet integrim i mëtejshëm në strategjitë sektoriale</w:t>
            </w:r>
          </w:p>
        </w:tc>
        <w:tc>
          <w:tcPr>
            <w:tcW w:w="1134" w:type="dxa"/>
            <w:shd w:val="clear" w:color="auto" w:fill="FFC000"/>
          </w:tcPr>
          <w:p w14:paraId="6EDCFF95" w14:textId="77777777" w:rsidR="002C406F" w:rsidRPr="007114AF" w:rsidRDefault="002C406F" w:rsidP="001C467C">
            <w:pPr>
              <w:spacing w:after="200"/>
              <w:rPr>
                <w:rFonts w:ascii="Garamond" w:hAnsi="Garamond"/>
                <w:b/>
                <w:bCs/>
                <w:iCs/>
              </w:rPr>
            </w:pPr>
          </w:p>
        </w:tc>
      </w:tr>
      <w:tr w:rsidR="002C406F" w:rsidRPr="007114AF" w14:paraId="6EDCFF99" w14:textId="77777777" w:rsidTr="002C406F">
        <w:trPr>
          <w:jc w:val="center"/>
        </w:trPr>
        <w:tc>
          <w:tcPr>
            <w:tcW w:w="5386" w:type="dxa"/>
            <w:shd w:val="clear" w:color="auto" w:fill="auto"/>
          </w:tcPr>
          <w:p w14:paraId="6EDCFF97" w14:textId="77777777" w:rsidR="002C406F" w:rsidRPr="007114AF" w:rsidRDefault="002C406F" w:rsidP="001C467C">
            <w:pPr>
              <w:spacing w:after="200"/>
              <w:rPr>
                <w:rFonts w:ascii="Garamond" w:hAnsi="Garamond"/>
                <w:b/>
                <w:bCs/>
                <w:iCs/>
              </w:rPr>
            </w:pPr>
            <w:r w:rsidRPr="007114AF">
              <w:rPr>
                <w:rFonts w:ascii="Garamond" w:hAnsi="Garamond"/>
                <w:b/>
                <w:bCs/>
                <w:iCs/>
              </w:rPr>
              <w:t>Përcaktohen kushte për procesin e mëtejshëm të zbatimit</w:t>
            </w:r>
          </w:p>
        </w:tc>
        <w:tc>
          <w:tcPr>
            <w:tcW w:w="1134" w:type="dxa"/>
            <w:shd w:val="clear" w:color="auto" w:fill="FFFF00"/>
          </w:tcPr>
          <w:p w14:paraId="6EDCFF98" w14:textId="77777777" w:rsidR="002C406F" w:rsidRPr="007114AF" w:rsidRDefault="002C406F" w:rsidP="001C467C">
            <w:pPr>
              <w:spacing w:after="200"/>
              <w:rPr>
                <w:rFonts w:ascii="Garamond" w:hAnsi="Garamond"/>
                <w:b/>
                <w:bCs/>
                <w:iCs/>
              </w:rPr>
            </w:pPr>
          </w:p>
        </w:tc>
      </w:tr>
      <w:tr w:rsidR="002C406F" w:rsidRPr="007114AF" w14:paraId="6EDCFF9C" w14:textId="77777777" w:rsidTr="00C056F9">
        <w:trPr>
          <w:trHeight w:val="610"/>
          <w:jc w:val="center"/>
        </w:trPr>
        <w:tc>
          <w:tcPr>
            <w:tcW w:w="5386" w:type="dxa"/>
            <w:shd w:val="clear" w:color="auto" w:fill="auto"/>
          </w:tcPr>
          <w:p w14:paraId="6EDCFF9A" w14:textId="77777777" w:rsidR="002C406F" w:rsidRPr="007114AF" w:rsidRDefault="002C406F" w:rsidP="001C467C">
            <w:pPr>
              <w:spacing w:after="200"/>
              <w:rPr>
                <w:rFonts w:ascii="Garamond" w:hAnsi="Garamond"/>
                <w:b/>
                <w:bCs/>
                <w:iCs/>
              </w:rPr>
            </w:pPr>
            <w:r w:rsidRPr="007114AF">
              <w:rPr>
                <w:rFonts w:ascii="Garamond" w:hAnsi="Garamond"/>
                <w:b/>
                <w:bCs/>
                <w:iCs/>
              </w:rPr>
              <w:t>Rekomandohet pasqyrim në diskutimin e mëtejshëm të politikave</w:t>
            </w:r>
          </w:p>
        </w:tc>
        <w:tc>
          <w:tcPr>
            <w:tcW w:w="1134" w:type="dxa"/>
            <w:shd w:val="clear" w:color="auto" w:fill="9CC2E5"/>
          </w:tcPr>
          <w:p w14:paraId="6EDCFF9B" w14:textId="77777777" w:rsidR="002C406F" w:rsidRPr="007114AF" w:rsidRDefault="002C406F" w:rsidP="001C467C">
            <w:pPr>
              <w:spacing w:after="200"/>
              <w:rPr>
                <w:rFonts w:ascii="Garamond" w:hAnsi="Garamond"/>
                <w:b/>
                <w:bCs/>
                <w:iCs/>
              </w:rPr>
            </w:pPr>
          </w:p>
        </w:tc>
      </w:tr>
    </w:tbl>
    <w:p w14:paraId="6EDCFF9D" w14:textId="77777777" w:rsidR="002C406F" w:rsidRPr="007114AF" w:rsidRDefault="002C406F" w:rsidP="002C406F">
      <w:pPr>
        <w:pStyle w:val="TEKSTI"/>
      </w:pPr>
    </w:p>
    <w:p w14:paraId="6EDCFF9E" w14:textId="77777777" w:rsidR="002C406F" w:rsidRPr="007114AF" w:rsidRDefault="002C406F" w:rsidP="002C406F">
      <w:pPr>
        <w:pStyle w:val="TEKSTI"/>
      </w:pPr>
      <w:r w:rsidRPr="007114AF">
        <w:t>Përfundimet dhe rekomandimet konkrete që dolën nga përdorimi i thjerrës klimatike mund të përmblidhen në pikat më kryesore, si vijon:</w:t>
      </w:r>
    </w:p>
    <w:p w14:paraId="6EDCFF9F" w14:textId="77777777" w:rsidR="002C406F" w:rsidRPr="007114AF" w:rsidRDefault="002C406F" w:rsidP="002C406F">
      <w:pPr>
        <w:pStyle w:val="TEKSTI"/>
        <w:rPr>
          <w:u w:val="single"/>
        </w:rPr>
      </w:pPr>
      <w:r w:rsidRPr="007114AF">
        <w:rPr>
          <w:u w:val="single"/>
        </w:rPr>
        <w:t>Korrigjimi i objektivave (kodi me ngjyrë të kuqe)</w:t>
      </w:r>
    </w:p>
    <w:p w14:paraId="6EDCFFA0" w14:textId="77777777" w:rsidR="002C406F" w:rsidRPr="007114AF" w:rsidRDefault="002C406F" w:rsidP="002C406F">
      <w:pPr>
        <w:pStyle w:val="TEKSTI"/>
      </w:pPr>
      <w:r w:rsidRPr="007114AF">
        <w:t>Korrigjimi i objektivave është rekomanduar vetëm në raste të jashtëzakonshme. Disa shembuj të korrigjimeve të rekomanduara:</w:t>
      </w:r>
    </w:p>
    <w:p w14:paraId="6EDCFFA1" w14:textId="77777777" w:rsidR="002C406F" w:rsidRPr="007114AF" w:rsidRDefault="002C406F" w:rsidP="002C406F">
      <w:pPr>
        <w:pStyle w:val="TEKSTI"/>
      </w:pPr>
      <w:r w:rsidRPr="007114AF">
        <w:t>Treguesit e zhvillimit për turizmin: Ndryshimet klimatike mund të kërkojnë korrigjime në strukturat e turizmit. Rekomandohet që kjo të përmendet, të paktën, me fjalë (në mos me shifra të detajuara).</w:t>
      </w:r>
    </w:p>
    <w:p w14:paraId="6EDCFFA2" w14:textId="77777777" w:rsidR="002C406F" w:rsidRPr="007114AF" w:rsidRDefault="002C406F" w:rsidP="002C406F">
      <w:pPr>
        <w:pStyle w:val="TEKSTI"/>
      </w:pPr>
      <w:r w:rsidRPr="007114AF">
        <w:t>Sigurimi i statusit në ruajtje për 5% të specieve dhe habitateve të rrezikuara përmes një objektivi është i mirëformuluar, por kjo mund të ndikohet nga ndryshimet klimatike. Ndaj, mund të jetë nevoja për vendosjen e njëfarë diferencimi.</w:t>
      </w:r>
    </w:p>
    <w:p w14:paraId="6EDCFFA3" w14:textId="77777777" w:rsidR="002C406F" w:rsidRPr="007114AF" w:rsidRDefault="002C406F" w:rsidP="002C406F">
      <w:pPr>
        <w:pStyle w:val="TEKSTI"/>
        <w:rPr>
          <w:u w:val="single"/>
        </w:rPr>
      </w:pPr>
      <w:r w:rsidRPr="007114AF">
        <w:rPr>
          <w:u w:val="single"/>
        </w:rPr>
        <w:t>Integrimi i mëtejshëm në strategjitë dhe planet sektoriale (kodi me ngjyrë portokalli)</w:t>
      </w:r>
    </w:p>
    <w:p w14:paraId="6EDCFFA4" w14:textId="77777777" w:rsidR="002C406F" w:rsidRPr="007114AF" w:rsidRDefault="002C406F" w:rsidP="002C406F">
      <w:pPr>
        <w:pStyle w:val="TEKSTI"/>
      </w:pPr>
      <w:r w:rsidRPr="007114AF">
        <w:t>Në shumë raste, SKZHI përmend strategjitë dhe planet sektoriale, që po hartohen ose ekzistojnë. Rekomandohet integrimi i ndryshimeve klimatike në këto strategji dhe plane. Disa shembuj për të cilët është identifikuar gjatë përdorimit të thjerrës klimatike nevoja për integrim të ndryshimeve klimatike janë:</w:t>
      </w:r>
    </w:p>
    <w:p w14:paraId="6EDCFFA5" w14:textId="348F4CAA" w:rsidR="002C406F" w:rsidRPr="007114AF" w:rsidRDefault="00CF2A42" w:rsidP="002C406F">
      <w:pPr>
        <w:pStyle w:val="TEKSTI"/>
      </w:pPr>
      <w:r w:rsidRPr="007114AF">
        <w:t xml:space="preserve">- </w:t>
      </w:r>
      <w:r w:rsidR="002C406F" w:rsidRPr="007114AF">
        <w:t>Strategjia Kombëtare e Energjisë</w:t>
      </w:r>
      <w:r w:rsidR="0028717C">
        <w:t>;</w:t>
      </w:r>
    </w:p>
    <w:p w14:paraId="6EDCFFA6" w14:textId="787CE255" w:rsidR="002C406F" w:rsidRPr="007114AF" w:rsidRDefault="00CF2A42" w:rsidP="002C406F">
      <w:pPr>
        <w:pStyle w:val="TEKSTI"/>
      </w:pPr>
      <w:r w:rsidRPr="007114AF">
        <w:t xml:space="preserve">- </w:t>
      </w:r>
      <w:r w:rsidR="002C406F" w:rsidRPr="007114AF">
        <w:t>Strategjia Kombëtare për Burimet Ujore</w:t>
      </w:r>
      <w:r w:rsidR="0028717C">
        <w:t>;</w:t>
      </w:r>
    </w:p>
    <w:p w14:paraId="6EDCFFA7" w14:textId="6A03C924" w:rsidR="002C406F" w:rsidRPr="007114AF" w:rsidRDefault="00CF2A42" w:rsidP="002C406F">
      <w:pPr>
        <w:pStyle w:val="TEKSTI"/>
      </w:pPr>
      <w:r w:rsidRPr="007114AF">
        <w:t xml:space="preserve">- </w:t>
      </w:r>
      <w:r w:rsidR="002C406F" w:rsidRPr="007114AF">
        <w:t>Plani i Menaxhimit të Burimeve Ujore</w:t>
      </w:r>
      <w:r w:rsidR="0028717C">
        <w:t>;</w:t>
      </w:r>
    </w:p>
    <w:p w14:paraId="6EDCFFA8" w14:textId="2E486A6F" w:rsidR="002C406F" w:rsidRPr="007114AF" w:rsidRDefault="00CF2A42" w:rsidP="002C406F">
      <w:pPr>
        <w:pStyle w:val="TEKSTI"/>
      </w:pPr>
      <w:r w:rsidRPr="007114AF">
        <w:t xml:space="preserve">- </w:t>
      </w:r>
      <w:r w:rsidR="002C406F" w:rsidRPr="007114AF">
        <w:t>Plani Kombëtar për Zhvillimin e Turizmit</w:t>
      </w:r>
      <w:r w:rsidR="0028717C">
        <w:t>;</w:t>
      </w:r>
    </w:p>
    <w:p w14:paraId="6EDCFFA9" w14:textId="2B27DD92" w:rsidR="002C406F" w:rsidRPr="007114AF" w:rsidRDefault="00CF2A42" w:rsidP="002C406F">
      <w:pPr>
        <w:pStyle w:val="TEKSTI"/>
      </w:pPr>
      <w:bookmarkStart w:id="146" w:name="OLE_LINK5"/>
      <w:bookmarkStart w:id="147" w:name="OLE_LINK6"/>
      <w:r w:rsidRPr="007114AF">
        <w:t xml:space="preserve">- </w:t>
      </w:r>
      <w:r w:rsidR="002C406F" w:rsidRPr="007114AF">
        <w:t>Plani për Rregullimin e Territorit</w:t>
      </w:r>
      <w:bookmarkEnd w:id="146"/>
      <w:bookmarkEnd w:id="147"/>
      <w:r w:rsidR="0028717C">
        <w:t>;</w:t>
      </w:r>
    </w:p>
    <w:p w14:paraId="6EDCFFAA" w14:textId="336BFB30" w:rsidR="002C406F" w:rsidRPr="007114AF" w:rsidRDefault="00CF2A42" w:rsidP="002C406F">
      <w:pPr>
        <w:pStyle w:val="TEKSTI"/>
      </w:pPr>
      <w:r w:rsidRPr="007114AF">
        <w:t xml:space="preserve">- </w:t>
      </w:r>
      <w:r w:rsidR="002C406F" w:rsidRPr="007114AF">
        <w:t>Plani për Zhvillimin e Bregdetit</w:t>
      </w:r>
      <w:r w:rsidR="0028717C">
        <w:t>;</w:t>
      </w:r>
    </w:p>
    <w:p w14:paraId="6EDCFFAB" w14:textId="77777777" w:rsidR="002C406F" w:rsidRPr="007114AF" w:rsidRDefault="00CF2A42" w:rsidP="002C406F">
      <w:pPr>
        <w:pStyle w:val="TEKSTI"/>
      </w:pPr>
      <w:bookmarkStart w:id="148" w:name="OLE_LINK7"/>
      <w:bookmarkStart w:id="149" w:name="OLE_LINK8"/>
      <w:r w:rsidRPr="007114AF">
        <w:t xml:space="preserve">- </w:t>
      </w:r>
      <w:r w:rsidR="002C406F" w:rsidRPr="007114AF">
        <w:t>Strategjia për Bujqësinë dhe Zhvillimin Rural</w:t>
      </w:r>
      <w:bookmarkEnd w:id="148"/>
      <w:bookmarkEnd w:id="149"/>
      <w:r w:rsidR="002C406F" w:rsidRPr="007114AF">
        <w:t>.</w:t>
      </w:r>
    </w:p>
    <w:p w14:paraId="6EDCFFAC" w14:textId="77777777" w:rsidR="002C406F" w:rsidRPr="007114AF" w:rsidRDefault="002C406F" w:rsidP="002C406F">
      <w:pPr>
        <w:pStyle w:val="TEKSTI"/>
        <w:rPr>
          <w:u w:val="single"/>
        </w:rPr>
      </w:pPr>
      <w:r w:rsidRPr="007114AF">
        <w:rPr>
          <w:u w:val="single"/>
        </w:rPr>
        <w:t>Kushtet për proceset e zhvillimit në të ardhmen (kodi me ngjyrë të verdhë)</w:t>
      </w:r>
    </w:p>
    <w:p w14:paraId="6EDCFFAD" w14:textId="77777777" w:rsidR="002C406F" w:rsidRPr="007114AF" w:rsidRDefault="002C406F" w:rsidP="002C406F">
      <w:pPr>
        <w:pStyle w:val="TEKSTI"/>
      </w:pPr>
      <w:r w:rsidRPr="007114AF">
        <w:t>Në disa raste, objektivat sektorialë janë të mirëformuluar, edhe në lidhje me efektet e mundshme të ndryshimeve klimatike në të ardhmen. Sfida e ardhshme, sa i takon përshtatjes ndaj ndryshimeve klimatike, do të jetë sigurimi i arritjes së objektivave në një klimë që ndryshon. Kjo vlen për:</w:t>
      </w:r>
    </w:p>
    <w:p w14:paraId="6EDCFFAE" w14:textId="77777777" w:rsidR="002C406F" w:rsidRPr="007114AF" w:rsidRDefault="00CF2A42" w:rsidP="002C406F">
      <w:pPr>
        <w:pStyle w:val="TEKSTI"/>
      </w:pPr>
      <w:r w:rsidRPr="007114AF">
        <w:t xml:space="preserve">- </w:t>
      </w:r>
      <w:r w:rsidR="002C406F" w:rsidRPr="007114AF">
        <w:t>përmirësimin e mirëmbajtjes së rrugëve,</w:t>
      </w:r>
    </w:p>
    <w:p w14:paraId="6EDCFFAF" w14:textId="77777777" w:rsidR="002C406F" w:rsidRPr="007114AF" w:rsidRDefault="00CF2A42" w:rsidP="002C406F">
      <w:pPr>
        <w:pStyle w:val="TEKSTI"/>
      </w:pPr>
      <w:r w:rsidRPr="007114AF">
        <w:t xml:space="preserve">- </w:t>
      </w:r>
      <w:r w:rsidR="002C406F" w:rsidRPr="007114AF">
        <w:t>masat e lidhura me administrimin e pellgjeve lumore, si ruajtja e pyjeve dhe kullotave,</w:t>
      </w:r>
    </w:p>
    <w:p w14:paraId="6EDCFFB0" w14:textId="77777777" w:rsidR="002C406F" w:rsidRPr="007114AF" w:rsidRDefault="00CF2A42" w:rsidP="002C406F">
      <w:pPr>
        <w:pStyle w:val="TEKSTI"/>
      </w:pPr>
      <w:r w:rsidRPr="007114AF">
        <w:t xml:space="preserve">- </w:t>
      </w:r>
      <w:r w:rsidR="002C406F" w:rsidRPr="007114AF">
        <w:t>fuqizimin e shërbimeve shëndetësore.</w:t>
      </w:r>
    </w:p>
    <w:p w14:paraId="6EDCFFB1" w14:textId="77777777" w:rsidR="002C406F" w:rsidRPr="007114AF" w:rsidRDefault="002C406F" w:rsidP="002C406F">
      <w:pPr>
        <w:pStyle w:val="TEKSTI"/>
        <w:rPr>
          <w:u w:val="single"/>
        </w:rPr>
      </w:pPr>
      <w:r w:rsidRPr="007114AF">
        <w:rPr>
          <w:u w:val="single"/>
        </w:rPr>
        <w:t>Pasqyrimi i përshtatjes ndaj ndryshimeve klimatike në diskutimin e politikave për të ardhmen (kodi me ngjyrë të kaltër)</w:t>
      </w:r>
    </w:p>
    <w:p w14:paraId="6EDCFFB2" w14:textId="77777777" w:rsidR="002C406F" w:rsidRPr="007114AF" w:rsidRDefault="002C406F" w:rsidP="002C406F">
      <w:pPr>
        <w:pStyle w:val="TEKSTI"/>
      </w:pPr>
      <w:r w:rsidRPr="007114AF">
        <w:t>Në një sërë rastesh, objektivat sektorialë siç janë formuluar nga SKZHI, ofrojnë potencial të madh për masat e lidhura me përshtatjen ndaj ndryshimeve klimatike. Ky potencial për integrim kërkon diskutim të mëtejshëm me sektorët përkatës, duke qenë se nuk ka një qasje të qartë për integrimin ende, si në rastet e shënuara me ngjyrë portokalli. Shembujt përfshijnë:</w:t>
      </w:r>
    </w:p>
    <w:p w14:paraId="6EDCFFB3" w14:textId="77777777" w:rsidR="002C406F" w:rsidRPr="007114AF" w:rsidRDefault="00CF2A42" w:rsidP="00CF2A42">
      <w:pPr>
        <w:pStyle w:val="TEKSTI"/>
      </w:pPr>
      <w:r w:rsidRPr="007114AF">
        <w:t xml:space="preserve">- </w:t>
      </w:r>
      <w:r w:rsidR="002C406F" w:rsidRPr="007114AF">
        <w:t>Përdorimin e reformave të parashikuara statistikore dhe të inventa</w:t>
      </w:r>
      <w:r w:rsidRPr="007114AF">
        <w:t xml:space="preserve">rit ujor / Kadastrës Kombëtare </w:t>
      </w:r>
      <w:r w:rsidR="002C406F" w:rsidRPr="007114AF">
        <w:t>për Burimet Ujore për të zhvilluar një sistem të monitorimit të përshtatjes ndaj ndryshimeve</w:t>
      </w:r>
      <w:r w:rsidRPr="007114AF">
        <w:t xml:space="preserve"> </w:t>
      </w:r>
      <w:r w:rsidR="002C406F" w:rsidRPr="007114AF">
        <w:t>klimatike. Kjo mund të realizohej madje, si pjesë e reformave statistikore.</w:t>
      </w:r>
    </w:p>
    <w:p w14:paraId="6EDCFFB4" w14:textId="77777777" w:rsidR="002C406F" w:rsidRPr="007114AF" w:rsidRDefault="00CF2A42" w:rsidP="002C406F">
      <w:pPr>
        <w:pStyle w:val="TEKSTI"/>
      </w:pPr>
      <w:r w:rsidRPr="007114AF">
        <w:t xml:space="preserve">- </w:t>
      </w:r>
      <w:r w:rsidR="002C406F" w:rsidRPr="007114AF">
        <w:t>Përfshirjen e mbrojtjes ndaj ndryshimeve klimatike në aktet nënligjore për vlerësimet mjedisore strategjike dhe vlerësimet e ndikimit mjedisor, të cilat sigurojnë një pasqyrim të përgjithshëm të ndryshimeve klimatike në përgatitjen e të gjitha projekteve dhe planeve.</w:t>
      </w:r>
    </w:p>
    <w:p w14:paraId="6EDCFFB5" w14:textId="77777777" w:rsidR="002C406F" w:rsidRPr="007114AF" w:rsidRDefault="00CF2A42" w:rsidP="002C406F">
      <w:pPr>
        <w:pStyle w:val="TEKSTI"/>
      </w:pPr>
      <w:r w:rsidRPr="007114AF">
        <w:t xml:space="preserve">- </w:t>
      </w:r>
      <w:r w:rsidR="002C406F" w:rsidRPr="007114AF">
        <w:t>Përfshirjen e integrimit të përshtatjes ndaj ndryshimeve klimatike në procesin e përgatitjes së buxhetit dhe në fondet rajonale dhe vendore.</w:t>
      </w:r>
    </w:p>
    <w:p w14:paraId="6EDCFFB6" w14:textId="77777777" w:rsidR="002C406F" w:rsidRPr="007114AF" w:rsidRDefault="00CF2A42" w:rsidP="002C406F">
      <w:pPr>
        <w:pStyle w:val="TEKSTI"/>
      </w:pPr>
      <w:r w:rsidRPr="007114AF">
        <w:t xml:space="preserve">- </w:t>
      </w:r>
      <w:r w:rsidR="002C406F" w:rsidRPr="007114AF">
        <w:t>Sigurimin e pasqyrimit adekuat të konflikteve të mundshme ujore, nën nxitjen e ndryshimit klimatik në politikën e jashtme.</w:t>
      </w:r>
    </w:p>
    <w:p w14:paraId="6EDCFFB7" w14:textId="77777777" w:rsidR="002C406F" w:rsidRPr="007114AF" w:rsidRDefault="00CF2A42" w:rsidP="002C406F">
      <w:pPr>
        <w:pStyle w:val="TEKSTI"/>
      </w:pPr>
      <w:r w:rsidRPr="007114AF">
        <w:t xml:space="preserve">- </w:t>
      </w:r>
      <w:r w:rsidR="002C406F" w:rsidRPr="007114AF">
        <w:t>Pasqyrimin e temave të lidhura me përshtatjen ndaj ndryshimeve klimatike në programin kërkimor kombëtar.</w:t>
      </w:r>
    </w:p>
    <w:p w14:paraId="6EDCFFB8" w14:textId="77777777" w:rsidR="002C406F" w:rsidRPr="007114AF" w:rsidRDefault="00CF2A42" w:rsidP="002C406F">
      <w:pPr>
        <w:pStyle w:val="TEKSTI"/>
      </w:pPr>
      <w:r w:rsidRPr="007114AF">
        <w:t xml:space="preserve">- </w:t>
      </w:r>
      <w:r w:rsidR="002C406F" w:rsidRPr="007114AF">
        <w:t>Diskutimin e alternativave për integrimin e përshtatjes ndaj ndryshimeve klimatike në planifikimin e zhvillimit rrugor</w:t>
      </w:r>
      <w:r w:rsidR="002C406F" w:rsidRPr="007114AF">
        <w:rPr>
          <w:vertAlign w:val="superscript"/>
        </w:rPr>
        <w:footnoteReference w:id="53"/>
      </w:r>
      <w:r w:rsidR="002C406F" w:rsidRPr="007114AF">
        <w:t>.</w:t>
      </w:r>
    </w:p>
    <w:p w14:paraId="6EDCFFB9" w14:textId="77777777" w:rsidR="002C406F" w:rsidRPr="007114AF" w:rsidRDefault="00CF2A42" w:rsidP="002C406F">
      <w:pPr>
        <w:pStyle w:val="TEKSTI"/>
      </w:pPr>
      <w:bookmarkStart w:id="150" w:name="_Toc483570110"/>
      <w:r w:rsidRPr="007114AF">
        <w:t xml:space="preserve">4.3.3 </w:t>
      </w:r>
    </w:p>
    <w:bookmarkEnd w:id="150"/>
    <w:p w14:paraId="6EDCFFBA" w14:textId="77777777" w:rsidR="002C406F" w:rsidRPr="007114AF" w:rsidRDefault="002C406F" w:rsidP="002C406F">
      <w:pPr>
        <w:pStyle w:val="TEKSTI"/>
        <w:rPr>
          <w:b/>
        </w:rPr>
      </w:pPr>
      <w:r w:rsidRPr="007114AF">
        <w:rPr>
          <w:b/>
        </w:rPr>
        <w:t>Sektori i ujit</w:t>
      </w:r>
    </w:p>
    <w:p w14:paraId="6EDCFFBB" w14:textId="77777777" w:rsidR="002C406F" w:rsidRPr="007114AF" w:rsidRDefault="002C406F" w:rsidP="002C406F">
      <w:pPr>
        <w:pStyle w:val="TEKSTI"/>
      </w:pPr>
      <w:r w:rsidRPr="007114AF">
        <w:t>Janë në zhvillim një sërë nismash të cilat ndihmojnë në rritjen e kapaciteteve të përshtatjes. Këtu përfshihen:</w:t>
      </w:r>
    </w:p>
    <w:p w14:paraId="6EDCFFBC" w14:textId="40CC773C" w:rsidR="002C406F" w:rsidRPr="007114AF" w:rsidRDefault="00CF2A42" w:rsidP="002C406F">
      <w:pPr>
        <w:pStyle w:val="TEKSTI"/>
      </w:pPr>
      <w:r w:rsidRPr="007114AF">
        <w:t xml:space="preserve">- </w:t>
      </w:r>
      <w:r w:rsidR="002C406F" w:rsidRPr="007114AF">
        <w:t>Plani i Menaxhimit të Rrezikut të Përmbytjes Qarku Shkodër</w:t>
      </w:r>
      <w:r w:rsidR="002C406F" w:rsidRPr="007114AF">
        <w:rPr>
          <w:vertAlign w:val="superscript"/>
        </w:rPr>
        <w:footnoteReference w:id="54"/>
      </w:r>
      <w:r w:rsidR="002C406F" w:rsidRPr="007114AF">
        <w:t>, 2012</w:t>
      </w:r>
      <w:r w:rsidR="0028717C">
        <w:t>–</w:t>
      </w:r>
      <w:r w:rsidR="002C406F" w:rsidRPr="007114AF">
        <w:t>2018, i cili është hartuar për të përmirësuar menaxhimin e rrezikut të përmbytjes, veçanërisht duke u fokusuar në masat jostrukturore, si sistemet e paralajmërimit të hershëm, gatishmërinë dhe planifikimin hapësinor. Përfshirja e masave të gatishmërisë për përmbytjet dhe një kuadër rajonal për menaxhimin e rrezikut</w:t>
      </w:r>
      <w:r w:rsidR="000A2A01" w:rsidRPr="007114AF">
        <w:t xml:space="preserve"> </w:t>
      </w:r>
      <w:r w:rsidR="002C406F" w:rsidRPr="007114AF">
        <w:t>të përmbytjeve, do ta zhvillojë kapacitetin</w:t>
      </w:r>
      <w:r w:rsidR="000A2A01" w:rsidRPr="007114AF">
        <w:t xml:space="preserve"> </w:t>
      </w:r>
      <w:r w:rsidR="002C406F" w:rsidRPr="007114AF">
        <w:t xml:space="preserve">përshtatës për menaxherët e rrezikut ndaj përmbytjeve, dhe mund të përdoren edhe nga menaxherët e qarqeve të tjera. </w:t>
      </w:r>
    </w:p>
    <w:p w14:paraId="6EDCFFBD" w14:textId="77777777" w:rsidR="002C406F" w:rsidRPr="007114AF" w:rsidRDefault="00CF2A42" w:rsidP="002C406F">
      <w:pPr>
        <w:pStyle w:val="TEKSTI"/>
      </w:pPr>
      <w:r w:rsidRPr="007114AF">
        <w:t xml:space="preserve">- </w:t>
      </w:r>
      <w:r w:rsidR="002C406F" w:rsidRPr="007114AF">
        <w:t>Aprovimi dhe zbatimi i Strategjisë Kombëtare për Menaxhimin e Integruar të Burimeve Ujore, do ta përmirësojë kapacitetin e atyre që administrojnë burimet ujore, për të trajtuar faktorët e stresit klimatik në administrimin e burimeve ujore. Kjo do të ndihmojë edhe në zhvillimin e kapaciteteve për përshtatjen te këta persona, të sigurisë ushqimore dhe energjetike dhe mbrojtjen nga përmbytjet.</w:t>
      </w:r>
    </w:p>
    <w:p w14:paraId="6EDCFFBE" w14:textId="4677BA38" w:rsidR="002C406F" w:rsidRPr="007114AF" w:rsidRDefault="002C406F" w:rsidP="002C406F">
      <w:pPr>
        <w:pStyle w:val="TEKSTI"/>
      </w:pPr>
      <w:r w:rsidRPr="007114AF">
        <w:t>Në përgjithësi, sektori ujor duhet të fokusohet më shumë tek Planet e Menaxhimit të Baseneve Lumore (PMBL), që përfshijnë në tërësi pellgjet lumore (për momentin ka nisur puna me PMBL të Drin</w:t>
      </w:r>
      <w:r w:rsidR="0028717C">
        <w:t>–</w:t>
      </w:r>
      <w:r w:rsidRPr="007114AF">
        <w:t>Bunës dhe Semanit) dhe të integrohet më tej te çështjet e klimës në të gjitha planet dhe projektet e lidhura me ujin. Strategjia e re Kombëtare për Menaxhimin e Integruar të Burimeve Ujore do të japë orientimet adekuate në këtë drejtim.</w:t>
      </w:r>
    </w:p>
    <w:p w14:paraId="6EDCFFBF" w14:textId="77777777" w:rsidR="002C406F" w:rsidRPr="007114AF" w:rsidRDefault="002C406F" w:rsidP="002C406F">
      <w:pPr>
        <w:pStyle w:val="TEKSTI"/>
        <w:rPr>
          <w:b/>
        </w:rPr>
      </w:pPr>
      <w:r w:rsidRPr="007114AF">
        <w:rPr>
          <w:b/>
        </w:rPr>
        <w:t>Bujqësia</w:t>
      </w:r>
    </w:p>
    <w:p w14:paraId="6EDCFFC0" w14:textId="7A2FBF78" w:rsidR="002C406F" w:rsidRPr="007114AF" w:rsidRDefault="002C406F" w:rsidP="002C406F">
      <w:pPr>
        <w:pStyle w:val="TEKSTI"/>
      </w:pPr>
      <w:r w:rsidRPr="007114AF">
        <w:t>Një faktor kyç në përmirësimin e kapaciteteve për përshtatje të Shqipërisë në bujqësi, është procesi i aderimit në BE. Tashmë Shqipëria i ka zhvilluar ligjet për rregullimin e tokës bujqësore, mbrojtjen e tokës dhe mjedisin, në përputhje me standardet dhe kërkesat evropiane. Krahas këtyre reformave, BE-ja nxit veprimin drejt gatishmërisë dhe përshtatjes për ndryshimet</w:t>
      </w:r>
      <w:r w:rsidR="0028717C">
        <w:t xml:space="preserve"> </w:t>
      </w:r>
      <w:r w:rsidRPr="007114AF">
        <w:t>e klimës. Për t</w:t>
      </w:r>
      <w:r w:rsidR="00D10DAB" w:rsidRPr="007114AF">
        <w:t>’</w:t>
      </w:r>
      <w:r w:rsidRPr="007114AF">
        <w:t>iu përshtatur efekteve dhe mundësive që rrjedhin nga ndryshime klimatike, ekziston nevoja për t</w:t>
      </w:r>
      <w:r w:rsidR="00D10DAB" w:rsidRPr="007114AF">
        <w:t>’</w:t>
      </w:r>
      <w:r w:rsidRPr="007114AF">
        <w:t>u fokusuar te rritja e mundësive të bujqve për aksesin në teknologji dhe informacion, si dhe për të përmirësuar shpërndarjen e informacioneve hidrometeorologjike te bujqit. Kjo mund të jetë një sfidë e veçantë</w:t>
      </w:r>
      <w:r w:rsidR="000A2A01" w:rsidRPr="007114AF">
        <w:t xml:space="preserve"> </w:t>
      </w:r>
      <w:r w:rsidRPr="007114AF">
        <w:t>për bujqit e vegjël në Shqipëri, të cilët kanë akses të limituar në</w:t>
      </w:r>
      <w:r w:rsidR="000A2A01" w:rsidRPr="007114AF">
        <w:t xml:space="preserve"> </w:t>
      </w:r>
      <w:r w:rsidRPr="007114AF">
        <w:t xml:space="preserve">burimet financiare. </w:t>
      </w:r>
    </w:p>
    <w:p w14:paraId="6EDCFFC1" w14:textId="77777777" w:rsidR="002C406F" w:rsidRPr="007114AF" w:rsidRDefault="002C406F" w:rsidP="002C406F">
      <w:pPr>
        <w:pStyle w:val="TEKSTI"/>
        <w:rPr>
          <w:b/>
        </w:rPr>
      </w:pPr>
      <w:r w:rsidRPr="007114AF">
        <w:rPr>
          <w:b/>
        </w:rPr>
        <w:t>Energjetika</w:t>
      </w:r>
    </w:p>
    <w:p w14:paraId="6EDCFFC2" w14:textId="77777777" w:rsidR="002C406F" w:rsidRPr="007114AF" w:rsidRDefault="002C406F" w:rsidP="002C406F">
      <w:pPr>
        <w:pStyle w:val="TEKSTI"/>
      </w:pPr>
      <w:r w:rsidRPr="007114AF">
        <w:t>Strategjia Kombëtare e Rishikuar për Energjinë (miratimi i së cilës pritet në vitin 2017) parashikon mundësi për të integruar më fort përshtatjen ndaj ndryshimeve klimatike në politikën energjetike, e cila ka një vulnerabilitet të lartë ndaj ndryshimeve klimatike, krahas rëndësisë së madhe që politika energjetike ka për zbutjen e pasojave të ndryshimeve klimatike.</w:t>
      </w:r>
    </w:p>
    <w:p w14:paraId="6EDCFFC3" w14:textId="77777777" w:rsidR="002C406F" w:rsidRPr="007114AF" w:rsidRDefault="002C406F" w:rsidP="002C406F">
      <w:pPr>
        <w:pStyle w:val="TEKSTI"/>
        <w:rPr>
          <w:b/>
        </w:rPr>
      </w:pPr>
      <w:r w:rsidRPr="007114AF">
        <w:rPr>
          <w:b/>
        </w:rPr>
        <w:t>Larmia biologjike</w:t>
      </w:r>
    </w:p>
    <w:p w14:paraId="6EDCFFC4" w14:textId="7F07072B" w:rsidR="002C406F" w:rsidRPr="007114AF" w:rsidRDefault="002C406F" w:rsidP="00CF2A42">
      <w:pPr>
        <w:pStyle w:val="TEKSTI"/>
      </w:pPr>
      <w:r w:rsidRPr="007114AF">
        <w:t>Shqipëria ka marrë fonde ndërkombëtare për biodiversitetin, të cilat kanë sjellë përfitime g</w:t>
      </w:r>
      <w:r w:rsidR="0028717C">
        <w:t>j</w:t>
      </w:r>
      <w:r w:rsidRPr="007114AF">
        <w:t>ithashtu për përshtatjen ndaj ndryshimeve klimatike. Shembujt përfshijnë:</w:t>
      </w:r>
    </w:p>
    <w:p w14:paraId="6EDCFFC5" w14:textId="659315B9" w:rsidR="002C406F" w:rsidRPr="007114AF" w:rsidRDefault="00CF2A42" w:rsidP="002C406F">
      <w:pPr>
        <w:pStyle w:val="TEKSTI"/>
      </w:pPr>
      <w:r w:rsidRPr="007114AF">
        <w:t xml:space="preserve">- </w:t>
      </w:r>
      <w:r w:rsidR="002C406F" w:rsidRPr="007114AF">
        <w:t>Projekti i Shërbimeve Mjedisore (2014</w:t>
      </w:r>
      <w:r w:rsidR="00847405">
        <w:t>–</w:t>
      </w:r>
      <w:r w:rsidR="002C406F" w:rsidRPr="007114AF">
        <w:t>2019)</w:t>
      </w:r>
      <w:bookmarkStart w:id="151" w:name="_Ref453849840"/>
      <w:r w:rsidR="002C406F" w:rsidRPr="007114AF">
        <w:rPr>
          <w:vertAlign w:val="superscript"/>
        </w:rPr>
        <w:footnoteReference w:id="55"/>
      </w:r>
      <w:bookmarkEnd w:id="151"/>
      <w:r w:rsidR="002C406F" w:rsidRPr="007114AF">
        <w:t>, i cili synon ngritjen e skemave të Pagesave për Shërbimet Mjedisore (PSHM), për të ndaluar degradimin e mëtejshëm të tokave dhe pyjeve dhe për të siguruar një përdorim racional të burimeve natyrore në vend.</w:t>
      </w:r>
    </w:p>
    <w:p w14:paraId="6EDCFFC6" w14:textId="6E85906B" w:rsidR="002C406F" w:rsidRPr="007114AF" w:rsidRDefault="00CF2A42" w:rsidP="002C406F">
      <w:pPr>
        <w:pStyle w:val="TEKSTI"/>
      </w:pPr>
      <w:r w:rsidRPr="007114AF">
        <w:t xml:space="preserve">- </w:t>
      </w:r>
      <w:r w:rsidR="002C406F" w:rsidRPr="007114AF">
        <w:t xml:space="preserve">Masat e përshtatjes të propozuara dhe rekomanduara në kuadër të projektit </w:t>
      </w:r>
      <w:r w:rsidR="000A2A01" w:rsidRPr="007114AF">
        <w:t>“</w:t>
      </w:r>
      <w:r w:rsidR="002C406F" w:rsidRPr="007114AF">
        <w:t>Identifikimi dhe zbatimi i masave të kundërpërgjigjes përshtatëse në grykëderdhjet e Drinit dhe Matit</w:t>
      </w:r>
      <w:r w:rsidR="000A2A01" w:rsidRPr="007114AF">
        <w:t>”</w:t>
      </w:r>
      <w:r w:rsidR="002C406F" w:rsidRPr="007114AF">
        <w:t>, të cilat janë marrë në konsideratë dhe janë shtrirë më tej në të gjithë bregdetin shqiptar.</w:t>
      </w:r>
    </w:p>
    <w:p w14:paraId="6EDCFFC7" w14:textId="7EAB2DE2" w:rsidR="002C406F" w:rsidRPr="007114AF" w:rsidRDefault="00CF2A42" w:rsidP="002C406F">
      <w:pPr>
        <w:pStyle w:val="TEKSTI"/>
      </w:pPr>
      <w:r w:rsidRPr="007114AF">
        <w:t xml:space="preserve">- </w:t>
      </w:r>
      <w:r w:rsidR="002C406F" w:rsidRPr="007114AF">
        <w:t xml:space="preserve">Projekti </w:t>
      </w:r>
      <w:r w:rsidR="000A2A01" w:rsidRPr="007114AF">
        <w:t>“</w:t>
      </w:r>
      <w:r w:rsidR="002C406F" w:rsidRPr="007114AF">
        <w:t>Mbrojtja e larmisë biologjike detare dhe bregdetare të Shqipërisë</w:t>
      </w:r>
      <w:r w:rsidR="000A2A01" w:rsidRPr="007114AF">
        <w:t>”</w:t>
      </w:r>
      <w:bookmarkStart w:id="152" w:name="_Ref453853198"/>
      <w:r w:rsidR="002C406F" w:rsidRPr="007114AF">
        <w:rPr>
          <w:vertAlign w:val="superscript"/>
        </w:rPr>
        <w:footnoteReference w:id="56"/>
      </w:r>
      <w:bookmarkEnd w:id="152"/>
      <w:r w:rsidR="002C406F" w:rsidRPr="007114AF">
        <w:t>, i cili mbështet planet e qeverisë për të dyfishuar numrin e zonave të mbrojtura detare dhe për të përmirësuar menaxhimin e përgjithshëm të tyre.</w:t>
      </w:r>
    </w:p>
    <w:p w14:paraId="6EDCFFC8" w14:textId="139FCD36" w:rsidR="002C406F" w:rsidRPr="007114AF" w:rsidRDefault="00CF2A42" w:rsidP="002C406F">
      <w:pPr>
        <w:pStyle w:val="TEKSTI"/>
      </w:pPr>
      <w:r w:rsidRPr="007114AF">
        <w:t xml:space="preserve">- </w:t>
      </w:r>
      <w:r w:rsidR="002C406F" w:rsidRPr="007114AF">
        <w:t>Ngritja e kapaciteteve në nivel vendor, për nevojën e rritjes së aftësisë rimëkëmbëse</w:t>
      </w:r>
      <w:r w:rsidR="0028717C">
        <w:t xml:space="preserve"> </w:t>
      </w:r>
      <w:r w:rsidR="002C406F" w:rsidRPr="007114AF">
        <w:t>të ekosistemeve dhe mënyrës së jetesës nga rreziku i përmbytjes dhe thatësirës, nëpërmjet aktiviteteve demonstruese pilot të përshtatjes me bazë ekosistemin në sistemin e lagunës së Kune</w:t>
      </w:r>
      <w:r w:rsidR="0028717C">
        <w:t>–</w:t>
      </w:r>
      <w:r w:rsidR="002C406F" w:rsidRPr="007114AF">
        <w:t>Vainit, financuar nga SCCF-ja.</w:t>
      </w:r>
    </w:p>
    <w:p w14:paraId="6EDCFFC9" w14:textId="77777777" w:rsidR="002C406F" w:rsidRPr="007114AF" w:rsidRDefault="002C406F" w:rsidP="002C406F">
      <w:pPr>
        <w:pStyle w:val="TEKSTI"/>
        <w:rPr>
          <w:b/>
        </w:rPr>
      </w:pPr>
      <w:r w:rsidRPr="007114AF">
        <w:rPr>
          <w:b/>
        </w:rPr>
        <w:t>Turizmi</w:t>
      </w:r>
    </w:p>
    <w:p w14:paraId="6EDCFFCA" w14:textId="4BAAFCAC" w:rsidR="002C406F" w:rsidRPr="007114AF" w:rsidRDefault="002C406F" w:rsidP="002C406F">
      <w:pPr>
        <w:pStyle w:val="TEKSTI"/>
      </w:pPr>
      <w:r w:rsidRPr="007114AF">
        <w:t>Deri tani, planifikimi ekzistues për turizmin nuk e ka të integruar mjaftueshëm përshtatjen ndaj ndryshimeve klimatike. Për shembull, ndërtimi i infrastrukturës turistike është bërë pa marrë në konsideratë dëmet</w:t>
      </w:r>
      <w:r w:rsidR="0028717C">
        <w:t xml:space="preserve"> </w:t>
      </w:r>
      <w:r w:rsidRPr="007114AF">
        <w:t>e mundshme nga dukuritë ekstreme të motit (përmbytjet, stuhitë, erozioni detar dhe thatësira). Qasjet e para për t</w:t>
      </w:r>
      <w:r w:rsidR="00D10DAB" w:rsidRPr="007114AF">
        <w:t>’</w:t>
      </w:r>
      <w:r w:rsidRPr="007114AF">
        <w:t>i ndryshuar në kah të kundërt këto praktika janë:</w:t>
      </w:r>
    </w:p>
    <w:p w14:paraId="6EDCFFCB" w14:textId="77777777" w:rsidR="002C406F" w:rsidRPr="007114AF" w:rsidRDefault="00CF2A42" w:rsidP="002C406F">
      <w:pPr>
        <w:pStyle w:val="TEKSTI"/>
      </w:pPr>
      <w:r w:rsidRPr="007114AF">
        <w:t xml:space="preserve">- </w:t>
      </w:r>
      <w:r w:rsidR="002C406F" w:rsidRPr="007114AF">
        <w:t>Integrimi i përshtatjes ndaj ndryshimeve klimatike në Planin Ndërsektorial të Bregdetit, i cili është përgatitur nga Agjencia Kombëtare e Planifikimit të Territorit. Plani Ndërsektorial i Bregdetit fokusohet fuqimisht te sektori turistik shqiptar dhe tek infrastruktura e këtij sektori.</w:t>
      </w:r>
    </w:p>
    <w:p w14:paraId="6EDCFFCC" w14:textId="5C9149E6" w:rsidR="002C406F" w:rsidRPr="007114AF" w:rsidRDefault="00CF2A42" w:rsidP="002C406F">
      <w:pPr>
        <w:pStyle w:val="TEKSTI"/>
      </w:pPr>
      <w:r w:rsidRPr="007114AF">
        <w:t xml:space="preserve">- </w:t>
      </w:r>
      <w:r w:rsidR="002C406F" w:rsidRPr="007114AF">
        <w:t>Një version paraprak i Strategjisë Kombëtare Ndërsektoriale për Turizmin, 2014</w:t>
      </w:r>
      <w:r w:rsidR="0028717C">
        <w:t>–</w:t>
      </w:r>
      <w:r w:rsidR="002C406F" w:rsidRPr="007114AF">
        <w:t>2020, me potencial për të përmirësuar edhe aftësinë rimëkëmbëse ndaj ndryshimeve klimatike.</w:t>
      </w:r>
    </w:p>
    <w:p w14:paraId="6EDCFFCD" w14:textId="77777777" w:rsidR="002C406F" w:rsidRPr="007114AF" w:rsidRDefault="002C406F" w:rsidP="002C406F">
      <w:pPr>
        <w:pStyle w:val="TEKSTI"/>
        <w:rPr>
          <w:b/>
        </w:rPr>
      </w:pPr>
      <w:r w:rsidRPr="007114AF">
        <w:rPr>
          <w:b/>
        </w:rPr>
        <w:t>Shëndetësia</w:t>
      </w:r>
    </w:p>
    <w:p w14:paraId="6EDCFFCE" w14:textId="435DFADF" w:rsidR="002C406F" w:rsidRPr="007114AF" w:rsidRDefault="002C406F" w:rsidP="002C406F">
      <w:pPr>
        <w:pStyle w:val="TEKSTI"/>
      </w:pPr>
      <w:r w:rsidRPr="007114AF">
        <w:t>Janë marrë një sërë hapash në Shqipëri për të siguruar një lidhje të fortë ndërmjet masave të përshtatjes të fokusuara te mbrojtja dhe ruajtja e mjedisit, si dhe</w:t>
      </w:r>
      <w:r w:rsidR="000A2A01" w:rsidRPr="007114AF">
        <w:t xml:space="preserve"> </w:t>
      </w:r>
      <w:r w:rsidRPr="007114AF">
        <w:t>ruajtja e mirëqenies së njerëzve.</w:t>
      </w:r>
    </w:p>
    <w:p w14:paraId="6EDCFFCF" w14:textId="4D75330C" w:rsidR="002C406F" w:rsidRPr="007114AF" w:rsidRDefault="00CF2A42" w:rsidP="002C406F">
      <w:pPr>
        <w:pStyle w:val="TEKSTI"/>
      </w:pPr>
      <w:r w:rsidRPr="007114AF">
        <w:t xml:space="preserve">- </w:t>
      </w:r>
      <w:r w:rsidR="002C406F" w:rsidRPr="007114AF">
        <w:t>Qeveria shqiptare është përfshirë në një sërë deklaratash ndërkombëtare, të fokusuara në ndryshimin e klimës dhe shëndetin. Ndër to përfshihet rezoluta që ka nxjerrë Asambleja e 61-të Botërore për Shëndetësinë, e cila i nxit shtetet anëtare të marrin masa me vendosmëri për t</w:t>
      </w:r>
      <w:r w:rsidR="00D10DAB" w:rsidRPr="007114AF">
        <w:t>’</w:t>
      </w:r>
      <w:r w:rsidR="002C406F" w:rsidRPr="007114AF">
        <w:t>u dhënë përgjigje efekteve në shëndetësi që vijnë nga ndryshimet klimatike, duke paralajmëruar kështu</w:t>
      </w:r>
      <w:r w:rsidR="000A2A01" w:rsidRPr="007114AF">
        <w:t xml:space="preserve"> </w:t>
      </w:r>
      <w:r w:rsidR="002C406F" w:rsidRPr="007114AF">
        <w:t>rreziqet</w:t>
      </w:r>
      <w:r w:rsidR="000A2A01" w:rsidRPr="007114AF">
        <w:t xml:space="preserve"> </w:t>
      </w:r>
      <w:r w:rsidR="002C406F" w:rsidRPr="007114AF">
        <w:t>e mundshme që i kanosen shëndetit të njeriut.</w:t>
      </w:r>
    </w:p>
    <w:p w14:paraId="6EDCFFD0" w14:textId="77777777" w:rsidR="002C406F" w:rsidRPr="007114AF" w:rsidRDefault="00CF2A42" w:rsidP="002C406F">
      <w:pPr>
        <w:pStyle w:val="TEKSTI"/>
      </w:pPr>
      <w:r w:rsidRPr="007114AF">
        <w:t xml:space="preserve">- </w:t>
      </w:r>
      <w:r w:rsidR="002C406F" w:rsidRPr="007114AF">
        <w:t xml:space="preserve">Ministria përgjegjëse e Shëndetësisë ka hartuar, si sektor i parë, një strategji të veçantë për shëndetësinë dhe përshtatjen ndaj ndryshimeve klimatike, ku parashikohen qasjet strategjike për integrimin e përshtatjes ndaj ndryshimeve klimatike në politikat e shëndetësisë. </w:t>
      </w:r>
    </w:p>
    <w:p w14:paraId="6EDCFFD1" w14:textId="77777777" w:rsidR="002C406F" w:rsidRPr="007114AF" w:rsidRDefault="002C406F" w:rsidP="002C406F">
      <w:pPr>
        <w:pStyle w:val="TEKSTI"/>
        <w:rPr>
          <w:b/>
        </w:rPr>
      </w:pPr>
      <w:r w:rsidRPr="007114AF">
        <w:rPr>
          <w:b/>
        </w:rPr>
        <w:t>Përgjigjja në situata të jashtëzakonshme/emergjente</w:t>
      </w:r>
    </w:p>
    <w:p w14:paraId="6EDCFFD2" w14:textId="0E069AF9" w:rsidR="002C406F" w:rsidRPr="007114AF" w:rsidRDefault="002C406F" w:rsidP="002C406F">
      <w:pPr>
        <w:pStyle w:val="TEKSTI"/>
      </w:pPr>
      <w:r w:rsidRPr="007114AF">
        <w:t>Plani Kombëtar për Emergjencat Civile përfshin dhe sqaron rolet dhe përgjegjësitë e të gjitha palëve publike dhe private të interesit. Kjo synon kanalizimin e lëvizjes së informacioneve përkatëse, fuqizimin e vendimmarrjes dhe, nëpërmjet bashkërendimit, përforcimin e kapaciteteve për t</w:t>
      </w:r>
      <w:r w:rsidR="00D10DAB" w:rsidRPr="007114AF">
        <w:t>’</w:t>
      </w:r>
      <w:r w:rsidRPr="007114AF">
        <w:t>iu përgjigjur të gjitha fazave të ciklit të katastrofave. Zhvillimi i kapaciteteve të tilla ka rëndësi edhe për fatkeqësitë e shkaktuara nga ndryshimet klimatike. Veprimi prioritare</w:t>
      </w:r>
      <w:r w:rsidR="00242009" w:rsidRPr="007114AF">
        <w:t xml:space="preserve"> nr. </w:t>
      </w:r>
      <w:r w:rsidRPr="007114AF">
        <w:t>12 (kapitulli 6.2) përcakton masat/veprimet për rritjen e aftësisë ripërtëritëse ndaj përmbytjeve, si një ndërkatastrofat më e rëndësishme lidhur me ndryshimet klimatike,</w:t>
      </w:r>
      <w:r w:rsidR="000E345C">
        <w:t xml:space="preserve"> </w:t>
      </w:r>
      <w:r w:rsidRPr="007114AF">
        <w:t>nëpërmjet sistemeve të lajmërimit të hershëm dhe mekanizmave të tjerë të parandalimit të fatkeqësive në Shqipëri.</w:t>
      </w:r>
    </w:p>
    <w:p w14:paraId="6EDCFFD3" w14:textId="77777777" w:rsidR="002C406F" w:rsidRPr="007114AF" w:rsidRDefault="00CF2A42" w:rsidP="009C45FD">
      <w:pPr>
        <w:pStyle w:val="TEKSTI"/>
        <w:rPr>
          <w:b/>
        </w:rPr>
      </w:pPr>
      <w:bookmarkStart w:id="153" w:name="_Toc484424509"/>
      <w:bookmarkStart w:id="154" w:name="_Toc483570111"/>
      <w:r w:rsidRPr="007114AF">
        <w:rPr>
          <w:b/>
        </w:rPr>
        <w:t xml:space="preserve">4.3.4 </w:t>
      </w:r>
      <w:r w:rsidR="002C406F" w:rsidRPr="007114AF">
        <w:rPr>
          <w:b/>
        </w:rPr>
        <w:t>Proceset e integrimit në të ardhmen</w:t>
      </w:r>
      <w:bookmarkEnd w:id="153"/>
      <w:bookmarkEnd w:id="154"/>
    </w:p>
    <w:p w14:paraId="6EDCFFD4" w14:textId="6ED98D8A" w:rsidR="002C406F" w:rsidRPr="007114AF" w:rsidRDefault="002C406F" w:rsidP="009C45FD">
      <w:pPr>
        <w:pStyle w:val="TEKSTI"/>
      </w:pPr>
      <w:r w:rsidRPr="007114AF">
        <w:t>Nevojitet një fuqizim i mëtejshëm sistematik, i cili kërkon një strategji integrimi gjithëpërfshirëse. Hollësitë për një strategji të tillë jepen në veprimin prioritar</w:t>
      </w:r>
      <w:r w:rsidR="00242009" w:rsidRPr="007114AF">
        <w:t xml:space="preserve"> nr. </w:t>
      </w:r>
      <w:r w:rsidRPr="007114AF">
        <w:t>2. Në aktivitetet përkatëse të kësaj strategjie përfshihen:</w:t>
      </w:r>
    </w:p>
    <w:p w14:paraId="6EDCFFD5" w14:textId="77777777" w:rsidR="002C406F" w:rsidRPr="007114AF" w:rsidRDefault="002C406F" w:rsidP="002C406F">
      <w:pPr>
        <w:pStyle w:val="TEKSTI"/>
      </w:pPr>
      <w:r w:rsidRPr="007114AF">
        <w:t>Integrimi duhet kuptuar si një proces i vazhdueshëm i cili kërkon bashkërendim dhe bashkëpunim të palëve të ndryshme sektoriale të interesit. GNMP-ja për Ndryshimet Klimatike do të vijojë të punojë nën drejtimin e Ministrisë së Turizmit dhe Mjedisit, duke përfshirë nismat integruese si një prej detyrave kryesore. Nevojat dhe rezultatet e integrimit do të pasqyrohen rregullisht gjatë mbledhjeve të GNMP-ës.</w:t>
      </w:r>
    </w:p>
    <w:p w14:paraId="6EDCFFD6" w14:textId="77777777" w:rsidR="002C406F" w:rsidRPr="007114AF" w:rsidRDefault="002C406F" w:rsidP="002C406F">
      <w:pPr>
        <w:pStyle w:val="TEKSTI"/>
      </w:pPr>
      <w:r w:rsidRPr="007114AF">
        <w:t>Integrimi i përshtatjes ndaj ndryshimeve klimatike mund të mbështetet dhe të vihet në eficiencë, nëpërmjet një pakete instrumentesh të ndryshme, si: thjerra klimatike, mbrojtja klimatike, vlerësimi mjedisor strategjike me ndjeshmëri klimatike dhe treguesit e shpenzimeve klimatike. Kjo paketë instrumentesh do të shtjellohet dhe përcaktohet për situatën shqiptare, nëpërmjet kontributit të një eksperti në vitin 2016.</w:t>
      </w:r>
    </w:p>
    <w:p w14:paraId="6EDCFFD7" w14:textId="77777777" w:rsidR="002C406F" w:rsidRPr="007114AF" w:rsidRDefault="002C406F" w:rsidP="002C406F">
      <w:pPr>
        <w:pStyle w:val="TEKSTI"/>
      </w:pPr>
      <w:r w:rsidRPr="007114AF">
        <w:t>GNMP-ja do të vendosë të ketë një projekt pilot mbi integrimin në vit, që do të kryhet nga një ministri sektoriale përkatëse dhe do të mbështetet nga Ministria e Turizmit dhe Mjedisit si dhe me kontribut të ekspertëve.</w:t>
      </w:r>
    </w:p>
    <w:p w14:paraId="6EDCFFD8" w14:textId="77777777" w:rsidR="002C406F" w:rsidRPr="007114AF" w:rsidRDefault="002C406F" w:rsidP="002C406F">
      <w:pPr>
        <w:pStyle w:val="TEKSTI"/>
      </w:pPr>
      <w:r w:rsidRPr="007114AF">
        <w:t>Zyra e Kryeministrisë do ta përdorë kuadrin zbatues të SKZHI-së për të bërë pasqyrime të rregullta të asaj që është arritur, si dhe për të kuptuar se deri ku janë ndjekur rekomandimet e bëra sipas thjerrës klimatike.</w:t>
      </w:r>
    </w:p>
    <w:p w14:paraId="6EDCFFD9" w14:textId="2E73F9FB" w:rsidR="002C406F" w:rsidRPr="007114AF" w:rsidRDefault="002C406F" w:rsidP="002C406F">
      <w:pPr>
        <w:pStyle w:val="TEKSTI"/>
      </w:pPr>
      <w:r w:rsidRPr="007114AF">
        <w:t>Edhe procesi i anëtarësimit në BE do të përdoret për integrimin e ndryshimeve klimatike nëpërmjet asistencës financiare në kuadër të IPA-s.</w:t>
      </w:r>
      <w:r w:rsidR="000E345C">
        <w:t xml:space="preserve"> </w:t>
      </w:r>
      <w:r w:rsidRPr="007114AF">
        <w:t>Në këtë kontekst, në 2016, zbatimi i dokumentit të NAP-it si dhe zbatimi i Veprimeve Prioritare të këtij dokumenti u përfshinë në rishikimin e Dokumentit Strategjik Kombëtar EU IPA II. Ministria e Turizmit dhe Mjedisit do të sigurojë përputhjen e NAP-it me strategjinë e BE-së për klimën.</w:t>
      </w:r>
    </w:p>
    <w:p w14:paraId="6EDCFFDA" w14:textId="77777777" w:rsidR="002C406F" w:rsidRPr="007114AF" w:rsidRDefault="002C406F" w:rsidP="002C406F">
      <w:pPr>
        <w:pStyle w:val="TEKSTI"/>
      </w:pPr>
      <w:r w:rsidRPr="007114AF">
        <w:t>Asistenca e BE-së do të duhet për të bërë ndjekjen në mënyrë sistematike të shpenzimeve brenda kuadrit të IPA-s në kuadër të aspekteve të klimës. Raportimi për asistencën e BE-së do të përfshijë përfundimet në lidhje me shkallën e integrimit të çështjeve klimatike.</w:t>
      </w:r>
    </w:p>
    <w:p w14:paraId="6EDCFFDB" w14:textId="77777777" w:rsidR="002C406F" w:rsidRPr="007114AF" w:rsidRDefault="00CF2A42" w:rsidP="009C45FD">
      <w:pPr>
        <w:pStyle w:val="TEKSTI"/>
      </w:pPr>
      <w:bookmarkStart w:id="155" w:name="_Toc470186708"/>
      <w:bookmarkStart w:id="156" w:name="_Toc484424510"/>
      <w:bookmarkStart w:id="157" w:name="_Toc483570112"/>
      <w:r w:rsidRPr="007114AF">
        <w:t xml:space="preserve">4.3.5 </w:t>
      </w:r>
      <w:r w:rsidR="002C406F" w:rsidRPr="007114AF">
        <w:t>Projektet pilot, konkrete për integrimin</w:t>
      </w:r>
      <w:bookmarkEnd w:id="155"/>
      <w:bookmarkEnd w:id="156"/>
    </w:p>
    <w:bookmarkEnd w:id="157"/>
    <w:p w14:paraId="6EDCFFDC" w14:textId="77777777" w:rsidR="002C406F" w:rsidRPr="007114AF" w:rsidRDefault="002C406F" w:rsidP="002C406F">
      <w:pPr>
        <w:pStyle w:val="TEKSTI"/>
      </w:pPr>
      <w:r w:rsidRPr="007114AF">
        <w:t>Table16 jep shembuj të kohëve të fundit të planeve dhe strategjive, ku është integruar ose po integrohet përshtatja ndaj ndryshimeve klimatike. Aktivitetet integruese, sikurse tregohet, është mirë të kuptohen si projekte pilot, të cilët dëshmojnë potencialin dhe strategjitë për integrimin. Strategjia integruese gjithëpërfshirëse, sikurse shpjegohet më lart, lipset të mbështetet në mësimet e nxjerra nga këto projekte pilot.</w:t>
      </w:r>
    </w:p>
    <w:p w14:paraId="6EDCFFDD" w14:textId="77777777" w:rsidR="002C406F" w:rsidRPr="007114AF" w:rsidRDefault="002C406F" w:rsidP="002C406F">
      <w:pPr>
        <w:pStyle w:val="TEKSTI"/>
      </w:pPr>
      <w:r w:rsidRPr="007114AF">
        <w:t>Duke qenë se aktivitetet integruese pak a shumë kanë përfunduar për hartimin e planeve dhe të strategjive, sfida në të ardhmen do të jetë marrja në konsideratë gjatë procesit të zbatimit. Shembulli i SKZHI-së në rubrikën më lart tregon se si mund të bëhet kjo marrje në konsideratë.</w:t>
      </w:r>
    </w:p>
    <w:p w14:paraId="6EDCFFDE" w14:textId="77777777" w:rsidR="008A4207" w:rsidRPr="007114AF" w:rsidRDefault="008A4207" w:rsidP="00524E98">
      <w:pPr>
        <w:pStyle w:val="TEKSTI"/>
      </w:pPr>
    </w:p>
    <w:tbl>
      <w:tblPr>
        <w:tblW w:w="9808" w:type="dxa"/>
        <w:tblCellMar>
          <w:left w:w="0" w:type="dxa"/>
          <w:right w:w="0" w:type="dxa"/>
        </w:tblCellMar>
        <w:tblLook w:val="0420" w:firstRow="1" w:lastRow="0" w:firstColumn="0" w:lastColumn="0" w:noHBand="0" w:noVBand="1"/>
      </w:tblPr>
      <w:tblGrid>
        <w:gridCol w:w="1820"/>
        <w:gridCol w:w="2045"/>
        <w:gridCol w:w="2998"/>
        <w:gridCol w:w="2945"/>
      </w:tblGrid>
      <w:tr w:rsidR="00861DB2" w:rsidRPr="007114AF" w14:paraId="6EDCFFE3" w14:textId="77777777" w:rsidTr="001C467C">
        <w:trPr>
          <w:trHeight w:val="584"/>
        </w:trPr>
        <w:tc>
          <w:tcPr>
            <w:tcW w:w="1820" w:type="dxa"/>
            <w:tcBorders>
              <w:top w:val="single" w:sz="8" w:space="0" w:color="FFFFFF"/>
              <w:left w:val="single" w:sz="8" w:space="0" w:color="FFFFFF"/>
              <w:bottom w:val="single" w:sz="24" w:space="0" w:color="FFFFFF"/>
              <w:right w:val="single" w:sz="8" w:space="0" w:color="FFFFFF"/>
            </w:tcBorders>
            <w:shd w:val="clear" w:color="auto" w:fill="8DB3E2"/>
            <w:tcMar>
              <w:top w:w="72" w:type="dxa"/>
              <w:left w:w="144" w:type="dxa"/>
              <w:bottom w:w="72" w:type="dxa"/>
              <w:right w:w="144" w:type="dxa"/>
            </w:tcMar>
            <w:hideMark/>
          </w:tcPr>
          <w:p w14:paraId="6EDCFFDF"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b/>
                <w:bCs/>
                <w:sz w:val="18"/>
                <w:szCs w:val="18"/>
                <w:lang w:eastAsia="en-US"/>
              </w:rPr>
              <w:t>Plan me rëndësi për integrimin</w:t>
            </w:r>
          </w:p>
        </w:tc>
        <w:tc>
          <w:tcPr>
            <w:tcW w:w="2045" w:type="dxa"/>
            <w:tcBorders>
              <w:top w:val="single" w:sz="8" w:space="0" w:color="FFFFFF"/>
              <w:left w:val="single" w:sz="8" w:space="0" w:color="FFFFFF"/>
              <w:bottom w:val="single" w:sz="24" w:space="0" w:color="FFFFFF"/>
              <w:right w:val="single" w:sz="8" w:space="0" w:color="FFFFFF"/>
            </w:tcBorders>
            <w:shd w:val="clear" w:color="auto" w:fill="8DB3E2"/>
            <w:tcMar>
              <w:top w:w="72" w:type="dxa"/>
              <w:left w:w="144" w:type="dxa"/>
              <w:bottom w:w="72" w:type="dxa"/>
              <w:right w:w="144" w:type="dxa"/>
            </w:tcMar>
            <w:hideMark/>
          </w:tcPr>
          <w:p w14:paraId="6EDCFFE0"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b/>
                <w:bCs/>
                <w:sz w:val="18"/>
                <w:szCs w:val="18"/>
                <w:lang w:eastAsia="en-US"/>
              </w:rPr>
              <w:t>Periudha e planifikimit ose shqyrtimit</w:t>
            </w:r>
          </w:p>
        </w:tc>
        <w:tc>
          <w:tcPr>
            <w:tcW w:w="2998" w:type="dxa"/>
            <w:tcBorders>
              <w:top w:val="single" w:sz="8" w:space="0" w:color="FFFFFF"/>
              <w:left w:val="single" w:sz="8" w:space="0" w:color="FFFFFF"/>
              <w:bottom w:val="single" w:sz="24" w:space="0" w:color="FFFFFF"/>
              <w:right w:val="single" w:sz="8" w:space="0" w:color="FFFFFF"/>
            </w:tcBorders>
            <w:shd w:val="clear" w:color="auto" w:fill="8DB3E2"/>
            <w:tcMar>
              <w:top w:w="72" w:type="dxa"/>
              <w:left w:w="144" w:type="dxa"/>
              <w:bottom w:w="72" w:type="dxa"/>
              <w:right w:w="144" w:type="dxa"/>
            </w:tcMar>
            <w:hideMark/>
          </w:tcPr>
          <w:p w14:paraId="6EDCFFE1"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b/>
                <w:bCs/>
                <w:sz w:val="18"/>
                <w:szCs w:val="18"/>
                <w:lang w:eastAsia="en-US"/>
              </w:rPr>
              <w:t>Drejtimi strategjik i integrimit</w:t>
            </w:r>
          </w:p>
        </w:tc>
        <w:tc>
          <w:tcPr>
            <w:tcW w:w="2945" w:type="dxa"/>
            <w:tcBorders>
              <w:top w:val="single" w:sz="8" w:space="0" w:color="FFFFFF"/>
              <w:left w:val="single" w:sz="8" w:space="0" w:color="FFFFFF"/>
              <w:bottom w:val="single" w:sz="24" w:space="0" w:color="FFFFFF"/>
              <w:right w:val="single" w:sz="8" w:space="0" w:color="FFFFFF"/>
            </w:tcBorders>
            <w:shd w:val="clear" w:color="auto" w:fill="8DB3E2"/>
            <w:tcMar>
              <w:top w:w="72" w:type="dxa"/>
              <w:left w:w="144" w:type="dxa"/>
              <w:bottom w:w="72" w:type="dxa"/>
              <w:right w:w="144" w:type="dxa"/>
            </w:tcMar>
            <w:hideMark/>
          </w:tcPr>
          <w:p w14:paraId="6EDCFFE2"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b/>
                <w:bCs/>
                <w:sz w:val="18"/>
                <w:szCs w:val="18"/>
                <w:lang w:eastAsia="en-US"/>
              </w:rPr>
              <w:t>Instrumenti integrues</w:t>
            </w:r>
          </w:p>
        </w:tc>
      </w:tr>
      <w:tr w:rsidR="00861DB2" w:rsidRPr="007114AF" w14:paraId="6EDCFFE8" w14:textId="77777777" w:rsidTr="001C467C">
        <w:trPr>
          <w:trHeight w:val="584"/>
        </w:trPr>
        <w:tc>
          <w:tcPr>
            <w:tcW w:w="1820" w:type="dxa"/>
            <w:tcBorders>
              <w:top w:val="single" w:sz="24"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E4"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SKZHI</w:t>
            </w:r>
          </w:p>
        </w:tc>
        <w:tc>
          <w:tcPr>
            <w:tcW w:w="2045" w:type="dxa"/>
            <w:tcBorders>
              <w:top w:val="single" w:sz="24"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E5"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Qershor 2015</w:t>
            </w:r>
          </w:p>
        </w:tc>
        <w:tc>
          <w:tcPr>
            <w:tcW w:w="2998" w:type="dxa"/>
            <w:tcBorders>
              <w:top w:val="single" w:sz="24"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E6"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Ofron kuadrin për pasqyrimin e përshtatjes ndaj ndryshimeve klimatike në përgatitjen dhe zbatimin e politikave sektoriale në të ardhmen.</w:t>
            </w:r>
          </w:p>
        </w:tc>
        <w:tc>
          <w:tcPr>
            <w:tcW w:w="2945" w:type="dxa"/>
            <w:tcBorders>
              <w:top w:val="single" w:sz="24"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E7"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Thjerra klimatike</w:t>
            </w:r>
          </w:p>
        </w:tc>
      </w:tr>
      <w:tr w:rsidR="00861DB2" w:rsidRPr="007114AF" w14:paraId="6EDCFFEE" w14:textId="77777777" w:rsidTr="001C467C">
        <w:trPr>
          <w:trHeight w:val="584"/>
        </w:trPr>
        <w:tc>
          <w:tcPr>
            <w:tcW w:w="1820" w:type="dxa"/>
            <w:tcBorders>
              <w:top w:val="single" w:sz="8" w:space="0" w:color="FFFFFF"/>
              <w:left w:val="single" w:sz="8" w:space="0" w:color="FFFFFF"/>
              <w:bottom w:val="single" w:sz="8" w:space="0" w:color="FFFFFF"/>
              <w:right w:val="single" w:sz="8" w:space="0" w:color="FFFFFF"/>
            </w:tcBorders>
            <w:shd w:val="clear" w:color="auto" w:fill="E8EAF2"/>
            <w:tcMar>
              <w:top w:w="72" w:type="dxa"/>
              <w:left w:w="144" w:type="dxa"/>
              <w:bottom w:w="72" w:type="dxa"/>
              <w:right w:w="144" w:type="dxa"/>
            </w:tcMar>
            <w:hideMark/>
          </w:tcPr>
          <w:p w14:paraId="6EDCFFE9"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Plani Kombëtar i Territorit / Plani Ndërsektorial i Integruar për Bregdetin</w:t>
            </w:r>
          </w:p>
        </w:tc>
        <w:tc>
          <w:tcPr>
            <w:tcW w:w="2045" w:type="dxa"/>
            <w:tcBorders>
              <w:top w:val="single" w:sz="8" w:space="0" w:color="FFFFFF"/>
              <w:left w:val="single" w:sz="8" w:space="0" w:color="FFFFFF"/>
              <w:bottom w:val="single" w:sz="8" w:space="0" w:color="FFFFFF"/>
              <w:right w:val="single" w:sz="8" w:space="0" w:color="FFFFFF"/>
            </w:tcBorders>
            <w:shd w:val="clear" w:color="auto" w:fill="E8EAF2"/>
            <w:tcMar>
              <w:top w:w="72" w:type="dxa"/>
              <w:left w:w="144" w:type="dxa"/>
              <w:bottom w:w="72" w:type="dxa"/>
              <w:right w:w="144" w:type="dxa"/>
            </w:tcMar>
            <w:hideMark/>
          </w:tcPr>
          <w:p w14:paraId="6EDCFFEA"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Mars 2016</w:t>
            </w:r>
          </w:p>
        </w:tc>
        <w:tc>
          <w:tcPr>
            <w:tcW w:w="2998" w:type="dxa"/>
            <w:tcBorders>
              <w:top w:val="single" w:sz="8" w:space="0" w:color="FFFFFF"/>
              <w:left w:val="single" w:sz="8" w:space="0" w:color="FFFFFF"/>
              <w:bottom w:val="single" w:sz="8" w:space="0" w:color="FFFFFF"/>
              <w:right w:val="single" w:sz="8" w:space="0" w:color="FFFFFF"/>
            </w:tcBorders>
            <w:shd w:val="clear" w:color="auto" w:fill="E8EAF2"/>
            <w:tcMar>
              <w:top w:w="72" w:type="dxa"/>
              <w:left w:w="144" w:type="dxa"/>
              <w:bottom w:w="72" w:type="dxa"/>
              <w:right w:w="144" w:type="dxa"/>
            </w:tcMar>
            <w:hideMark/>
          </w:tcPr>
          <w:p w14:paraId="6EDCFFEB" w14:textId="3249DC83"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Ulja e vulnerabilitetit</w:t>
            </w:r>
            <w:r w:rsidR="000E345C">
              <w:rPr>
                <w:rFonts w:ascii="Garamond" w:eastAsia="MS Mincho" w:hAnsi="Garamond" w:cs="Arial"/>
                <w:sz w:val="18"/>
                <w:szCs w:val="18"/>
                <w:lang w:eastAsia="en-US"/>
              </w:rPr>
              <w:t xml:space="preserve"> </w:t>
            </w:r>
            <w:r w:rsidRPr="007114AF">
              <w:rPr>
                <w:rFonts w:ascii="Garamond" w:eastAsia="MS Mincho" w:hAnsi="Garamond" w:cs="Arial"/>
                <w:sz w:val="18"/>
                <w:szCs w:val="18"/>
                <w:lang w:eastAsia="en-US"/>
              </w:rPr>
              <w:t>nëpërmjet Planit.</w:t>
            </w:r>
          </w:p>
        </w:tc>
        <w:tc>
          <w:tcPr>
            <w:tcW w:w="2945" w:type="dxa"/>
            <w:tcBorders>
              <w:top w:val="single" w:sz="8" w:space="0" w:color="FFFFFF"/>
              <w:left w:val="single" w:sz="8" w:space="0" w:color="FFFFFF"/>
              <w:bottom w:val="single" w:sz="8" w:space="0" w:color="FFFFFF"/>
              <w:right w:val="single" w:sz="8" w:space="0" w:color="FFFFFF"/>
            </w:tcBorders>
            <w:shd w:val="clear" w:color="auto" w:fill="E8EAF2"/>
            <w:tcMar>
              <w:top w:w="72" w:type="dxa"/>
              <w:left w:w="144" w:type="dxa"/>
              <w:bottom w:w="72" w:type="dxa"/>
              <w:right w:w="144" w:type="dxa"/>
            </w:tcMar>
            <w:hideMark/>
          </w:tcPr>
          <w:p w14:paraId="6EDCFFEC"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Përfshirja e mbrojtjes klimatike në vlerësimin strategjik mjedisor, shfrytëzimi i ekspertizës nga Komunikimet Kombëtare të Shqipërisë për UNFCCC-ën.</w:t>
            </w:r>
          </w:p>
          <w:p w14:paraId="6EDCFFED"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Futja në dokument e një kapitulli të shkurtër për përshtatjen ndaj ndryshimeve klimatike.</w:t>
            </w:r>
          </w:p>
        </w:tc>
      </w:tr>
      <w:tr w:rsidR="00861DB2" w:rsidRPr="007114AF" w14:paraId="6EDCFFF3" w14:textId="77777777" w:rsidTr="001C467C">
        <w:trPr>
          <w:trHeight w:val="584"/>
        </w:trPr>
        <w:tc>
          <w:tcPr>
            <w:tcW w:w="1820" w:type="dxa"/>
            <w:tcBorders>
              <w:top w:val="single" w:sz="8"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EF"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Plani për Zhvillimin e Bregdetit</w:t>
            </w:r>
          </w:p>
        </w:tc>
        <w:tc>
          <w:tcPr>
            <w:tcW w:w="2045" w:type="dxa"/>
            <w:tcBorders>
              <w:top w:val="single" w:sz="8"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F0"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Fund i vitit 2016</w:t>
            </w:r>
          </w:p>
        </w:tc>
        <w:tc>
          <w:tcPr>
            <w:tcW w:w="2998" w:type="dxa"/>
            <w:tcBorders>
              <w:top w:val="single" w:sz="8"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F1"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Lidhja me mekanizmat e zbatimit të NAP-it.</w:t>
            </w:r>
          </w:p>
        </w:tc>
        <w:tc>
          <w:tcPr>
            <w:tcW w:w="2945" w:type="dxa"/>
            <w:tcBorders>
              <w:top w:val="single" w:sz="8"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F2"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Përfshirja në ekip e ekspertit të përshtatjes ndaj ndryshimeve klimatike, shfrytëzimi i ekspertizës nga projektet e GIZ-it dhe KTK-së.</w:t>
            </w:r>
          </w:p>
        </w:tc>
      </w:tr>
      <w:tr w:rsidR="00861DB2" w:rsidRPr="007114AF" w14:paraId="6EDCFFF8" w14:textId="77777777" w:rsidTr="001C467C">
        <w:trPr>
          <w:trHeight w:val="584"/>
        </w:trPr>
        <w:tc>
          <w:tcPr>
            <w:tcW w:w="1820" w:type="dxa"/>
            <w:tcBorders>
              <w:top w:val="single" w:sz="8" w:space="0" w:color="FFFFFF"/>
              <w:left w:val="single" w:sz="8" w:space="0" w:color="FFFFFF"/>
              <w:bottom w:val="single" w:sz="8" w:space="0" w:color="FFFFFF"/>
              <w:right w:val="single" w:sz="8" w:space="0" w:color="FFFFFF"/>
            </w:tcBorders>
            <w:shd w:val="clear" w:color="auto" w:fill="E8EAF2"/>
            <w:tcMar>
              <w:top w:w="72" w:type="dxa"/>
              <w:left w:w="144" w:type="dxa"/>
              <w:bottom w:w="72" w:type="dxa"/>
              <w:right w:w="144" w:type="dxa"/>
            </w:tcMar>
            <w:hideMark/>
          </w:tcPr>
          <w:p w14:paraId="6EDCFFF4"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 xml:space="preserve">Strategjia Kombëtare për Menaxhimin e Integruar të Burimeve Ujore </w:t>
            </w:r>
          </w:p>
        </w:tc>
        <w:tc>
          <w:tcPr>
            <w:tcW w:w="2045" w:type="dxa"/>
            <w:tcBorders>
              <w:top w:val="single" w:sz="8" w:space="0" w:color="FFFFFF"/>
              <w:left w:val="single" w:sz="8" w:space="0" w:color="FFFFFF"/>
              <w:bottom w:val="single" w:sz="8" w:space="0" w:color="FFFFFF"/>
              <w:right w:val="single" w:sz="8" w:space="0" w:color="FFFFFF"/>
            </w:tcBorders>
            <w:shd w:val="clear" w:color="auto" w:fill="E8EAF2"/>
            <w:tcMar>
              <w:top w:w="72" w:type="dxa"/>
              <w:left w:w="144" w:type="dxa"/>
              <w:bottom w:w="72" w:type="dxa"/>
              <w:right w:w="144" w:type="dxa"/>
            </w:tcMar>
            <w:hideMark/>
          </w:tcPr>
          <w:p w14:paraId="6EDCFFF5"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Prill 2016</w:t>
            </w:r>
          </w:p>
        </w:tc>
        <w:tc>
          <w:tcPr>
            <w:tcW w:w="2998" w:type="dxa"/>
            <w:tcBorders>
              <w:top w:val="single" w:sz="8" w:space="0" w:color="FFFFFF"/>
              <w:left w:val="single" w:sz="8" w:space="0" w:color="FFFFFF"/>
              <w:bottom w:val="single" w:sz="8" w:space="0" w:color="FFFFFF"/>
              <w:right w:val="single" w:sz="8" w:space="0" w:color="FFFFFF"/>
            </w:tcBorders>
            <w:shd w:val="clear" w:color="auto" w:fill="E8EAF2"/>
            <w:tcMar>
              <w:top w:w="72" w:type="dxa"/>
              <w:left w:w="144" w:type="dxa"/>
              <w:bottom w:w="72" w:type="dxa"/>
              <w:right w:w="144" w:type="dxa"/>
            </w:tcMar>
            <w:hideMark/>
          </w:tcPr>
          <w:p w14:paraId="6EDCFFF6"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Sigurimi i një sektori uji me aftësi rimëkëmbëse kundrejt ndryshimeve të klimës.</w:t>
            </w:r>
          </w:p>
        </w:tc>
        <w:tc>
          <w:tcPr>
            <w:tcW w:w="2945" w:type="dxa"/>
            <w:tcBorders>
              <w:top w:val="single" w:sz="8" w:space="0" w:color="FFFFFF"/>
              <w:left w:val="single" w:sz="8" w:space="0" w:color="FFFFFF"/>
              <w:bottom w:val="single" w:sz="8" w:space="0" w:color="FFFFFF"/>
              <w:right w:val="single" w:sz="8" w:space="0" w:color="FFFFFF"/>
            </w:tcBorders>
            <w:shd w:val="clear" w:color="auto" w:fill="E8EAF2"/>
            <w:tcMar>
              <w:top w:w="72" w:type="dxa"/>
              <w:left w:w="144" w:type="dxa"/>
              <w:bottom w:w="72" w:type="dxa"/>
              <w:right w:w="144" w:type="dxa"/>
            </w:tcMar>
            <w:hideMark/>
          </w:tcPr>
          <w:p w14:paraId="6EDCFFF7" w14:textId="4029B28F"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Futja e ndryshimeve klimatike si një element ndërsektorial i strategjisë kombëtare. Kontribute të konsiderueshme nga projekte ekzistuese për të siguruar përputhshmërinë,</w:t>
            </w:r>
            <w:r w:rsidR="000A2A01" w:rsidRPr="007114AF">
              <w:rPr>
                <w:rFonts w:ascii="Garamond" w:eastAsia="MS Mincho" w:hAnsi="Garamond" w:cs="Arial"/>
                <w:sz w:val="18"/>
                <w:szCs w:val="18"/>
                <w:lang w:eastAsia="en-US"/>
              </w:rPr>
              <w:t xml:space="preserve"> </w:t>
            </w:r>
            <w:r w:rsidRPr="007114AF">
              <w:rPr>
                <w:rFonts w:ascii="Garamond" w:eastAsia="MS Mincho" w:hAnsi="Garamond" w:cs="Arial"/>
                <w:sz w:val="18"/>
                <w:szCs w:val="18"/>
                <w:lang w:eastAsia="en-US"/>
              </w:rPr>
              <w:t>nëpërmjet bashkërendimit me aktivitete të tjera sektoriale të lidhura me përshtatjen ndaj ndryshimeve klimatike.</w:t>
            </w:r>
          </w:p>
        </w:tc>
      </w:tr>
      <w:tr w:rsidR="00861DB2" w:rsidRPr="007114AF" w14:paraId="6EDCFFFD" w14:textId="77777777" w:rsidTr="001C467C">
        <w:trPr>
          <w:trHeight w:val="584"/>
        </w:trPr>
        <w:tc>
          <w:tcPr>
            <w:tcW w:w="1820" w:type="dxa"/>
            <w:tcBorders>
              <w:top w:val="single" w:sz="8"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F9"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Strategjia Kombëtare e Energjisë</w:t>
            </w:r>
          </w:p>
        </w:tc>
        <w:tc>
          <w:tcPr>
            <w:tcW w:w="2045" w:type="dxa"/>
            <w:tcBorders>
              <w:top w:val="single" w:sz="8"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FA" w14:textId="4E0D0BAF"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Vendim i KM,</w:t>
            </w:r>
            <w:r w:rsidR="00242009" w:rsidRPr="007114AF">
              <w:rPr>
                <w:rFonts w:ascii="Garamond" w:eastAsia="MS Mincho" w:hAnsi="Garamond" w:cs="Arial"/>
                <w:sz w:val="18"/>
                <w:szCs w:val="18"/>
                <w:lang w:eastAsia="en-US"/>
              </w:rPr>
              <w:t xml:space="preserve"> nr. </w:t>
            </w:r>
            <w:r w:rsidRPr="007114AF">
              <w:rPr>
                <w:rFonts w:ascii="Garamond" w:eastAsia="MS Mincho" w:hAnsi="Garamond" w:cs="Arial"/>
                <w:sz w:val="18"/>
                <w:szCs w:val="18"/>
                <w:lang w:eastAsia="en-US"/>
              </w:rPr>
              <w:t>480, Dt.Aktit:31.07.2018,</w:t>
            </w:r>
          </w:p>
        </w:tc>
        <w:tc>
          <w:tcPr>
            <w:tcW w:w="2998" w:type="dxa"/>
            <w:tcBorders>
              <w:top w:val="single" w:sz="8"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FB"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Sigurimi i një sektori energjetik me aftësi rimëkëmbëse kundrejt ndryshimeve të klimës.</w:t>
            </w:r>
          </w:p>
        </w:tc>
        <w:tc>
          <w:tcPr>
            <w:tcW w:w="2945" w:type="dxa"/>
            <w:tcBorders>
              <w:top w:val="single" w:sz="8" w:space="0" w:color="FFFFFF"/>
              <w:left w:val="single" w:sz="8" w:space="0" w:color="FFFFFF"/>
              <w:bottom w:val="single" w:sz="8" w:space="0" w:color="FFFFFF"/>
              <w:right w:val="single" w:sz="8" w:space="0" w:color="FFFFFF"/>
            </w:tcBorders>
            <w:shd w:val="clear" w:color="auto" w:fill="CCD1E5"/>
            <w:tcMar>
              <w:top w:w="72" w:type="dxa"/>
              <w:left w:w="144" w:type="dxa"/>
              <w:bottom w:w="72" w:type="dxa"/>
              <w:right w:w="144" w:type="dxa"/>
            </w:tcMar>
            <w:hideMark/>
          </w:tcPr>
          <w:p w14:paraId="6EDCFFFC" w14:textId="77777777" w:rsidR="00861DB2" w:rsidRPr="007114AF" w:rsidRDefault="00861DB2" w:rsidP="001C467C">
            <w:pPr>
              <w:pBdr>
                <w:bar w:val="single" w:sz="4" w:color="FF8080"/>
              </w:pBdr>
              <w:spacing w:line="240" w:lineRule="auto"/>
              <w:rPr>
                <w:rFonts w:ascii="Garamond" w:eastAsia="MS Mincho" w:hAnsi="Garamond" w:cs="Arial"/>
                <w:sz w:val="18"/>
                <w:szCs w:val="18"/>
                <w:lang w:eastAsia="en-US"/>
              </w:rPr>
            </w:pPr>
            <w:r w:rsidRPr="007114AF">
              <w:rPr>
                <w:rFonts w:ascii="Garamond" w:eastAsia="MS Mincho" w:hAnsi="Garamond" w:cs="Arial"/>
                <w:sz w:val="18"/>
                <w:szCs w:val="18"/>
                <w:lang w:eastAsia="en-US"/>
              </w:rPr>
              <w:t>Parashikimi i thjerrës klimatike në varësi të ecurisë së mëtejshme të përgatitjes së strategjisë, shfrytëzimi i ekspertizës së Komunikimeve Kombëtare të Shqipërisë për UNFCCC-në.</w:t>
            </w:r>
          </w:p>
        </w:tc>
      </w:tr>
    </w:tbl>
    <w:p w14:paraId="6EDCFFFE" w14:textId="77777777" w:rsidR="008A4207" w:rsidRPr="007114AF" w:rsidRDefault="008A4207" w:rsidP="00524E98">
      <w:pPr>
        <w:pStyle w:val="TEKSTI"/>
      </w:pPr>
    </w:p>
    <w:p w14:paraId="6EDCFFFF" w14:textId="77777777" w:rsidR="00861DB2" w:rsidRPr="007114AF" w:rsidRDefault="00861DB2" w:rsidP="00861DB2">
      <w:pPr>
        <w:pStyle w:val="FIGURA"/>
        <w:rPr>
          <w:sz w:val="20"/>
          <w:szCs w:val="20"/>
        </w:rPr>
      </w:pPr>
      <w:r w:rsidRPr="007114AF">
        <w:rPr>
          <w:sz w:val="20"/>
          <w:szCs w:val="20"/>
        </w:rPr>
        <w:t>Tabela 16: Disa procese planifikimi të përzgjedhura me disa pika hyrëse për integrimin e përshtatjes ndaj ndryshimeve klimatike</w:t>
      </w:r>
    </w:p>
    <w:p w14:paraId="6EDD0000" w14:textId="77777777" w:rsidR="008A4207" w:rsidRPr="007114AF" w:rsidRDefault="008A4207" w:rsidP="001617A3">
      <w:pPr>
        <w:pStyle w:val="TEKSTI"/>
      </w:pPr>
    </w:p>
    <w:p w14:paraId="6EDD0001" w14:textId="6B72B33B" w:rsidR="001617A3" w:rsidRPr="007114AF" w:rsidRDefault="00CF2A42" w:rsidP="00CF2A42">
      <w:pPr>
        <w:pStyle w:val="TEKSTI"/>
      </w:pPr>
      <w:r w:rsidRPr="007114AF">
        <w:t xml:space="preserve">4.4 </w:t>
      </w:r>
      <w:r w:rsidR="001617A3" w:rsidRPr="007114AF">
        <w:t>Objektivat kryesor</w:t>
      </w:r>
      <w:r w:rsidR="00163F78">
        <w:t>ë</w:t>
      </w:r>
      <w:r w:rsidR="001617A3" w:rsidRPr="007114AF">
        <w:t xml:space="preserve"> të politikave për adresimin e përshtatjes ndaj ndryshimeve klimatike</w:t>
      </w:r>
    </w:p>
    <w:p w14:paraId="6EDD0002" w14:textId="2A52BD72" w:rsidR="001617A3" w:rsidRPr="007114AF" w:rsidRDefault="001617A3" w:rsidP="00CF2A42">
      <w:pPr>
        <w:pStyle w:val="TEKSTI"/>
      </w:pPr>
      <w:bookmarkStart w:id="158" w:name="_Toc479083858"/>
      <w:r w:rsidRPr="007114AF">
        <w:t>Një drejtim i efektshëm i procesit të përshtatjes kërkon objektiva dhe tregues të orientuar nga rezultatet. Ata e kufizojnë kompleksitetin, përmes reduktimit mbi treguesit kryesorë</w:t>
      </w:r>
      <w:r w:rsidR="000E345C">
        <w:t xml:space="preserve"> </w:t>
      </w:r>
      <w:r w:rsidRPr="007114AF">
        <w:t>që karakterizojnë progresin e përshtatjes dhe përmes mbështetjes te</w:t>
      </w:r>
      <w:r w:rsidR="00163F78">
        <w:t>k</w:t>
      </w:r>
      <w:r w:rsidRPr="007114AF">
        <w:t xml:space="preserve"> objektivat dhe treguesit ekzistues, për shembull ata që janë përcaktuar në SKZHI.</w:t>
      </w:r>
    </w:p>
    <w:p w14:paraId="6EDD0003" w14:textId="77777777" w:rsidR="001617A3" w:rsidRPr="007114AF" w:rsidRDefault="001617A3" w:rsidP="001617A3">
      <w:pPr>
        <w:pStyle w:val="TEKSTI"/>
        <w:rPr>
          <w:rFonts w:eastAsia="Times New Roman" w:cs="Times New Roman"/>
          <w:lang w:eastAsia="en-US"/>
        </w:rPr>
      </w:pPr>
      <w:bookmarkStart w:id="159" w:name="_Toc470186698"/>
      <w:r w:rsidRPr="007114AF">
        <w:rPr>
          <w:rFonts w:eastAsia="Times New Roman" w:cs="Times New Roman"/>
          <w:lang w:eastAsia="en-US"/>
        </w:rPr>
        <w:t>Parimet për një proces përshtatjeje të orientuar nga rezultatet</w:t>
      </w:r>
      <w:bookmarkEnd w:id="159"/>
    </w:p>
    <w:p w14:paraId="6EDD0004" w14:textId="77777777" w:rsidR="001617A3" w:rsidRPr="007114AF" w:rsidRDefault="001617A3" w:rsidP="001617A3">
      <w:pPr>
        <w:pStyle w:val="TEKSTI"/>
        <w:rPr>
          <w:bCs/>
          <w:iCs/>
        </w:rPr>
      </w:pPr>
      <w:bookmarkStart w:id="160" w:name="_Toc479083859"/>
      <w:bookmarkEnd w:id="158"/>
      <w:r w:rsidRPr="007114AF">
        <w:rPr>
          <w:bCs/>
          <w:iCs/>
        </w:rPr>
        <w:t>Procesi i NAP-it do të orientohet drejt zvogëlimit të vulnerabilitetit së Shqipërisë, nëpërmjet përmirësimit të menaxhimit të rreziqeve klimatike në sektorët përkatës. Ky proces do të ndjekë një qasje afatgjatë, duke qenë se ndryshimet klimatike, si edhe kundërpërgjigjet përkatëse të politikave për uljen e rreziqeve, evoluojnë gjatë shumë viteve / dekadave.</w:t>
      </w:r>
    </w:p>
    <w:p w14:paraId="6EDD0005" w14:textId="77777777" w:rsidR="001617A3" w:rsidRPr="007114AF" w:rsidRDefault="001617A3" w:rsidP="001617A3">
      <w:pPr>
        <w:pStyle w:val="TEKSTI"/>
        <w:rPr>
          <w:rFonts w:eastAsia="Times New Roman" w:cs="Times New Roman"/>
          <w:b/>
          <w:bCs/>
          <w:i/>
          <w:lang w:eastAsia="en-US"/>
        </w:rPr>
      </w:pPr>
      <w:bookmarkStart w:id="161" w:name="_Toc470186699"/>
      <w:bookmarkEnd w:id="160"/>
      <w:r w:rsidRPr="007114AF">
        <w:rPr>
          <w:rFonts w:eastAsia="Times New Roman" w:cs="Times New Roman"/>
          <w:b/>
          <w:bCs/>
          <w:i/>
          <w:lang w:eastAsia="en-US"/>
        </w:rPr>
        <w:t>Objektivat dhe treguesit gjithëpërfshirës</w:t>
      </w:r>
      <w:bookmarkEnd w:id="161"/>
    </w:p>
    <w:p w14:paraId="6EDD0006" w14:textId="77777777" w:rsidR="001617A3" w:rsidRPr="007114AF" w:rsidRDefault="001617A3" w:rsidP="001617A3">
      <w:pPr>
        <w:pStyle w:val="TEKSTI"/>
        <w:rPr>
          <w:bCs/>
          <w:iCs/>
        </w:rPr>
      </w:pPr>
      <w:r w:rsidRPr="007114AF">
        <w:rPr>
          <w:bCs/>
          <w:iCs/>
        </w:rPr>
        <w:t>Në përputhje me parimet e mësipërme, janë formuluar objektivat dhe treguesit për ato fusha të cilat janë me rëndësi strategjike gjithëpërfshirëse në procesin e përshtatjes në Shqipëri. Objektivat dhe treguesit në nivel operativ dhe për masa të veçanta sektoriale nuk mbulohen në NAP, por në strategjitë sektoriale përkatëse ose në SKZHI, e cila ka funksionin e saj drejtues për të gjithë procesin e zhvillimit dhe integrimit në Shqipëri.</w:t>
      </w:r>
    </w:p>
    <w:p w14:paraId="6EDD0007" w14:textId="77777777" w:rsidR="001617A3" w:rsidRPr="007114AF" w:rsidRDefault="001617A3" w:rsidP="001617A3">
      <w:pPr>
        <w:pStyle w:val="TEKSTI"/>
        <w:rPr>
          <w:bCs/>
          <w:iCs/>
        </w:rPr>
      </w:pPr>
      <w:r w:rsidRPr="007114AF">
        <w:rPr>
          <w:bCs/>
          <w:iCs/>
        </w:rPr>
        <w:t>Objektivat dhe treguesit e përmendur më poshtë, kanë nevojë për më shumë specifikim në lidhje me:</w:t>
      </w:r>
    </w:p>
    <w:p w14:paraId="6EDD0008" w14:textId="77777777" w:rsidR="001617A3" w:rsidRPr="007114AF" w:rsidRDefault="00CF2A42" w:rsidP="001617A3">
      <w:pPr>
        <w:pStyle w:val="TEKSTI"/>
      </w:pPr>
      <w:r w:rsidRPr="007114AF">
        <w:t xml:space="preserve">- </w:t>
      </w:r>
      <w:r w:rsidR="001617A3" w:rsidRPr="007114AF">
        <w:t>Aktorët përgjegjës për monitorimin</w:t>
      </w:r>
    </w:p>
    <w:p w14:paraId="6EDD0009" w14:textId="77777777" w:rsidR="001617A3" w:rsidRPr="007114AF" w:rsidRDefault="00CF2A42" w:rsidP="001617A3">
      <w:pPr>
        <w:pStyle w:val="TEKSTI"/>
      </w:pPr>
      <w:r w:rsidRPr="007114AF">
        <w:t xml:space="preserve">- </w:t>
      </w:r>
      <w:r w:rsidR="001617A3" w:rsidRPr="007114AF">
        <w:t>Burimet e informacionit</w:t>
      </w:r>
    </w:p>
    <w:p w14:paraId="6EDD000A" w14:textId="77777777" w:rsidR="001617A3" w:rsidRPr="007114AF" w:rsidRDefault="00CF2A42" w:rsidP="001617A3">
      <w:pPr>
        <w:pStyle w:val="TEKSTI"/>
      </w:pPr>
      <w:r w:rsidRPr="007114AF">
        <w:t xml:space="preserve">- </w:t>
      </w:r>
      <w:r w:rsidR="001617A3" w:rsidRPr="007114AF">
        <w:t>Afatet dhe përcaktimin e piketave.</w:t>
      </w:r>
    </w:p>
    <w:p w14:paraId="6EDD000B" w14:textId="62216DD4" w:rsidR="001617A3" w:rsidRDefault="001617A3" w:rsidP="001617A3">
      <w:pPr>
        <w:pStyle w:val="TEKSTI"/>
        <w:rPr>
          <w:bCs/>
          <w:iCs/>
        </w:rPr>
      </w:pPr>
      <w:r w:rsidRPr="007114AF">
        <w:rPr>
          <w:bCs/>
          <w:iCs/>
        </w:rPr>
        <w:t>Këto hollësi do të zhvillohen në kuadër të Sistemit të Monitorimit të Zbatimit të NAP-it (veprimi prioritar</w:t>
      </w:r>
      <w:r w:rsidR="00242009" w:rsidRPr="007114AF">
        <w:rPr>
          <w:bCs/>
          <w:iCs/>
        </w:rPr>
        <w:t xml:space="preserve"> nr. </w:t>
      </w:r>
      <w:r w:rsidRPr="007114AF">
        <w:rPr>
          <w:bCs/>
          <w:iCs/>
        </w:rPr>
        <w:t>4).</w:t>
      </w:r>
    </w:p>
    <w:p w14:paraId="7FBA45F1" w14:textId="77777777" w:rsidR="00836B59" w:rsidRPr="007114AF" w:rsidRDefault="00836B59" w:rsidP="001617A3">
      <w:pPr>
        <w:pStyle w:val="TEKSTI"/>
        <w:rPr>
          <w:bCs/>
          <w:iCs/>
        </w:rPr>
      </w:pPr>
    </w:p>
    <w:p w14:paraId="6EDD000C" w14:textId="281A3400" w:rsidR="001617A3" w:rsidRPr="007114AF" w:rsidRDefault="001617A3" w:rsidP="001617A3">
      <w:pPr>
        <w:pStyle w:val="FIGURA"/>
        <w:rPr>
          <w:bCs/>
          <w:iCs/>
          <w:sz w:val="20"/>
          <w:szCs w:val="20"/>
        </w:rPr>
      </w:pPr>
      <w:r w:rsidRPr="00836B59">
        <w:rPr>
          <w:sz w:val="20"/>
          <w:szCs w:val="20"/>
          <w:highlight w:val="yellow"/>
        </w:rPr>
        <w:fldChar w:fldCharType="begin"/>
      </w:r>
      <w:r w:rsidRPr="00836B59">
        <w:rPr>
          <w:sz w:val="20"/>
          <w:szCs w:val="20"/>
          <w:highlight w:val="yellow"/>
        </w:rPr>
        <w:instrText xml:space="preserve"> SEQ Table \* ARABIC </w:instrText>
      </w:r>
      <w:r w:rsidRPr="00836B59">
        <w:rPr>
          <w:sz w:val="20"/>
          <w:szCs w:val="20"/>
          <w:highlight w:val="yellow"/>
        </w:rPr>
        <w:fldChar w:fldCharType="separate"/>
      </w:r>
      <w:r w:rsidRPr="00836B59">
        <w:rPr>
          <w:sz w:val="20"/>
          <w:szCs w:val="20"/>
          <w:highlight w:val="yellow"/>
        </w:rPr>
        <w:t>15</w:t>
      </w:r>
      <w:r w:rsidRPr="00836B59">
        <w:rPr>
          <w:sz w:val="20"/>
          <w:szCs w:val="20"/>
          <w:highlight w:val="yellow"/>
        </w:rPr>
        <w:fldChar w:fldCharType="end"/>
      </w:r>
      <w:r w:rsidRPr="00836B59">
        <w:rPr>
          <w:sz w:val="20"/>
          <w:szCs w:val="20"/>
          <w:highlight w:val="yellow"/>
        </w:rPr>
        <w:t xml:space="preserve"> Objektivat</w:t>
      </w:r>
      <w:r w:rsidRPr="007114AF">
        <w:rPr>
          <w:sz w:val="20"/>
          <w:szCs w:val="20"/>
        </w:rPr>
        <w:t xml:space="preserve"> dhe treguesit për procesin e NAP-it të Shqipërisë</w:t>
      </w:r>
      <w:r w:rsidR="00836B59">
        <w:rPr>
          <w:sz w:val="20"/>
          <w:szCs w:val="20"/>
        </w:rPr>
        <w:t xml:space="preserve"> </w:t>
      </w:r>
      <w:r w:rsidRPr="007114AF">
        <w:rPr>
          <w:sz w:val="20"/>
          <w:szCs w:val="20"/>
        </w:rPr>
        <w:t xml:space="preserve">dhe lidhja e tyre me prioritetet e strategjisë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3"/>
        <w:gridCol w:w="3503"/>
        <w:gridCol w:w="3330"/>
        <w:gridCol w:w="1350"/>
      </w:tblGrid>
      <w:tr w:rsidR="001617A3" w:rsidRPr="007114AF" w14:paraId="6EDD0012" w14:textId="77777777" w:rsidTr="001C467C">
        <w:tc>
          <w:tcPr>
            <w:tcW w:w="1393" w:type="dxa"/>
            <w:tcBorders>
              <w:top w:val="single" w:sz="4" w:space="0" w:color="000000"/>
              <w:left w:val="single" w:sz="4" w:space="0" w:color="000000"/>
              <w:bottom w:val="single" w:sz="4" w:space="0" w:color="000000"/>
              <w:right w:val="single" w:sz="4" w:space="0" w:color="000000"/>
            </w:tcBorders>
            <w:shd w:val="clear" w:color="auto" w:fill="9CC2E5"/>
          </w:tcPr>
          <w:p w14:paraId="6EDD000D" w14:textId="77777777" w:rsidR="001617A3" w:rsidRPr="007114AF" w:rsidRDefault="001617A3" w:rsidP="001617A3">
            <w:pPr>
              <w:pStyle w:val="Standardtextbody"/>
              <w:pBdr>
                <w:bar w:val="single" w:sz="4" w:color="FF8080"/>
              </w:pBdr>
              <w:spacing w:after="0" w:line="240" w:lineRule="auto"/>
              <w:jc w:val="both"/>
              <w:rPr>
                <w:rFonts w:ascii="Garamond" w:eastAsia="Times New Roman" w:hAnsi="Garamond" w:cs="Times New Roman"/>
                <w:b/>
                <w:bCs w:val="0"/>
                <w:iCs w:val="0"/>
                <w:color w:val="000000"/>
                <w:sz w:val="18"/>
                <w:szCs w:val="18"/>
                <w:lang w:val="sq-AL" w:eastAsia="it-IT"/>
              </w:rPr>
            </w:pPr>
            <w:r w:rsidRPr="007114AF">
              <w:rPr>
                <w:rFonts w:ascii="Garamond" w:eastAsia="Times New Roman" w:hAnsi="Garamond" w:cs="Times New Roman"/>
                <w:b/>
                <w:bCs w:val="0"/>
                <w:iCs w:val="0"/>
                <w:color w:val="000000"/>
                <w:sz w:val="18"/>
                <w:szCs w:val="18"/>
                <w:lang w:val="sq-AL" w:eastAsia="it-IT"/>
              </w:rPr>
              <w:t>Fusha</w:t>
            </w:r>
          </w:p>
          <w:p w14:paraId="6EDD000E" w14:textId="77777777" w:rsidR="001617A3" w:rsidRPr="007114AF" w:rsidRDefault="001617A3" w:rsidP="001617A3">
            <w:pPr>
              <w:spacing w:after="0" w:line="240" w:lineRule="auto"/>
              <w:rPr>
                <w:rFonts w:ascii="Garamond" w:eastAsia="Times New Roman" w:hAnsi="Garamond" w:cs="Times New Roman"/>
                <w:b/>
                <w:color w:val="000000"/>
                <w:sz w:val="18"/>
                <w:szCs w:val="18"/>
              </w:rPr>
            </w:pPr>
          </w:p>
        </w:tc>
        <w:tc>
          <w:tcPr>
            <w:tcW w:w="3503" w:type="dxa"/>
            <w:tcBorders>
              <w:top w:val="single" w:sz="4" w:space="0" w:color="000000"/>
              <w:left w:val="single" w:sz="4" w:space="0" w:color="000000"/>
              <w:bottom w:val="single" w:sz="4" w:space="0" w:color="000000"/>
              <w:right w:val="single" w:sz="4" w:space="0" w:color="000000"/>
            </w:tcBorders>
            <w:shd w:val="clear" w:color="auto" w:fill="9CC2E5"/>
            <w:hideMark/>
          </w:tcPr>
          <w:p w14:paraId="6EDD000F" w14:textId="77777777" w:rsidR="001617A3" w:rsidRPr="007114AF" w:rsidRDefault="001617A3" w:rsidP="001617A3">
            <w:pPr>
              <w:spacing w:after="0" w:line="240" w:lineRule="auto"/>
              <w:rPr>
                <w:rFonts w:ascii="Garamond" w:eastAsia="Times New Roman" w:hAnsi="Garamond" w:cs="Times New Roman"/>
                <w:b/>
                <w:color w:val="000000"/>
                <w:sz w:val="18"/>
                <w:szCs w:val="18"/>
              </w:rPr>
            </w:pPr>
            <w:r w:rsidRPr="007114AF">
              <w:rPr>
                <w:rFonts w:ascii="Garamond" w:eastAsia="Times New Roman" w:hAnsi="Garamond" w:cs="Times New Roman"/>
                <w:b/>
                <w:color w:val="000000"/>
                <w:sz w:val="18"/>
                <w:szCs w:val="18"/>
              </w:rPr>
              <w:t>Objektivi</w:t>
            </w:r>
          </w:p>
        </w:tc>
        <w:tc>
          <w:tcPr>
            <w:tcW w:w="3330" w:type="dxa"/>
            <w:tcBorders>
              <w:top w:val="single" w:sz="4" w:space="0" w:color="000000"/>
              <w:left w:val="single" w:sz="4" w:space="0" w:color="000000"/>
              <w:bottom w:val="single" w:sz="4" w:space="0" w:color="000000"/>
              <w:right w:val="single" w:sz="4" w:space="0" w:color="000000"/>
            </w:tcBorders>
            <w:shd w:val="clear" w:color="auto" w:fill="9CC2E5"/>
            <w:hideMark/>
          </w:tcPr>
          <w:p w14:paraId="6EDD0010" w14:textId="77777777" w:rsidR="001617A3" w:rsidRPr="007114AF" w:rsidRDefault="001617A3" w:rsidP="001617A3">
            <w:pPr>
              <w:spacing w:after="0" w:line="240" w:lineRule="auto"/>
              <w:rPr>
                <w:rFonts w:ascii="Garamond" w:eastAsia="Times New Roman" w:hAnsi="Garamond" w:cs="Times New Roman"/>
                <w:b/>
                <w:color w:val="000000"/>
                <w:sz w:val="18"/>
                <w:szCs w:val="18"/>
              </w:rPr>
            </w:pPr>
            <w:r w:rsidRPr="007114AF">
              <w:rPr>
                <w:rFonts w:ascii="Garamond" w:eastAsia="Times New Roman" w:hAnsi="Garamond" w:cs="Times New Roman"/>
                <w:b/>
                <w:color w:val="000000"/>
                <w:sz w:val="18"/>
                <w:szCs w:val="18"/>
              </w:rPr>
              <w:t>Treguesi</w:t>
            </w:r>
          </w:p>
        </w:tc>
        <w:tc>
          <w:tcPr>
            <w:tcW w:w="1350" w:type="dxa"/>
            <w:tcBorders>
              <w:top w:val="single" w:sz="4" w:space="0" w:color="000000"/>
              <w:left w:val="single" w:sz="4" w:space="0" w:color="000000"/>
              <w:bottom w:val="single" w:sz="4" w:space="0" w:color="000000"/>
              <w:right w:val="single" w:sz="4" w:space="0" w:color="000000"/>
            </w:tcBorders>
            <w:shd w:val="clear" w:color="auto" w:fill="9CC2E5"/>
          </w:tcPr>
          <w:p w14:paraId="6EDD0011" w14:textId="77777777" w:rsidR="001617A3" w:rsidRPr="007114AF" w:rsidRDefault="001617A3" w:rsidP="001617A3">
            <w:pPr>
              <w:spacing w:after="0" w:line="240" w:lineRule="auto"/>
              <w:rPr>
                <w:rFonts w:ascii="Garamond" w:hAnsi="Garamond"/>
                <w:b/>
                <w:bCs/>
                <w:iCs/>
                <w:sz w:val="18"/>
                <w:szCs w:val="18"/>
              </w:rPr>
            </w:pPr>
            <w:r w:rsidRPr="007114AF">
              <w:rPr>
                <w:rFonts w:ascii="Garamond" w:eastAsia="Times New Roman" w:hAnsi="Garamond" w:cs="Times New Roman"/>
                <w:b/>
                <w:color w:val="000000"/>
                <w:sz w:val="18"/>
                <w:szCs w:val="18"/>
              </w:rPr>
              <w:t>Lidhja me prioritetet e (SP)</w:t>
            </w:r>
          </w:p>
        </w:tc>
      </w:tr>
      <w:tr w:rsidR="001617A3" w:rsidRPr="007114AF" w14:paraId="6EDD001B" w14:textId="77777777" w:rsidTr="001C467C">
        <w:tc>
          <w:tcPr>
            <w:tcW w:w="1393" w:type="dxa"/>
            <w:tcBorders>
              <w:top w:val="single" w:sz="4" w:space="0" w:color="000000"/>
              <w:left w:val="single" w:sz="4" w:space="0" w:color="000000"/>
              <w:bottom w:val="single" w:sz="4" w:space="0" w:color="000000"/>
              <w:right w:val="single" w:sz="4" w:space="0" w:color="000000"/>
            </w:tcBorders>
            <w:hideMark/>
          </w:tcPr>
          <w:p w14:paraId="6EDD0013" w14:textId="77777777" w:rsidR="001617A3" w:rsidRPr="007114AF" w:rsidRDefault="001617A3" w:rsidP="001617A3">
            <w:pPr>
              <w:spacing w:after="0" w:line="240" w:lineRule="auto"/>
              <w:rPr>
                <w:rFonts w:ascii="Garamond" w:hAnsi="Garamond"/>
                <w:sz w:val="18"/>
                <w:szCs w:val="18"/>
              </w:rPr>
            </w:pPr>
            <w:r w:rsidRPr="007114AF">
              <w:rPr>
                <w:rFonts w:ascii="Garamond" w:hAnsi="Garamond"/>
                <w:sz w:val="18"/>
                <w:szCs w:val="18"/>
              </w:rPr>
              <w:t>Rezultatet e përshtatjes</w:t>
            </w:r>
          </w:p>
        </w:tc>
        <w:tc>
          <w:tcPr>
            <w:tcW w:w="3503" w:type="dxa"/>
            <w:tcBorders>
              <w:top w:val="single" w:sz="4" w:space="0" w:color="000000"/>
              <w:left w:val="single" w:sz="4" w:space="0" w:color="000000"/>
              <w:bottom w:val="single" w:sz="4" w:space="0" w:color="000000"/>
              <w:right w:val="single" w:sz="4" w:space="0" w:color="000000"/>
            </w:tcBorders>
          </w:tcPr>
          <w:p w14:paraId="6EDD0014"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Objektivi 1: </w:t>
            </w:r>
            <w:r w:rsidRPr="007114AF">
              <w:rPr>
                <w:rFonts w:ascii="Garamond" w:hAnsi="Garamond"/>
                <w:bCs/>
                <w:iCs/>
                <w:sz w:val="18"/>
                <w:szCs w:val="18"/>
              </w:rPr>
              <w:t>Pakësim i dëmeve të përmbytjeve.</w:t>
            </w:r>
          </w:p>
          <w:p w14:paraId="6EDD0015"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Objektivi 2: </w:t>
            </w:r>
            <w:r w:rsidRPr="007114AF">
              <w:rPr>
                <w:rFonts w:ascii="Garamond" w:hAnsi="Garamond"/>
                <w:bCs/>
                <w:iCs/>
                <w:sz w:val="18"/>
                <w:szCs w:val="18"/>
              </w:rPr>
              <w:t>Rritje e aftësisë rimëkëmbëse të bujqësisë kundrejt thatësirave.</w:t>
            </w:r>
          </w:p>
          <w:p w14:paraId="6EDD0016" w14:textId="77777777" w:rsidR="001617A3" w:rsidRPr="007114AF" w:rsidRDefault="001617A3" w:rsidP="001617A3">
            <w:pPr>
              <w:spacing w:after="0" w:line="240" w:lineRule="auto"/>
              <w:rPr>
                <w:rFonts w:ascii="Garamond" w:hAnsi="Garamond"/>
                <w:sz w:val="18"/>
                <w:szCs w:val="18"/>
              </w:rPr>
            </w:pPr>
            <w:r w:rsidRPr="007114AF">
              <w:rPr>
                <w:rFonts w:ascii="Garamond" w:hAnsi="Garamond"/>
                <w:b/>
                <w:sz w:val="18"/>
                <w:szCs w:val="18"/>
              </w:rPr>
              <w:t xml:space="preserve">Objektivi 3: </w:t>
            </w:r>
            <w:r w:rsidRPr="007114AF">
              <w:rPr>
                <w:rFonts w:ascii="Garamond" w:hAnsi="Garamond"/>
                <w:sz w:val="18"/>
                <w:szCs w:val="18"/>
              </w:rPr>
              <w:t>Sigurimi i cilësisë së ujit të pijshëm për rajonet e Shkodrës, Fierit dhe Vlorës, pavarësisht nga ndikimet e ndryshimeve klimatike.</w:t>
            </w:r>
          </w:p>
        </w:tc>
        <w:tc>
          <w:tcPr>
            <w:tcW w:w="3330" w:type="dxa"/>
            <w:tcBorders>
              <w:top w:val="single" w:sz="4" w:space="0" w:color="000000"/>
              <w:left w:val="single" w:sz="4" w:space="0" w:color="000000"/>
              <w:bottom w:val="single" w:sz="4" w:space="0" w:color="000000"/>
              <w:right w:val="single" w:sz="4" w:space="0" w:color="000000"/>
            </w:tcBorders>
          </w:tcPr>
          <w:p w14:paraId="6EDD0017"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1.1: </w:t>
            </w:r>
            <w:r w:rsidRPr="007114AF">
              <w:rPr>
                <w:rFonts w:ascii="Garamond" w:hAnsi="Garamond"/>
                <w:bCs/>
                <w:iCs/>
                <w:sz w:val="18"/>
                <w:szCs w:val="18"/>
              </w:rPr>
              <w:t>Dëmet mesatare në rast përmbytjeje (të përllogaritura në miliona lekë) zvogëlohen me 5% për çdo periudhë pesëvjeçare të mëpasshme.</w:t>
            </w:r>
          </w:p>
          <w:p w14:paraId="6EDD0018"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Treguesi 2.1:</w:t>
            </w:r>
            <w:r w:rsidRPr="007114AF">
              <w:rPr>
                <w:rFonts w:ascii="Garamond" w:hAnsi="Garamond"/>
                <w:bCs/>
                <w:iCs/>
                <w:sz w:val="18"/>
                <w:szCs w:val="18"/>
              </w:rPr>
              <w:t>Pothuaj të gjitha produktet e fermave, të shprehura në rendiment për hektar, qëndrojnë të njëjta edhe në vitet me thatësirë.</w:t>
            </w:r>
          </w:p>
          <w:p w14:paraId="6EDD0019" w14:textId="77777777" w:rsidR="001617A3" w:rsidRPr="007114AF" w:rsidRDefault="001617A3" w:rsidP="001617A3">
            <w:pPr>
              <w:spacing w:after="0" w:line="240" w:lineRule="auto"/>
              <w:rPr>
                <w:rFonts w:ascii="Garamond" w:hAnsi="Garamond"/>
                <w:sz w:val="18"/>
                <w:szCs w:val="18"/>
              </w:rPr>
            </w:pPr>
            <w:r w:rsidRPr="007114AF">
              <w:rPr>
                <w:rFonts w:ascii="Garamond" w:hAnsi="Garamond"/>
                <w:b/>
                <w:sz w:val="18"/>
                <w:szCs w:val="18"/>
              </w:rPr>
              <w:t xml:space="preserve">Treguesi 3.1: </w:t>
            </w:r>
            <w:r w:rsidRPr="007114AF">
              <w:rPr>
                <w:rFonts w:ascii="Garamond" w:hAnsi="Garamond"/>
                <w:sz w:val="18"/>
                <w:szCs w:val="18"/>
              </w:rPr>
              <w:t>Standardet e cilësisë së ujit të pijshëm përmbushen në të gjitha bashkitë në çdo rajon.</w:t>
            </w:r>
          </w:p>
        </w:tc>
        <w:tc>
          <w:tcPr>
            <w:tcW w:w="1350" w:type="dxa"/>
            <w:tcBorders>
              <w:top w:val="single" w:sz="4" w:space="0" w:color="000000"/>
              <w:left w:val="single" w:sz="4" w:space="0" w:color="000000"/>
              <w:bottom w:val="single" w:sz="4" w:space="0" w:color="000000"/>
              <w:right w:val="single" w:sz="4" w:space="0" w:color="000000"/>
            </w:tcBorders>
          </w:tcPr>
          <w:p w14:paraId="6EDD001A" w14:textId="77777777" w:rsidR="001617A3" w:rsidRPr="007114AF" w:rsidRDefault="001617A3" w:rsidP="001617A3">
            <w:pPr>
              <w:spacing w:after="0" w:line="240" w:lineRule="auto"/>
              <w:rPr>
                <w:rFonts w:ascii="Garamond" w:hAnsi="Garamond"/>
                <w:sz w:val="18"/>
                <w:szCs w:val="18"/>
              </w:rPr>
            </w:pPr>
            <w:r w:rsidRPr="007114AF">
              <w:rPr>
                <w:rFonts w:ascii="Garamond" w:hAnsi="Garamond"/>
                <w:sz w:val="18"/>
                <w:szCs w:val="18"/>
              </w:rPr>
              <w:t>SP.6</w:t>
            </w:r>
          </w:p>
        </w:tc>
      </w:tr>
      <w:tr w:rsidR="001617A3" w:rsidRPr="007114AF" w14:paraId="6EDD0022" w14:textId="77777777" w:rsidTr="001C467C">
        <w:tc>
          <w:tcPr>
            <w:tcW w:w="1393" w:type="dxa"/>
            <w:tcBorders>
              <w:top w:val="single" w:sz="4" w:space="0" w:color="000000"/>
              <w:left w:val="single" w:sz="4" w:space="0" w:color="000000"/>
              <w:bottom w:val="single" w:sz="4" w:space="0" w:color="000000"/>
              <w:right w:val="single" w:sz="4" w:space="0" w:color="000000"/>
            </w:tcBorders>
            <w:hideMark/>
          </w:tcPr>
          <w:p w14:paraId="6EDD001C" w14:textId="77777777" w:rsidR="001617A3" w:rsidRPr="007114AF" w:rsidRDefault="001617A3" w:rsidP="001617A3">
            <w:pPr>
              <w:spacing w:after="0" w:line="240" w:lineRule="auto"/>
              <w:rPr>
                <w:rFonts w:ascii="Garamond" w:hAnsi="Garamond"/>
                <w:sz w:val="18"/>
                <w:szCs w:val="18"/>
              </w:rPr>
            </w:pPr>
            <w:r w:rsidRPr="007114AF">
              <w:rPr>
                <w:rFonts w:ascii="Garamond" w:hAnsi="Garamond"/>
                <w:sz w:val="18"/>
                <w:szCs w:val="18"/>
              </w:rPr>
              <w:t>Drejtimi i zbatimit të NAP-it</w:t>
            </w:r>
          </w:p>
        </w:tc>
        <w:tc>
          <w:tcPr>
            <w:tcW w:w="3503" w:type="dxa"/>
            <w:tcBorders>
              <w:top w:val="single" w:sz="4" w:space="0" w:color="000000"/>
              <w:left w:val="single" w:sz="4" w:space="0" w:color="000000"/>
              <w:bottom w:val="single" w:sz="4" w:space="0" w:color="000000"/>
              <w:right w:val="single" w:sz="4" w:space="0" w:color="000000"/>
            </w:tcBorders>
          </w:tcPr>
          <w:p w14:paraId="6EDD001D" w14:textId="752A93A0"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Objektivi 4: </w:t>
            </w:r>
            <w:r w:rsidRPr="007114AF">
              <w:rPr>
                <w:rFonts w:ascii="Garamond" w:hAnsi="Garamond"/>
                <w:bCs/>
                <w:iCs/>
                <w:sz w:val="18"/>
                <w:szCs w:val="18"/>
              </w:rPr>
              <w:t xml:space="preserve">Masat e parashikuara në dokumentin e NAP-it janë zbatuar në </w:t>
            </w:r>
            <w:r w:rsidR="00836B59" w:rsidRPr="007114AF">
              <w:rPr>
                <w:rFonts w:ascii="Garamond" w:hAnsi="Garamond"/>
                <w:bCs/>
                <w:iCs/>
                <w:sz w:val="18"/>
                <w:szCs w:val="18"/>
              </w:rPr>
              <w:t>mënyrë</w:t>
            </w:r>
            <w:r w:rsidRPr="007114AF">
              <w:rPr>
                <w:rFonts w:ascii="Garamond" w:hAnsi="Garamond"/>
                <w:bCs/>
                <w:iCs/>
                <w:sz w:val="18"/>
                <w:szCs w:val="18"/>
              </w:rPr>
              <w:t xml:space="preserve"> efikase.</w:t>
            </w:r>
          </w:p>
          <w:p w14:paraId="6EDD001E" w14:textId="1847DE0B"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Objektivi 5: </w:t>
            </w:r>
            <w:r w:rsidRPr="007114AF">
              <w:rPr>
                <w:rFonts w:ascii="Garamond" w:hAnsi="Garamond"/>
                <w:bCs/>
                <w:iCs/>
                <w:sz w:val="18"/>
                <w:szCs w:val="18"/>
              </w:rPr>
              <w:t xml:space="preserve">Organizimi i një sistemi mbi </w:t>
            </w:r>
            <w:r w:rsidR="000A2A01" w:rsidRPr="007114AF">
              <w:rPr>
                <w:rFonts w:ascii="Garamond" w:hAnsi="Garamond"/>
                <w:bCs/>
                <w:iCs/>
                <w:sz w:val="18"/>
                <w:szCs w:val="18"/>
              </w:rPr>
              <w:t>“</w:t>
            </w:r>
            <w:r w:rsidRPr="007114AF">
              <w:rPr>
                <w:rFonts w:ascii="Garamond" w:hAnsi="Garamond"/>
                <w:bCs/>
                <w:iCs/>
                <w:sz w:val="18"/>
                <w:szCs w:val="18"/>
              </w:rPr>
              <w:t>mësimet e nxjerra</w:t>
            </w:r>
            <w:r w:rsidR="000A2A01" w:rsidRPr="007114AF">
              <w:rPr>
                <w:rFonts w:ascii="Garamond" w:hAnsi="Garamond"/>
                <w:bCs/>
                <w:iCs/>
                <w:sz w:val="18"/>
                <w:szCs w:val="18"/>
              </w:rPr>
              <w:t>”</w:t>
            </w:r>
            <w:r w:rsidRPr="007114AF">
              <w:rPr>
                <w:rFonts w:ascii="Garamond" w:hAnsi="Garamond"/>
                <w:bCs/>
                <w:iCs/>
                <w:sz w:val="18"/>
                <w:szCs w:val="18"/>
              </w:rPr>
              <w:t xml:space="preserve">për procesin e NAP-it. </w:t>
            </w:r>
          </w:p>
        </w:tc>
        <w:tc>
          <w:tcPr>
            <w:tcW w:w="3330" w:type="dxa"/>
            <w:tcBorders>
              <w:top w:val="single" w:sz="4" w:space="0" w:color="000000"/>
              <w:left w:val="single" w:sz="4" w:space="0" w:color="000000"/>
              <w:bottom w:val="single" w:sz="4" w:space="0" w:color="000000"/>
              <w:right w:val="single" w:sz="4" w:space="0" w:color="000000"/>
            </w:tcBorders>
            <w:hideMark/>
          </w:tcPr>
          <w:p w14:paraId="6EDD001F"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4.1: </w:t>
            </w:r>
            <w:r w:rsidRPr="007114AF">
              <w:rPr>
                <w:rFonts w:ascii="Garamond" w:hAnsi="Garamond"/>
                <w:bCs/>
                <w:iCs/>
                <w:sz w:val="18"/>
                <w:szCs w:val="18"/>
              </w:rPr>
              <w:t>Ngritja e një sistemi monitorim-vlerësimi, i cili ndjek statusin e zbatimit të veprimeve prioritare dhe mundëson bërjen e korrigjimeve në procesin e NAP-it.</w:t>
            </w:r>
          </w:p>
          <w:p w14:paraId="6EDD0020" w14:textId="77777777" w:rsidR="001617A3" w:rsidRPr="007114AF" w:rsidRDefault="001617A3" w:rsidP="001617A3">
            <w:pPr>
              <w:spacing w:after="0" w:line="240" w:lineRule="auto"/>
              <w:rPr>
                <w:rFonts w:ascii="Garamond" w:hAnsi="Garamond"/>
                <w:sz w:val="18"/>
                <w:szCs w:val="18"/>
              </w:rPr>
            </w:pPr>
            <w:r w:rsidRPr="007114AF">
              <w:rPr>
                <w:rFonts w:ascii="Garamond" w:hAnsi="Garamond"/>
                <w:b/>
                <w:sz w:val="18"/>
                <w:szCs w:val="18"/>
              </w:rPr>
              <w:t xml:space="preserve">Treguesi 5.1: </w:t>
            </w:r>
            <w:r w:rsidRPr="007114AF">
              <w:rPr>
                <w:rFonts w:ascii="Garamond" w:hAnsi="Garamond"/>
                <w:sz w:val="18"/>
                <w:szCs w:val="18"/>
              </w:rPr>
              <w:t>Raportet e vlerësimit për procesin e NAP-it dalin çdo 4 vjet dhe japin rekomandime për korrigjimet e mundshme të procesit.</w:t>
            </w:r>
          </w:p>
        </w:tc>
        <w:tc>
          <w:tcPr>
            <w:tcW w:w="1350" w:type="dxa"/>
            <w:tcBorders>
              <w:top w:val="single" w:sz="4" w:space="0" w:color="000000"/>
              <w:left w:val="single" w:sz="4" w:space="0" w:color="000000"/>
              <w:bottom w:val="single" w:sz="4" w:space="0" w:color="000000"/>
              <w:right w:val="single" w:sz="4" w:space="0" w:color="000000"/>
            </w:tcBorders>
          </w:tcPr>
          <w:p w14:paraId="6EDD0021" w14:textId="77777777" w:rsidR="001617A3" w:rsidRPr="007114AF" w:rsidRDefault="001617A3" w:rsidP="001617A3">
            <w:pPr>
              <w:spacing w:after="0" w:line="240" w:lineRule="auto"/>
              <w:rPr>
                <w:rFonts w:ascii="Garamond" w:hAnsi="Garamond"/>
                <w:sz w:val="18"/>
                <w:szCs w:val="18"/>
              </w:rPr>
            </w:pPr>
            <w:r w:rsidRPr="007114AF">
              <w:rPr>
                <w:rFonts w:ascii="Garamond" w:hAnsi="Garamond"/>
                <w:sz w:val="18"/>
                <w:szCs w:val="18"/>
              </w:rPr>
              <w:t>SP.3; SP.6</w:t>
            </w:r>
          </w:p>
        </w:tc>
      </w:tr>
      <w:tr w:rsidR="001617A3" w:rsidRPr="007114AF" w14:paraId="6EDD0033" w14:textId="77777777" w:rsidTr="001C467C">
        <w:tc>
          <w:tcPr>
            <w:tcW w:w="1393" w:type="dxa"/>
            <w:tcBorders>
              <w:top w:val="single" w:sz="4" w:space="0" w:color="000000"/>
              <w:left w:val="single" w:sz="4" w:space="0" w:color="000000"/>
              <w:bottom w:val="single" w:sz="4" w:space="0" w:color="000000"/>
              <w:right w:val="single" w:sz="4" w:space="0" w:color="000000"/>
            </w:tcBorders>
            <w:hideMark/>
          </w:tcPr>
          <w:p w14:paraId="6EDD0023" w14:textId="77777777" w:rsidR="001617A3" w:rsidRPr="007114AF" w:rsidRDefault="001617A3" w:rsidP="001617A3">
            <w:pPr>
              <w:spacing w:after="0" w:line="240" w:lineRule="auto"/>
              <w:rPr>
                <w:rFonts w:ascii="Garamond" w:hAnsi="Garamond"/>
                <w:sz w:val="18"/>
                <w:szCs w:val="18"/>
              </w:rPr>
            </w:pPr>
            <w:r w:rsidRPr="007114AF">
              <w:rPr>
                <w:rFonts w:ascii="Garamond" w:hAnsi="Garamond"/>
                <w:sz w:val="18"/>
                <w:szCs w:val="18"/>
              </w:rPr>
              <w:t>Integrimi</w:t>
            </w:r>
          </w:p>
        </w:tc>
        <w:tc>
          <w:tcPr>
            <w:tcW w:w="3503" w:type="dxa"/>
            <w:tcBorders>
              <w:top w:val="single" w:sz="4" w:space="0" w:color="000000"/>
              <w:left w:val="single" w:sz="4" w:space="0" w:color="000000"/>
              <w:bottom w:val="single" w:sz="4" w:space="0" w:color="000000"/>
              <w:right w:val="single" w:sz="4" w:space="0" w:color="000000"/>
            </w:tcBorders>
          </w:tcPr>
          <w:p w14:paraId="6EDD0024"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Objektivi 6: </w:t>
            </w:r>
            <w:r w:rsidRPr="007114AF">
              <w:rPr>
                <w:rFonts w:ascii="Garamond" w:hAnsi="Garamond"/>
                <w:bCs/>
                <w:iCs/>
                <w:sz w:val="18"/>
                <w:szCs w:val="18"/>
              </w:rPr>
              <w:t>Pasqyrimi i përshtatjes ndaj ndryshimeve klimatike në procesin e formulimit dhe zbatimit të SKZHI-së.</w:t>
            </w:r>
          </w:p>
          <w:p w14:paraId="6EDD0025"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Objektivi 7: </w:t>
            </w:r>
            <w:r w:rsidRPr="007114AF">
              <w:rPr>
                <w:rFonts w:ascii="Garamond" w:hAnsi="Garamond"/>
                <w:bCs/>
                <w:iCs/>
                <w:sz w:val="18"/>
                <w:szCs w:val="18"/>
              </w:rPr>
              <w:t>Nxitja e përshtatjes ndaj ndryshimeve klimatike në asistencën për aderim në përputhje me objektivat e politikës së BE-së për përshtatjen.</w:t>
            </w:r>
          </w:p>
          <w:p w14:paraId="6EDD0026" w14:textId="0C13FBAF"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Objektivi 8: </w:t>
            </w:r>
            <w:r w:rsidRPr="007114AF">
              <w:rPr>
                <w:rFonts w:ascii="Garamond" w:hAnsi="Garamond"/>
                <w:bCs/>
                <w:iCs/>
                <w:sz w:val="18"/>
                <w:szCs w:val="18"/>
              </w:rPr>
              <w:t>Planifikimi territorial dhe rregulloret p</w:t>
            </w:r>
            <w:r w:rsidR="00C6608F" w:rsidRPr="007114AF">
              <w:rPr>
                <w:rFonts w:ascii="Garamond" w:hAnsi="Garamond"/>
                <w:bCs/>
                <w:iCs/>
                <w:sz w:val="18"/>
                <w:szCs w:val="18"/>
              </w:rPr>
              <w:t>ë</w:t>
            </w:r>
            <w:r w:rsidRPr="007114AF">
              <w:rPr>
                <w:rFonts w:ascii="Garamond" w:hAnsi="Garamond"/>
                <w:bCs/>
                <w:iCs/>
                <w:sz w:val="18"/>
                <w:szCs w:val="18"/>
              </w:rPr>
              <w:t>r planin bregdetar për të adresuar</w:t>
            </w:r>
            <w:r w:rsidR="000A2A01" w:rsidRPr="007114AF">
              <w:rPr>
                <w:rFonts w:ascii="Garamond" w:hAnsi="Garamond"/>
                <w:bCs/>
                <w:iCs/>
                <w:sz w:val="18"/>
                <w:szCs w:val="18"/>
              </w:rPr>
              <w:t xml:space="preserve"> </w:t>
            </w:r>
            <w:r w:rsidRPr="007114AF">
              <w:rPr>
                <w:rFonts w:ascii="Garamond" w:hAnsi="Garamond"/>
                <w:bCs/>
                <w:iCs/>
                <w:sz w:val="18"/>
                <w:szCs w:val="18"/>
              </w:rPr>
              <w:t>masat për përshtatjen ndaj ndryshimeve klimatike që duhen marrë nga bashkitë në nivel vendor.</w:t>
            </w:r>
          </w:p>
          <w:p w14:paraId="6EDD0027"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Objektivi 9: </w:t>
            </w:r>
            <w:r w:rsidRPr="007114AF">
              <w:rPr>
                <w:rFonts w:ascii="Garamond" w:hAnsi="Garamond"/>
                <w:bCs/>
                <w:iCs/>
                <w:sz w:val="18"/>
                <w:szCs w:val="18"/>
              </w:rPr>
              <w:t>Strategjia Ndërsektoriale për Bujqësinë dhe Zhvillimin Rural të orientojë aftësinë rimëkëmbëse të prodhimit bujqësor ndaj ndryshimeve klimatike.</w:t>
            </w:r>
          </w:p>
          <w:p w14:paraId="6EDD0028"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Objektivi 10: </w:t>
            </w:r>
            <w:r w:rsidRPr="007114AF">
              <w:rPr>
                <w:rFonts w:ascii="Garamond" w:hAnsi="Garamond"/>
                <w:bCs/>
                <w:iCs/>
                <w:sz w:val="18"/>
                <w:szCs w:val="18"/>
              </w:rPr>
              <w:t>Strategjia për Menaxhimin e Integruar të Burimeve Ujore si dhe Planet e Menaxhimit të baseneve lumorë të përfshijnë masat e përshtatjes në fushën e disponibilitetit të ujit.</w:t>
            </w:r>
          </w:p>
          <w:p w14:paraId="6EDD0029" w14:textId="77777777" w:rsidR="001617A3" w:rsidRPr="007114AF" w:rsidRDefault="001617A3" w:rsidP="001617A3">
            <w:pPr>
              <w:spacing w:after="0" w:line="240" w:lineRule="auto"/>
              <w:rPr>
                <w:rFonts w:ascii="Garamond" w:hAnsi="Garamond"/>
                <w:sz w:val="18"/>
                <w:szCs w:val="18"/>
              </w:rPr>
            </w:pPr>
            <w:r w:rsidRPr="007114AF">
              <w:rPr>
                <w:rFonts w:ascii="Garamond" w:hAnsi="Garamond"/>
                <w:b/>
                <w:sz w:val="18"/>
                <w:szCs w:val="18"/>
              </w:rPr>
              <w:t xml:space="preserve">Objektivi 11: </w:t>
            </w:r>
            <w:r w:rsidRPr="007114AF">
              <w:rPr>
                <w:rFonts w:ascii="Garamond" w:hAnsi="Garamond"/>
                <w:sz w:val="18"/>
                <w:szCs w:val="18"/>
              </w:rPr>
              <w:t>Strategjia Kombëtare për Energjinë të orientojë masat e përshtatjes në fushën e prodhimit të energjisë.</w:t>
            </w:r>
          </w:p>
        </w:tc>
        <w:tc>
          <w:tcPr>
            <w:tcW w:w="3330" w:type="dxa"/>
            <w:tcBorders>
              <w:top w:val="single" w:sz="4" w:space="0" w:color="000000"/>
              <w:left w:val="single" w:sz="4" w:space="0" w:color="000000"/>
              <w:bottom w:val="single" w:sz="4" w:space="0" w:color="000000"/>
              <w:right w:val="single" w:sz="4" w:space="0" w:color="000000"/>
            </w:tcBorders>
          </w:tcPr>
          <w:p w14:paraId="6EDD002A"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6.1: </w:t>
            </w:r>
            <w:r w:rsidRPr="007114AF">
              <w:rPr>
                <w:rFonts w:ascii="Garamond" w:hAnsi="Garamond"/>
                <w:bCs/>
                <w:iCs/>
                <w:sz w:val="18"/>
                <w:szCs w:val="18"/>
              </w:rPr>
              <w:t>Krijohet një mekanizëm për reflektimin e rregullt të përshtatjes ndaj ndryshimeve klimatike, si pjesë e procesit të zbatimit të SKZHI-së.</w:t>
            </w:r>
          </w:p>
          <w:p w14:paraId="6EDD002B"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6.2: </w:t>
            </w:r>
            <w:r w:rsidRPr="007114AF">
              <w:rPr>
                <w:rFonts w:ascii="Garamond" w:hAnsi="Garamond"/>
                <w:bCs/>
                <w:iCs/>
                <w:sz w:val="18"/>
                <w:szCs w:val="18"/>
              </w:rPr>
              <w:t>Në një strategji sektoriale përkatëse përfshihet të paktën një qasje integruese në vit.</w:t>
            </w:r>
          </w:p>
          <w:p w14:paraId="6EDD002C"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7.1: </w:t>
            </w:r>
            <w:r w:rsidRPr="007114AF">
              <w:rPr>
                <w:rFonts w:ascii="Garamond" w:hAnsi="Garamond"/>
                <w:bCs/>
                <w:iCs/>
                <w:sz w:val="18"/>
                <w:szCs w:val="18"/>
              </w:rPr>
              <w:t>Asistenca financiare e BE-së brenda kuadrit të IPA-s ndiqet në përputhje me treguesit statistikorë të OECD-CAD-së për ndryshimet klimatike.</w:t>
            </w:r>
          </w:p>
          <w:p w14:paraId="6EDD002D"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8.1: </w:t>
            </w:r>
            <w:r w:rsidRPr="007114AF">
              <w:rPr>
                <w:rFonts w:ascii="Garamond" w:hAnsi="Garamond"/>
                <w:bCs/>
                <w:iCs/>
                <w:sz w:val="18"/>
                <w:szCs w:val="18"/>
              </w:rPr>
              <w:t>Bashkitë më vulnerabël ndaj ndryshimeve klimatike i kanë transferuar kornizat kombëtare të përshtatjes në strategjitë vendore për zhvillim dhe në planet e qeverisjes vendore.</w:t>
            </w:r>
          </w:p>
          <w:p w14:paraId="6EDD002E"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9.1: </w:t>
            </w:r>
            <w:r w:rsidRPr="007114AF">
              <w:rPr>
                <w:rFonts w:ascii="Garamond" w:hAnsi="Garamond"/>
                <w:bCs/>
                <w:iCs/>
                <w:sz w:val="18"/>
                <w:szCs w:val="18"/>
              </w:rPr>
              <w:t>Masat e përshtatjes që përcaktohen në Strategjinë Ndërsektoriale për Bujqësinë dhe Zhvillimin Rural janë duke u zbatuar.</w:t>
            </w:r>
          </w:p>
          <w:p w14:paraId="6EDD002F" w14:textId="5027606B"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10.1: </w:t>
            </w:r>
            <w:r w:rsidRPr="007114AF">
              <w:rPr>
                <w:rFonts w:ascii="Garamond" w:hAnsi="Garamond"/>
                <w:bCs/>
                <w:iCs/>
                <w:sz w:val="18"/>
                <w:szCs w:val="18"/>
              </w:rPr>
              <w:t>Masat e përshtatjes ndaj ndryshimeve klimatike të pasqyrohen në mënyrë adekuate në planin dhe procesin e zbatimit për dy plane menaxhimi pilote të baseneve lumore.</w:t>
            </w:r>
            <w:r w:rsidR="00191838" w:rsidRPr="007114AF">
              <w:rPr>
                <w:rFonts w:ascii="Garamond" w:hAnsi="Garamond"/>
                <w:bCs/>
                <w:iCs/>
                <w:sz w:val="18"/>
                <w:szCs w:val="18"/>
              </w:rPr>
              <w:t>.</w:t>
            </w:r>
          </w:p>
          <w:p w14:paraId="6EDD0030"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11.1: </w:t>
            </w:r>
            <w:r w:rsidRPr="007114AF">
              <w:rPr>
                <w:rFonts w:ascii="Garamond" w:hAnsi="Garamond"/>
                <w:bCs/>
                <w:iCs/>
                <w:sz w:val="18"/>
                <w:szCs w:val="18"/>
              </w:rPr>
              <w:t>Masat e përshtatjes që përcaktohen në Strategjinë Kombëtare për Energjinë janë duke u zbatuar.</w:t>
            </w:r>
          </w:p>
          <w:p w14:paraId="6EDD0031" w14:textId="77777777" w:rsidR="001617A3" w:rsidRPr="007114AF" w:rsidRDefault="001617A3" w:rsidP="001617A3">
            <w:pPr>
              <w:spacing w:after="0" w:line="240" w:lineRule="auto"/>
              <w:rPr>
                <w:rFonts w:ascii="Garamond" w:hAnsi="Garamond"/>
                <w:sz w:val="18"/>
                <w:szCs w:val="18"/>
              </w:rPr>
            </w:pPr>
          </w:p>
        </w:tc>
        <w:tc>
          <w:tcPr>
            <w:tcW w:w="1350" w:type="dxa"/>
            <w:tcBorders>
              <w:top w:val="single" w:sz="4" w:space="0" w:color="000000"/>
              <w:left w:val="single" w:sz="4" w:space="0" w:color="000000"/>
              <w:bottom w:val="single" w:sz="4" w:space="0" w:color="000000"/>
              <w:right w:val="single" w:sz="4" w:space="0" w:color="000000"/>
            </w:tcBorders>
          </w:tcPr>
          <w:p w14:paraId="6EDD0032" w14:textId="77777777" w:rsidR="001617A3" w:rsidRPr="007114AF" w:rsidRDefault="001617A3" w:rsidP="001617A3">
            <w:pPr>
              <w:spacing w:after="0" w:line="240" w:lineRule="auto"/>
              <w:rPr>
                <w:rFonts w:ascii="Garamond" w:hAnsi="Garamond"/>
                <w:sz w:val="18"/>
                <w:szCs w:val="18"/>
              </w:rPr>
            </w:pPr>
            <w:r w:rsidRPr="007114AF">
              <w:rPr>
                <w:rFonts w:ascii="Garamond" w:hAnsi="Garamond"/>
                <w:sz w:val="18"/>
                <w:szCs w:val="18"/>
              </w:rPr>
              <w:t xml:space="preserve">SP.4; SP.6 </w:t>
            </w:r>
          </w:p>
        </w:tc>
      </w:tr>
      <w:tr w:rsidR="001617A3" w:rsidRPr="007114AF" w14:paraId="6EDD003D" w14:textId="77777777" w:rsidTr="001C467C">
        <w:tc>
          <w:tcPr>
            <w:tcW w:w="1393" w:type="dxa"/>
            <w:tcBorders>
              <w:top w:val="single" w:sz="4" w:space="0" w:color="000000"/>
              <w:left w:val="single" w:sz="4" w:space="0" w:color="000000"/>
              <w:bottom w:val="single" w:sz="4" w:space="0" w:color="000000"/>
              <w:right w:val="single" w:sz="4" w:space="0" w:color="000000"/>
            </w:tcBorders>
            <w:hideMark/>
          </w:tcPr>
          <w:p w14:paraId="6EDD0034" w14:textId="77777777" w:rsidR="001617A3" w:rsidRPr="00E646DC" w:rsidRDefault="001617A3" w:rsidP="001617A3">
            <w:pPr>
              <w:spacing w:after="0" w:line="240" w:lineRule="auto"/>
              <w:rPr>
                <w:rFonts w:ascii="Garamond" w:hAnsi="Garamond"/>
                <w:sz w:val="18"/>
                <w:szCs w:val="18"/>
              </w:rPr>
            </w:pPr>
            <w:r w:rsidRPr="00E646DC">
              <w:rPr>
                <w:rFonts w:ascii="Garamond" w:hAnsi="Garamond"/>
                <w:sz w:val="18"/>
                <w:szCs w:val="18"/>
              </w:rPr>
              <w:t>Financimi mbi klimën</w:t>
            </w:r>
          </w:p>
        </w:tc>
        <w:tc>
          <w:tcPr>
            <w:tcW w:w="3503" w:type="dxa"/>
            <w:tcBorders>
              <w:top w:val="single" w:sz="4" w:space="0" w:color="000000"/>
              <w:left w:val="single" w:sz="4" w:space="0" w:color="000000"/>
              <w:bottom w:val="single" w:sz="4" w:space="0" w:color="000000"/>
              <w:right w:val="single" w:sz="4" w:space="0" w:color="000000"/>
            </w:tcBorders>
          </w:tcPr>
          <w:p w14:paraId="6EDD0035" w14:textId="77777777" w:rsidR="001617A3" w:rsidRPr="00E646DC" w:rsidRDefault="001617A3" w:rsidP="001617A3">
            <w:pPr>
              <w:pStyle w:val="Standardtextbody"/>
              <w:pBdr>
                <w:bar w:val="single" w:sz="4" w:color="FF8080"/>
              </w:pBdr>
              <w:spacing w:after="0" w:line="240" w:lineRule="auto"/>
              <w:jc w:val="both"/>
              <w:rPr>
                <w:rFonts w:ascii="Garamond" w:eastAsiaTheme="minorEastAsia" w:hAnsi="Garamond" w:cstheme="minorBidi"/>
                <w:bCs w:val="0"/>
                <w:iCs w:val="0"/>
                <w:sz w:val="18"/>
                <w:szCs w:val="18"/>
                <w:lang w:val="sq-AL" w:eastAsia="it-IT"/>
              </w:rPr>
            </w:pPr>
            <w:r w:rsidRPr="00E646DC">
              <w:rPr>
                <w:rFonts w:ascii="Garamond" w:eastAsiaTheme="minorEastAsia" w:hAnsi="Garamond" w:cstheme="minorBidi"/>
                <w:b/>
                <w:bCs w:val="0"/>
                <w:iCs w:val="0"/>
                <w:sz w:val="18"/>
                <w:szCs w:val="18"/>
                <w:lang w:val="sq-AL" w:eastAsia="it-IT"/>
              </w:rPr>
              <w:t xml:space="preserve">Objektivi 12: </w:t>
            </w:r>
            <w:r w:rsidRPr="00E646DC">
              <w:rPr>
                <w:rFonts w:ascii="Garamond" w:eastAsiaTheme="minorEastAsia" w:hAnsi="Garamond" w:cstheme="minorBidi"/>
                <w:bCs w:val="0"/>
                <w:iCs w:val="0"/>
                <w:sz w:val="18"/>
                <w:szCs w:val="18"/>
                <w:lang w:val="sq-AL" w:eastAsia="it-IT"/>
              </w:rPr>
              <w:t>Aksesimi me sukses i buxhetit publik të Shqipërisë për financimin e zbatimit të NAP-it.</w:t>
            </w:r>
          </w:p>
          <w:p w14:paraId="6EDD0036" w14:textId="77777777" w:rsidR="001617A3" w:rsidRPr="00E646DC" w:rsidRDefault="001617A3" w:rsidP="001617A3">
            <w:pPr>
              <w:pStyle w:val="Standardtextbody"/>
              <w:pBdr>
                <w:bar w:val="single" w:sz="4" w:color="FF8080"/>
              </w:pBdr>
              <w:spacing w:after="0" w:line="240" w:lineRule="auto"/>
              <w:jc w:val="both"/>
              <w:rPr>
                <w:rFonts w:ascii="Garamond" w:hAnsi="Garamond"/>
                <w:sz w:val="18"/>
                <w:szCs w:val="18"/>
                <w:lang w:val="sq-AL"/>
              </w:rPr>
            </w:pPr>
            <w:r w:rsidRPr="00E646DC">
              <w:rPr>
                <w:rFonts w:ascii="Garamond" w:eastAsiaTheme="minorEastAsia" w:hAnsi="Garamond" w:cstheme="minorBidi"/>
                <w:b/>
                <w:bCs w:val="0"/>
                <w:iCs w:val="0"/>
                <w:sz w:val="18"/>
                <w:szCs w:val="18"/>
                <w:lang w:val="sq-AL" w:eastAsia="it-IT"/>
              </w:rPr>
              <w:t xml:space="preserve">Objektivi 13: </w:t>
            </w:r>
            <w:r w:rsidRPr="00E646DC">
              <w:rPr>
                <w:rFonts w:ascii="Garamond" w:eastAsiaTheme="minorEastAsia" w:hAnsi="Garamond" w:cstheme="minorBidi"/>
                <w:bCs w:val="0"/>
                <w:iCs w:val="0"/>
                <w:sz w:val="18"/>
                <w:szCs w:val="18"/>
                <w:lang w:val="sq-AL" w:eastAsia="it-IT"/>
              </w:rPr>
              <w:t>Kërkesat e miratuara për projekte të cilat sigurojnë mbështetje e GCF-ës për procesin e përshtatjes në Shqipëri</w:t>
            </w:r>
            <w:r w:rsidRPr="00E646DC">
              <w:rPr>
                <w:rFonts w:ascii="Garamond" w:hAnsi="Garamond"/>
                <w:sz w:val="18"/>
                <w:szCs w:val="18"/>
                <w:lang w:val="sq-AL"/>
              </w:rPr>
              <w:t>.</w:t>
            </w:r>
          </w:p>
          <w:p w14:paraId="6EDD0037" w14:textId="77777777" w:rsidR="001617A3" w:rsidRPr="00E646DC" w:rsidRDefault="001617A3" w:rsidP="001617A3">
            <w:pPr>
              <w:spacing w:after="0" w:line="240" w:lineRule="auto"/>
              <w:rPr>
                <w:rFonts w:ascii="Garamond" w:hAnsi="Garamond"/>
                <w:sz w:val="18"/>
                <w:szCs w:val="18"/>
              </w:rPr>
            </w:pPr>
          </w:p>
          <w:p w14:paraId="6EDD0038" w14:textId="77777777" w:rsidR="001617A3" w:rsidRPr="00E646DC" w:rsidRDefault="001617A3" w:rsidP="001617A3">
            <w:pPr>
              <w:spacing w:after="0" w:line="240" w:lineRule="auto"/>
              <w:rPr>
                <w:rFonts w:ascii="Garamond" w:hAnsi="Garamond"/>
                <w:sz w:val="18"/>
                <w:szCs w:val="18"/>
              </w:rPr>
            </w:pPr>
          </w:p>
        </w:tc>
        <w:tc>
          <w:tcPr>
            <w:tcW w:w="3330" w:type="dxa"/>
            <w:tcBorders>
              <w:top w:val="single" w:sz="4" w:space="0" w:color="000000"/>
              <w:left w:val="single" w:sz="4" w:space="0" w:color="000000"/>
              <w:bottom w:val="single" w:sz="4" w:space="0" w:color="000000"/>
              <w:right w:val="single" w:sz="4" w:space="0" w:color="000000"/>
            </w:tcBorders>
            <w:hideMark/>
          </w:tcPr>
          <w:p w14:paraId="6EDD0039" w14:textId="7E5F33EA" w:rsidR="001617A3" w:rsidRPr="00E646DC" w:rsidRDefault="001617A3" w:rsidP="001617A3">
            <w:pPr>
              <w:spacing w:after="0" w:line="240" w:lineRule="auto"/>
              <w:rPr>
                <w:rFonts w:ascii="Garamond" w:hAnsi="Garamond"/>
                <w:b/>
                <w:bCs/>
                <w:iCs/>
                <w:sz w:val="18"/>
                <w:szCs w:val="18"/>
              </w:rPr>
            </w:pPr>
            <w:r w:rsidRPr="00E646DC">
              <w:rPr>
                <w:rFonts w:ascii="Garamond" w:hAnsi="Garamond"/>
                <w:b/>
                <w:bCs/>
                <w:iCs/>
                <w:sz w:val="18"/>
                <w:szCs w:val="18"/>
              </w:rPr>
              <w:t xml:space="preserve">Treguesi 12.1: </w:t>
            </w:r>
            <w:r w:rsidRPr="00E646DC">
              <w:rPr>
                <w:rFonts w:ascii="Garamond" w:hAnsi="Garamond"/>
                <w:bCs/>
                <w:iCs/>
                <w:sz w:val="18"/>
                <w:szCs w:val="18"/>
              </w:rPr>
              <w:t xml:space="preserve">Evidencat publike tregojnë se të paktën 5 </w:t>
            </w:r>
            <w:r w:rsidR="001C47F0" w:rsidRPr="00E646DC">
              <w:rPr>
                <w:rFonts w:ascii="Garamond" w:hAnsi="Garamond"/>
                <w:bCs/>
                <w:iCs/>
                <w:sz w:val="18"/>
                <w:szCs w:val="18"/>
              </w:rPr>
              <w:t xml:space="preserve">milionë </w:t>
            </w:r>
            <w:r w:rsidRPr="00E646DC">
              <w:rPr>
                <w:rFonts w:ascii="Garamond" w:hAnsi="Garamond"/>
                <w:bCs/>
                <w:iCs/>
                <w:sz w:val="18"/>
                <w:szCs w:val="18"/>
              </w:rPr>
              <w:t>USD janë shpenzuar brenda muajit janar 2018, si fillim, nga buxheti publik i Shqipërisë për zbatimin e NAP-it.</w:t>
            </w:r>
          </w:p>
          <w:p w14:paraId="6EDD003A" w14:textId="77777777" w:rsidR="001617A3" w:rsidRPr="00E646DC" w:rsidRDefault="001617A3" w:rsidP="001617A3">
            <w:pPr>
              <w:spacing w:after="0" w:line="240" w:lineRule="auto"/>
              <w:rPr>
                <w:rFonts w:ascii="Garamond" w:hAnsi="Garamond"/>
                <w:b/>
                <w:sz w:val="18"/>
                <w:szCs w:val="18"/>
              </w:rPr>
            </w:pPr>
            <w:r w:rsidRPr="00E646DC">
              <w:rPr>
                <w:rFonts w:ascii="Garamond" w:hAnsi="Garamond"/>
                <w:b/>
                <w:sz w:val="18"/>
                <w:szCs w:val="18"/>
              </w:rPr>
              <w:t xml:space="preserve">Treguesi 13.1: </w:t>
            </w:r>
            <w:r w:rsidRPr="00E646DC">
              <w:rPr>
                <w:rFonts w:ascii="Garamond" w:hAnsi="Garamond"/>
                <w:sz w:val="18"/>
                <w:szCs w:val="18"/>
              </w:rPr>
              <w:t>GCF-ja i ka dhënë Shqipërisë mbështetje financiare për aktivitetet e gatishmërisë brenda muajit dhjetor 2016.</w:t>
            </w:r>
          </w:p>
          <w:p w14:paraId="6EDD003B" w14:textId="75AB1381" w:rsidR="001617A3" w:rsidRPr="00E646DC" w:rsidRDefault="001617A3" w:rsidP="001617A3">
            <w:pPr>
              <w:spacing w:after="0" w:line="240" w:lineRule="auto"/>
              <w:rPr>
                <w:rFonts w:ascii="Garamond" w:hAnsi="Garamond"/>
                <w:sz w:val="18"/>
                <w:szCs w:val="18"/>
              </w:rPr>
            </w:pPr>
            <w:r w:rsidRPr="00E646DC">
              <w:rPr>
                <w:rFonts w:ascii="Garamond" w:hAnsi="Garamond"/>
                <w:b/>
                <w:sz w:val="18"/>
                <w:szCs w:val="18"/>
              </w:rPr>
              <w:t xml:space="preserve">Treguesi 13.2: </w:t>
            </w:r>
            <w:r w:rsidRPr="00E646DC">
              <w:rPr>
                <w:rFonts w:ascii="Garamond" w:hAnsi="Garamond"/>
                <w:sz w:val="18"/>
                <w:szCs w:val="18"/>
              </w:rPr>
              <w:t>Një propozim me rëndësi për zbatimin e NAP-it</w:t>
            </w:r>
            <w:r w:rsidR="00C6608F" w:rsidRPr="00E646DC">
              <w:rPr>
                <w:rFonts w:ascii="Garamond" w:hAnsi="Garamond"/>
                <w:sz w:val="18"/>
                <w:szCs w:val="18"/>
              </w:rPr>
              <w:t xml:space="preserve"> </w:t>
            </w:r>
            <w:r w:rsidRPr="00E646DC">
              <w:rPr>
                <w:rFonts w:ascii="Garamond" w:hAnsi="Garamond"/>
                <w:sz w:val="18"/>
                <w:szCs w:val="18"/>
              </w:rPr>
              <w:t>të Shqipërisë është aprovuar nga mbledhja e Këshillit të GCF-së në muajin mars 2018.</w:t>
            </w:r>
          </w:p>
        </w:tc>
        <w:tc>
          <w:tcPr>
            <w:tcW w:w="1350" w:type="dxa"/>
            <w:tcBorders>
              <w:top w:val="single" w:sz="4" w:space="0" w:color="000000"/>
              <w:left w:val="single" w:sz="4" w:space="0" w:color="000000"/>
              <w:bottom w:val="single" w:sz="4" w:space="0" w:color="000000"/>
              <w:right w:val="single" w:sz="4" w:space="0" w:color="000000"/>
            </w:tcBorders>
          </w:tcPr>
          <w:p w14:paraId="6EDD003C" w14:textId="77777777" w:rsidR="001617A3" w:rsidRPr="007114AF" w:rsidRDefault="001617A3" w:rsidP="001617A3">
            <w:pPr>
              <w:spacing w:after="0" w:line="240" w:lineRule="auto"/>
              <w:rPr>
                <w:rFonts w:ascii="Garamond" w:hAnsi="Garamond"/>
                <w:sz w:val="18"/>
                <w:szCs w:val="18"/>
              </w:rPr>
            </w:pPr>
            <w:r w:rsidRPr="00E646DC">
              <w:rPr>
                <w:rFonts w:ascii="Garamond" w:hAnsi="Garamond"/>
                <w:sz w:val="18"/>
                <w:szCs w:val="18"/>
              </w:rPr>
              <w:t>SP.3; SP.5</w:t>
            </w:r>
          </w:p>
        </w:tc>
      </w:tr>
      <w:tr w:rsidR="001617A3" w:rsidRPr="007114AF" w14:paraId="6EDD0043" w14:textId="77777777" w:rsidTr="001C467C">
        <w:tc>
          <w:tcPr>
            <w:tcW w:w="1393" w:type="dxa"/>
            <w:tcBorders>
              <w:top w:val="single" w:sz="4" w:space="0" w:color="000000"/>
              <w:left w:val="single" w:sz="4" w:space="0" w:color="000000"/>
              <w:bottom w:val="single" w:sz="4" w:space="0" w:color="000000"/>
              <w:right w:val="single" w:sz="4" w:space="0" w:color="000000"/>
            </w:tcBorders>
            <w:hideMark/>
          </w:tcPr>
          <w:p w14:paraId="6EDD003E" w14:textId="77777777" w:rsidR="001617A3" w:rsidRPr="007114AF" w:rsidRDefault="001617A3" w:rsidP="001617A3">
            <w:pPr>
              <w:spacing w:after="0" w:line="240" w:lineRule="auto"/>
              <w:rPr>
                <w:rFonts w:ascii="Garamond" w:hAnsi="Garamond"/>
                <w:sz w:val="18"/>
                <w:szCs w:val="18"/>
              </w:rPr>
            </w:pPr>
            <w:r w:rsidRPr="007114AF">
              <w:rPr>
                <w:rFonts w:ascii="Garamond" w:hAnsi="Garamond"/>
                <w:sz w:val="18"/>
                <w:szCs w:val="18"/>
              </w:rPr>
              <w:t>Komunikimi dhe përfshirja e publikut</w:t>
            </w:r>
          </w:p>
        </w:tc>
        <w:tc>
          <w:tcPr>
            <w:tcW w:w="3503" w:type="dxa"/>
            <w:tcBorders>
              <w:top w:val="single" w:sz="4" w:space="0" w:color="000000"/>
              <w:left w:val="single" w:sz="4" w:space="0" w:color="000000"/>
              <w:bottom w:val="single" w:sz="4" w:space="0" w:color="000000"/>
              <w:right w:val="single" w:sz="4" w:space="0" w:color="000000"/>
            </w:tcBorders>
            <w:hideMark/>
          </w:tcPr>
          <w:p w14:paraId="6EDD003F" w14:textId="77777777" w:rsidR="001617A3" w:rsidRPr="007114AF" w:rsidRDefault="001617A3" w:rsidP="001617A3">
            <w:pPr>
              <w:spacing w:after="0" w:line="240" w:lineRule="auto"/>
              <w:rPr>
                <w:rFonts w:ascii="Garamond" w:hAnsi="Garamond"/>
                <w:sz w:val="18"/>
                <w:szCs w:val="18"/>
              </w:rPr>
            </w:pPr>
            <w:r w:rsidRPr="007114AF">
              <w:rPr>
                <w:rFonts w:ascii="Garamond" w:hAnsi="Garamond"/>
                <w:b/>
                <w:sz w:val="18"/>
                <w:szCs w:val="18"/>
              </w:rPr>
              <w:t xml:space="preserve">Objektivi 14: </w:t>
            </w:r>
            <w:r w:rsidRPr="007114AF">
              <w:rPr>
                <w:rFonts w:ascii="Garamond" w:hAnsi="Garamond"/>
                <w:sz w:val="18"/>
                <w:szCs w:val="18"/>
              </w:rPr>
              <w:t>Publiku të informohet për ecurinë e përshtatjes ndaj ndryshimeve klimatike.</w:t>
            </w:r>
          </w:p>
        </w:tc>
        <w:tc>
          <w:tcPr>
            <w:tcW w:w="3330" w:type="dxa"/>
            <w:tcBorders>
              <w:top w:val="single" w:sz="4" w:space="0" w:color="000000"/>
              <w:left w:val="single" w:sz="4" w:space="0" w:color="000000"/>
              <w:bottom w:val="single" w:sz="4" w:space="0" w:color="000000"/>
              <w:right w:val="single" w:sz="4" w:space="0" w:color="000000"/>
            </w:tcBorders>
            <w:hideMark/>
          </w:tcPr>
          <w:p w14:paraId="6EDD0040"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14.1: </w:t>
            </w:r>
            <w:r w:rsidRPr="007114AF">
              <w:rPr>
                <w:rFonts w:ascii="Garamond" w:hAnsi="Garamond"/>
                <w:bCs/>
                <w:iCs/>
                <w:sz w:val="18"/>
                <w:szCs w:val="18"/>
              </w:rPr>
              <w:t>Informacioni për përshtatjen përfshihet në sistemin e ri të realizimit të shërbimeve publike dhe qeverisjes elektronike (të parashikuar nga SKZHI).</w:t>
            </w:r>
          </w:p>
          <w:p w14:paraId="6EDD0041" w14:textId="3F183F23" w:rsidR="001617A3" w:rsidRPr="007114AF" w:rsidRDefault="001617A3" w:rsidP="001617A3">
            <w:pPr>
              <w:spacing w:after="0" w:line="240" w:lineRule="auto"/>
              <w:rPr>
                <w:rFonts w:ascii="Garamond" w:hAnsi="Garamond"/>
                <w:bCs/>
                <w:iCs/>
                <w:sz w:val="18"/>
                <w:szCs w:val="18"/>
              </w:rPr>
            </w:pPr>
            <w:r w:rsidRPr="007114AF">
              <w:rPr>
                <w:rFonts w:ascii="Garamond" w:hAnsi="Garamond"/>
                <w:b/>
                <w:bCs/>
                <w:iCs/>
                <w:sz w:val="18"/>
                <w:szCs w:val="18"/>
              </w:rPr>
              <w:t xml:space="preserve">Treguesi 14.2: </w:t>
            </w:r>
            <w:r w:rsidRPr="007114AF">
              <w:rPr>
                <w:rFonts w:ascii="Garamond" w:hAnsi="Garamond"/>
                <w:bCs/>
                <w:iCs/>
                <w:sz w:val="18"/>
                <w:szCs w:val="18"/>
              </w:rPr>
              <w:t>Realizimi i një</w:t>
            </w:r>
            <w:r w:rsidR="00C6608F" w:rsidRPr="007114AF">
              <w:rPr>
                <w:rFonts w:ascii="Garamond" w:hAnsi="Garamond"/>
                <w:bCs/>
                <w:iCs/>
                <w:sz w:val="18"/>
                <w:szCs w:val="18"/>
              </w:rPr>
              <w:t xml:space="preserve"> </w:t>
            </w:r>
            <w:r w:rsidRPr="007114AF">
              <w:rPr>
                <w:rFonts w:ascii="Garamond" w:hAnsi="Garamond"/>
                <w:bCs/>
                <w:iCs/>
                <w:sz w:val="18"/>
                <w:szCs w:val="18"/>
              </w:rPr>
              <w:t>fushate në vit për çështjet e lidhura me përshtatjen ndaj ndryshimeve klimatike.</w:t>
            </w:r>
          </w:p>
        </w:tc>
        <w:tc>
          <w:tcPr>
            <w:tcW w:w="1350" w:type="dxa"/>
            <w:tcBorders>
              <w:top w:val="single" w:sz="4" w:space="0" w:color="000000"/>
              <w:left w:val="single" w:sz="4" w:space="0" w:color="000000"/>
              <w:bottom w:val="single" w:sz="4" w:space="0" w:color="000000"/>
              <w:right w:val="single" w:sz="4" w:space="0" w:color="000000"/>
            </w:tcBorders>
          </w:tcPr>
          <w:p w14:paraId="6EDD0042" w14:textId="77777777" w:rsidR="001617A3" w:rsidRPr="007114AF" w:rsidRDefault="001617A3" w:rsidP="001617A3">
            <w:pPr>
              <w:spacing w:after="0" w:line="240" w:lineRule="auto"/>
              <w:rPr>
                <w:rFonts w:ascii="Garamond" w:hAnsi="Garamond"/>
                <w:sz w:val="18"/>
                <w:szCs w:val="18"/>
              </w:rPr>
            </w:pPr>
            <w:r w:rsidRPr="007114AF">
              <w:rPr>
                <w:rFonts w:ascii="Garamond" w:hAnsi="Garamond"/>
                <w:sz w:val="18"/>
                <w:szCs w:val="18"/>
              </w:rPr>
              <w:t>SP.4; SP. 5</w:t>
            </w:r>
          </w:p>
        </w:tc>
      </w:tr>
      <w:tr w:rsidR="001617A3" w:rsidRPr="007114AF" w14:paraId="6EDD004A" w14:textId="77777777" w:rsidTr="00CF2A42">
        <w:trPr>
          <w:trHeight w:val="1799"/>
        </w:trPr>
        <w:tc>
          <w:tcPr>
            <w:tcW w:w="1393" w:type="dxa"/>
            <w:tcBorders>
              <w:top w:val="single" w:sz="4" w:space="0" w:color="000000"/>
              <w:left w:val="single" w:sz="4" w:space="0" w:color="000000"/>
              <w:bottom w:val="single" w:sz="4" w:space="0" w:color="000000"/>
              <w:right w:val="single" w:sz="4" w:space="0" w:color="000000"/>
            </w:tcBorders>
            <w:hideMark/>
          </w:tcPr>
          <w:p w14:paraId="6EDD0044" w14:textId="4BABD599" w:rsidR="001617A3" w:rsidRPr="007114AF" w:rsidRDefault="001617A3" w:rsidP="001617A3">
            <w:pPr>
              <w:spacing w:after="0" w:line="240" w:lineRule="auto"/>
              <w:rPr>
                <w:rFonts w:ascii="Garamond" w:hAnsi="Garamond"/>
                <w:sz w:val="18"/>
                <w:szCs w:val="18"/>
              </w:rPr>
            </w:pPr>
            <w:r w:rsidRPr="007114AF">
              <w:rPr>
                <w:rFonts w:ascii="Garamond" w:hAnsi="Garamond"/>
                <w:sz w:val="18"/>
                <w:szCs w:val="18"/>
              </w:rPr>
              <w:t>Ngritja e institucioneve</w:t>
            </w:r>
            <w:r w:rsidR="000A2A01" w:rsidRPr="007114AF">
              <w:rPr>
                <w:rFonts w:ascii="Garamond" w:hAnsi="Garamond"/>
                <w:sz w:val="18"/>
                <w:szCs w:val="18"/>
              </w:rPr>
              <w:t xml:space="preserve"> </w:t>
            </w:r>
            <w:r w:rsidRPr="007114AF">
              <w:rPr>
                <w:rFonts w:ascii="Garamond" w:hAnsi="Garamond"/>
                <w:sz w:val="18"/>
                <w:szCs w:val="18"/>
              </w:rPr>
              <w:t>dhe zhvillimi i kapaciteteve.</w:t>
            </w:r>
          </w:p>
        </w:tc>
        <w:tc>
          <w:tcPr>
            <w:tcW w:w="3503" w:type="dxa"/>
            <w:tcBorders>
              <w:top w:val="single" w:sz="4" w:space="0" w:color="000000"/>
              <w:left w:val="single" w:sz="4" w:space="0" w:color="000000"/>
              <w:bottom w:val="single" w:sz="4" w:space="0" w:color="000000"/>
              <w:right w:val="single" w:sz="4" w:space="0" w:color="000000"/>
            </w:tcBorders>
            <w:hideMark/>
          </w:tcPr>
          <w:p w14:paraId="6EDD0045" w14:textId="4FD6C3E8"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Objektivi 15: </w:t>
            </w:r>
            <w:r w:rsidRPr="007114AF">
              <w:rPr>
                <w:rFonts w:ascii="Garamond" w:hAnsi="Garamond"/>
                <w:bCs/>
                <w:iCs/>
                <w:sz w:val="18"/>
                <w:szCs w:val="18"/>
              </w:rPr>
              <w:t>Aktorët dhe palët e interesit të përfshira në procesin e NAP-it</w:t>
            </w:r>
            <w:r w:rsidR="000A2A01" w:rsidRPr="007114AF">
              <w:rPr>
                <w:rFonts w:ascii="Garamond" w:hAnsi="Garamond"/>
                <w:bCs/>
                <w:iCs/>
                <w:sz w:val="18"/>
                <w:szCs w:val="18"/>
              </w:rPr>
              <w:t xml:space="preserve"> </w:t>
            </w:r>
            <w:r w:rsidRPr="007114AF">
              <w:rPr>
                <w:rFonts w:ascii="Garamond" w:hAnsi="Garamond"/>
                <w:bCs/>
                <w:iCs/>
                <w:sz w:val="18"/>
                <w:szCs w:val="18"/>
              </w:rPr>
              <w:t>të kenë njohuri dhe aftësi mbi</w:t>
            </w:r>
            <w:r w:rsidR="00C6608F" w:rsidRPr="007114AF">
              <w:rPr>
                <w:rFonts w:ascii="Garamond" w:hAnsi="Garamond"/>
                <w:bCs/>
                <w:iCs/>
                <w:sz w:val="18"/>
                <w:szCs w:val="18"/>
              </w:rPr>
              <w:t xml:space="preserve"> </w:t>
            </w:r>
            <w:r w:rsidRPr="007114AF">
              <w:rPr>
                <w:rFonts w:ascii="Garamond" w:hAnsi="Garamond"/>
                <w:bCs/>
                <w:iCs/>
                <w:sz w:val="18"/>
                <w:szCs w:val="18"/>
              </w:rPr>
              <w:t>çështjet e përshtatjes.</w:t>
            </w:r>
          </w:p>
          <w:p w14:paraId="6EDD0046" w14:textId="77777777" w:rsidR="001617A3" w:rsidRPr="007114AF" w:rsidRDefault="001617A3" w:rsidP="001617A3">
            <w:pPr>
              <w:spacing w:after="0" w:line="240" w:lineRule="auto"/>
              <w:rPr>
                <w:rFonts w:ascii="Garamond" w:hAnsi="Garamond"/>
                <w:sz w:val="18"/>
                <w:szCs w:val="18"/>
              </w:rPr>
            </w:pPr>
            <w:r w:rsidRPr="007114AF">
              <w:rPr>
                <w:rFonts w:ascii="Garamond" w:hAnsi="Garamond"/>
                <w:b/>
                <w:sz w:val="18"/>
                <w:szCs w:val="18"/>
              </w:rPr>
              <w:t xml:space="preserve">Objektivi 16: </w:t>
            </w:r>
            <w:r w:rsidRPr="007114AF">
              <w:rPr>
                <w:rFonts w:ascii="Garamond" w:hAnsi="Garamond"/>
                <w:sz w:val="18"/>
                <w:szCs w:val="18"/>
              </w:rPr>
              <w:t>Strukturat, rregulloret dhe politikat institucionale në sektorë të përzgjedhur janë në mbështetje të përshtatjes ndaj ndryshimeve klimatike.</w:t>
            </w:r>
          </w:p>
        </w:tc>
        <w:tc>
          <w:tcPr>
            <w:tcW w:w="3330" w:type="dxa"/>
            <w:tcBorders>
              <w:top w:val="single" w:sz="4" w:space="0" w:color="000000"/>
              <w:left w:val="single" w:sz="4" w:space="0" w:color="000000"/>
              <w:bottom w:val="single" w:sz="4" w:space="0" w:color="000000"/>
              <w:right w:val="single" w:sz="4" w:space="0" w:color="000000"/>
            </w:tcBorders>
          </w:tcPr>
          <w:p w14:paraId="6EDD0047" w14:textId="15AAADB5"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15.1: </w:t>
            </w:r>
            <w:r w:rsidRPr="007114AF">
              <w:rPr>
                <w:rFonts w:ascii="Garamond" w:hAnsi="Garamond"/>
                <w:bCs/>
                <w:iCs/>
                <w:sz w:val="18"/>
                <w:szCs w:val="18"/>
              </w:rPr>
              <w:t xml:space="preserve">Njësia e </w:t>
            </w:r>
            <w:r w:rsidR="00C6608F" w:rsidRPr="007114AF">
              <w:rPr>
                <w:rFonts w:ascii="Garamond" w:hAnsi="Garamond"/>
                <w:bCs/>
                <w:iCs/>
                <w:sz w:val="18"/>
                <w:szCs w:val="18"/>
              </w:rPr>
              <w:t>ndryshimeve</w:t>
            </w:r>
            <w:r w:rsidRPr="007114AF">
              <w:rPr>
                <w:rFonts w:ascii="Garamond" w:hAnsi="Garamond"/>
                <w:bCs/>
                <w:iCs/>
                <w:sz w:val="18"/>
                <w:szCs w:val="18"/>
              </w:rPr>
              <w:t xml:space="preserve"> klimatike pranë MM-ës si dhe pjesëtarë të grupit ndërministror të punës marrin pjesë</w:t>
            </w:r>
            <w:r w:rsidR="00C6608F" w:rsidRPr="007114AF">
              <w:rPr>
                <w:rFonts w:ascii="Garamond" w:hAnsi="Garamond"/>
                <w:bCs/>
                <w:iCs/>
                <w:sz w:val="18"/>
                <w:szCs w:val="18"/>
              </w:rPr>
              <w:t xml:space="preserve"> </w:t>
            </w:r>
            <w:r w:rsidRPr="007114AF">
              <w:rPr>
                <w:rFonts w:ascii="Garamond" w:hAnsi="Garamond"/>
                <w:bCs/>
                <w:iCs/>
                <w:sz w:val="18"/>
                <w:szCs w:val="18"/>
              </w:rPr>
              <w:t xml:space="preserve">rregullisht të paktën një takim të NAP-it në vit. </w:t>
            </w:r>
          </w:p>
          <w:p w14:paraId="6EDD0048" w14:textId="77777777" w:rsidR="001617A3" w:rsidRPr="007114AF" w:rsidRDefault="001617A3" w:rsidP="001617A3">
            <w:pPr>
              <w:spacing w:after="0" w:line="240" w:lineRule="auto"/>
              <w:rPr>
                <w:rFonts w:ascii="Garamond" w:hAnsi="Garamond"/>
                <w:b/>
                <w:bCs/>
                <w:iCs/>
                <w:sz w:val="18"/>
                <w:szCs w:val="18"/>
              </w:rPr>
            </w:pPr>
            <w:r w:rsidRPr="007114AF">
              <w:rPr>
                <w:rFonts w:ascii="Garamond" w:hAnsi="Garamond"/>
                <w:b/>
                <w:bCs/>
                <w:iCs/>
                <w:sz w:val="18"/>
                <w:szCs w:val="18"/>
              </w:rPr>
              <w:t xml:space="preserve">Treguesi 16.1: </w:t>
            </w:r>
            <w:r w:rsidRPr="007114AF">
              <w:rPr>
                <w:rFonts w:ascii="Garamond" w:hAnsi="Garamond"/>
                <w:bCs/>
                <w:iCs/>
                <w:sz w:val="18"/>
                <w:szCs w:val="18"/>
              </w:rPr>
              <w:t>2-5 politika dhe rregullore me rëndësi për procesin e NAP-it të përfshijnë dispozita të lidhura me përshtatjen deri në vitin 2020.</w:t>
            </w:r>
          </w:p>
        </w:tc>
        <w:tc>
          <w:tcPr>
            <w:tcW w:w="1350" w:type="dxa"/>
            <w:tcBorders>
              <w:top w:val="single" w:sz="4" w:space="0" w:color="000000"/>
              <w:left w:val="single" w:sz="4" w:space="0" w:color="000000"/>
              <w:bottom w:val="single" w:sz="4" w:space="0" w:color="000000"/>
              <w:right w:val="single" w:sz="4" w:space="0" w:color="000000"/>
            </w:tcBorders>
          </w:tcPr>
          <w:p w14:paraId="6EDD0049" w14:textId="77777777" w:rsidR="001617A3" w:rsidRPr="007114AF" w:rsidRDefault="001617A3" w:rsidP="001617A3">
            <w:pPr>
              <w:spacing w:after="0" w:line="240" w:lineRule="auto"/>
              <w:rPr>
                <w:rFonts w:ascii="Garamond" w:hAnsi="Garamond"/>
                <w:sz w:val="18"/>
                <w:szCs w:val="18"/>
              </w:rPr>
            </w:pPr>
            <w:r w:rsidRPr="007114AF">
              <w:rPr>
                <w:rFonts w:ascii="Garamond" w:hAnsi="Garamond"/>
                <w:sz w:val="18"/>
                <w:szCs w:val="18"/>
              </w:rPr>
              <w:t>SP.3</w:t>
            </w:r>
          </w:p>
        </w:tc>
      </w:tr>
    </w:tbl>
    <w:p w14:paraId="6EDD004B" w14:textId="77777777" w:rsidR="001617A3" w:rsidRPr="007114AF" w:rsidRDefault="001617A3" w:rsidP="001617A3">
      <w:pPr>
        <w:pStyle w:val="TEKSTI"/>
      </w:pPr>
    </w:p>
    <w:p w14:paraId="6EDD004C" w14:textId="7D6E4573" w:rsidR="001617A3" w:rsidRPr="007114AF" w:rsidRDefault="001617A3" w:rsidP="001617A3">
      <w:pPr>
        <w:pStyle w:val="TEKSTI"/>
        <w:rPr>
          <w:bCs/>
          <w:iCs/>
        </w:rPr>
      </w:pPr>
      <w:bookmarkStart w:id="162" w:name="_Toc456086425"/>
      <w:bookmarkStart w:id="163" w:name="_Toc456165848"/>
      <w:bookmarkStart w:id="164" w:name="_Toc456690589"/>
      <w:bookmarkEnd w:id="162"/>
      <w:bookmarkEnd w:id="163"/>
      <w:bookmarkEnd w:id="164"/>
      <w:r w:rsidRPr="007114AF">
        <w:rPr>
          <w:bCs/>
          <w:iCs/>
        </w:rPr>
        <w:t>NAP-i</w:t>
      </w:r>
      <w:r w:rsidR="00836B59">
        <w:rPr>
          <w:bCs/>
          <w:iCs/>
        </w:rPr>
        <w:t xml:space="preserve"> </w:t>
      </w:r>
      <w:r w:rsidRPr="007114AF">
        <w:rPr>
          <w:bCs/>
          <w:iCs/>
        </w:rPr>
        <w:t>shqiptar është projektuar si një proces afatgjatë. Afati i përgjithshëm për arritjen e objektivave për përshtatjen është 20 vjet (deri në vitin 2035). Kjo vlen kryesisht për 3 objektivat e parë për rezultatet e procesit të përshtatjes. Shumë objektiva të tjerë janë më në vijë dhe mund të arrihen brenda afateve shumë më të shkurtra. Treguesit specifikë do të përcaktojnë edhe këto afate.</w:t>
      </w:r>
    </w:p>
    <w:p w14:paraId="6EDD004D" w14:textId="77777777" w:rsidR="001617A3" w:rsidRPr="007114AF" w:rsidRDefault="001617A3" w:rsidP="001617A3">
      <w:pPr>
        <w:pStyle w:val="TEKSTI"/>
        <w:rPr>
          <w:b/>
          <w:bCs/>
          <w:iCs/>
          <w:u w:val="single"/>
        </w:rPr>
      </w:pPr>
      <w:r w:rsidRPr="007114AF">
        <w:rPr>
          <w:b/>
          <w:bCs/>
          <w:iCs/>
          <w:u w:val="single"/>
        </w:rPr>
        <w:t>Objektivat e Zhvillimit të qëndrueshëm</w:t>
      </w:r>
    </w:p>
    <w:p w14:paraId="6EDD004E" w14:textId="77777777" w:rsidR="001617A3" w:rsidRPr="007114AF" w:rsidRDefault="001617A3" w:rsidP="001617A3">
      <w:pPr>
        <w:pStyle w:val="TEKSTI"/>
        <w:rPr>
          <w:b/>
          <w:u w:val="single"/>
        </w:rPr>
      </w:pPr>
      <w:r w:rsidRPr="007114AF">
        <w:rPr>
          <w:b/>
          <w:u w:val="single"/>
        </w:rPr>
        <w:t>Objektivat 13.1, 13.2, 13.3 dhe 11.b të Agjendës 2030 për Zhvillimin e Qëndrueshëm</w:t>
      </w:r>
    </w:p>
    <w:p w14:paraId="6EDD004F" w14:textId="77777777" w:rsidR="001617A3" w:rsidRPr="007114AF" w:rsidRDefault="001617A3" w:rsidP="001617A3">
      <w:pPr>
        <w:pStyle w:val="TEKSTI"/>
      </w:pPr>
      <w:r w:rsidRPr="007114AF">
        <w:rPr>
          <w:b/>
        </w:rPr>
        <w:t>Qëllimi 13:</w:t>
      </w:r>
      <w:r w:rsidRPr="007114AF">
        <w:t xml:space="preserve"> Të ndërmerren masa urgjente për të luftuar ndryshimet klimatike dhe ndikimet e saj [1]</w:t>
      </w:r>
    </w:p>
    <w:p w14:paraId="6EDD0050" w14:textId="25F3C88D" w:rsidR="001617A3" w:rsidRPr="007114AF" w:rsidRDefault="001617A3" w:rsidP="001617A3">
      <w:pPr>
        <w:pStyle w:val="TEKSTI"/>
      </w:pPr>
      <w:r w:rsidRPr="007114AF">
        <w:rPr>
          <w:b/>
        </w:rPr>
        <w:t>Synimi 13.1:</w:t>
      </w:r>
      <w:r w:rsidRPr="007114AF">
        <w:t xml:space="preserve"> Forcimi i qëndrueshmërisë dhe aftësisë p</w:t>
      </w:r>
      <w:r w:rsidR="00C6608F" w:rsidRPr="007114AF">
        <w:t>ë</w:t>
      </w:r>
      <w:r w:rsidRPr="007114AF">
        <w:t>rshtat</w:t>
      </w:r>
      <w:r w:rsidR="00C6608F" w:rsidRPr="007114AF">
        <w:t>ë</w:t>
      </w:r>
      <w:r w:rsidRPr="007114AF">
        <w:t>se ndaj rreziqeve të lidhura me klimën dhe fatkeqësitë natyrore në të gjitha vendet.</w:t>
      </w:r>
    </w:p>
    <w:p w14:paraId="6EDD0051" w14:textId="5C649A1D" w:rsidR="001617A3" w:rsidRPr="00E646DC" w:rsidRDefault="001617A3" w:rsidP="001617A3">
      <w:pPr>
        <w:pStyle w:val="TEKSTI"/>
      </w:pPr>
      <w:r w:rsidRPr="007114AF">
        <w:t xml:space="preserve">Shqipëria nuk ka një strategji kombëtare për zvogëlimin e rrezikut nga fatkeqësitë. Është planifikuar të zhvillohet një strategji e tillë në 2019 e cila është inkorporuar në Strategjinë </w:t>
      </w:r>
      <w:r w:rsidRPr="00E646DC">
        <w:t>Kombëtare për Zhvillim dhe Integrim për periudhën 2015</w:t>
      </w:r>
      <w:r w:rsidR="005E1BF0" w:rsidRPr="00E646DC">
        <w:t>–</w:t>
      </w:r>
      <w:r w:rsidRPr="00E646DC">
        <w:t>2020 (SKZHI-II).</w:t>
      </w:r>
    </w:p>
    <w:p w14:paraId="6EDD0052" w14:textId="14619BDF" w:rsidR="001617A3" w:rsidRPr="007114AF" w:rsidRDefault="00C6608F" w:rsidP="001617A3">
      <w:pPr>
        <w:pStyle w:val="TEKSTI"/>
      </w:pPr>
      <w:r w:rsidRPr="00E646DC">
        <w:t>D</w:t>
      </w:r>
      <w:r w:rsidR="001617A3" w:rsidRPr="00E646DC">
        <w:t>okumenti</w:t>
      </w:r>
      <w:r w:rsidR="001617A3" w:rsidRPr="007114AF">
        <w:t xml:space="preserve"> kryesor politik i Shqipërisë për reagimin emergjent është Plani Kombëtar i Emergjencave Civile të vitit 2004. Ai specifikon veprimet për të rritur elasticitetin ndaj përmbytjeve si katastrofa më e rëndësishme në lidhje me ndryshimet klimatike në Shqipëri, nëpërmjet sistemeve më të mira të paralajmërimit të hershëm dhe mekanizmave për parandalimin e katastrofave. Ajo gjithashtu adreson zjarret në pyje, reshjet e larta të borës dhe rrëshqitjet e tokës.</w:t>
      </w:r>
    </w:p>
    <w:p w14:paraId="6EDD0053" w14:textId="30C76548" w:rsidR="001617A3" w:rsidRPr="007114AF" w:rsidRDefault="001617A3" w:rsidP="001617A3">
      <w:pPr>
        <w:pStyle w:val="TEKSTI"/>
      </w:pPr>
      <w:r w:rsidRPr="007114AF">
        <w:t>Plani kombëtar i veprimit të draft strategjisë kombëtare për ndryshimet klimatike (Veprimi Prioritar</w:t>
      </w:r>
      <w:r w:rsidR="00242009" w:rsidRPr="007114AF">
        <w:t xml:space="preserve"> nr. </w:t>
      </w:r>
      <w:r w:rsidRPr="007114AF">
        <w:t>15) ka për qëllim rritjen e q</w:t>
      </w:r>
      <w:r w:rsidR="00836B59">
        <w:t>ë</w:t>
      </w:r>
      <w:r w:rsidRPr="007114AF">
        <w:t>ndrueshmërisë së sistemit të lagunës Kune</w:t>
      </w:r>
      <w:r w:rsidR="00836B59">
        <w:t>–</w:t>
      </w:r>
      <w:r w:rsidRPr="007114AF">
        <w:t>Vain.</w:t>
      </w:r>
    </w:p>
    <w:p w14:paraId="6EDD0054" w14:textId="1D2C0D78" w:rsidR="001617A3" w:rsidRPr="007114AF" w:rsidRDefault="001617A3" w:rsidP="001617A3">
      <w:pPr>
        <w:pStyle w:val="TEKSTI"/>
      </w:pPr>
      <w:r w:rsidRPr="007114AF">
        <w:t>Qëndrueshm</w:t>
      </w:r>
      <w:r w:rsidR="00836B59">
        <w:t>ë</w:t>
      </w:r>
      <w:r w:rsidRPr="007114AF">
        <w:t>ria e ekosistemeve dhe komuniteteve lokale do të përmirësohet pas aplikimit të disa teknikave, nga e butë në të vështirë. Veprimi Prioritar ka tr</w:t>
      </w:r>
      <w:r w:rsidR="009C0782">
        <w:t>i</w:t>
      </w:r>
      <w:r w:rsidRPr="007114AF">
        <w:t xml:space="preserve"> qëllime, nga të cilat dy synojnë drejtpërsëdrejti qëndrueshmërinë, përkatësisht:</w:t>
      </w:r>
    </w:p>
    <w:p w14:paraId="6EDD0055" w14:textId="394967F1" w:rsidR="001617A3" w:rsidRPr="007114AF" w:rsidRDefault="00CF2A42" w:rsidP="001617A3">
      <w:pPr>
        <w:pStyle w:val="TEKSTI"/>
        <w:rPr>
          <w:bCs/>
        </w:rPr>
      </w:pPr>
      <w:r w:rsidRPr="007114AF">
        <w:rPr>
          <w:bCs/>
        </w:rPr>
        <w:t xml:space="preserve">- </w:t>
      </w:r>
      <w:r w:rsidR="001617A3" w:rsidRPr="007114AF">
        <w:rPr>
          <w:bCs/>
        </w:rPr>
        <w:t>Objektivi 2: Rritja e aftësisë rikuperuese e lagunës Kune</w:t>
      </w:r>
      <w:r w:rsidR="005E1BF0">
        <w:t>–</w:t>
      </w:r>
      <w:r w:rsidR="001617A3" w:rsidRPr="007114AF">
        <w:rPr>
          <w:bCs/>
        </w:rPr>
        <w:t>Vainit, nëpërmjet Adaptimit me bazë Ekosistemin, duke përdorur demonstrimin e praktikave më të mira dhe konkrete të EbA-s, dhe ndërhyrje të tjera për përshtatjen.</w:t>
      </w:r>
    </w:p>
    <w:p w14:paraId="6EDD0056" w14:textId="03ECFDF2" w:rsidR="001617A3" w:rsidRPr="007114AF" w:rsidRDefault="00CF2A42" w:rsidP="001617A3">
      <w:pPr>
        <w:pStyle w:val="TEKSTI"/>
        <w:rPr>
          <w:bCs/>
        </w:rPr>
      </w:pPr>
      <w:r w:rsidRPr="007114AF">
        <w:rPr>
          <w:bCs/>
        </w:rPr>
        <w:t xml:space="preserve">- </w:t>
      </w:r>
      <w:r w:rsidR="001617A3" w:rsidRPr="007114AF">
        <w:rPr>
          <w:bCs/>
        </w:rPr>
        <w:t>Indikatori 2.1: Zbatimi I një sërë ndërhyrjesh përfshirë EBA-n në sistemin lagunor të Kune</w:t>
      </w:r>
      <w:r w:rsidR="00754DD7">
        <w:t>–</w:t>
      </w:r>
      <w:r w:rsidR="001617A3" w:rsidRPr="007114AF">
        <w:rPr>
          <w:bCs/>
        </w:rPr>
        <w:t>Vainit.</w:t>
      </w:r>
    </w:p>
    <w:p w14:paraId="6EDD0057" w14:textId="77777777" w:rsidR="001617A3" w:rsidRPr="007114AF" w:rsidRDefault="00CF2A42" w:rsidP="001617A3">
      <w:pPr>
        <w:pStyle w:val="TEKSTI"/>
        <w:rPr>
          <w:bCs/>
        </w:rPr>
      </w:pPr>
      <w:r w:rsidRPr="007114AF">
        <w:rPr>
          <w:bCs/>
        </w:rPr>
        <w:t xml:space="preserve">- </w:t>
      </w:r>
      <w:r w:rsidR="001617A3" w:rsidRPr="007114AF">
        <w:rPr>
          <w:bCs/>
        </w:rPr>
        <w:t>Indikatori 2.2: Krijimi i një strategjie për monitorimin e ndërhyrjeve të EbA-s.</w:t>
      </w:r>
    </w:p>
    <w:p w14:paraId="6EDD0058" w14:textId="77777777" w:rsidR="001617A3" w:rsidRPr="007114AF" w:rsidRDefault="00CF2A42" w:rsidP="00CF2A42">
      <w:pPr>
        <w:pStyle w:val="TEKSTI"/>
        <w:rPr>
          <w:bCs/>
        </w:rPr>
      </w:pPr>
      <w:r w:rsidRPr="007114AF">
        <w:rPr>
          <w:bCs/>
        </w:rPr>
        <w:t xml:space="preserve">- </w:t>
      </w:r>
      <w:r w:rsidR="001617A3" w:rsidRPr="007114AF">
        <w:rPr>
          <w:bCs/>
        </w:rPr>
        <w:t>Objektivi 3: Rritja e ndërgjegjësimit të aktorëve lokalë d</w:t>
      </w:r>
      <w:r w:rsidRPr="007114AF">
        <w:rPr>
          <w:bCs/>
        </w:rPr>
        <w:t xml:space="preserve">he kombëtarë ndaj rreziqeve të </w:t>
      </w:r>
      <w:r w:rsidR="001617A3" w:rsidRPr="007114AF">
        <w:rPr>
          <w:bCs/>
        </w:rPr>
        <w:t>ndryshimeve klimatike dhe rikuperimit, nëpërmjet sistemit EbA, për rritjen e rezistencës së komuniteteve lokale ndaj ndryshimet klimatike.</w:t>
      </w:r>
    </w:p>
    <w:p w14:paraId="6EDD0059" w14:textId="64FAC105" w:rsidR="001617A3" w:rsidRPr="007114AF" w:rsidRDefault="00CF2A42" w:rsidP="001617A3">
      <w:pPr>
        <w:pStyle w:val="TEKSTI"/>
        <w:rPr>
          <w:bCs/>
        </w:rPr>
      </w:pPr>
      <w:r w:rsidRPr="007114AF">
        <w:rPr>
          <w:bCs/>
        </w:rPr>
        <w:t xml:space="preserve">- </w:t>
      </w:r>
      <w:r w:rsidR="001617A3" w:rsidRPr="007114AF">
        <w:rPr>
          <w:bCs/>
        </w:rPr>
        <w:t xml:space="preserve">Indikator 3.1: Zhvillimi </w:t>
      </w:r>
      <w:r w:rsidR="005E1BF0">
        <w:rPr>
          <w:bCs/>
        </w:rPr>
        <w:t>i</w:t>
      </w:r>
      <w:r w:rsidR="001617A3" w:rsidRPr="007114AF">
        <w:rPr>
          <w:bCs/>
        </w:rPr>
        <w:t xml:space="preserve"> fushatave ndërgjegjësuese mbi avantazhet e adaptimit me bazë ekosistemin.</w:t>
      </w:r>
    </w:p>
    <w:p w14:paraId="6EDD005A" w14:textId="77777777" w:rsidR="001617A3" w:rsidRPr="007114AF" w:rsidRDefault="001617A3" w:rsidP="001617A3">
      <w:pPr>
        <w:pStyle w:val="TEKSTI"/>
      </w:pPr>
      <w:r w:rsidRPr="007114AF">
        <w:rPr>
          <w:b/>
        </w:rPr>
        <w:t>Synimi 13.2:</w:t>
      </w:r>
      <w:r w:rsidRPr="007114AF">
        <w:t xml:space="preserve"> Integrimi i masave të ndryshimeve klimatike në politikat, strategjitë dhe planifikimin kombëtar</w:t>
      </w:r>
    </w:p>
    <w:p w14:paraId="6EDD005B" w14:textId="02D5AD86" w:rsidR="001617A3" w:rsidRPr="007114AF" w:rsidRDefault="001617A3" w:rsidP="001617A3">
      <w:pPr>
        <w:pStyle w:val="TEKSTI"/>
      </w:pPr>
      <w:r w:rsidRPr="007114AF">
        <w:t>Strategjia Kombëtare për Zhvillim dhe Integrim 2016 për periudhën 2015</w:t>
      </w:r>
      <w:r w:rsidR="009C0782">
        <w:t>–</w:t>
      </w:r>
      <w:r w:rsidRPr="007114AF">
        <w:t xml:space="preserve">2020 dhe Plani i Përgjithshëm Kombëtar Territorial 2016 </w:t>
      </w:r>
      <w:r w:rsidR="000A2A01" w:rsidRPr="007114AF">
        <w:t>“</w:t>
      </w:r>
      <w:r w:rsidRPr="007114AF">
        <w:t>Shqipëria 2030</w:t>
      </w:r>
      <w:r w:rsidR="000A2A01" w:rsidRPr="007114AF">
        <w:t>”</w:t>
      </w:r>
      <w:r w:rsidRPr="007114AF">
        <w:t xml:space="preserve"> janë strategjitë kryesore ndërsektoriale që trajtojnë, ndër të tjera, çështjet që lidhen me zbutjen e ndryshimeve klimatike. Plani i Përgjithshëm Kombëtar Territorial </w:t>
      </w:r>
      <w:r w:rsidR="000A2A01" w:rsidRPr="007114AF">
        <w:t>“</w:t>
      </w:r>
      <w:r w:rsidRPr="007114AF">
        <w:t>Shqipëria 2030</w:t>
      </w:r>
      <w:r w:rsidR="000A2A01" w:rsidRPr="007114AF">
        <w:t>”</w:t>
      </w:r>
      <w:r w:rsidRPr="007114AF">
        <w:t xml:space="preserve"> përfshin shumë masa që ndikojnë pozitivisht në zbutjen e ndryshimeve klimatike në sektorë të ndryshëm, si energjia, transporti, bujqësia dhe LULUCF.</w:t>
      </w:r>
    </w:p>
    <w:p w14:paraId="6EDD005C" w14:textId="3E0D7DA6" w:rsidR="001617A3" w:rsidRPr="007114AF" w:rsidRDefault="009C0782" w:rsidP="001617A3">
      <w:pPr>
        <w:pStyle w:val="TEKSTI"/>
      </w:pPr>
      <w:r w:rsidRPr="00E2665D">
        <w:t>P</w:t>
      </w:r>
      <w:r w:rsidR="001617A3" w:rsidRPr="00E2665D">
        <w:t>ërshtatja</w:t>
      </w:r>
      <w:r w:rsidR="001617A3" w:rsidRPr="007114AF">
        <w:t xml:space="preserve"> ndaj ndikimeve të ndryshimeve klimatike në sektorin e shëndetësisë është shënjestruar në Strategjinë e vitit 2011 për përshtatjen e sistemit shëndetësor ndaj ndryshimeve klimatike. Strategjia mbulon çështjet e zbutjes dhe adaptimit.</w:t>
      </w:r>
    </w:p>
    <w:p w14:paraId="6EDD005D" w14:textId="77777777" w:rsidR="001617A3" w:rsidRPr="007114AF" w:rsidRDefault="001617A3" w:rsidP="001617A3">
      <w:pPr>
        <w:pStyle w:val="TEKSTI"/>
      </w:pPr>
      <w:r w:rsidRPr="007114AF">
        <w:t>Përveç dy NAMA, dokumentet e politikave në sektorin e energjisë të lidhura me çështjet e ndryshimeve klimatike përfshijnë:</w:t>
      </w:r>
    </w:p>
    <w:p w14:paraId="6EDD005E" w14:textId="03D576CA" w:rsidR="001617A3" w:rsidRPr="007114AF" w:rsidRDefault="001617A3" w:rsidP="001617A3">
      <w:pPr>
        <w:pStyle w:val="TEKSTI"/>
      </w:pPr>
      <w:r w:rsidRPr="007114AF">
        <w:t>• Plani Kombëtar i Veprimit për Efi</w:t>
      </w:r>
      <w:r w:rsidR="00C6608F" w:rsidRPr="007114AF">
        <w:t>c</w:t>
      </w:r>
      <w:r w:rsidRPr="007114AF">
        <w:t>iencën e Energjisë 2011 për periudhën 2011</w:t>
      </w:r>
      <w:r w:rsidR="009C0782">
        <w:t>–</w:t>
      </w:r>
      <w:r w:rsidRPr="007114AF">
        <w:t>2018;</w:t>
      </w:r>
    </w:p>
    <w:p w14:paraId="6EDD005F" w14:textId="5E57CDAA" w:rsidR="001617A3" w:rsidRPr="007114AF" w:rsidRDefault="001617A3" w:rsidP="001617A3">
      <w:pPr>
        <w:pStyle w:val="TEKSTI"/>
      </w:pPr>
      <w:r w:rsidRPr="007114AF">
        <w:t>• Plani Kombëtar i Veprimit për Energjitë e Rinovueshme 2016 për periudhën 2015</w:t>
      </w:r>
      <w:r w:rsidR="009C0782">
        <w:t>–</w:t>
      </w:r>
      <w:r w:rsidRPr="007114AF">
        <w:t>2020.</w:t>
      </w:r>
    </w:p>
    <w:p w14:paraId="6EDD0060" w14:textId="24A79793" w:rsidR="001617A3" w:rsidRPr="007114AF" w:rsidRDefault="001617A3" w:rsidP="001617A3">
      <w:pPr>
        <w:pStyle w:val="TEKSTI"/>
      </w:pPr>
      <w:r w:rsidRPr="007114AF">
        <w:t xml:space="preserve">Kuadri kryesor politik i lidhur me ndryshimet klimatike për sektorin bujqësor është Strategjia Ndërsektoriale për Bujqësinë dhe Zhvillimin Rural (ISARD) dhe Programi i saj për Zhvillimin Rural </w:t>
      </w:r>
      <w:r w:rsidR="00C6608F" w:rsidRPr="007114AF">
        <w:t xml:space="preserve">2014–2020 </w:t>
      </w:r>
      <w:r w:rsidRPr="007114AF">
        <w:t>në kuadër të Instrumentit të Ndihmës së Para</w:t>
      </w:r>
      <w:r w:rsidR="00C6608F" w:rsidRPr="007114AF">
        <w:t>a</w:t>
      </w:r>
      <w:r w:rsidRPr="007114AF">
        <w:t>nëtarësimit në Zhvillimin Rural (IPARD).</w:t>
      </w:r>
    </w:p>
    <w:p w14:paraId="6EDD0061" w14:textId="77777777" w:rsidR="001617A3" w:rsidRPr="007114AF" w:rsidRDefault="001617A3" w:rsidP="001617A3">
      <w:pPr>
        <w:pStyle w:val="TEKSTI"/>
      </w:pPr>
      <w:r w:rsidRPr="007114AF">
        <w:t xml:space="preserve">Që nga viti 2011, integrimi i ndryshimeve klimatike në dokumentet strategjike sektoriale ka përparuar në të gjithë sektorët, megjithëse shkalla e integrimit ndryshon. Ka potencial të madh për të përmirësuar integrimin në politikat, strategjitë dhe planifikimin kombëtar. Instrumenti i VSM mund të përdoret, ndër mjetet e tjera, për të kontribuar në një integrim të tillë. Miratimi i </w:t>
      </w:r>
      <w:r w:rsidRPr="007114AF">
        <w:rPr>
          <w:bCs/>
          <w:iCs/>
        </w:rPr>
        <w:t xml:space="preserve">Dokumentit te Strategjisë Kombëtare dhe Plani i Veprimit për Zbutjen dhe Përshtatjen ndaj Ndryshimeve Klimatike </w:t>
      </w:r>
      <w:r w:rsidRPr="007114AF">
        <w:t>do të ishte një shtyllë e rëndësishme për të integruar masat e ndryshimeve klimatike në kuadrin e politikave kombëtare.</w:t>
      </w:r>
    </w:p>
    <w:p w14:paraId="6EDD0062" w14:textId="77777777" w:rsidR="001617A3" w:rsidRPr="007114AF" w:rsidRDefault="001617A3" w:rsidP="001617A3">
      <w:pPr>
        <w:pStyle w:val="TEKSTI"/>
      </w:pPr>
      <w:r w:rsidRPr="007114AF">
        <w:rPr>
          <w:b/>
        </w:rPr>
        <w:t>Synimi 13.3:</w:t>
      </w:r>
      <w:r w:rsidRPr="007114AF">
        <w:t xml:space="preserve"> Përmirësimi i edukimit, rritjes së ndërgjegjësimit dhe kapaciteteve njerëzore dhe institucionale për zbutjen e ndryshimeve klimatike, përshtatja, ulja e ndikimit dhe paralajmërimi i hershëm</w:t>
      </w:r>
    </w:p>
    <w:p w14:paraId="6EDD0063" w14:textId="4B0B184E" w:rsidR="001617A3" w:rsidRPr="007114AF" w:rsidRDefault="001617A3" w:rsidP="001617A3">
      <w:pPr>
        <w:pStyle w:val="TEKSTI"/>
      </w:pPr>
      <w:r w:rsidRPr="007114AF">
        <w:t xml:space="preserve">Nuk ka masa qeveritare sistematike të implementuara ose të zbatuara për të përmirësuar arsimin dhe rritjen e </w:t>
      </w:r>
      <w:r w:rsidR="00C6608F" w:rsidRPr="007114AF">
        <w:t>ndërgjegjësimit</w:t>
      </w:r>
      <w:r w:rsidRPr="007114AF">
        <w:t xml:space="preserve"> për zbutjen e ndryshimeve klimatike, përshtatjen, uljen e ndikimit dhe paralajmërimin e hershëm. Sipas draftit të planit kombëtar të veprimit të draft strategjisë kombëtare të ndryshimeve klimatike, ndërgjegjësimi i kufizuar i ndryshimeve klimatike në nivelin e hartimit të politikave dhe njohjes publike pengon një proces të fuqishëm kombëtar të planit të veprimit. Politika e ndryshimeve klimatike ende renditet relativisht e ulët në axhendën politike. Sidoqoftë, disa iniciativa dhe veprime për të përmirësuar ndërgjegjësimin janë marrë nga palët e ndryshme të interesit.</w:t>
      </w:r>
    </w:p>
    <w:p w14:paraId="6EDD0064" w14:textId="77777777" w:rsidR="001617A3" w:rsidRPr="007114AF" w:rsidRDefault="001617A3" w:rsidP="001617A3">
      <w:pPr>
        <w:pStyle w:val="TEKSTI"/>
      </w:pPr>
      <w:r w:rsidRPr="007114AF">
        <w:rPr>
          <w:b/>
        </w:rPr>
        <w:t>Qëllimi 11:</w:t>
      </w:r>
      <w:r w:rsidRPr="007114AF">
        <w:t xml:space="preserve"> Krijimi i qyteteve dhe vendbanimeve njerëzore përfshirëse, të sigurta dhe të qëndrueshme</w:t>
      </w:r>
    </w:p>
    <w:p w14:paraId="6EDD0065" w14:textId="78473668" w:rsidR="001617A3" w:rsidRPr="007114AF" w:rsidRDefault="001617A3" w:rsidP="001617A3">
      <w:pPr>
        <w:pStyle w:val="TEKSTI"/>
      </w:pPr>
      <w:r w:rsidRPr="007114AF">
        <w:rPr>
          <w:b/>
        </w:rPr>
        <w:t>Synimi 11.b:</w:t>
      </w:r>
      <w:r w:rsidRPr="007114AF">
        <w:t xml:space="preserve"> Deri në vitin 2020, të rritet ndjeshëm numri i qyteteve dhe vendbanimeve që miratojnë dhe zbatojnë politika dhe plane të integruara drejt përfshirjes, efi</w:t>
      </w:r>
      <w:r w:rsidR="00C6608F" w:rsidRPr="007114AF">
        <w:t>c</w:t>
      </w:r>
      <w:r w:rsidRPr="007114AF">
        <w:t>iencës së resurseve, zbutjes dhe adaptimit ndaj ndryshimeve klimatike, qëndrueshmërisë ndaj fatkeqësive dhe të zhvillojnë dhe zbatojnë, në përputhje me Kuadrin Sendai për Reduktimin e Rrezikut të Katastrofave 2015</w:t>
      </w:r>
      <w:r w:rsidR="00C6608F" w:rsidRPr="007114AF">
        <w:t>–</w:t>
      </w:r>
      <w:r w:rsidRPr="007114AF">
        <w:t>2030, menaxhimi i rrezikut holistik të fatkeqësive në të gjitha nivelet.</w:t>
      </w:r>
    </w:p>
    <w:p w14:paraId="6EDD0066" w14:textId="334CDAC9" w:rsidR="001617A3" w:rsidRPr="007114AF" w:rsidRDefault="001617A3" w:rsidP="001617A3">
      <w:pPr>
        <w:pStyle w:val="TEKSTI"/>
        <w:rPr>
          <w:b/>
        </w:rPr>
      </w:pPr>
      <w:bookmarkStart w:id="165" w:name="_Toc484424512"/>
      <w:r w:rsidRPr="007114AF">
        <w:rPr>
          <w:b/>
        </w:rPr>
        <w:t>5</w:t>
      </w:r>
      <w:r w:rsidR="00A743D8">
        <w:rPr>
          <w:b/>
        </w:rPr>
        <w:t>.</w:t>
      </w:r>
      <w:r w:rsidRPr="007114AF">
        <w:rPr>
          <w:b/>
        </w:rPr>
        <w:t xml:space="preserve"> PLANI KOMBËTAR</w:t>
      </w:r>
      <w:r w:rsidR="000A2A01" w:rsidRPr="007114AF">
        <w:rPr>
          <w:b/>
        </w:rPr>
        <w:t xml:space="preserve"> </w:t>
      </w:r>
      <w:r w:rsidRPr="007114AF">
        <w:rPr>
          <w:b/>
        </w:rPr>
        <w:t>PËR ZBUTJEN E NDRYSHIMEVE KLIMATIKE</w:t>
      </w:r>
      <w:bookmarkEnd w:id="165"/>
    </w:p>
    <w:p w14:paraId="6EDD0067" w14:textId="0165A3E3" w:rsidR="001617A3" w:rsidRPr="007114AF" w:rsidRDefault="001617A3" w:rsidP="001617A3">
      <w:pPr>
        <w:pStyle w:val="TEKSTI"/>
      </w:pPr>
      <w:r w:rsidRPr="007114AF">
        <w:t>Plani Kombëtar për Zbutjen e Ndryshimeve Klimatike</w:t>
      </w:r>
      <w:r w:rsidR="00A743D8">
        <w:t xml:space="preserve"> </w:t>
      </w:r>
      <w:r w:rsidRPr="007114AF">
        <w:t>(PKZNK) rendit masat dhe veprimet e detajuara, të përfshira në dokumentet e analizuara siç paraqiten në tabelën 12, i cili i përgjigjet Objektivave të Politikave të Identifikuara në tabelën 14. Masat e zgjedhura janë analizuar duke dhënë informacionin e mëposhtëm:</w:t>
      </w:r>
    </w:p>
    <w:p w14:paraId="6EDD0068" w14:textId="697FFA0C" w:rsidR="001617A3" w:rsidRPr="007114AF" w:rsidRDefault="00CF2A42" w:rsidP="001617A3">
      <w:pPr>
        <w:pStyle w:val="TEKSTI"/>
      </w:pPr>
      <w:r w:rsidRPr="007114AF">
        <w:rPr>
          <w:b/>
        </w:rPr>
        <w:t xml:space="preserve">- </w:t>
      </w:r>
      <w:r w:rsidR="001617A3" w:rsidRPr="007114AF">
        <w:rPr>
          <w:b/>
        </w:rPr>
        <w:t>ID</w:t>
      </w:r>
      <w:r w:rsidR="001617A3" w:rsidRPr="007114AF">
        <w:t>: Secilës prej masave</w:t>
      </w:r>
      <w:r w:rsidR="00C6608F" w:rsidRPr="007114AF">
        <w:t xml:space="preserve"> </w:t>
      </w:r>
      <w:r w:rsidR="001617A3" w:rsidRPr="007114AF">
        <w:t>i caktohet një Id, duke vendosur një shkronjë e cila identifikon sektorin (E= Energjia; T= Transporti; A = Bujqësia; L= LUCF; C=Ndërsektoriale) dhe një numër serial i cili identifikon masën.</w:t>
      </w:r>
    </w:p>
    <w:p w14:paraId="6EDD0069" w14:textId="77777777" w:rsidR="001617A3" w:rsidRPr="007114AF" w:rsidRDefault="00CF2A42" w:rsidP="001617A3">
      <w:pPr>
        <w:pStyle w:val="TEKSTI"/>
      </w:pPr>
      <w:r w:rsidRPr="007114AF">
        <w:rPr>
          <w:b/>
        </w:rPr>
        <w:t xml:space="preserve">- </w:t>
      </w:r>
      <w:r w:rsidR="001617A3" w:rsidRPr="007114AF">
        <w:rPr>
          <w:b/>
        </w:rPr>
        <w:t>Masa</w:t>
      </w:r>
      <w:r w:rsidR="001617A3" w:rsidRPr="007114AF">
        <w:t>: Titulli i masës.</w:t>
      </w:r>
    </w:p>
    <w:p w14:paraId="6EDD006A" w14:textId="77777777" w:rsidR="001617A3" w:rsidRPr="007114AF" w:rsidRDefault="00CF2A42" w:rsidP="001617A3">
      <w:pPr>
        <w:pStyle w:val="TEKSTI"/>
      </w:pPr>
      <w:r w:rsidRPr="007114AF">
        <w:rPr>
          <w:b/>
        </w:rPr>
        <w:t xml:space="preserve">- </w:t>
      </w:r>
      <w:r w:rsidR="001617A3" w:rsidRPr="007114AF">
        <w:rPr>
          <w:b/>
        </w:rPr>
        <w:t xml:space="preserve">Përshkrimi: </w:t>
      </w:r>
      <w:r w:rsidR="001617A3" w:rsidRPr="007114AF">
        <w:t>Përshkrimi i masës sikurse raportohet në dokumentin e origjinës.</w:t>
      </w:r>
    </w:p>
    <w:p w14:paraId="6EDD006B" w14:textId="77777777" w:rsidR="001617A3" w:rsidRPr="007114AF" w:rsidRDefault="00CF2A42" w:rsidP="001617A3">
      <w:pPr>
        <w:pStyle w:val="TEKSTI"/>
      </w:pPr>
      <w:r w:rsidRPr="007114AF">
        <w:rPr>
          <w:b/>
        </w:rPr>
        <w:t xml:space="preserve">- </w:t>
      </w:r>
      <w:r w:rsidR="001617A3" w:rsidRPr="007114AF">
        <w:rPr>
          <w:b/>
        </w:rPr>
        <w:t>Viti/periudha e zbatimit</w:t>
      </w:r>
      <w:r w:rsidR="001617A3" w:rsidRPr="007114AF">
        <w:t>: Viti ose periudha në të cilën duhet zbatuar masa.</w:t>
      </w:r>
    </w:p>
    <w:p w14:paraId="6EDD006C" w14:textId="77777777" w:rsidR="001617A3" w:rsidRPr="007114AF" w:rsidRDefault="00CF2A42" w:rsidP="001617A3">
      <w:pPr>
        <w:pStyle w:val="TEKSTI"/>
      </w:pPr>
      <w:r w:rsidRPr="007114AF">
        <w:rPr>
          <w:b/>
        </w:rPr>
        <w:t xml:space="preserve">- </w:t>
      </w:r>
      <w:r w:rsidR="001617A3" w:rsidRPr="007114AF">
        <w:rPr>
          <w:b/>
        </w:rPr>
        <w:t>Dokumenti burimor</w:t>
      </w:r>
      <w:r w:rsidR="001617A3" w:rsidRPr="007114AF">
        <w:t>: Referenca e dokumentit nga ku vijnë masat.</w:t>
      </w:r>
    </w:p>
    <w:p w14:paraId="6EDD006D" w14:textId="77777777" w:rsidR="001617A3" w:rsidRPr="007114AF" w:rsidRDefault="00CF2A42" w:rsidP="001617A3">
      <w:pPr>
        <w:pStyle w:val="TEKSTI"/>
      </w:pPr>
      <w:r w:rsidRPr="007114AF">
        <w:rPr>
          <w:b/>
        </w:rPr>
        <w:t xml:space="preserve">- </w:t>
      </w:r>
      <w:r w:rsidR="001617A3" w:rsidRPr="007114AF">
        <w:rPr>
          <w:b/>
        </w:rPr>
        <w:t>Objektivi i Reduktimit</w:t>
      </w:r>
      <w:r w:rsidR="001617A3" w:rsidRPr="007114AF">
        <w:t>: Objektivi i reduktimit të masave sikurse janë raportuar në dokumentin burimor.</w:t>
      </w:r>
    </w:p>
    <w:p w14:paraId="6EDD006E" w14:textId="19AF65AD" w:rsidR="001617A3" w:rsidRPr="007114AF" w:rsidRDefault="00CF2A42" w:rsidP="001617A3">
      <w:pPr>
        <w:pStyle w:val="TEKSTI"/>
      </w:pPr>
      <w:r w:rsidRPr="007114AF">
        <w:rPr>
          <w:b/>
        </w:rPr>
        <w:t xml:space="preserve">- </w:t>
      </w:r>
      <w:r w:rsidR="001617A3" w:rsidRPr="007114AF">
        <w:rPr>
          <w:b/>
        </w:rPr>
        <w:t>Lloji i efektit:</w:t>
      </w:r>
      <w:r w:rsidR="000A2A01" w:rsidRPr="007114AF">
        <w:rPr>
          <w:b/>
        </w:rPr>
        <w:t xml:space="preserve"> </w:t>
      </w:r>
      <w:r w:rsidR="001617A3" w:rsidRPr="007114AF">
        <w:t>Të kategorizuara sidirekte,</w:t>
      </w:r>
      <w:r w:rsidR="001617A3" w:rsidRPr="007114AF">
        <w:rPr>
          <w:b/>
        </w:rPr>
        <w:t xml:space="preserve"> </w:t>
      </w:r>
      <w:r w:rsidR="001617A3" w:rsidRPr="007114AF">
        <w:t>indirekte ose masa mundësuese, për sa i përket zbutjes së ndryshimeve klimatike (reduktim i shkarkimeve ose rritje e përthithësve).</w:t>
      </w:r>
    </w:p>
    <w:p w14:paraId="6EDD006F" w14:textId="77777777" w:rsidR="001617A3" w:rsidRPr="007114AF" w:rsidRDefault="00CF2A42" w:rsidP="001617A3">
      <w:pPr>
        <w:pStyle w:val="TEKSTI"/>
      </w:pPr>
      <w:r w:rsidRPr="007114AF">
        <w:rPr>
          <w:b/>
        </w:rPr>
        <w:t xml:space="preserve">- </w:t>
      </w:r>
      <w:r w:rsidR="001617A3" w:rsidRPr="007114AF">
        <w:rPr>
          <w:b/>
        </w:rPr>
        <w:t>Kosto e vlerësuar</w:t>
      </w:r>
      <w:r w:rsidR="001617A3" w:rsidRPr="007114AF">
        <w:t>: Vlerësimi i kostos sikurse raportohet në dokumentin burimor ose vlerësimi në mënyre specifike.</w:t>
      </w:r>
    </w:p>
    <w:p w14:paraId="6EDD0070" w14:textId="77777777" w:rsidR="001617A3" w:rsidRPr="007114AF" w:rsidRDefault="00CF2A42" w:rsidP="001617A3">
      <w:pPr>
        <w:pStyle w:val="TEKSTI"/>
      </w:pPr>
      <w:r w:rsidRPr="007114AF">
        <w:rPr>
          <w:b/>
        </w:rPr>
        <w:t xml:space="preserve">- </w:t>
      </w:r>
      <w:r w:rsidR="001617A3" w:rsidRPr="007114AF">
        <w:rPr>
          <w:b/>
        </w:rPr>
        <w:t>Objektivat e politikave</w:t>
      </w:r>
      <w:r w:rsidR="001617A3" w:rsidRPr="007114AF">
        <w:t>: Lidhja e Objektivave të Politikave sikurse identifikohen në tabelën 14.</w:t>
      </w:r>
    </w:p>
    <w:p w14:paraId="6EDD0071" w14:textId="77777777" w:rsidR="001617A3" w:rsidRPr="007114AF" w:rsidRDefault="00CF2A42" w:rsidP="001617A3">
      <w:pPr>
        <w:pStyle w:val="TEKSTI"/>
      </w:pPr>
      <w:r w:rsidRPr="007114AF">
        <w:rPr>
          <w:b/>
        </w:rPr>
        <w:t xml:space="preserve">- </w:t>
      </w:r>
      <w:r w:rsidR="001617A3" w:rsidRPr="007114AF">
        <w:rPr>
          <w:b/>
        </w:rPr>
        <w:t>Prioriteti</w:t>
      </w:r>
      <w:r w:rsidR="001617A3" w:rsidRPr="007114AF">
        <w:t>: Prioriteti i caktuar në lidhje me eficiencën e masës për të përmbushur Objektivat e Politikave.</w:t>
      </w:r>
    </w:p>
    <w:p w14:paraId="6EDD0072" w14:textId="77777777" w:rsidR="001617A3" w:rsidRPr="007114AF" w:rsidRDefault="00CF2A42" w:rsidP="001617A3">
      <w:pPr>
        <w:pStyle w:val="TEKSTI"/>
      </w:pPr>
      <w:r w:rsidRPr="007114AF">
        <w:rPr>
          <w:b/>
        </w:rPr>
        <w:t xml:space="preserve">- </w:t>
      </w:r>
      <w:r w:rsidR="001617A3" w:rsidRPr="007114AF">
        <w:rPr>
          <w:b/>
        </w:rPr>
        <w:t>Ndërlidhja me sektorë të tjerë</w:t>
      </w:r>
      <w:r w:rsidR="001617A3" w:rsidRPr="007114AF">
        <w:t>: Paraqitja e sektorëve të tjerë të cilët lidhen me masën.</w:t>
      </w:r>
    </w:p>
    <w:p w14:paraId="6EDD0073" w14:textId="77777777" w:rsidR="001617A3" w:rsidRPr="007114AF" w:rsidRDefault="001617A3" w:rsidP="001617A3">
      <w:pPr>
        <w:pStyle w:val="TEKSTI"/>
      </w:pPr>
      <w:r w:rsidRPr="007114AF">
        <w:t>Prioritetet caktohen duke u bazuar në shkallën e eficiencës së vlerësuar të masës, për të përmbushur Objektivat e Politikave, të cilat janë në funksion të objektivit kryesor të dokumentit të SKNK&amp;P-ës: garantimi i zhvillimit me nivel të ulët të karbonit në Shqipëri në një mënyrë kosto-eficiente.</w:t>
      </w:r>
    </w:p>
    <w:p w14:paraId="6EDD0074" w14:textId="77777777" w:rsidR="001617A3" w:rsidRPr="007114AF" w:rsidRDefault="001617A3" w:rsidP="001617A3">
      <w:pPr>
        <w:pStyle w:val="TEKSTI"/>
      </w:pPr>
      <w:r w:rsidRPr="007114AF">
        <w:t>Për më tepër, lloji i efektit që i përket zbutjes së ndryshimeve klimatike (reduktim i shkarkimeve ose rritje e përthithësve),paraqitet nga masat e identifikuara në plan, të cilat janë grupuar si më poshtë:</w:t>
      </w:r>
    </w:p>
    <w:p w14:paraId="6EDD0075" w14:textId="3A117FDF" w:rsidR="001617A3" w:rsidRPr="007114AF" w:rsidRDefault="001617A3" w:rsidP="001617A3">
      <w:pPr>
        <w:pStyle w:val="TEKSTI"/>
      </w:pPr>
      <w:r w:rsidRPr="007114AF">
        <w:t xml:space="preserve">1) Masa direkte: ku përfshihen ato masa që kanë një impakt të </w:t>
      </w:r>
      <w:r w:rsidR="00C6608F" w:rsidRPr="007114AF">
        <w:t>drejtpërdrejtë</w:t>
      </w:r>
      <w:r w:rsidRPr="007114AF">
        <w:t xml:space="preserve"> tek zbutja e ndryshimeve klimatike, për sa i përket reduktimit të shkarkimeve ose rritjes të përthithësve të karbonit (p.sh. veprime konkrete, masa specifike për një zonë të caktuar etj.);</w:t>
      </w:r>
    </w:p>
    <w:p w14:paraId="6EDD0076" w14:textId="77777777" w:rsidR="001617A3" w:rsidRPr="007114AF" w:rsidRDefault="001617A3" w:rsidP="001617A3">
      <w:pPr>
        <w:pStyle w:val="TEKSTI"/>
      </w:pPr>
      <w:r w:rsidRPr="007114AF">
        <w:t>2) Masa indirekte: ku përfshihen ato masa që kanë një impakt pozitiv, për sa i përket zbutjes së ndryshimeve klimatike dhe që do të çojnë nga reduktimi afatshkurtër deri tek afatmesëm dhe afatgjatë; te një reduktim indirekt i shkarkimit ose rritje të përthithësve të karbonit (p.sh. trajnime dhe rritje të ndërgjegjësimit, certifikim dhe skemë etiketimi, financimi etj.);</w:t>
      </w:r>
    </w:p>
    <w:p w14:paraId="6EDD0077" w14:textId="5EFF2BAA" w:rsidR="001617A3" w:rsidRPr="007114AF" w:rsidRDefault="001617A3" w:rsidP="001617A3">
      <w:pPr>
        <w:pStyle w:val="TEKSTI"/>
      </w:pPr>
      <w:r w:rsidRPr="007114AF">
        <w:t>3) Masa mundësuese: ku përfshihen ato masa që janë funksionale për arritjen e kushteve të nevojshme, që lejojnë aplikimin e masave direkte/indirekte të cilat çojnë në zbutjen e ndryshimeve klimatike (p.sh. forcimi i planifikimit territorial, përforcimi i marrëveshjeve institucionale, monitorimi etj</w:t>
      </w:r>
      <w:r w:rsidR="00C6608F" w:rsidRPr="007114AF">
        <w:t>.</w:t>
      </w:r>
      <w:r w:rsidRPr="007114AF">
        <w:t>).</w:t>
      </w:r>
    </w:p>
    <w:p w14:paraId="6EDD0078" w14:textId="7DF06BB1" w:rsidR="001617A3" w:rsidRPr="007114AF" w:rsidRDefault="001617A3" w:rsidP="001617A3">
      <w:pPr>
        <w:pStyle w:val="TEKSTI"/>
      </w:pPr>
      <w:r w:rsidRPr="007114AF">
        <w:t>Në përgjithësi, janë identifikuar 222</w:t>
      </w:r>
      <w:r w:rsidR="00264806">
        <w:t xml:space="preserve"> </w:t>
      </w:r>
      <w:r w:rsidRPr="007114AF">
        <w:t>masa, nga të cilat 95</w:t>
      </w:r>
      <w:r w:rsidR="00264806">
        <w:t xml:space="preserve"> </w:t>
      </w:r>
      <w:r w:rsidRPr="007114AF">
        <w:t>janë klasifikuar me prioritet të lartë, 95 të mesëm dhe 32 të ulët.</w:t>
      </w:r>
    </w:p>
    <w:p w14:paraId="6EDD0079" w14:textId="4C635904" w:rsidR="001617A3" w:rsidRPr="007114AF" w:rsidRDefault="001617A3" w:rsidP="001617A3">
      <w:pPr>
        <w:pStyle w:val="TEKSTI"/>
      </w:pPr>
      <w:r w:rsidRPr="007114AF">
        <w:t>Masat janë kryesisht të fokusuara në një periudhë afatmesme (deri në vitin 2020), pjesa më e madhe e tyre lidhen me hyrjen në fuqi të projektligjeve (p.sh. ligji BER</w:t>
      </w:r>
      <w:r w:rsidR="00C6608F" w:rsidRPr="007114AF">
        <w:t xml:space="preserve"> </w:t>
      </w:r>
      <w:r w:rsidRPr="007114AF">
        <w:t>dhe ligji mbi Ndryshimet Klimatike), dhe vetëm disa fokusohen në periudhën afatgjatë (2030 dhe 2050). Strategjia e ardhshme e energjisë mund të japë me të vërtetë më shumë elemente për masat afatgjata që mund të përfshihen në rishikimin e ardhshëm të dokumentit të SKNK-ës.</w:t>
      </w:r>
    </w:p>
    <w:p w14:paraId="6EDD007A" w14:textId="1AA9EF73" w:rsidR="001617A3" w:rsidRPr="007114AF" w:rsidRDefault="001617A3" w:rsidP="001617A3">
      <w:pPr>
        <w:pStyle w:val="TEKSTI"/>
      </w:pPr>
      <w:r w:rsidRPr="007114AF">
        <w:t xml:space="preserve">Pjesa më e madhe e masave janë në sektorin e energjisë (77) dhe në sektorin e transportit (71), të ndjekur nga LUCF-ja (53) dhe </w:t>
      </w:r>
      <w:r w:rsidR="00A743D8" w:rsidRPr="007114AF">
        <w:t xml:space="preserve">bujqësia </w:t>
      </w:r>
      <w:r w:rsidRPr="007114AF">
        <w:t>(17)</w:t>
      </w:r>
      <w:r w:rsidR="00A743D8">
        <w:t>,</w:t>
      </w:r>
      <w:r w:rsidRPr="007114AF">
        <w:t xml:space="preserve"> si dhe</w:t>
      </w:r>
      <w:r w:rsidR="00A743D8">
        <w:t xml:space="preserve"> </w:t>
      </w:r>
      <w:r w:rsidRPr="007114AF">
        <w:t>4</w:t>
      </w:r>
      <w:r w:rsidR="00A743D8">
        <w:t xml:space="preserve"> </w:t>
      </w:r>
      <w:r w:rsidRPr="007114AF">
        <w:t>masa të cilat janë ndërsektoriale.</w:t>
      </w:r>
    </w:p>
    <w:p w14:paraId="6EDD007B" w14:textId="1A5AC17A" w:rsidR="001617A3" w:rsidRPr="007114AF" w:rsidRDefault="001617A3" w:rsidP="001617A3">
      <w:pPr>
        <w:pStyle w:val="TEKSTI"/>
      </w:pPr>
      <w:r w:rsidRPr="007114AF">
        <w:t>Janë identifikuar çështje ndërsektoriale, veçanërisht ndërmjet sektorit pyjor dhe atij energjetik, lidhur me sigurimin e burimeve të</w:t>
      </w:r>
      <w:r w:rsidR="00C6608F" w:rsidRPr="007114AF">
        <w:t xml:space="preserve"> </w:t>
      </w:r>
      <w:r w:rsidRPr="007114AF">
        <w:t>qëndrueshme të energjisë së rinovueshme; ndërmjet sektorit bujqësor dhe energjetik, lidhur me përmirësimin e pajisjeve për energjinë efikase në praktikat bujqësore.</w:t>
      </w:r>
    </w:p>
    <w:p w14:paraId="6EDD007C" w14:textId="77777777" w:rsidR="001617A3" w:rsidRPr="007114AF" w:rsidRDefault="001617A3" w:rsidP="001617A3">
      <w:pPr>
        <w:pStyle w:val="TEKSTI"/>
      </w:pPr>
      <w:r w:rsidRPr="007114AF">
        <w:t>Çdo sektor është përshkruar në paragrafët e mëposhtëm, për të dhënë një pasqyrë të masës kryesore sektoriale të propozuar, dhe lidhjen e saj me objektivat e Politikave dhe Prioriteteve Strategjike të Zbutjes, duke theksuar edhe zgjidhjet e propozuara për të plotësuar mangësitë e identifikuara. Lista e masave jepet veçmas për secilin sektor në paragrafin 5.6.</w:t>
      </w:r>
    </w:p>
    <w:p w14:paraId="6EDD007D" w14:textId="40E88AB6" w:rsidR="001617A3" w:rsidRPr="007114AF" w:rsidRDefault="001617A3" w:rsidP="001617A3">
      <w:pPr>
        <w:pStyle w:val="TEKSTI"/>
      </w:pPr>
      <w:r w:rsidRPr="007114AF">
        <w:t>Vëmendje e veçantë i është dhënë sistemit të matjes, monitorimit dhe raportimit në Shqipëri.</w:t>
      </w:r>
      <w:r w:rsidR="00C6608F" w:rsidRPr="007114AF">
        <w:t xml:space="preserve"> </w:t>
      </w:r>
      <w:r w:rsidRPr="007114AF">
        <w:t>Vlerësimi i plotë, standard</w:t>
      </w:r>
      <w:r w:rsidR="00C6608F" w:rsidRPr="007114AF">
        <w:t xml:space="preserve"> </w:t>
      </w:r>
      <w:r w:rsidRPr="007114AF">
        <w:t>dhe transparent për raportimin dhe përgjegjësinë ndaj shkarkimeve dhe përthithësve GES, është thelbësor për të vlerësuar progresin e arritjes së objektivave, për të vlerësuar performancën e politikave dhe masave në nivel ndërkombëtar, për të vlerësuar suksesin e përpjekjeve të përbashkëta për të reduktuar ndryshimet klimatike(duke marrë në konsideratë parimin e përgjegjësive të përbashkëta, por të diferencuara, dhe aftësive përkatëse).</w:t>
      </w:r>
    </w:p>
    <w:p w14:paraId="6EDD007E" w14:textId="77777777" w:rsidR="001617A3" w:rsidRPr="007114AF" w:rsidRDefault="001617A3" w:rsidP="001617A3">
      <w:pPr>
        <w:pStyle w:val="TEKSTI"/>
        <w:rPr>
          <w:b/>
        </w:rPr>
      </w:pPr>
      <w:bookmarkStart w:id="166" w:name="_Toc484424513"/>
      <w:r w:rsidRPr="007114AF">
        <w:rPr>
          <w:b/>
        </w:rPr>
        <w:t>5.1 Energjia</w:t>
      </w:r>
      <w:bookmarkEnd w:id="166"/>
    </w:p>
    <w:p w14:paraId="6EDD007F" w14:textId="7B1AF64E" w:rsidR="001617A3" w:rsidRPr="007114AF" w:rsidRDefault="001617A3" w:rsidP="001617A3">
      <w:pPr>
        <w:pStyle w:val="TEKSTI"/>
      </w:pPr>
      <w:r w:rsidRPr="007114AF">
        <w:t>Në përgjithësi, masat e propozuara në PKZNK-ë</w:t>
      </w:r>
      <w:r w:rsidR="00C6608F" w:rsidRPr="007114AF">
        <w:t xml:space="preserve"> </w:t>
      </w:r>
      <w:r w:rsidRPr="007114AF">
        <w:t>për sektorin e Energjisë, lejojnë progresin drejt objektivave kryesor</w:t>
      </w:r>
      <w:r w:rsidR="00163F78">
        <w:t>ë</w:t>
      </w:r>
      <w:r w:rsidRPr="007114AF">
        <w:t xml:space="preserve"> të politikës, të njohura në</w:t>
      </w:r>
      <w:r w:rsidR="00C6608F" w:rsidRPr="007114AF">
        <w:t xml:space="preserve"> </w:t>
      </w:r>
      <w:r w:rsidRPr="007114AF">
        <w:t>dokumentin e SKNK-ës</w:t>
      </w:r>
      <w:r w:rsidR="00C6608F" w:rsidRPr="007114AF">
        <w:t xml:space="preserve"> </w:t>
      </w:r>
      <w:r w:rsidRPr="007114AF">
        <w:t>dhe që iu përgjigjen prioriteteve strategjike të identifikuara për zbutjen e ndryshimeve klimatike, të renditura në kreun 3, me shumicën e masave të marra në konsideratë të vëna në fokus në pjesën:</w:t>
      </w:r>
      <w:r w:rsidR="00C6608F" w:rsidRPr="007114AF">
        <w:t xml:space="preserve"> “</w:t>
      </w:r>
      <w:r w:rsidRPr="007114AF">
        <w:rPr>
          <w:i/>
        </w:rPr>
        <w:t>Nxitni eficiencën e energjisë dhe Nxitni Burimet e Qëndrueshme të Energjisë së Rinovueshme</w:t>
      </w:r>
      <w:r w:rsidR="000A2A01" w:rsidRPr="007114AF">
        <w:rPr>
          <w:i/>
        </w:rPr>
        <w:t>”</w:t>
      </w:r>
      <w:r w:rsidRPr="007114AF">
        <w:t xml:space="preserve">. </w:t>
      </w:r>
    </w:p>
    <w:p w14:paraId="6EDD0080" w14:textId="77777777" w:rsidR="001617A3" w:rsidRPr="007114AF" w:rsidRDefault="001617A3" w:rsidP="001617A3">
      <w:pPr>
        <w:pStyle w:val="TEKSTI"/>
      </w:pPr>
      <w:r w:rsidRPr="007114AF">
        <w:t>Një nga shqetësimet kryesore në sektorin e energjisë është përshtatshmëria e buxhetit, veçanërisht për masat në PKVEE; megjithatë, kjo mund të kapërcehet në vitet në vazhdim nga një zbatim i kujdesshëm i ligjit mbi Eficiencën e Energjisë dhe ligjit mbi BER-in.</w:t>
      </w:r>
    </w:p>
    <w:p w14:paraId="6EDD0081" w14:textId="169C9003" w:rsidR="001617A3" w:rsidRPr="007114AF" w:rsidRDefault="001617A3" w:rsidP="001617A3">
      <w:pPr>
        <w:pStyle w:val="TEKSTI"/>
      </w:pPr>
      <w:r w:rsidRPr="007114AF">
        <w:t>Sipas ligjit të Eficiencës së Energjisë, në fakt, financimi i mjaftueshëm duhet të jetë një nga parimet mbështetëse të politikës shqiptare mbi eficiencën e energjisë (neni 5, 3b), dhe dispozitat për planifikimin me kujdes të aspekteve financiare në PKVEE-të e ardhshme të jenë bërë në nenin 7, 2 i, j, m, si për burimet publike dhe për ato private dhe planifikimin financiar afatshkurtër dhe afatgjatë. Ligji krijon një institucion financiar, atë të Fondit për Eficiencën e Energjisë, për të lehtësuar sigurimin e fondeve të mjaftueshme, që mbështesin përmirësimet e denja të eficiencës së energjisë, dhe përcakton në detaje qëllimin, funksionimin dhe qeverisjen</w:t>
      </w:r>
      <w:r w:rsidR="006F4123" w:rsidRPr="007114AF">
        <w:t xml:space="preserve"> </w:t>
      </w:r>
      <w:r w:rsidRPr="007114AF">
        <w:t>e tij (kreu V, nenet 19</w:t>
      </w:r>
      <w:r w:rsidR="002F042B" w:rsidRPr="007114AF">
        <w:t>–</w:t>
      </w:r>
      <w:r w:rsidRPr="007114AF">
        <w:t>24). Prandaj është e rëndësishme që këto rregulla të vihen në jetë përmes akteve të duhura nënligjore, sa më shpejt të jetë e mundur. Njëkohësisht, masa të njëjta janë parashikuar nga ligji mbi BER-in</w:t>
      </w:r>
      <w:r w:rsidR="006F4123" w:rsidRPr="007114AF">
        <w:t xml:space="preserve"> </w:t>
      </w:r>
      <w:r w:rsidRPr="007114AF">
        <w:t>për politikën e BER-it, duke ngritur një fond me karakteristika dhe objektiva të njëjtë. Përsëri është e rëndësishme që të hartohen ligje dhe akte nënligjore të përshtatshme për</w:t>
      </w:r>
      <w:r w:rsidR="006F4123" w:rsidRPr="007114AF">
        <w:t xml:space="preserve"> </w:t>
      </w:r>
      <w:r w:rsidRPr="007114AF">
        <w:t xml:space="preserve">BER-in. Duke qenë se tarifat </w:t>
      </w:r>
      <w:r w:rsidRPr="007114AF">
        <w:rPr>
          <w:rFonts w:cs="Calibri"/>
        </w:rPr>
        <w:t>që i paguhen prodhuesve të energjisë së rinovueshme për çdo njësi energjie të prodhuar dhe të transmetuar në rrjetin elektrik (</w:t>
      </w:r>
      <w:r w:rsidRPr="00264806">
        <w:rPr>
          <w:rFonts w:cs="Calibri"/>
          <w:i/>
        </w:rPr>
        <w:t>feed</w:t>
      </w:r>
      <w:r w:rsidRPr="007114AF">
        <w:rPr>
          <w:rFonts w:cs="Calibri"/>
        </w:rPr>
        <w:t xml:space="preserve">-in </w:t>
      </w:r>
      <w:r w:rsidRPr="00264806">
        <w:rPr>
          <w:rFonts w:cs="Calibri"/>
          <w:i/>
        </w:rPr>
        <w:t>tariffs</w:t>
      </w:r>
      <w:r w:rsidRPr="007114AF">
        <w:rPr>
          <w:rFonts w:cs="Calibri"/>
        </w:rPr>
        <w:t>),</w:t>
      </w:r>
      <w:r w:rsidR="00203893" w:rsidRPr="007114AF">
        <w:rPr>
          <w:rFonts w:cs="Calibri"/>
        </w:rPr>
        <w:t xml:space="preserve"> </w:t>
      </w:r>
      <w:r w:rsidRPr="007114AF">
        <w:t>janë një skemë mbështetëse tradicionale për investimet BER,</w:t>
      </w:r>
      <w:r w:rsidR="006F4123" w:rsidRPr="007114AF">
        <w:t xml:space="preserve"> </w:t>
      </w:r>
      <w:r w:rsidRPr="007114AF">
        <w:t>të cilat ndikojnë në të gjithë tregun elektrik, kjo mund të jetë gjithashtu</w:t>
      </w:r>
      <w:r w:rsidR="006F4123" w:rsidRPr="007114AF">
        <w:t xml:space="preserve"> </w:t>
      </w:r>
      <w:r w:rsidRPr="007114AF">
        <w:t>një pjesë e rëndësishme e Strategjisë së Energjisë. Prandaj, për të përgjithësuar rekomandimin e mësipërm, është e rëndësishme</w:t>
      </w:r>
      <w:r w:rsidR="006F4123" w:rsidRPr="007114AF">
        <w:t xml:space="preserve"> </w:t>
      </w:r>
      <w:r w:rsidRPr="007114AF">
        <w:t xml:space="preserve">të përfshihen rregulla të qarta dhe të realizueshme rreth masave të politikave financuese në të gjitha politikat që lidhen me energjinë, dhe që ato të funksionojnë përmes akteve të duhura nënligjore, sa më shpejt të jetë e mundur. </w:t>
      </w:r>
    </w:p>
    <w:p w14:paraId="6EDD0082" w14:textId="05B73976" w:rsidR="001617A3" w:rsidRPr="007114AF" w:rsidRDefault="001617A3" w:rsidP="001617A3">
      <w:pPr>
        <w:pStyle w:val="TEKSTI"/>
      </w:pPr>
      <w:r w:rsidRPr="007114AF">
        <w:t>Bashkërendimi mes të gjitha strategjive dhe planeve të ministrive që punojnë drejtpërdrejtë ose jo me energjinë, është po aq i rëndësishëm. Lidhjet e forta kryesore që duhen konsideruar, janë ato ndërmjet energjisë dhe transportit lidhur me lëndët e djegshme fosile</w:t>
      </w:r>
      <w:r w:rsidR="00E12123" w:rsidRPr="007114AF">
        <w:t xml:space="preserve"> </w:t>
      </w:r>
      <w:r w:rsidRPr="007114AF">
        <w:t>në një perspektivë afatgjatë; lidhur me energjinë elektrike dhe ato me bujqësinë dhe me pyjet për biomasën. Instrumenti që siguron këtë bashkërendim është Strategjisë Kombëtare të Energjisë për periudhën 2018–2030, miratuar me VKM</w:t>
      </w:r>
      <w:r w:rsidR="00242009" w:rsidRPr="007114AF">
        <w:t xml:space="preserve"> nr. </w:t>
      </w:r>
      <w:r w:rsidRPr="007114AF">
        <w:t>480</w:t>
      </w:r>
      <w:r w:rsidR="00E12123" w:rsidRPr="007114AF">
        <w:t>,</w:t>
      </w:r>
      <w:r w:rsidRPr="007114AF">
        <w:t xml:space="preserve"> d</w:t>
      </w:r>
      <w:r w:rsidR="00E12123" w:rsidRPr="007114AF">
        <w:t>a</w:t>
      </w:r>
      <w:r w:rsidRPr="007114AF">
        <w:t>t</w:t>
      </w:r>
      <w:r w:rsidR="00E12123" w:rsidRPr="007114AF">
        <w:t>ë 31.</w:t>
      </w:r>
      <w:r w:rsidRPr="007114AF">
        <w:t>7.2018</w:t>
      </w:r>
      <w:r w:rsidR="00E12123" w:rsidRPr="007114AF">
        <w:t>,</w:t>
      </w:r>
      <w:r w:rsidRPr="007114AF">
        <w:t xml:space="preserve"> duke garantuar përvijimin e çështjeve të ndryshimeve klimatike në çdo aspekt të strategjisë, në bashkërendim me strategji dhe plane të tjera në këtë sektor (Strategjia BER dhe PKVEE), si dhe të përkthehet në veprime, nëpërmjet një organi të përshtatshëm në aktet nënligjore. </w:t>
      </w:r>
    </w:p>
    <w:p w14:paraId="6EDD0083" w14:textId="39C54FF9" w:rsidR="001617A3" w:rsidRPr="007114AF" w:rsidRDefault="001617A3" w:rsidP="001617A3">
      <w:pPr>
        <w:pStyle w:val="TEKSTI"/>
      </w:pPr>
      <w:r w:rsidRPr="007114AF">
        <w:t>Pavarësisht se harmonizimi i politikave sektoriale me</w:t>
      </w:r>
      <w:r w:rsidR="00264806">
        <w:t xml:space="preserve"> </w:t>
      </w:r>
      <w:r w:rsidRPr="007114AF">
        <w:rPr>
          <w:i/>
        </w:rPr>
        <w:t>Acquis</w:t>
      </w:r>
      <w:r w:rsidRPr="007114AF">
        <w:t xml:space="preserve"> të BE-së</w:t>
      </w:r>
      <w:r w:rsidR="00264806">
        <w:t xml:space="preserve"> </w:t>
      </w:r>
      <w:r w:rsidRPr="007114AF">
        <w:t>duket të jetë integruar në kuadrin e politikave të energjisë shqiptare, rreziku i politikave të copëzuara</w:t>
      </w:r>
      <w:r w:rsidR="00264806">
        <w:t xml:space="preserve"> </w:t>
      </w:r>
      <w:r w:rsidRPr="007114AF">
        <w:t>mund të jetë mjaft i spikatur dhe duhet trajtuar menjëherë, me qëllim që të rrisë në mënyrë të ndjeshme bashkëpunimin mes të gjithë aktorëve përkatës institucionalë. Veprimi i parë që do të merret në këtë rast, është sinkronizimi i politikave shqiptare të energjisë dhe klimës, me agjendën e politikave të BE-së mbi temat përkatëse. Fusha tjetër ku bashkërendimi në kohë i iniciativave politike është i rëndësishëm, është bashkërendimi i brendshëm, ndërmjet strategjive sektoriale dhe planeve të ndryshme. Përpjekja e bashkërendimit e përshkruar në paragrafin e mësipërm, duhet të sjellë jo vetëm bashkërendimin tematik, por edhe atë</w:t>
      </w:r>
      <w:r w:rsidR="000A2A01" w:rsidRPr="007114AF">
        <w:t xml:space="preserve"> </w:t>
      </w:r>
      <w:r w:rsidRPr="007114AF">
        <w:t>të përkohshëm.</w:t>
      </w:r>
    </w:p>
    <w:p w14:paraId="6EDD0084" w14:textId="65F3E7FB" w:rsidR="001617A3" w:rsidRPr="007114AF" w:rsidRDefault="001617A3" w:rsidP="001617A3">
      <w:pPr>
        <w:pStyle w:val="TEKSTI"/>
      </w:pPr>
      <w:r w:rsidRPr="007114AF">
        <w:t xml:space="preserve">Dërgimi i sinjaleve dhe stimujve të duhur te konsumatorët, është shumë i rëndësishëm për zbatimin e politikave me kosto efektive. Kjo ka kryesisht dy pasoja, që të dyja me rezultate të drejtpërdrejta në PKZNK-ë. Nga njëra anë tregjet e energjisë që funksionojnë mirë janë një parakusht i domosdoshëm, që masat e politikave të orientojnë në mënyrën e duhur sjelljen e konsumatorit, që të arrihen kështu objektivat e dekarbonizimit. Konsumatorët duhet të marrin sinjalet e duhura nga tregu nëpërmjet çmimeve. Prandaj humbjet joteknike të rrjetit të shpërndarjes së energjisë elektrike dhe prerja e paqëndrueshme e druve për ngrohje dhe gatim, duhet të çrrënjosen me domosdo. Së dyti, është e rëndësishme të shmanget besimi i tepruar në skemat subvencionuese që synojnë të realizojnë objektivat e politikave (të tilla si: mbështetja e eficiencës së energjisë dhe përhapja e BER-it), për të shmangur përfituesit </w:t>
      </w:r>
      <w:r w:rsidR="000A2A01" w:rsidRPr="007114AF">
        <w:t>“</w:t>
      </w:r>
      <w:r w:rsidRPr="007114AF">
        <w:t>parazitarë</w:t>
      </w:r>
      <w:r w:rsidR="000A2A01" w:rsidRPr="007114AF">
        <w:t>”</w:t>
      </w:r>
      <w:r w:rsidRPr="007114AF">
        <w:t>. Një kurs veprimi i ngjashëm mjaft i rekomanduar është: forcimi i anës zbatuese. Aktualisht, vetëm ligji mbi Eficiencën e Energjisë parashikon sanksione administrative për shkeljen e rregullave të tij; megjithatë duhet të vendoset dhe hyjë në fuqi një sistem i qëndrueshëm dhe i besueshëm dënimi për shkelësit.</w:t>
      </w:r>
      <w:r w:rsidR="00264806">
        <w:t xml:space="preserve"> </w:t>
      </w:r>
      <w:r w:rsidRPr="007114AF">
        <w:t>Për shkeljet më të rënda që rezultojnë me mashtrime ose situata të rrezikshme për shëndetin publik dhe mjedisin, duhet të zbatohet Kodi Penal.</w:t>
      </w:r>
    </w:p>
    <w:p w14:paraId="6EDD0085" w14:textId="159B4EC7" w:rsidR="001617A3" w:rsidRPr="007114AF" w:rsidRDefault="001617A3" w:rsidP="001617A3">
      <w:pPr>
        <w:pStyle w:val="TEKSTI"/>
      </w:pPr>
      <w:r w:rsidRPr="007114AF">
        <w:t>Një çështje e rëndësishme për t</w:t>
      </w:r>
      <w:r w:rsidR="00D10DAB" w:rsidRPr="007114AF">
        <w:t>’</w:t>
      </w:r>
      <w:r w:rsidRPr="007114AF">
        <w:t>u trajtuar është: grumbullimi i të dhënave në sektorin e energjisë për të garantuar sistemin e duhur të informacionit. Kjo nënkupton ngritjen, hedhjen dhe mbajtjen e bazës së të dhënave të detajuara, të aksesueshme nga të gjitha institucionet e përfshira, në të gjitha aspektet informative që lidhen me hartimin e politikave për uljen e shkarkimeve GES në Shqipëri. Do të ishte i këshillueshëm integrimi i të tilla bazave të të dhënave me atë të konsumit të energjisë së parashikuar nga ligji mbi Eficiencën e Energjisë.</w:t>
      </w:r>
    </w:p>
    <w:p w14:paraId="6EDD0086" w14:textId="6199D7AD" w:rsidR="001617A3" w:rsidRPr="007114AF" w:rsidRDefault="001617A3" w:rsidP="001617A3">
      <w:pPr>
        <w:pStyle w:val="TEKSTI"/>
      </w:pPr>
      <w:r w:rsidRPr="007114AF">
        <w:t xml:space="preserve">E fundit, por jo më pak e rëndësishme, Shqipëria aktualisht qëndron në një pozicion unik në rrugën e saj të zhvillimit, i cili do të lejonte lehtësisht kalimin në standardet më të larta të eficiencës së energjisë, performancës së rrjetit dhe depërtimit të BER-it. Duhen futur stimuj të veçantë me anë të politikave, për të nxitur përhapjen e teknologjive më të përparuara që janë sot. Merrni në konsideratë futjen e skemave të veçanta të stimujve, planeve të investimit dhe certifikimit për banesat pasive dhe me humbje zero të energjisë, matjen </w:t>
      </w:r>
      <w:r w:rsidR="000A2A01" w:rsidRPr="007114AF">
        <w:t>“</w:t>
      </w:r>
      <w:r w:rsidRPr="007114AF">
        <w:t>smart</w:t>
      </w:r>
      <w:r w:rsidR="000A2A01" w:rsidRPr="007114AF">
        <w:t>”</w:t>
      </w:r>
      <w:r w:rsidRPr="007114AF">
        <w:t xml:space="preserve"> dhe faturimin, rrjetet </w:t>
      </w:r>
      <w:r w:rsidR="000A2A01" w:rsidRPr="007114AF">
        <w:t>“</w:t>
      </w:r>
      <w:r w:rsidRPr="007114AF">
        <w:t>smart</w:t>
      </w:r>
      <w:r w:rsidR="000A2A01" w:rsidRPr="007114AF">
        <w:t>”</w:t>
      </w:r>
      <w:r w:rsidRPr="007114AF">
        <w:t xml:space="preserve"> dhe sistemet domotike të kursimit të energjisë.</w:t>
      </w:r>
      <w:r w:rsidR="00264806">
        <w:t xml:space="preserve"> </w:t>
      </w:r>
      <w:r w:rsidRPr="007114AF">
        <w:t>Kostot e tyre më të larta të investimit do të jenë të detyruara të ulen, duke qenë se rritet përhapja e tyre dhe kompensohen gjithsesi nga efikasiteti më i lartë dhe aftësia për të tërhequr fonde ndërkombëtare. Ato ndoshta janë marrë parasysh për planifikime të ardhshme strategjike, por do të ishte e këshillueshme të fillohej të merreshin në konsideratë këto alternativa në një fazë më të hershme, nëse do të ishte e mundur, në këtë plan aktual.</w:t>
      </w:r>
    </w:p>
    <w:p w14:paraId="6EDD0087" w14:textId="77777777" w:rsidR="001617A3" w:rsidRPr="007114AF" w:rsidRDefault="001617A3" w:rsidP="001617A3">
      <w:pPr>
        <w:pStyle w:val="TEKSTI"/>
      </w:pPr>
      <w:r w:rsidRPr="007114AF">
        <w:t>Lista e plotë e masave për sektorin e energjisë paraqitet në paragrafin 5.6.1 në vijim.</w:t>
      </w:r>
    </w:p>
    <w:p w14:paraId="6EDD0088" w14:textId="77777777" w:rsidR="001617A3" w:rsidRPr="007114AF" w:rsidRDefault="001617A3" w:rsidP="001617A3">
      <w:pPr>
        <w:pStyle w:val="TEKSTI"/>
        <w:rPr>
          <w:b/>
        </w:rPr>
      </w:pPr>
      <w:bookmarkStart w:id="167" w:name="_Toc484424514"/>
      <w:r w:rsidRPr="007114AF">
        <w:rPr>
          <w:b/>
        </w:rPr>
        <w:t>5.2</w:t>
      </w:r>
      <w:r w:rsidR="00CF2A42" w:rsidRPr="007114AF">
        <w:rPr>
          <w:b/>
        </w:rPr>
        <w:t xml:space="preserve"> </w:t>
      </w:r>
      <w:r w:rsidRPr="007114AF">
        <w:rPr>
          <w:b/>
        </w:rPr>
        <w:t>Transporti</w:t>
      </w:r>
      <w:bookmarkEnd w:id="167"/>
    </w:p>
    <w:p w14:paraId="6EDD0089" w14:textId="37040A62" w:rsidR="001617A3" w:rsidRPr="007114AF" w:rsidRDefault="001617A3" w:rsidP="001617A3">
      <w:pPr>
        <w:pStyle w:val="TEKSTI"/>
        <w:rPr>
          <w:szCs w:val="20"/>
        </w:rPr>
      </w:pPr>
      <w:r w:rsidRPr="007114AF">
        <w:rPr>
          <w:szCs w:val="20"/>
        </w:rPr>
        <w:t>Sektori i transportit në Shqipëri është trajtuar në një nivel të dyfishtë: nga njëra anë kemi një plan për zhvillimin e lëvizshmërisë (SSTPV), në drejtim të cilësisë, sigurisë, nxitjes së alternativave të qëndrueshme modale ose bashkëmodale, por që synojnë rritjen e kapaciteteve, dhe nga ana tjetër një plan me qëllimin e veçantë të të pa</w:t>
      </w:r>
      <w:r w:rsidR="00264806">
        <w:rPr>
          <w:szCs w:val="20"/>
        </w:rPr>
        <w:t>s</w:t>
      </w:r>
      <w:r w:rsidRPr="007114AF">
        <w:rPr>
          <w:szCs w:val="20"/>
        </w:rPr>
        <w:t>urit të një transporti të qëndrueshëm (TECTQ), i cili përcakton një numër masash konkrete për reduktimin e shkarkimeve. Disa masa sipas SSTPV-ës</w:t>
      </w:r>
      <w:r w:rsidR="00264806">
        <w:rPr>
          <w:szCs w:val="20"/>
        </w:rPr>
        <w:t xml:space="preserve"> </w:t>
      </w:r>
      <w:r w:rsidRPr="007114AF">
        <w:rPr>
          <w:szCs w:val="20"/>
        </w:rPr>
        <w:t xml:space="preserve">mund të kenë një ndikim pozitiv mbi zbutjen e klimës. </w:t>
      </w:r>
    </w:p>
    <w:p w14:paraId="6EDD008A" w14:textId="591763BF" w:rsidR="001617A3" w:rsidRPr="007114AF" w:rsidRDefault="001617A3" w:rsidP="001617A3">
      <w:pPr>
        <w:pStyle w:val="TEKSTI"/>
        <w:rPr>
          <w:szCs w:val="20"/>
          <w:shd w:val="clear" w:color="auto" w:fill="FFFF00"/>
        </w:rPr>
      </w:pPr>
      <w:r w:rsidRPr="007114AF">
        <w:rPr>
          <w:szCs w:val="20"/>
        </w:rPr>
        <w:t>Masat e identifikuara në këtë</w:t>
      </w:r>
      <w:r w:rsidR="00264806">
        <w:rPr>
          <w:szCs w:val="20"/>
        </w:rPr>
        <w:t xml:space="preserve"> </w:t>
      </w:r>
      <w:r w:rsidRPr="007114AF">
        <w:t>PKZNK-ë jan</w:t>
      </w:r>
      <w:r w:rsidRPr="007114AF">
        <w:rPr>
          <w:szCs w:val="20"/>
        </w:rPr>
        <w:t xml:space="preserve">ë të dobishme për përmbushjen e objektivave të politikave kryesore të njohura në </w:t>
      </w:r>
      <w:r w:rsidRPr="007114AF">
        <w:t>NCSS-ë p</w:t>
      </w:r>
      <w:r w:rsidRPr="007114AF">
        <w:rPr>
          <w:szCs w:val="20"/>
        </w:rPr>
        <w:t>ër t</w:t>
      </w:r>
      <w:r w:rsidR="00D10DAB" w:rsidRPr="007114AF">
        <w:rPr>
          <w:szCs w:val="20"/>
        </w:rPr>
        <w:t>’</w:t>
      </w:r>
      <w:r w:rsidRPr="007114AF">
        <w:rPr>
          <w:szCs w:val="20"/>
        </w:rPr>
        <w:t>iu përgjigjur prioriteteve strategjike të id</w:t>
      </w:r>
      <w:r w:rsidRPr="007114AF">
        <w:t>entifikuara p</w:t>
      </w:r>
      <w:r w:rsidRPr="007114AF">
        <w:rPr>
          <w:szCs w:val="20"/>
        </w:rPr>
        <w:t>ër zbutjen e ndryshimeve klimatike</w:t>
      </w:r>
      <w:r w:rsidRPr="007114AF">
        <w:t>. Masat e planifikuara nxisin zhvillimin e sektorit t</w:t>
      </w:r>
      <w:r w:rsidRPr="007114AF">
        <w:rPr>
          <w:szCs w:val="20"/>
        </w:rPr>
        <w:t xml:space="preserve">ë transportit në Shqipëri, në përputhje me </w:t>
      </w:r>
      <w:r w:rsidRPr="007114AF">
        <w:t>Kuadrin Ligjor Evropian 2020 dhe 2030, p</w:t>
      </w:r>
      <w:r w:rsidRPr="007114AF">
        <w:rPr>
          <w:szCs w:val="20"/>
        </w:rPr>
        <w:t xml:space="preserve">ërmes veprimeve që synojnë përmirësimin e lidhjeve kombëtare dhe ndërkombëtare të territorit, mundësinë e arritjes së territoreve, mënyrave të qëndrueshme të transportit dhe eficiencës së energjisë. </w:t>
      </w:r>
    </w:p>
    <w:p w14:paraId="6EDD008B" w14:textId="6F60BB7C" w:rsidR="001617A3" w:rsidRPr="007114AF" w:rsidRDefault="001617A3" w:rsidP="001617A3">
      <w:pPr>
        <w:pStyle w:val="TEKSTI"/>
        <w:rPr>
          <w:strike/>
          <w:shd w:val="clear" w:color="auto" w:fill="FFFF00"/>
        </w:rPr>
      </w:pPr>
      <w:r w:rsidRPr="007114AF">
        <w:rPr>
          <w:szCs w:val="20"/>
        </w:rPr>
        <w:t xml:space="preserve">Disa masa të propozuara në </w:t>
      </w:r>
      <w:r w:rsidRPr="007114AF">
        <w:t>PKZNK-ë</w:t>
      </w:r>
      <w:r w:rsidR="0075001B">
        <w:t xml:space="preserve"> </w:t>
      </w:r>
      <w:r w:rsidRPr="007114AF">
        <w:t>p</w:t>
      </w:r>
      <w:r w:rsidRPr="007114AF">
        <w:rPr>
          <w:szCs w:val="20"/>
        </w:rPr>
        <w:t>ër sektorin e transportit, kanë për qëllim të përmbushin në veçanti, objektivat e politikave të</w:t>
      </w:r>
      <w:r w:rsidR="0075001B">
        <w:rPr>
          <w:b/>
          <w:bCs/>
        </w:rPr>
        <w:t xml:space="preserve"> </w:t>
      </w:r>
      <w:r w:rsidR="0075001B" w:rsidRPr="0075001B">
        <w:rPr>
          <w:bCs/>
          <w:i/>
        </w:rPr>
        <w:t>“</w:t>
      </w:r>
      <w:r w:rsidRPr="007114AF">
        <w:rPr>
          <w:bCs/>
          <w:i/>
        </w:rPr>
        <w:t>Nxitjes së një sistemi</w:t>
      </w:r>
      <w:r w:rsidR="000A2A01" w:rsidRPr="007114AF">
        <w:rPr>
          <w:bCs/>
          <w:i/>
        </w:rPr>
        <w:t xml:space="preserve"> </w:t>
      </w:r>
      <w:r w:rsidRPr="007114AF">
        <w:rPr>
          <w:bCs/>
          <w:i/>
        </w:rPr>
        <w:t>miqësor me mjedisin-</w:t>
      </w:r>
      <w:r w:rsidR="000A2A01" w:rsidRPr="007114AF">
        <w:rPr>
          <w:bCs/>
          <w:i/>
        </w:rPr>
        <w:t xml:space="preserve"> </w:t>
      </w:r>
      <w:r w:rsidRPr="007114AF">
        <w:rPr>
          <w:bCs/>
          <w:i/>
        </w:rPr>
        <w:t>të automjeteve</w:t>
      </w:r>
      <w:r w:rsidR="000A2A01" w:rsidRPr="007114AF">
        <w:rPr>
          <w:bCs/>
          <w:i/>
        </w:rPr>
        <w:t>”</w:t>
      </w:r>
      <w:r w:rsidRPr="007114AF">
        <w:rPr>
          <w:bCs/>
          <w:i/>
        </w:rPr>
        <w:t>.</w:t>
      </w:r>
      <w:r w:rsidR="0075001B">
        <w:rPr>
          <w:bCs/>
          <w:i/>
        </w:rPr>
        <w:t xml:space="preserve"> </w:t>
      </w:r>
      <w:r w:rsidRPr="007114AF">
        <w:rPr>
          <w:szCs w:val="20"/>
        </w:rPr>
        <w:t>Ky grup masash ka për qëllim: uljen e shkarkimeve të automjeteve nëpërmjet modernizimit të automjeteve private, rregullave dhe rregulloreve strukturore, të tilla si: miratimi dhe zbatimi i direktivave për etiketimin e makinave dhe standardet e BE-së; sistemi i taksave dhe stimujve, si dhe nxitja e përdorimit të lëndëve djegëse alternative. Duke qenë se nuk është alternativë frenimi i l</w:t>
      </w:r>
      <w:bookmarkStart w:id="168" w:name="OLE_LINK1"/>
      <w:r w:rsidRPr="007114AF">
        <w:rPr>
          <w:szCs w:val="20"/>
        </w:rPr>
        <w:t>ë</w:t>
      </w:r>
      <w:bookmarkEnd w:id="168"/>
      <w:r w:rsidRPr="007114AF">
        <w:rPr>
          <w:szCs w:val="20"/>
        </w:rPr>
        <w:t>vizshmërisë dhe aksesi i plotë në të gjithë territorin kombëtar është një nevojë, lëvizshmëria e motorizuar në shkallë vendi nuk mund të shmanget. Prandaj, masa të shumta mund t</w:t>
      </w:r>
      <w:r w:rsidR="00D10DAB" w:rsidRPr="007114AF">
        <w:rPr>
          <w:szCs w:val="20"/>
        </w:rPr>
        <w:t>’</w:t>
      </w:r>
      <w:r w:rsidRPr="007114AF">
        <w:rPr>
          <w:szCs w:val="20"/>
        </w:rPr>
        <w:t xml:space="preserve">i përmirësojnë opsionet e aksesit dhe lëvizshmërisë edhe me një </w:t>
      </w:r>
      <w:r w:rsidR="000A2A01" w:rsidRPr="007114AF">
        <w:rPr>
          <w:szCs w:val="20"/>
        </w:rPr>
        <w:t>“</w:t>
      </w:r>
      <w:r w:rsidRPr="007114AF">
        <w:rPr>
          <w:szCs w:val="20"/>
        </w:rPr>
        <w:t>mënyrë jo të qëndrueshme</w:t>
      </w:r>
      <w:r w:rsidR="000A2A01" w:rsidRPr="007114AF">
        <w:rPr>
          <w:szCs w:val="20"/>
        </w:rPr>
        <w:t>”</w:t>
      </w:r>
      <w:r w:rsidRPr="007114AF">
        <w:rPr>
          <w:szCs w:val="20"/>
        </w:rPr>
        <w:t>,</w:t>
      </w:r>
      <w:r w:rsidR="0075001B">
        <w:rPr>
          <w:szCs w:val="20"/>
        </w:rPr>
        <w:t xml:space="preserve"> </w:t>
      </w:r>
      <w:r w:rsidRPr="007114AF">
        <w:rPr>
          <w:szCs w:val="20"/>
        </w:rPr>
        <w:t>duke ndikuar mbi eficiencën e automjeteve dhe motorëve sa mesatarja në BE. Zbatimi i rregullave për të rritur përqindjen e automjeteve me shkarkime të ulëta është jetësor, duke qenë se me një rritje të parashikuar ekonomike dhe rritje të pagave, indeksi i motorizimit do të arrijë të paktën mesataren e BE-së, duke e rritur numrin e automjeteve për banorë në 450-500 automjete/1000 banorë, krahasuar me numrin aktual që është 200.</w:t>
      </w:r>
    </w:p>
    <w:p w14:paraId="6EDD008C" w14:textId="6D05660D" w:rsidR="001617A3" w:rsidRPr="007114AF" w:rsidRDefault="000A2A01" w:rsidP="001617A3">
      <w:pPr>
        <w:pStyle w:val="TEKSTI"/>
        <w:rPr>
          <w:szCs w:val="20"/>
        </w:rPr>
      </w:pPr>
      <w:r w:rsidRPr="007114AF">
        <w:rPr>
          <w:i/>
          <w:szCs w:val="20"/>
        </w:rPr>
        <w:t>“</w:t>
      </w:r>
      <w:r w:rsidR="001617A3" w:rsidRPr="007114AF">
        <w:rPr>
          <w:i/>
          <w:szCs w:val="20"/>
        </w:rPr>
        <w:t>Nxitja e mënyrave të qëndrueshme të transportit</w:t>
      </w:r>
      <w:r w:rsidRPr="007114AF">
        <w:rPr>
          <w:i/>
          <w:szCs w:val="20"/>
        </w:rPr>
        <w:t>”</w:t>
      </w:r>
      <w:r w:rsidR="0075001B">
        <w:rPr>
          <w:i/>
          <w:szCs w:val="20"/>
        </w:rPr>
        <w:t xml:space="preserve"> </w:t>
      </w:r>
      <w:r w:rsidR="001617A3" w:rsidRPr="007114AF">
        <w:rPr>
          <w:szCs w:val="20"/>
        </w:rPr>
        <w:t>do të thotë krijimi i kushteve që nxitin zgjedhje të sjelljes që shmang përdorimin e automjeteve private. Prandaj duhet zbatuar një sistem multimodal transporti efikas, i sigurt, i aksesueshëm dhe i ndërlidhur, përmes opsioneve, të tilla si përmirësimi i sigurisë dhe cilësisë së transportit për një treg të hapur; përmirësimi i transportit kolektiv; përmirësimi i transportit të kombinueshëm. Ndryshimi i mënyrës së transportit në lëvizshmëri me nivel të ulët karboni ka nevojë për infrastrukturë dhe ndryshim të sjelljes. Prandaj, nxitja e mënyrave të qëndrueshme duhet të mbështetet nga bashkëpunimi i palëve të interesuara, për trajtimin e masave zbutëse, për ndryshimet klimatike.</w:t>
      </w:r>
    </w:p>
    <w:p w14:paraId="6EDD008D" w14:textId="77777777" w:rsidR="001617A3" w:rsidRPr="007114AF" w:rsidRDefault="001617A3" w:rsidP="001617A3">
      <w:pPr>
        <w:pStyle w:val="TEKSTI"/>
        <w:rPr>
          <w:szCs w:val="20"/>
        </w:rPr>
      </w:pPr>
      <w:r w:rsidRPr="007114AF">
        <w:rPr>
          <w:szCs w:val="20"/>
        </w:rPr>
        <w:t xml:space="preserve">Sistemi hekurudhor ka vuajtur për një kohë të gjatë dhe duhet ripërtërirë plotësisht, dhe në një shkallë të gjerë, të rindërtohet nga e para. Rregullat dhe rregullorja duhet të përditësohen, për të përdorur një skemë koncesioni publik-privat. Është shumë e thjeshtë të transportohen mallrat me linjë hekurudhore (nëse kushtet teknike dhe ekonomike janë me fitim), por sjellja dhe zgjedhjet e njerëzve duan kohë më të gjatë të ndryshojnë. Kalimi i pasagjerëve nga përdorimi i makinave private drejt udhëtimit me tren është edhe më i vështirë, sidomos kur ekziston një sistem i përmirësuar rrugor dhe janë të disponueshme makinat e reja. Prandaj </w:t>
      </w:r>
      <w:r w:rsidRPr="007114AF">
        <w:t>PKZNK-ja</w:t>
      </w:r>
      <w:r w:rsidRPr="007114AF">
        <w:rPr>
          <w:szCs w:val="20"/>
        </w:rPr>
        <w:t xml:space="preserve"> sugjeron zhvillimin e një vlerësimi të plotë të transportit hekurudhor, duke marrë në konsideratë ofertën, kërkesën, alternativën e projektit për arritjen e një sistemi rrjeti gradual, koherent, afatgjatë, që me të vërtetë mund të konkurrojë me transportin rrugor për një numër të qëndrueshëm pasagjerësh, siç kërkohet nga kuadri ligjor i BE-së, dhe në përputhje me një skemë të mundshme koncesioni.</w:t>
      </w:r>
    </w:p>
    <w:p w14:paraId="6EDD008E" w14:textId="54B3F143" w:rsidR="001617A3" w:rsidRPr="007114AF" w:rsidRDefault="001617A3" w:rsidP="001617A3">
      <w:pPr>
        <w:pStyle w:val="TEKSTI"/>
        <w:rPr>
          <w:bCs/>
          <w:szCs w:val="20"/>
        </w:rPr>
      </w:pPr>
      <w:r w:rsidRPr="007114AF">
        <w:rPr>
          <w:szCs w:val="20"/>
        </w:rPr>
        <w:t xml:space="preserve">Shumë masa të propozuara për sektorin e transportit i përgjigjen gjithashtu, objektivit politik për </w:t>
      </w:r>
      <w:r w:rsidRPr="007114AF">
        <w:rPr>
          <w:bCs/>
          <w:i/>
        </w:rPr>
        <w:t>Nxitjen e eficiencës së energjis</w:t>
      </w:r>
      <w:r w:rsidRPr="007114AF">
        <w:rPr>
          <w:szCs w:val="20"/>
        </w:rPr>
        <w:t>ë,</w:t>
      </w:r>
      <w:r w:rsidR="000A2A01" w:rsidRPr="007114AF">
        <w:rPr>
          <w:szCs w:val="20"/>
        </w:rPr>
        <w:t xml:space="preserve"> </w:t>
      </w:r>
      <w:r w:rsidRPr="007114AF">
        <w:rPr>
          <w:szCs w:val="20"/>
        </w:rPr>
        <w:t xml:space="preserve">duke pasur parasysh se </w:t>
      </w:r>
      <w:r w:rsidRPr="007114AF">
        <w:rPr>
          <w:bCs/>
        </w:rPr>
        <w:t xml:space="preserve">transporti </w:t>
      </w:r>
      <w:r w:rsidRPr="007114AF">
        <w:rPr>
          <w:szCs w:val="20"/>
        </w:rPr>
        <w:t>është një nënsektor i sektorit të energjisë</w:t>
      </w:r>
      <w:r w:rsidRPr="007114AF">
        <w:rPr>
          <w:bCs/>
        </w:rPr>
        <w:t>.</w:t>
      </w:r>
      <w:r w:rsidR="0075001B">
        <w:rPr>
          <w:bCs/>
        </w:rPr>
        <w:t xml:space="preserve"> </w:t>
      </w:r>
      <w:r w:rsidRPr="007114AF">
        <w:rPr>
          <w:bCs/>
        </w:rPr>
        <w:t>N</w:t>
      </w:r>
      <w:r w:rsidRPr="007114AF">
        <w:rPr>
          <w:szCs w:val="20"/>
        </w:rPr>
        <w:t>ë mënyrë të veçantë, për transportin rrugor nevojiten përpjekje të mëtejshme, për të arritur një standard të qëndrueshmërisë. Masa të tilla përfshijnë: eficiencë më të lartë të energjisë, për shkak të kongjestionit më të ulët në rrugët e bajpasit të Tiranës dhe lidhjes Thumanë - Vorë; eficiencë më të lartë të energjisë,</w:t>
      </w:r>
      <w:r w:rsidR="000A2A01" w:rsidRPr="007114AF">
        <w:rPr>
          <w:szCs w:val="20"/>
        </w:rPr>
        <w:t xml:space="preserve"> </w:t>
      </w:r>
      <w:r w:rsidRPr="007114AF">
        <w:rPr>
          <w:szCs w:val="20"/>
        </w:rPr>
        <w:t>për shkak të kongjestionit më të ulët në rrugët lidhëse të bajpasit të Shkodrës, bajpasit të Lezhës, Vorë-Durrës, bajpasit të Tepelenës, Shkodrës, Bajpasit të Gjirokastrës, bajpasit të Elbasanit, Elbasan - Qafë Thanë; një strategji e re kontraktuale për mirëmbajtjen e rrugëve që shërben për uljen e IRI-t (indeksi ndërkombëtar i ashpërsisë), që lidhet me konsumin e karburantit, duke filluar nga Rrjeti Rrugor Parësor (1390 km). Jo vetëm udhëtarët, por edhe mallrat përdorin sistemin rrugor për të lëvizur e për t</w:t>
      </w:r>
      <w:r w:rsidR="00D10DAB" w:rsidRPr="007114AF">
        <w:rPr>
          <w:szCs w:val="20"/>
        </w:rPr>
        <w:t>’</w:t>
      </w:r>
      <w:r w:rsidRPr="007114AF">
        <w:rPr>
          <w:szCs w:val="20"/>
        </w:rPr>
        <w:t>u shpërndarë në nivel kombëtar ose ndërkombëtar, dhe mund të përfitojnë nga të gjitha masat për përmirësimin e rrugëve</w:t>
      </w:r>
      <w:r w:rsidRPr="007114AF">
        <w:t>. Duke q</w:t>
      </w:r>
      <w:r w:rsidRPr="007114AF">
        <w:rPr>
          <w:szCs w:val="20"/>
        </w:rPr>
        <w:t>enë se lëvizjet e mallrave në portet kombëtare duhet të rriten, dhe lidhjet hekurudhore nuk janë të mjaftueshme</w:t>
      </w:r>
      <w:r w:rsidRPr="007114AF">
        <w:t>, nj</w:t>
      </w:r>
      <w:r w:rsidRPr="007114AF">
        <w:rPr>
          <w:szCs w:val="20"/>
        </w:rPr>
        <w:t>ë përmirësim i faktorit të ngarkesës mund ta nxisë eficiencën e energjisë</w:t>
      </w:r>
      <w:r w:rsidRPr="007114AF">
        <w:t>. Prandaj, TECTQ-a</w:t>
      </w:r>
      <w:r w:rsidR="0075001B">
        <w:t xml:space="preserve"> </w:t>
      </w:r>
      <w:r w:rsidRPr="007114AF">
        <w:t>merr në konsideratë p</w:t>
      </w:r>
      <w:r w:rsidRPr="007114AF">
        <w:rPr>
          <w:szCs w:val="20"/>
        </w:rPr>
        <w:t>ërmirësimin e faktorit të ngarkesës së mallrave përmes kombinimi të veprimeve, si zbatimi i nyjave të përforcuara, zhvillimi i proceseve të menaxhimit të trafikut të integruar</w:t>
      </w:r>
      <w:r w:rsidRPr="007114AF">
        <w:t xml:space="preserve">, etj. </w:t>
      </w:r>
    </w:p>
    <w:p w14:paraId="6EDD008F" w14:textId="61321263" w:rsidR="001617A3" w:rsidRPr="007114AF" w:rsidRDefault="001617A3" w:rsidP="001617A3">
      <w:pPr>
        <w:pStyle w:val="TEKSTI"/>
      </w:pPr>
      <w:r w:rsidRPr="007114AF">
        <w:rPr>
          <w:bCs/>
          <w:szCs w:val="20"/>
        </w:rPr>
        <w:t>Pjesa m</w:t>
      </w:r>
      <w:r w:rsidRPr="007114AF">
        <w:rPr>
          <w:szCs w:val="20"/>
        </w:rPr>
        <w:t xml:space="preserve">ë e madhe e masave të propozuara duhet të mbështeten nga një sistem i fuqishëm MRV-ë, që duhet të monitorojë me kujdes edhe kërkesat e transportit rrugor. Prandaj, masat që kanë si qëllim krijimin e një sistemi për mbledhjen dhe monitorimin e të dhënave, janë theksuar në </w:t>
      </w:r>
      <w:r w:rsidRPr="007114AF">
        <w:t>PKZNK-ë, p</w:t>
      </w:r>
      <w:r w:rsidRPr="007114AF">
        <w:rPr>
          <w:szCs w:val="20"/>
        </w:rPr>
        <w:t>ër të përmbushur objektivat politik</w:t>
      </w:r>
      <w:r w:rsidR="00163F78">
        <w:rPr>
          <w:szCs w:val="20"/>
        </w:rPr>
        <w:t>ë</w:t>
      </w:r>
      <w:r w:rsidRPr="007114AF">
        <w:rPr>
          <w:szCs w:val="20"/>
        </w:rPr>
        <w:t xml:space="preserve"> të parashikuara, për </w:t>
      </w:r>
      <w:r w:rsidR="000A2A01" w:rsidRPr="007114AF">
        <w:rPr>
          <w:szCs w:val="20"/>
        </w:rPr>
        <w:t>“</w:t>
      </w:r>
      <w:r w:rsidRPr="007114AF">
        <w:rPr>
          <w:i/>
        </w:rPr>
        <w:t>Krijimin e sistemeve për mbledhjen e të dhënave dhe MRV-së p</w:t>
      </w:r>
      <w:r w:rsidRPr="007114AF">
        <w:rPr>
          <w:i/>
          <w:szCs w:val="20"/>
        </w:rPr>
        <w:t>ër inventarin vjetor</w:t>
      </w:r>
      <w:r w:rsidR="00203893" w:rsidRPr="007114AF">
        <w:rPr>
          <w:i/>
          <w:szCs w:val="20"/>
        </w:rPr>
        <w:t xml:space="preserve"> </w:t>
      </w:r>
      <w:r w:rsidRPr="007114AF">
        <w:rPr>
          <w:i/>
        </w:rPr>
        <w:t>GES, në përputhje me kërkesat e raportimit të BE-së dhe UNFCCC-së</w:t>
      </w:r>
      <w:r w:rsidRPr="007114AF">
        <w:t>.</w:t>
      </w:r>
      <w:r w:rsidR="000A2A01" w:rsidRPr="007114AF">
        <w:t>”</w:t>
      </w:r>
      <w:r w:rsidRPr="007114AF">
        <w:t>N</w:t>
      </w:r>
      <w:r w:rsidRPr="007114AF">
        <w:rPr>
          <w:szCs w:val="20"/>
        </w:rPr>
        <w:t>ë</w:t>
      </w:r>
      <w:r w:rsidRPr="007114AF">
        <w:t>PKZNK-ën jan</w:t>
      </w:r>
      <w:r w:rsidRPr="007114AF">
        <w:rPr>
          <w:szCs w:val="20"/>
        </w:rPr>
        <w:t xml:space="preserve">ë propozuar gjithashtu masa të rëndësishme që kanë si qëllim: </w:t>
      </w:r>
      <w:r w:rsidRPr="007114AF">
        <w:rPr>
          <w:i/>
        </w:rPr>
        <w:t>Nxitjen e nd</w:t>
      </w:r>
      <w:r w:rsidRPr="007114AF">
        <w:rPr>
          <w:i/>
          <w:szCs w:val="20"/>
        </w:rPr>
        <w:t>ërgjegjësimit dhe</w:t>
      </w:r>
      <w:r w:rsidRPr="007114AF">
        <w:rPr>
          <w:i/>
        </w:rPr>
        <w:t xml:space="preserve"> aktiviteteve edukative, p</w:t>
      </w:r>
      <w:r w:rsidRPr="007114AF">
        <w:rPr>
          <w:i/>
          <w:szCs w:val="20"/>
        </w:rPr>
        <w:t>ër të mbështetur sjelljet që çojnë në ulje të shkarkimeve</w:t>
      </w:r>
      <w:r w:rsidRPr="007114AF">
        <w:t>.</w:t>
      </w:r>
    </w:p>
    <w:p w14:paraId="6EDD0090" w14:textId="77777777" w:rsidR="001617A3" w:rsidRPr="007114AF" w:rsidRDefault="001617A3" w:rsidP="001617A3">
      <w:pPr>
        <w:pStyle w:val="TEKSTI"/>
      </w:pPr>
      <w:r w:rsidRPr="007114AF">
        <w:t>Lista e plot</w:t>
      </w:r>
      <w:r w:rsidRPr="007114AF">
        <w:rPr>
          <w:szCs w:val="20"/>
        </w:rPr>
        <w:t xml:space="preserve">ë e masave për sektorin e transportit jepet në </w:t>
      </w:r>
      <w:r w:rsidRPr="007114AF">
        <w:t>paragrafin 5.6.2 m</w:t>
      </w:r>
      <w:r w:rsidRPr="007114AF">
        <w:rPr>
          <w:szCs w:val="20"/>
        </w:rPr>
        <w:t>ë poshtë</w:t>
      </w:r>
      <w:r w:rsidRPr="007114AF">
        <w:t>.</w:t>
      </w:r>
    </w:p>
    <w:p w14:paraId="6EDD0091" w14:textId="77777777" w:rsidR="001617A3" w:rsidRPr="007114AF" w:rsidRDefault="001617A3" w:rsidP="001617A3">
      <w:pPr>
        <w:pStyle w:val="TEKSTI"/>
        <w:rPr>
          <w:b/>
        </w:rPr>
      </w:pPr>
      <w:bookmarkStart w:id="169" w:name="_Toc484424515"/>
      <w:r w:rsidRPr="007114AF">
        <w:rPr>
          <w:b/>
        </w:rPr>
        <w:t>5.3 Bujqësia</w:t>
      </w:r>
      <w:bookmarkEnd w:id="169"/>
    </w:p>
    <w:p w14:paraId="6EDD0092" w14:textId="6B1D1DB1" w:rsidR="001617A3" w:rsidRPr="007114AF" w:rsidRDefault="001617A3" w:rsidP="001617A3">
      <w:pPr>
        <w:pStyle w:val="TEKSTI"/>
      </w:pPr>
      <w:r w:rsidRPr="007114AF">
        <w:t>Masat e propozuara në PKZNK-ëp</w:t>
      </w:r>
      <w:r w:rsidRPr="007114AF">
        <w:rPr>
          <w:szCs w:val="20"/>
        </w:rPr>
        <w:t>ër sektorin bujqësor në përgjithësi, pajtohen për të përmbushur objektivat kryesor</w:t>
      </w:r>
      <w:r w:rsidR="00163F78">
        <w:rPr>
          <w:szCs w:val="20"/>
        </w:rPr>
        <w:t>ë</w:t>
      </w:r>
      <w:r w:rsidRPr="007114AF">
        <w:rPr>
          <w:szCs w:val="20"/>
        </w:rPr>
        <w:t xml:space="preserve"> të njohura në N</w:t>
      </w:r>
      <w:r w:rsidRPr="007114AF">
        <w:t>CSS-ë, p</w:t>
      </w:r>
      <w:r w:rsidRPr="007114AF">
        <w:rPr>
          <w:szCs w:val="20"/>
        </w:rPr>
        <w:t>ër t</w:t>
      </w:r>
      <w:r w:rsidR="00D10DAB" w:rsidRPr="007114AF">
        <w:rPr>
          <w:szCs w:val="20"/>
        </w:rPr>
        <w:t>’</w:t>
      </w:r>
      <w:r w:rsidRPr="007114AF">
        <w:rPr>
          <w:szCs w:val="20"/>
        </w:rPr>
        <w:t>iu përgjigjur prioriteteve strategjike të identifikuara për zbutjen e ndryshimeve klimatike</w:t>
      </w:r>
      <w:r w:rsidRPr="007114AF">
        <w:t>. Masat e planifikuara sigurojn</w:t>
      </w:r>
      <w:r w:rsidRPr="007114AF">
        <w:rPr>
          <w:szCs w:val="20"/>
        </w:rPr>
        <w:t xml:space="preserve">ë një rritje të zgjuar, të qëndrueshme dhe gjithëpërfshirëse të sektorit të bujqësisë në Shqipëri, në përputhje me kuadrin e Strategjisë </w:t>
      </w:r>
      <w:r w:rsidRPr="007114AF">
        <w:t>E</w:t>
      </w:r>
      <w:r w:rsidR="0075001B">
        <w:t>v</w:t>
      </w:r>
      <w:r w:rsidRPr="007114AF">
        <w:t>rop</w:t>
      </w:r>
      <w:r w:rsidRPr="007114AF">
        <w:rPr>
          <w:szCs w:val="20"/>
        </w:rPr>
        <w:t>ë</w:t>
      </w:r>
      <w:r w:rsidRPr="007114AF">
        <w:t xml:space="preserve"> 2020, si</w:t>
      </w:r>
      <w:r w:rsidR="0075001B">
        <w:t xml:space="preserve"> </w:t>
      </w:r>
      <w:r w:rsidRPr="007114AF">
        <w:t>dhe p</w:t>
      </w:r>
      <w:r w:rsidRPr="007114AF">
        <w:rPr>
          <w:szCs w:val="20"/>
        </w:rPr>
        <w:t>ërputhen mirë me parimet kryesore të Politikës së Përbashkët Bujqësore të BE-së</w:t>
      </w:r>
      <w:r w:rsidRPr="007114AF">
        <w:t xml:space="preserve"> (PBB) 2014</w:t>
      </w:r>
      <w:r w:rsidR="00A03821">
        <w:t>–</w:t>
      </w:r>
      <w:r w:rsidRPr="007114AF">
        <w:t>2020,pasqyruar n</w:t>
      </w:r>
      <w:r w:rsidRPr="007114AF">
        <w:rPr>
          <w:szCs w:val="20"/>
        </w:rPr>
        <w:t>ë Strategjinë Shqiptare për Bujqësinë dhe Zhvillimin R</w:t>
      </w:r>
      <w:r w:rsidRPr="007114AF">
        <w:t>ural</w:t>
      </w:r>
      <w:r w:rsidR="00A03821">
        <w:t xml:space="preserve"> </w:t>
      </w:r>
      <w:r w:rsidRPr="007114AF">
        <w:t>(SNBZHR) dhe Programin e saj p</w:t>
      </w:r>
      <w:r w:rsidRPr="007114AF">
        <w:rPr>
          <w:szCs w:val="20"/>
        </w:rPr>
        <w:t xml:space="preserve">ër Zhvillimin </w:t>
      </w:r>
      <w:r w:rsidRPr="007114AF">
        <w:t>Rural</w:t>
      </w:r>
      <w:r w:rsidR="000C4978">
        <w:t xml:space="preserve"> </w:t>
      </w:r>
      <w:r w:rsidR="00C6608F" w:rsidRPr="007114AF">
        <w:t>2014–2020</w:t>
      </w:r>
      <w:r w:rsidR="000C4978">
        <w:t xml:space="preserve"> </w:t>
      </w:r>
      <w:r w:rsidRPr="007114AF">
        <w:t>(IPARD).</w:t>
      </w:r>
    </w:p>
    <w:p w14:paraId="6EDD0093" w14:textId="083B5E97" w:rsidR="001617A3" w:rsidRPr="007114AF" w:rsidRDefault="001617A3" w:rsidP="001617A3">
      <w:pPr>
        <w:pStyle w:val="TEKSTI"/>
      </w:pPr>
      <w:r w:rsidRPr="007114AF">
        <w:t xml:space="preserve">Masat e propozuara </w:t>
      </w:r>
      <w:r w:rsidRPr="007114AF">
        <w:rPr>
          <w:szCs w:val="20"/>
        </w:rPr>
        <w:t>për bujqësinë</w:t>
      </w:r>
      <w:r w:rsidRPr="007114AF">
        <w:t xml:space="preserve"> n</w:t>
      </w:r>
      <w:r w:rsidRPr="007114AF">
        <w:rPr>
          <w:szCs w:val="20"/>
        </w:rPr>
        <w:t xml:space="preserve">ë </w:t>
      </w:r>
      <w:r w:rsidRPr="007114AF">
        <w:t>PKZNK-ë kan</w:t>
      </w:r>
      <w:r w:rsidRPr="007114AF">
        <w:rPr>
          <w:szCs w:val="20"/>
        </w:rPr>
        <w:t>ë si qëllim përmbushjen në veçanti,</w:t>
      </w:r>
      <w:r w:rsidRPr="007114AF">
        <w:rPr>
          <w:b/>
          <w:szCs w:val="20"/>
        </w:rPr>
        <w:t>të objektivave politik</w:t>
      </w:r>
      <w:r w:rsidR="00163F78">
        <w:rPr>
          <w:b/>
          <w:szCs w:val="20"/>
        </w:rPr>
        <w:t>ë</w:t>
      </w:r>
      <w:r w:rsidRPr="007114AF">
        <w:rPr>
          <w:b/>
          <w:szCs w:val="20"/>
        </w:rPr>
        <w:t xml:space="preserve"> që </w:t>
      </w:r>
      <w:r w:rsidRPr="007114AF">
        <w:rPr>
          <w:b/>
          <w:i/>
        </w:rPr>
        <w:t>nxitin uljen e shkarkimeve për prodhimin e q</w:t>
      </w:r>
      <w:r w:rsidRPr="007114AF">
        <w:rPr>
          <w:b/>
          <w:i/>
          <w:szCs w:val="20"/>
        </w:rPr>
        <w:t xml:space="preserve">ëndrueshëm të ushqimit, ruajnë dhe shtojnë përmbajtjen e karbonit në tokat bujqësore </w:t>
      </w:r>
      <w:r w:rsidRPr="007114AF">
        <w:rPr>
          <w:b/>
          <w:szCs w:val="20"/>
        </w:rPr>
        <w:t xml:space="preserve">dhe, rrjedhimisht, </w:t>
      </w:r>
      <w:r w:rsidRPr="007114AF">
        <w:rPr>
          <w:b/>
          <w:i/>
          <w:szCs w:val="20"/>
        </w:rPr>
        <w:t xml:space="preserve">rritin potencialin e përthithësve të karbonit dhe mbrojtjen e rezervave të karbonit në ekosistemet tokësore, </w:t>
      </w:r>
      <w:r w:rsidRPr="007114AF">
        <w:rPr>
          <w:b/>
          <w:szCs w:val="20"/>
        </w:rPr>
        <w:t>nëpërmjet nxitjes së praktikave të qëndrueshme bujqësore</w:t>
      </w:r>
      <w:r w:rsidRPr="007114AF">
        <w:rPr>
          <w:b/>
        </w:rPr>
        <w:t>, uljes së çrregullimeve t</w:t>
      </w:r>
      <w:r w:rsidRPr="007114AF">
        <w:rPr>
          <w:b/>
          <w:szCs w:val="20"/>
        </w:rPr>
        <w:t>ë tokës, përmirësimit të administrimit</w:t>
      </w:r>
      <w:r w:rsidR="000A2A01" w:rsidRPr="007114AF">
        <w:rPr>
          <w:b/>
          <w:szCs w:val="20"/>
        </w:rPr>
        <w:t xml:space="preserve"> </w:t>
      </w:r>
      <w:r w:rsidRPr="007114AF">
        <w:rPr>
          <w:b/>
          <w:szCs w:val="20"/>
        </w:rPr>
        <w:t>të blegtorisë dhe futjes e mbrojtjes së elementeve a</w:t>
      </w:r>
      <w:r w:rsidRPr="007114AF">
        <w:rPr>
          <w:b/>
        </w:rPr>
        <w:t>gro-pyjore dhe infrastrukturave t</w:t>
      </w:r>
      <w:r w:rsidRPr="007114AF">
        <w:rPr>
          <w:b/>
          <w:szCs w:val="20"/>
        </w:rPr>
        <w:t>ë gjelbra në zonat bujqësore</w:t>
      </w:r>
      <w:r w:rsidRPr="007114AF">
        <w:t>.</w:t>
      </w:r>
      <w:r w:rsidR="000A2A01" w:rsidRPr="007114AF">
        <w:t xml:space="preserve"> </w:t>
      </w:r>
    </w:p>
    <w:p w14:paraId="6EDD0094" w14:textId="054F2B94" w:rsidR="001617A3" w:rsidRPr="007114AF" w:rsidRDefault="001617A3" w:rsidP="001617A3">
      <w:pPr>
        <w:pStyle w:val="TEKSTI"/>
      </w:pPr>
      <w:r w:rsidRPr="007114AF">
        <w:t>Sidoqoft</w:t>
      </w:r>
      <w:r w:rsidRPr="007114AF">
        <w:rPr>
          <w:szCs w:val="20"/>
        </w:rPr>
        <w:t>ë, janë parashikuar gjithashtu masa vendimtare ndërsektoriale me sektorin e energjisë, në mënyrë të veçantë, për të përmbushur objektivat politik</w:t>
      </w:r>
      <w:r w:rsidR="000C4978">
        <w:rPr>
          <w:szCs w:val="20"/>
        </w:rPr>
        <w:t>ë</w:t>
      </w:r>
      <w:r w:rsidRPr="007114AF">
        <w:rPr>
          <w:szCs w:val="20"/>
        </w:rPr>
        <w:t xml:space="preserve"> të </w:t>
      </w:r>
      <w:r w:rsidR="000A2A01" w:rsidRPr="007114AF">
        <w:rPr>
          <w:szCs w:val="20"/>
        </w:rPr>
        <w:t>“</w:t>
      </w:r>
      <w:r w:rsidRPr="007114AF">
        <w:rPr>
          <w:i/>
        </w:rPr>
        <w:t>Nxitjes së Burimeve e Qëndrueshme të Energjisë së Rinovueshme</w:t>
      </w:r>
      <w:r w:rsidR="000A2A01" w:rsidRPr="007114AF">
        <w:rPr>
          <w:i/>
        </w:rPr>
        <w:t>”</w:t>
      </w:r>
      <w:r w:rsidRPr="007114AF">
        <w:rPr>
          <w:i/>
        </w:rPr>
        <w:t>,</w:t>
      </w:r>
      <w:r w:rsidR="0075001B">
        <w:rPr>
          <w:i/>
        </w:rPr>
        <w:t xml:space="preserve"> </w:t>
      </w:r>
      <w:r w:rsidRPr="007114AF">
        <w:t xml:space="preserve">nëpërmjet </w:t>
      </w:r>
      <w:r w:rsidRPr="007114AF">
        <w:rPr>
          <w:b/>
        </w:rPr>
        <w:t xml:space="preserve">nxitjes së përdorimit të qëndrueshëm të mbetjeve bujqësore, për prodhimin e bioenergjisë nga biomasa bujqësore e gjeneratës së dytë, dhe </w:t>
      </w:r>
      <w:r w:rsidR="000A2A01" w:rsidRPr="007114AF">
        <w:rPr>
          <w:b/>
        </w:rPr>
        <w:t>“</w:t>
      </w:r>
      <w:r w:rsidRPr="007114AF">
        <w:rPr>
          <w:b/>
          <w:i/>
        </w:rPr>
        <w:t>Nxitjes së Eficiencës së Energjisë</w:t>
      </w:r>
      <w:r w:rsidR="000A2A01" w:rsidRPr="007114AF">
        <w:rPr>
          <w:b/>
          <w:i/>
        </w:rPr>
        <w:t>”</w:t>
      </w:r>
      <w:r w:rsidRPr="007114AF">
        <w:rPr>
          <w:b/>
          <w:i/>
        </w:rPr>
        <w:t>,</w:t>
      </w:r>
      <w:r w:rsidR="0075001B">
        <w:rPr>
          <w:b/>
          <w:i/>
        </w:rPr>
        <w:t xml:space="preserve"> </w:t>
      </w:r>
      <w:r w:rsidRPr="007114AF">
        <w:rPr>
          <w:b/>
        </w:rPr>
        <w:t>nëpërmjet modernizimit të më shumë pajisjeve bujqësore efikase.</w:t>
      </w:r>
    </w:p>
    <w:p w14:paraId="6EDD0095" w14:textId="586C7918" w:rsidR="001617A3" w:rsidRPr="007114AF" w:rsidRDefault="001617A3" w:rsidP="001617A3">
      <w:pPr>
        <w:pStyle w:val="TEKSTI"/>
        <w:rPr>
          <w:color w:val="333333"/>
          <w:sz w:val="18"/>
          <w:szCs w:val="18"/>
          <w:shd w:val="clear" w:color="auto" w:fill="FFFFFF"/>
        </w:rPr>
      </w:pPr>
      <w:r w:rsidRPr="007114AF">
        <w:t>Vëmendje e veçantë duhet t</w:t>
      </w:r>
      <w:r w:rsidR="00D10DAB" w:rsidRPr="007114AF">
        <w:t>’</w:t>
      </w:r>
      <w:r w:rsidRPr="007114AF">
        <w:t xml:space="preserve">i </w:t>
      </w:r>
      <w:r w:rsidRPr="007114AF">
        <w:rPr>
          <w:b/>
        </w:rPr>
        <w:t>kushtohet prodhimit të biokarbureve</w:t>
      </w:r>
      <w:r w:rsidRPr="007114AF">
        <w:t xml:space="preserve"> për të përmbushur objektivat në masën 10% të penetrimit të biokarbureve në përdorimin e energjisë totale për sektorin e transportit deri në vitin2030 (sipas INDC). Duhen zbatuar masa të veçanta të aktiviteteve përgatitore të rekomanduara tëPKZNK-ëspër vlerësimin e fizibilitetit të zinxhirit të furnizimit të biokarbureve, duke i kushtuar një vëmendje të veçantë disponueshmërisë së tokës së përshtatshme bujqësore, llojit të përshtatshëm të biokarbureve dhe proceseve përkatëse të prodhimit si dhe aktivitete rregullatore, për të siguruar përputhshmëri me Direktivën 2015/1513 të BE-së, </w:t>
      </w:r>
      <w:r w:rsidRPr="007114AF">
        <w:rPr>
          <w:b/>
        </w:rPr>
        <w:t>mbi shmangien e zhvendosjes së prodhimit të ushqimit ose ndryshimit indirekt të përdorimit të tokës.</w:t>
      </w:r>
    </w:p>
    <w:p w14:paraId="6EDD0096" w14:textId="1C860DC7" w:rsidR="001617A3" w:rsidRPr="007114AF" w:rsidRDefault="001617A3" w:rsidP="001617A3">
      <w:pPr>
        <w:pStyle w:val="TEKSTI"/>
      </w:pPr>
      <w:r w:rsidRPr="007114AF">
        <w:t xml:space="preserve">Në përgjithësi, sektori bujqësor vuan nga një mungesë e përgjithshme të dhënash që do të ishin të dobishme për monitorimin e zonave bujqësore dhe kategorizimin e praktikave bujqësore që lejojnë </w:t>
      </w:r>
      <w:r w:rsidRPr="007114AF">
        <w:rPr>
          <w:b/>
        </w:rPr>
        <w:t>edhe vlerësimin e efekteve mbi ndryshimet klimatike.</w:t>
      </w:r>
      <w:r w:rsidR="000C4978">
        <w:rPr>
          <w:b/>
        </w:rPr>
        <w:t xml:space="preserve"> </w:t>
      </w:r>
      <w:r w:rsidRPr="007114AF">
        <w:t xml:space="preserve">Prandaj, në PKZNK-ë janë theksuar masa që synojnë krijimin e një </w:t>
      </w:r>
      <w:r w:rsidRPr="007114AF">
        <w:rPr>
          <w:b/>
        </w:rPr>
        <w:t>sistemi për mbledhjen e të dhënave në nivel ferme në zonat bujqësore</w:t>
      </w:r>
      <w:r w:rsidRPr="007114AF">
        <w:t xml:space="preserve"> dhe praktikat me bazë vjetore për monitorimin e GES-it, me qëllim përmbushjen e objektivave politik</w:t>
      </w:r>
      <w:r w:rsidR="00163F78">
        <w:t>ë</w:t>
      </w:r>
      <w:r w:rsidRPr="007114AF">
        <w:t xml:space="preserve"> të parashikuar për </w:t>
      </w:r>
      <w:r w:rsidR="00163F78">
        <w:t>“</w:t>
      </w:r>
      <w:r w:rsidRPr="007114AF">
        <w:rPr>
          <w:b/>
          <w:i/>
        </w:rPr>
        <w:t>Ngritjen e sistemeve të mbledhjes së të dhënave dhe sistemeve MRV, për inventarin vjetor të GES në përputhje me kërkesat e raportimit</w:t>
      </w:r>
      <w:r w:rsidRPr="007114AF">
        <w:rPr>
          <w:i/>
        </w:rPr>
        <w:t xml:space="preserve"> të BE-së dhe UNFCCC-ë</w:t>
      </w:r>
      <w:r w:rsidR="000A2A01" w:rsidRPr="007114AF">
        <w:rPr>
          <w:i/>
        </w:rPr>
        <w:t>”</w:t>
      </w:r>
      <w:r w:rsidRPr="007114AF">
        <w:t>. Sistemi duhet të ndërtohet në mënyrë të tillë që të jetë në përputhje me një sistem të ardhshëm informacioni të parcelave të tokave (LPIS) të përdorur në kuadrin e</w:t>
      </w:r>
      <w:r w:rsidR="000C4978">
        <w:t xml:space="preserve"> </w:t>
      </w:r>
      <w:r w:rsidRPr="007114AF">
        <w:t xml:space="preserve">PBB-ës. PKZNK-ja propozon gjithashtu, masa të rëndësishme që synojnë: </w:t>
      </w:r>
      <w:r w:rsidRPr="007114AF">
        <w:rPr>
          <w:i/>
        </w:rPr>
        <w:t>Nxitjen e aktiviteteve të ndërgjegjësimit dhe atyre edukative që mbështetin sjelljet që çojnë në uljen e shkarkimeve</w:t>
      </w:r>
      <w:r w:rsidRPr="007114AF">
        <w:t>.</w:t>
      </w:r>
    </w:p>
    <w:p w14:paraId="6EDD0097" w14:textId="174C9A01" w:rsidR="001617A3" w:rsidRPr="007114AF" w:rsidRDefault="001617A3" w:rsidP="001617A3">
      <w:pPr>
        <w:pStyle w:val="TEKSTI"/>
      </w:pPr>
      <w:r w:rsidRPr="007114AF">
        <w:t>Lista e plotë e masave për sektorin bujqësor pasqyrohet në paragrafin 5.6.3</w:t>
      </w:r>
      <w:r w:rsidR="000A2A01" w:rsidRPr="007114AF">
        <w:t xml:space="preserve"> </w:t>
      </w:r>
      <w:r w:rsidRPr="007114AF">
        <w:t>më poshtë.</w:t>
      </w:r>
    </w:p>
    <w:p w14:paraId="6EDD0098" w14:textId="29C91886" w:rsidR="001617A3" w:rsidRPr="007114AF" w:rsidRDefault="001617A3" w:rsidP="001617A3">
      <w:pPr>
        <w:pStyle w:val="TEKSTI"/>
        <w:rPr>
          <w:b/>
        </w:rPr>
      </w:pPr>
      <w:bookmarkStart w:id="170" w:name="_Toc484424516"/>
      <w:r w:rsidRPr="007114AF">
        <w:rPr>
          <w:b/>
        </w:rPr>
        <w:t xml:space="preserve">5.4 Ndryshimi i </w:t>
      </w:r>
      <w:r w:rsidR="000C4978" w:rsidRPr="007114AF">
        <w:rPr>
          <w:b/>
        </w:rPr>
        <w:t>përdorimit të tokës dhe pyjeve</w:t>
      </w:r>
      <w:bookmarkEnd w:id="170"/>
    </w:p>
    <w:p w14:paraId="6EDD0099" w14:textId="69F2C474" w:rsidR="001617A3" w:rsidRPr="007114AF" w:rsidRDefault="001617A3" w:rsidP="001617A3">
      <w:pPr>
        <w:pStyle w:val="TEKSTI"/>
      </w:pPr>
      <w:r w:rsidRPr="007114AF">
        <w:t>Masat e propozuara në PKZNK-ë për sektorin LUCF-ë garantojnë përmbushjen e përgjithshme të objektivave politik</w:t>
      </w:r>
      <w:r w:rsidR="00163F78">
        <w:t>ë</w:t>
      </w:r>
      <w:r w:rsidRPr="007114AF">
        <w:t xml:space="preserve"> kryesor</w:t>
      </w:r>
      <w:r w:rsidR="00163F78">
        <w:t>ë</w:t>
      </w:r>
      <w:r w:rsidRPr="007114AF">
        <w:t xml:space="preserve"> të njohura në NCSS-ë, për t</w:t>
      </w:r>
      <w:r w:rsidR="00D10DAB" w:rsidRPr="007114AF">
        <w:t>’</w:t>
      </w:r>
      <w:r w:rsidRPr="007114AF">
        <w:t xml:space="preserve">iu përgjigjur prioriteteve strategjike të identifikuara për zbutjen e ndryshimeve klimatike. Sektori shqiptar i përdorimi të tokës dhe pyjeve është shfrytëzuar mbi kapacitet në dekadat e fundit dhe tani po rregullohet me projektligjin e propozuar mbi Administrimin e Fondit Kombëtar të Pyjeve në Republikën e Shqipërisë, me qëllim krijimin e një rruge që të çon drejt një administrimi të qëndrueshëm të pyjeve dhe të përdorimit të tokës, si dhe me qëllim për ta kaluar sektorin nga një burim neto në një përthithës neto karboni. Për të përmbushur objektivin e </w:t>
      </w:r>
      <w:r w:rsidR="000A2A01" w:rsidRPr="007114AF">
        <w:t>“</w:t>
      </w:r>
      <w:r w:rsidRPr="007114AF">
        <w:rPr>
          <w:i/>
        </w:rPr>
        <w:t>Rritjes së potencialit të përthithësve të karbonit dhe mbrojtjes</w:t>
      </w:r>
      <w:r w:rsidR="000C4978">
        <w:rPr>
          <w:i/>
        </w:rPr>
        <w:t xml:space="preserve"> </w:t>
      </w:r>
      <w:r w:rsidRPr="007114AF">
        <w:rPr>
          <w:i/>
        </w:rPr>
        <w:t>së stoqeve të karbonit në ekosistemet tokësore</w:t>
      </w:r>
      <w:r w:rsidRPr="007114AF">
        <w:t xml:space="preserve"> dhe </w:t>
      </w:r>
      <w:r w:rsidRPr="007114AF">
        <w:rPr>
          <w:rFonts w:cs="Calibri"/>
          <w:i/>
        </w:rPr>
        <w:t>Reduktimit të zjarreve</w:t>
      </w:r>
      <w:r w:rsidRPr="007114AF">
        <w:rPr>
          <w:i/>
        </w:rPr>
        <w:t xml:space="preserve"> në pyje</w:t>
      </w:r>
      <w:r w:rsidR="000A2A01" w:rsidRPr="007114AF">
        <w:rPr>
          <w:i/>
        </w:rPr>
        <w:t>”</w:t>
      </w:r>
      <w:r w:rsidRPr="007114AF">
        <w:rPr>
          <w:i/>
        </w:rPr>
        <w:t>,</w:t>
      </w:r>
      <w:r w:rsidRPr="007114AF">
        <w:t xml:space="preserve"> masat e veçanta përfshijnë nxitjen e administrimit të qëndrueshëm të pyjeve dhe kullotave, rritjen e zonave të mbrojtura dhe pyjeve, si dhe rritjen e mbrojtjes së zonave ekzistuese, përtëritjen e tokave të degraduara dhe të dëmtuara, parandalimin e zjarreve dhe zbatimin e masave të nevojshme për zhdukjen e shpejtë të tyre.</w:t>
      </w:r>
    </w:p>
    <w:p w14:paraId="6EDD009A" w14:textId="297FEF52" w:rsidR="001617A3" w:rsidRPr="007114AF" w:rsidRDefault="001617A3" w:rsidP="001617A3">
      <w:pPr>
        <w:pStyle w:val="TEKSTI"/>
      </w:pPr>
      <w:r w:rsidRPr="007114AF">
        <w:t>Për më tepër, janë parashikuar gjithashtu, masa ndërsektoriale me sektorin e energjisë, në veçanti për përmbushjen e objektivave politik</w:t>
      </w:r>
      <w:r w:rsidR="00163F78">
        <w:t>ë</w:t>
      </w:r>
      <w:r w:rsidRPr="007114AF">
        <w:t xml:space="preserve"> të </w:t>
      </w:r>
      <w:r w:rsidR="000A2A01" w:rsidRPr="007114AF">
        <w:t>“</w:t>
      </w:r>
      <w:r w:rsidRPr="007114AF">
        <w:rPr>
          <w:i/>
        </w:rPr>
        <w:t xml:space="preserve">Nxitjes së eficiencës së energjisë, </w:t>
      </w:r>
      <w:r w:rsidRPr="007114AF">
        <w:t xml:space="preserve">si dhe </w:t>
      </w:r>
      <w:r w:rsidRPr="007114AF">
        <w:rPr>
          <w:i/>
        </w:rPr>
        <w:t>Nxitjes së</w:t>
      </w:r>
      <w:r w:rsidR="000A2A01" w:rsidRPr="007114AF">
        <w:rPr>
          <w:i/>
        </w:rPr>
        <w:t xml:space="preserve"> </w:t>
      </w:r>
      <w:r w:rsidRPr="007114AF">
        <w:rPr>
          <w:i/>
        </w:rPr>
        <w:t>Burimeve të Qëndrueshme të Energjisë së Rinovueshme</w:t>
      </w:r>
      <w:r w:rsidR="000A2A01" w:rsidRPr="007114AF">
        <w:rPr>
          <w:i/>
        </w:rPr>
        <w:t>”</w:t>
      </w:r>
      <w:r w:rsidR="000C4978">
        <w:rPr>
          <w:i/>
        </w:rPr>
        <w:t xml:space="preserve"> </w:t>
      </w:r>
      <w:r w:rsidRPr="007114AF">
        <w:t>që kanë për qëllim një përdorim të qëndrueshëm të pyjeve për të reduktuar shfrytëzimin e pyjeve dhe për të përmirësuar përdorimin e teknologjisë së drurit, me anë të futjes së teknikave dhe pajisjeve teknologjike moderne, për të reduktuar sasinë e biomasës që mbetet aktualisht në pyje nga pemët e shfrytëzuara dhe teknologjitë e përmirësuara në djegien e druve,</w:t>
      </w:r>
      <w:r w:rsidR="000A2A01" w:rsidRPr="007114AF">
        <w:t xml:space="preserve"> </w:t>
      </w:r>
      <w:r w:rsidRPr="007114AF">
        <w:t xml:space="preserve">për të rritur eficiencën e procesit të përdorimit të druve për ngrohje dhe gatim. </w:t>
      </w:r>
    </w:p>
    <w:p w14:paraId="6EDD009B" w14:textId="1E1CA210" w:rsidR="001617A3" w:rsidRPr="007114AF" w:rsidRDefault="001617A3" w:rsidP="001617A3">
      <w:pPr>
        <w:pStyle w:val="TEKSTI"/>
      </w:pPr>
      <w:r w:rsidRPr="007114AF">
        <w:t>Pavarësisht krijimit të bazës së të dhënave për pyjet, administrimi i pyjeve dhe kullotave i parashikuar në projektligjin për pyjet dhe kullotat, në momentin e mbledhjes së të dhënave mbi përdorimin e tokës dhe ndryshimit të përdorimit të tokës, mbetet një aset i munguar që mund të luajë rol kyç në monitorim, për të mundësuar vlerësimin e efekteve të aktiviteteve dhe ndryshimeve të përdorimit të tokës mbi ndryshimet klimatike. Prandaj, në PKZNK-ë janë theksuar masa që synojnë krijimin e një sistemi për mbledhjen e të dhënave në sektorin LUCF-ë</w:t>
      </w:r>
      <w:r w:rsidR="000C4978">
        <w:t xml:space="preserve"> </w:t>
      </w:r>
      <w:r w:rsidRPr="007114AF">
        <w:t>për monitorimin e shkarkimeve GES, për të përmbushur objektivat politik</w:t>
      </w:r>
      <w:r w:rsidR="009B0B46">
        <w:t>ë</w:t>
      </w:r>
      <w:r w:rsidRPr="007114AF">
        <w:t xml:space="preserve"> të parashikuar, për </w:t>
      </w:r>
      <w:r w:rsidR="000A2A01" w:rsidRPr="007114AF">
        <w:t>“</w:t>
      </w:r>
      <w:r w:rsidRPr="007114AF">
        <w:rPr>
          <w:i/>
        </w:rPr>
        <w:t>Ngritjen e sistemeve për mbledhjen e të dhënave dhe sistemeve MRV për inventarin vjetor të GES, në përputhje me kërkesat e raportimit të BE-së dhe UNFCCC-ë</w:t>
      </w:r>
      <w:r w:rsidR="000A2A01" w:rsidRPr="007114AF">
        <w:rPr>
          <w:i/>
        </w:rPr>
        <w:t>”</w:t>
      </w:r>
      <w:r w:rsidRPr="007114AF">
        <w:t xml:space="preserve">. PKZNK-ja propozon gjithashtu, masa të rëndësishme që synojnë </w:t>
      </w:r>
      <w:r w:rsidR="000A2A01" w:rsidRPr="007114AF">
        <w:t>“</w:t>
      </w:r>
      <w:r w:rsidRPr="007114AF">
        <w:rPr>
          <w:i/>
        </w:rPr>
        <w:t>Nxitjen e aktiviteteve të ndërgjegjësimit dhe atyre edukative që mbështetin aktivitetet e reduktimit të shkarkimeve dhe Forcimin e kapaciteteve të institucioneve përkatëse dhe bashkëpunimin ndërinstitucional për trajtimin e zbutjes së ndryshimeve klimatike</w:t>
      </w:r>
      <w:r w:rsidRPr="007114AF">
        <w:t>.</w:t>
      </w:r>
      <w:r w:rsidR="000A2A01" w:rsidRPr="007114AF">
        <w:t>”</w:t>
      </w:r>
    </w:p>
    <w:p w14:paraId="6EDD009C" w14:textId="77777777" w:rsidR="001617A3" w:rsidRPr="007114AF" w:rsidRDefault="001617A3" w:rsidP="001617A3">
      <w:pPr>
        <w:pStyle w:val="TEKSTI"/>
      </w:pPr>
      <w:r w:rsidRPr="007114AF">
        <w:t>Lista e plotë e masave për sektorin bujqësor pasqyrohet në paragrafin 5.6.4 më poshtë.</w:t>
      </w:r>
    </w:p>
    <w:p w14:paraId="6EDD009D" w14:textId="77777777" w:rsidR="001617A3" w:rsidRPr="007114AF" w:rsidRDefault="001617A3" w:rsidP="001617A3">
      <w:pPr>
        <w:pStyle w:val="TEKSTI"/>
        <w:rPr>
          <w:b/>
        </w:rPr>
      </w:pPr>
      <w:bookmarkStart w:id="171" w:name="_Toc484424517"/>
      <w:r w:rsidRPr="007114AF">
        <w:rPr>
          <w:b/>
        </w:rPr>
        <w:t>5.5 Sistemi kombëtar për matjen/monitorimin dhe raportimin</w:t>
      </w:r>
      <w:bookmarkEnd w:id="171"/>
    </w:p>
    <w:p w14:paraId="6EDD009E" w14:textId="77777777" w:rsidR="001617A3" w:rsidRPr="007114AF" w:rsidRDefault="001617A3" w:rsidP="001617A3">
      <w:pPr>
        <w:pStyle w:val="TEKSTI"/>
      </w:pPr>
      <w:r w:rsidRPr="007114AF">
        <w:t xml:space="preserve">Për një zbatim të suksesshëm të detyrimit të monitorimit dhe raportimit në kuadrin e UNFCCC-ës, BE-së dhe në të ardhmen në kuadrin e Marrëveshjes së Parisit, nevojitet një kuadër kombëtar qeverisjeje, në mënyrë që të promovohet bashkërendimi dhe bashkëpunimi i fortë ndërmjet niveleve të shumta të vendimmarrjes, përfshirë partnerë, palë të interesuara dhe sektorë, në mënyrë që të krijohen marrëveshje institucionale efektive për planifikim. </w:t>
      </w:r>
    </w:p>
    <w:p w14:paraId="6EDD009F" w14:textId="2939B867" w:rsidR="001617A3" w:rsidRPr="007114AF" w:rsidRDefault="001617A3" w:rsidP="001617A3">
      <w:pPr>
        <w:pStyle w:val="TEKSTI"/>
      </w:pPr>
      <w:r w:rsidRPr="007114AF">
        <w:t>Intensifikimi i kërkesave të raportimit në kuadrin e UNFCCC-ës</w:t>
      </w:r>
      <w:r w:rsidR="000C4978">
        <w:t xml:space="preserve"> </w:t>
      </w:r>
      <w:r w:rsidRPr="007114AF">
        <w:t>përmes raporteve të përditësuara dyvjeçare (BURs) dhe hapi i mëtejshëm drejt raportimit vjetor në kuadrin e BE-së, paraqet një mundësi që Shqipëria të krijojë më shumë vazhdimësi në drejtim të bashkëpunimit, shkëmbimit të informacionit dhe mirëmbajtjes së kapaciteteve, si dhe një mundësi për të krijuar marrëveshje institucionale që mund të mbështeten me kalimin e kohës.</w:t>
      </w:r>
    </w:p>
    <w:p w14:paraId="6EDD00A0" w14:textId="77777777" w:rsidR="001617A3" w:rsidRPr="007114AF" w:rsidRDefault="001617A3" w:rsidP="001617A3">
      <w:pPr>
        <w:pStyle w:val="TEKSTI"/>
      </w:pPr>
      <w:r w:rsidRPr="007114AF">
        <w:t>Marrëveshja institucionale duhet të jetë e projektuar mirë, për të përcaktuar qartë rolet dhe përgjegjësitë e partnerëve të ndryshëm, me qëllim që të kontribuojë në fund në raportet politike që lidhin veprimet klimatike me prioritetet kombëtare të zhvillimit dhe mbështetin zbatimin e UNFCCC-ës në nivele kombëtare dhe vendore nëpërmjet:</w:t>
      </w:r>
    </w:p>
    <w:p w14:paraId="6EDD00A1" w14:textId="74A4337A" w:rsidR="001617A3" w:rsidRPr="007114AF" w:rsidRDefault="00CF2A42" w:rsidP="001617A3">
      <w:pPr>
        <w:pStyle w:val="TEKSTI"/>
      </w:pPr>
      <w:r w:rsidRPr="007114AF">
        <w:t xml:space="preserve">1. </w:t>
      </w:r>
      <w:r w:rsidR="001617A3" w:rsidRPr="007114AF">
        <w:t>Krijimit të enteve kombëtare bashkërenduese</w:t>
      </w:r>
      <w:r w:rsidR="000A2A01" w:rsidRPr="007114AF">
        <w:t xml:space="preserve"> </w:t>
      </w:r>
      <w:r w:rsidR="001617A3" w:rsidRPr="007114AF">
        <w:t>me drejtim të fortë në fushën e ndryshimeve klimatike, që angazhojnë një gamë të gjerë të palëve të interesuara, përfshirë politikëbërësit, përfaqësuesit sektorialë (nga sektori privat), komunitetin kërkimor dhe shoqërinë civile.</w:t>
      </w:r>
    </w:p>
    <w:p w14:paraId="6EDD00A2" w14:textId="77777777" w:rsidR="001617A3" w:rsidRPr="007114AF" w:rsidRDefault="00CF2A42" w:rsidP="001617A3">
      <w:pPr>
        <w:pStyle w:val="TEKSTI"/>
      </w:pPr>
      <w:r w:rsidRPr="007114AF">
        <w:t xml:space="preserve">2. </w:t>
      </w:r>
      <w:r w:rsidR="001617A3" w:rsidRPr="007114AF">
        <w:t>Krijimit të sistemit të të dhënave që siguron mbledhjen dhe disponueshmërinë e të dhënave që lidhen me politikat, si dhe të dhëna dhe informacion të besueshëm.</w:t>
      </w:r>
    </w:p>
    <w:p w14:paraId="6EDD00A3" w14:textId="77777777" w:rsidR="001617A3" w:rsidRPr="007114AF" w:rsidRDefault="001617A3" w:rsidP="001617A3">
      <w:pPr>
        <w:pStyle w:val="TEKSTI"/>
      </w:pPr>
      <w:r w:rsidRPr="007114AF">
        <w:t>Për më tepër, është thelbësore mbështetja e sistemit me ngritjen teknike dhe institucionale të kapaciteteve, përmes trajnimeve të aktorëve kombëtarë, duke i bërë publikisht të disponueshme të dhënat dhe informacionin, si dhe duke mbajtur një ekip të fortë, të motivuar dhe të qëndrueshëm zyrtarësh publikë për të ruajtur kapacitetet institucionale.</w:t>
      </w:r>
    </w:p>
    <w:p w14:paraId="6EDD00A4" w14:textId="738ABD0F" w:rsidR="001617A3" w:rsidRPr="007114AF" w:rsidRDefault="001617A3" w:rsidP="001617A3">
      <w:pPr>
        <w:pStyle w:val="TEKSTI"/>
      </w:pPr>
      <w:r w:rsidRPr="007114AF">
        <w:t xml:space="preserve">Për këtë qëllim, Projektligji për Ndryshimet Klimatike, së bashku me Projektvendimin e Këshillit të Ministrave (VKM) mbi </w:t>
      </w:r>
      <w:r w:rsidR="000A2A01" w:rsidRPr="007114AF">
        <w:t>“</w:t>
      </w:r>
      <w:r w:rsidRPr="007114AF">
        <w:rPr>
          <w:i/>
        </w:rPr>
        <w:t>Monitorimin dhe raportimin e shkarkimeve GES</w:t>
      </w:r>
      <w:r w:rsidR="000C4978">
        <w:rPr>
          <w:i/>
        </w:rPr>
        <w:t xml:space="preserve"> </w:t>
      </w:r>
      <w:r w:rsidRPr="007114AF">
        <w:rPr>
          <w:i/>
        </w:rPr>
        <w:t>dhe informacioneve të tjera që lidhen me ndryshimet klimatike në nivelin kombëtar, përfshirë procedurat përkatëse dhe afatin kohor</w:t>
      </w:r>
      <w:r w:rsidR="000A2A01" w:rsidRPr="007114AF">
        <w:t>”</w:t>
      </w:r>
      <w:r w:rsidRPr="007114AF">
        <w:t>,</w:t>
      </w:r>
      <w:r w:rsidR="000C4978">
        <w:t xml:space="preserve"> </w:t>
      </w:r>
      <w:r w:rsidRPr="007114AF">
        <w:t>përshkruajnë kuadrin e përgjithshëm të sistemit kombëtar shqiptar për matjen/monitorimin dhe raportimin. Drafti i VKM-ës</w:t>
      </w:r>
      <w:r w:rsidR="000C4978">
        <w:t xml:space="preserve"> </w:t>
      </w:r>
      <w:r w:rsidRPr="007114AF">
        <w:t>po transferon në kuadrin ligjor kombëtar</w:t>
      </w:r>
      <w:r w:rsidR="000C4978">
        <w:t xml:space="preserve"> </w:t>
      </w:r>
      <w:r w:rsidRPr="007114AF">
        <w:t>dispozitat e Rregullores së BE-së</w:t>
      </w:r>
      <w:r w:rsidR="00242009" w:rsidRPr="007114AF">
        <w:t xml:space="preserve"> nr. </w:t>
      </w:r>
      <w:r w:rsidRPr="007114AF">
        <w:t xml:space="preserve">525/2013 mbi </w:t>
      </w:r>
      <w:r w:rsidR="000A2A01" w:rsidRPr="007114AF">
        <w:t>“</w:t>
      </w:r>
      <w:r w:rsidRPr="007114AF">
        <w:rPr>
          <w:i/>
        </w:rPr>
        <w:t>Krijimin e një mekanizmi për monitorimin dhe raportimin tek autoritetet kompetente kombëtare mbi shkarkimet e gazeve serrë dhe informacione të tjera lidhur me ndryshimet klimatike</w:t>
      </w:r>
      <w:r w:rsidR="000A2A01" w:rsidRPr="007114AF">
        <w:t>”</w:t>
      </w:r>
      <w:r w:rsidRPr="007114AF">
        <w:t>, që</w:t>
      </w:r>
      <w:r w:rsidR="000C4978">
        <w:t xml:space="preserve"> </w:t>
      </w:r>
      <w:r w:rsidRPr="007114AF">
        <w:t xml:space="preserve">lidhen me Shqipërinë, si jopalë e </w:t>
      </w:r>
      <w:r w:rsidR="000C4978" w:rsidRPr="007114AF">
        <w:t xml:space="preserve">aneksit </w:t>
      </w:r>
      <w:r w:rsidRPr="007114AF">
        <w:t>1.</w:t>
      </w:r>
    </w:p>
    <w:p w14:paraId="6EDD00A5" w14:textId="77777777" w:rsidR="001617A3" w:rsidRPr="007114AF" w:rsidRDefault="001617A3" w:rsidP="001617A3">
      <w:pPr>
        <w:pStyle w:val="TEKSTI"/>
      </w:pPr>
      <w:r w:rsidRPr="007114AF">
        <w:t>Sistemi është nën përgjegjësinë e Ministrisë së Turizmit dhe Mjedisit, që është pika e komunikimit me UNFCCC-ë, pra, përgjegjëse për bashkërendimin e përgjithshëm në fushën e ndryshimeve klimatike. Autoriteti kombëtar kompetent për inventarin, përgjegjës për detyrën e përpilimit të inventarit GES, është Agjencia Kombëtare e Mjedisit (AKM). AKM-ja do të mbledhë dhe mbajë të dhëna dhe informacione që lidhen me klimën në fushën e: industrive të energjisë, industrive të prodhimit, ndërtimit, karburanteve, minierave dhe gjeologjisë, pyjeve, bujqësisë dhe mbarështimit, administrimit të ujërave, administrimit të mbetjeve, shëndetësisë, transportit, infrastrukturës (përfshirë infrastrukturën rrugore dhe hekurudhore, portet, aeroportet, gazsjellësit, digat, ujin dhe kanalizimet), planifikimit urban, administrimit të tokës, turizmit, arsimit, emergjencave dhe fatkeqësive natyrore.</w:t>
      </w:r>
    </w:p>
    <w:p w14:paraId="6EDD00A6" w14:textId="491F4EB0" w:rsidR="001617A3" w:rsidRPr="007114AF" w:rsidRDefault="001617A3" w:rsidP="001617A3">
      <w:pPr>
        <w:pStyle w:val="TEKSTI"/>
      </w:pPr>
      <w:r w:rsidRPr="007114AF">
        <w:t>Gjithë institucionet dhe operatorët publike dhe private, aktivitetet e të cilëve u përkasin fushave të përmendura më parë, organizojnë dhe mbajnë të dhënat e tyre klimatike dhe ia raportojnë ato MM-ës</w:t>
      </w:r>
      <w:r w:rsidR="000C4978">
        <w:t xml:space="preserve"> </w:t>
      </w:r>
      <w:r w:rsidRPr="007114AF">
        <w:t xml:space="preserve">dhe AKM-ës, bashkë me raportet mbi masat e marra ose që planifikohen të merren për monitorimin, zbutjen dhe përshtatjen ndaj ndryshimeve klimatike të shkarkimeve të tyre GES, siç tregohet </w:t>
      </w:r>
      <w:r w:rsidR="000C4978" w:rsidRPr="007114AF">
        <w:t>në ligjin mbi ndryshimet klimatike</w:t>
      </w:r>
      <w:r w:rsidRPr="007114AF">
        <w:t>. Ministri të tjera të linjës, që nuk kanë të bëjnë me sektorët e mësipërm dhe institucione publike dhe private, si universitetet dhe institutet kërkimore, mund të kontribuojnë gjithashtu me të dhënat përkatëse, me kërkesë të ministrisë.</w:t>
      </w:r>
    </w:p>
    <w:p w14:paraId="6EDD00A7" w14:textId="77777777" w:rsidR="001617A3" w:rsidRPr="007114AF" w:rsidRDefault="001617A3" w:rsidP="001617A3">
      <w:pPr>
        <w:pStyle w:val="TEKSTI"/>
      </w:pPr>
      <w:r w:rsidRPr="007114AF">
        <w:t xml:space="preserve">Për të lehtësuar mbledhjen e të dhënave dhe shkëmbimin e informacionit, është emëruar një ekspert i brendshëm për secilën ministri të linjës dhe është përfshirë në </w:t>
      </w:r>
      <w:r w:rsidRPr="007114AF">
        <w:rPr>
          <w:i/>
        </w:rPr>
        <w:t xml:space="preserve">grupin </w:t>
      </w:r>
      <w:r w:rsidRPr="007114AF">
        <w:t>ad-hoc</w:t>
      </w:r>
      <w:r w:rsidRPr="007114AF">
        <w:rPr>
          <w:i/>
        </w:rPr>
        <w:t xml:space="preserve"> ndërministror të punës në fushën e ndryshimeve klimatike, </w:t>
      </w:r>
      <w:r w:rsidRPr="007114AF">
        <w:t>për nxitjen e bashkërendimit brenda ministrive të linjës, si dhe për të siguruar dërgimin si duhet të të dhënave në MTM dhe AKM-ë.</w:t>
      </w:r>
    </w:p>
    <w:p w14:paraId="6EDD00A8" w14:textId="141EEEEE" w:rsidR="001617A3" w:rsidRPr="007114AF" w:rsidRDefault="001617A3" w:rsidP="001617A3">
      <w:pPr>
        <w:pStyle w:val="TEKSTI"/>
      </w:pPr>
      <w:r w:rsidRPr="007114AF">
        <w:t>AKM-ja do t</w:t>
      </w:r>
      <w:r w:rsidR="00D10DAB" w:rsidRPr="007114AF">
        <w:t>’</w:t>
      </w:r>
      <w:r w:rsidRPr="007114AF">
        <w:t>i paraqesë në mënyrë periodike Grupit Ndërministror të Punës, gjendjen e inventarit GES, për informacion dhe reagim nga ana e tyre. Nëse vihen re boshllëqe në të dhëna, referuesit ftohen ta informojnë ministrinë për marrjen e masave për t</w:t>
      </w:r>
      <w:r w:rsidR="00D10DAB" w:rsidRPr="007114AF">
        <w:t>’</w:t>
      </w:r>
      <w:r w:rsidRPr="007114AF">
        <w:t>i plotësuar këto boshllëqe të të dhënave.</w:t>
      </w:r>
    </w:p>
    <w:p w14:paraId="6EDD00A9" w14:textId="77777777" w:rsidR="001617A3" w:rsidRPr="00FD5AD9" w:rsidRDefault="001617A3" w:rsidP="001617A3">
      <w:pPr>
        <w:pStyle w:val="TEKSTI"/>
      </w:pPr>
      <w:r w:rsidRPr="007114AF">
        <w:t xml:space="preserve">Masat që lidhen me monitorimin, matjen dhe raportimin e aktiviteteve të përfshira në </w:t>
      </w:r>
      <w:r w:rsidRPr="00FD5AD9">
        <w:t>PKZNK-ë janë nxjerrë nga Projektligji mbi Ndryshimet Klimatike dhe vendimi i tij për dispozitat e monitorimit, si dhe nga planet dhe strategjitë sektoriale. Tabela 17 më poshtë, pasqyron një listë masash. Referenca dhe përshkrimi i plotë raportohen në paragrafin 5.6 më poshtë.</w:t>
      </w:r>
    </w:p>
    <w:p w14:paraId="6EDD00AA" w14:textId="77777777" w:rsidR="001617A3" w:rsidRPr="00FD5AD9" w:rsidRDefault="001617A3" w:rsidP="001617A3">
      <w:pPr>
        <w:pStyle w:val="TEKSTI"/>
      </w:pPr>
      <w:r w:rsidRPr="00FD5AD9">
        <w:t>Duhet ndërmarrë një rishikim i mëtejshëm i veprimeve në PKZNK-ë, në përputhje me versionin përfundimtar të ligjit dhe vendimit.</w:t>
      </w:r>
    </w:p>
    <w:p w14:paraId="6EDD00AB" w14:textId="77777777" w:rsidR="00A45C8C" w:rsidRPr="00FD5AD9" w:rsidRDefault="00A45C8C" w:rsidP="00A45C8C">
      <w:pPr>
        <w:pStyle w:val="FIGURA"/>
        <w:rPr>
          <w:sz w:val="20"/>
          <w:szCs w:val="20"/>
        </w:rPr>
      </w:pPr>
    </w:p>
    <w:p w14:paraId="6EDD00AC" w14:textId="511A9F36" w:rsidR="008A4207" w:rsidRPr="00FD5AD9" w:rsidRDefault="001617A3" w:rsidP="00A45C8C">
      <w:pPr>
        <w:pStyle w:val="FIGURA"/>
        <w:rPr>
          <w:sz w:val="20"/>
          <w:szCs w:val="20"/>
        </w:rPr>
      </w:pPr>
      <w:r w:rsidRPr="00FD5AD9">
        <w:rPr>
          <w:sz w:val="20"/>
          <w:szCs w:val="20"/>
        </w:rPr>
        <w:t xml:space="preserve">Tabela </w:t>
      </w:r>
      <w:r w:rsidRPr="00FD5AD9">
        <w:rPr>
          <w:sz w:val="20"/>
          <w:szCs w:val="20"/>
        </w:rPr>
        <w:fldChar w:fldCharType="begin"/>
      </w:r>
      <w:r w:rsidRPr="00FD5AD9">
        <w:rPr>
          <w:sz w:val="20"/>
          <w:szCs w:val="20"/>
        </w:rPr>
        <w:instrText xml:space="preserve"> SEQ Table \* ARABIC </w:instrText>
      </w:r>
      <w:r w:rsidRPr="00FD5AD9">
        <w:rPr>
          <w:sz w:val="20"/>
          <w:szCs w:val="20"/>
        </w:rPr>
        <w:fldChar w:fldCharType="separate"/>
      </w:r>
      <w:r w:rsidRPr="00FD5AD9">
        <w:rPr>
          <w:sz w:val="20"/>
          <w:szCs w:val="20"/>
        </w:rPr>
        <w:t>16</w:t>
      </w:r>
      <w:r w:rsidRPr="00FD5AD9">
        <w:rPr>
          <w:sz w:val="20"/>
          <w:szCs w:val="20"/>
        </w:rPr>
        <w:fldChar w:fldCharType="end"/>
      </w:r>
      <w:r w:rsidR="000C4978" w:rsidRPr="00FD5AD9">
        <w:rPr>
          <w:sz w:val="20"/>
          <w:szCs w:val="20"/>
        </w:rPr>
        <w:t xml:space="preserve"> </w:t>
      </w:r>
      <w:r w:rsidRPr="00FD5AD9">
        <w:rPr>
          <w:sz w:val="20"/>
          <w:szCs w:val="20"/>
        </w:rPr>
        <w:t>– Përmbledhja e masave që lidhen me monitorimin, matjen dhe raportimin e aktiviteteve për çdo sektor</w:t>
      </w:r>
    </w:p>
    <w:tbl>
      <w:tblPr>
        <w:tblStyle w:val="GridTable1Light-Accent11"/>
        <w:tblW w:w="5000" w:type="pct"/>
        <w:tblLayout w:type="fixed"/>
        <w:tblLook w:val="04A0" w:firstRow="1" w:lastRow="0" w:firstColumn="1" w:lastColumn="0" w:noHBand="0" w:noVBand="1"/>
      </w:tblPr>
      <w:tblGrid>
        <w:gridCol w:w="736"/>
        <w:gridCol w:w="6300"/>
        <w:gridCol w:w="2251"/>
      </w:tblGrid>
      <w:tr w:rsidR="00E566BF" w:rsidRPr="00FD5AD9" w14:paraId="6EDD00B0" w14:textId="77777777" w:rsidTr="001C467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 w:type="pct"/>
            <w:hideMark/>
          </w:tcPr>
          <w:p w14:paraId="6EDD00AD"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ID</w:t>
            </w:r>
          </w:p>
        </w:tc>
        <w:tc>
          <w:tcPr>
            <w:tcW w:w="3392" w:type="pct"/>
            <w:hideMark/>
          </w:tcPr>
          <w:p w14:paraId="6EDD00AE" w14:textId="77777777" w:rsidR="00E566BF" w:rsidRPr="00FD5AD9" w:rsidRDefault="00E566BF" w:rsidP="00E566BF">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Masa</w:t>
            </w:r>
          </w:p>
        </w:tc>
        <w:tc>
          <w:tcPr>
            <w:tcW w:w="1212" w:type="pct"/>
            <w:hideMark/>
          </w:tcPr>
          <w:p w14:paraId="6EDD00AF" w14:textId="77777777" w:rsidR="00E566BF" w:rsidRPr="00FD5AD9" w:rsidRDefault="00E566BF" w:rsidP="00E566BF">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Burimi</w:t>
            </w:r>
          </w:p>
        </w:tc>
      </w:tr>
      <w:tr w:rsidR="00E566BF" w:rsidRPr="00FD5AD9" w14:paraId="6EDD00B6"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vAlign w:val="center"/>
            <w:hideMark/>
          </w:tcPr>
          <w:p w14:paraId="6EDD00B1"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C5</w:t>
            </w:r>
          </w:p>
        </w:tc>
        <w:tc>
          <w:tcPr>
            <w:tcW w:w="3392" w:type="pct"/>
            <w:vAlign w:val="center"/>
            <w:hideMark/>
          </w:tcPr>
          <w:p w14:paraId="6EDD00B2"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Ngritja e Sistemit Kombëtar për matjen/monitorimin dhe raportimin e shkarkimeve të gazrave serrë dhe informacione të tjera lidhur me ndryshimet klimatike.</w:t>
            </w:r>
          </w:p>
        </w:tc>
        <w:tc>
          <w:tcPr>
            <w:tcW w:w="1212" w:type="pct"/>
            <w:vAlign w:val="center"/>
            <w:hideMark/>
          </w:tcPr>
          <w:p w14:paraId="6EDD00B3"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Projektligj mbi Ndryshimet Klimatike;</w:t>
            </w:r>
          </w:p>
          <w:p w14:paraId="6EDD00B4"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 xml:space="preserve">Draft VKM-ja mbi Monitorimin dhe raportimin </w:t>
            </w:r>
          </w:p>
          <w:p w14:paraId="6EDD00B5"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p>
        </w:tc>
      </w:tr>
      <w:tr w:rsidR="00E566BF" w:rsidRPr="00FD5AD9" w14:paraId="6EDD00BA"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14:paraId="6EDD00B7"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E40</w:t>
            </w:r>
          </w:p>
        </w:tc>
        <w:tc>
          <w:tcPr>
            <w:tcW w:w="3392" w:type="pct"/>
            <w:vAlign w:val="center"/>
            <w:hideMark/>
          </w:tcPr>
          <w:p w14:paraId="6EDD00B8"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Krijimi i një baze të centralizuar të dhënash për të mbledhur gjithë informacionin lidhur me monitorimin dhe vlerësimin e progresit të planit.</w:t>
            </w:r>
          </w:p>
        </w:tc>
        <w:tc>
          <w:tcPr>
            <w:tcW w:w="1212" w:type="pct"/>
            <w:vAlign w:val="center"/>
            <w:hideMark/>
          </w:tcPr>
          <w:p w14:paraId="6EDD00B9" w14:textId="26EBF623"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Propozim i PKZNK</w:t>
            </w:r>
            <w:r w:rsidR="00676CBC" w:rsidRPr="00FD5AD9">
              <w:rPr>
                <w:rFonts w:ascii="Garamond" w:eastAsia="Times New Roman" w:hAnsi="Garamond" w:cs="Times New Roman"/>
                <w:color w:val="000000"/>
                <w:sz w:val="18"/>
                <w:szCs w:val="18"/>
              </w:rPr>
              <w:t xml:space="preserve"> </w:t>
            </w:r>
            <w:r w:rsidRPr="00FD5AD9">
              <w:rPr>
                <w:rFonts w:ascii="Garamond" w:eastAsia="Times New Roman" w:hAnsi="Garamond" w:cs="Times New Roman"/>
                <w:color w:val="000000"/>
                <w:sz w:val="18"/>
                <w:szCs w:val="18"/>
              </w:rPr>
              <w:t>bazuar në Planin e LOCSEE për proces me nivel të ulët karboni</w:t>
            </w:r>
          </w:p>
        </w:tc>
      </w:tr>
      <w:tr w:rsidR="00E566BF" w:rsidRPr="00FD5AD9" w14:paraId="6EDD00BE"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14:paraId="6EDD00BB"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E41</w:t>
            </w:r>
          </w:p>
        </w:tc>
        <w:tc>
          <w:tcPr>
            <w:tcW w:w="3392" w:type="pct"/>
            <w:vAlign w:val="center"/>
            <w:hideMark/>
          </w:tcPr>
          <w:p w14:paraId="6EDD00BC" w14:textId="6C4F8C77" w:rsidR="00E566BF" w:rsidRPr="00FD5AD9" w:rsidRDefault="00E566BF" w:rsidP="00676CB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Baza e të Dhënave të</w:t>
            </w:r>
            <w:r w:rsidR="000A2A01" w:rsidRPr="00FD5AD9">
              <w:rPr>
                <w:rFonts w:ascii="Garamond" w:eastAsia="Times New Roman" w:hAnsi="Garamond" w:cs="Times New Roman"/>
                <w:color w:val="000000"/>
                <w:sz w:val="18"/>
                <w:szCs w:val="18"/>
              </w:rPr>
              <w:t xml:space="preserve"> </w:t>
            </w:r>
            <w:r w:rsidRPr="00FD5AD9">
              <w:rPr>
                <w:rFonts w:ascii="Garamond" w:eastAsia="Times New Roman" w:hAnsi="Garamond" w:cs="Times New Roman"/>
                <w:color w:val="000000"/>
                <w:sz w:val="18"/>
                <w:szCs w:val="18"/>
              </w:rPr>
              <w:t>Energjisë (</w:t>
            </w:r>
            <w:r w:rsidR="00676CBC" w:rsidRPr="00FD5AD9">
              <w:rPr>
                <w:rFonts w:ascii="Garamond" w:eastAsia="Times New Roman" w:hAnsi="Garamond" w:cs="Times New Roman"/>
                <w:color w:val="000000"/>
                <w:sz w:val="18"/>
                <w:szCs w:val="18"/>
              </w:rPr>
              <w:t>n</w:t>
            </w:r>
            <w:r w:rsidRPr="00FD5AD9">
              <w:rPr>
                <w:rFonts w:ascii="Garamond" w:eastAsia="Times New Roman" w:hAnsi="Garamond" w:cs="Times New Roman"/>
                <w:color w:val="000000"/>
                <w:sz w:val="18"/>
                <w:szCs w:val="18"/>
              </w:rPr>
              <w:t>eni 13).</w:t>
            </w:r>
          </w:p>
        </w:tc>
        <w:tc>
          <w:tcPr>
            <w:tcW w:w="1212" w:type="pct"/>
            <w:noWrap/>
            <w:vAlign w:val="center"/>
            <w:hideMark/>
          </w:tcPr>
          <w:p w14:paraId="6EDD00BD" w14:textId="598B0B45"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Ligji 124/2015 për Efic</w:t>
            </w:r>
            <w:r w:rsidR="00FD5AD9" w:rsidRPr="00FD5AD9">
              <w:rPr>
                <w:rFonts w:ascii="Garamond" w:eastAsia="Times New Roman" w:hAnsi="Garamond" w:cs="Times New Roman"/>
                <w:color w:val="000000"/>
                <w:sz w:val="18"/>
                <w:szCs w:val="18"/>
              </w:rPr>
              <w:t>i</w:t>
            </w:r>
            <w:r w:rsidRPr="00FD5AD9">
              <w:rPr>
                <w:rFonts w:ascii="Garamond" w:eastAsia="Times New Roman" w:hAnsi="Garamond" w:cs="Times New Roman"/>
                <w:color w:val="000000"/>
                <w:sz w:val="18"/>
                <w:szCs w:val="18"/>
              </w:rPr>
              <w:t>encën e Energjisë</w:t>
            </w:r>
          </w:p>
        </w:tc>
      </w:tr>
      <w:tr w:rsidR="00E566BF" w:rsidRPr="00FD5AD9" w14:paraId="6EDD00C2"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14:paraId="6EDD00BF"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E55</w:t>
            </w:r>
          </w:p>
        </w:tc>
        <w:tc>
          <w:tcPr>
            <w:tcW w:w="3392" w:type="pct"/>
            <w:vAlign w:val="center"/>
            <w:hideMark/>
          </w:tcPr>
          <w:p w14:paraId="6EDD00C0"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Mbështetje teknike për projektet e financuara nga fondi në gjithë fazat e projektit, që nga hartimi deri te zbatimi, menaxhimi dhe funksionimi i ndërtesave -MRV.</w:t>
            </w:r>
          </w:p>
        </w:tc>
        <w:tc>
          <w:tcPr>
            <w:tcW w:w="1212" w:type="pct"/>
            <w:vAlign w:val="center"/>
            <w:hideMark/>
          </w:tcPr>
          <w:p w14:paraId="6EDD00C1"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NAMA–Mekanizëm Financues për Eficiencën e Energjisë në ndërtesa</w:t>
            </w:r>
          </w:p>
        </w:tc>
      </w:tr>
      <w:tr w:rsidR="00E566BF" w:rsidRPr="00FD5AD9" w14:paraId="6EDD00C6"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14:paraId="6EDD00C3"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T4</w:t>
            </w:r>
          </w:p>
        </w:tc>
        <w:tc>
          <w:tcPr>
            <w:tcW w:w="3392" w:type="pct"/>
            <w:vAlign w:val="center"/>
            <w:hideMark/>
          </w:tcPr>
          <w:p w14:paraId="6EDD00C4"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Rritja e kapacitetit të Inspektoratit Kombëtar të Mjedisit për të kryer matjet e shkarkimeve nga burime stacionare të përmirësuara.</w:t>
            </w:r>
          </w:p>
        </w:tc>
        <w:tc>
          <w:tcPr>
            <w:tcW w:w="1212" w:type="pct"/>
            <w:vAlign w:val="center"/>
            <w:hideMark/>
          </w:tcPr>
          <w:p w14:paraId="6EDD00C5"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SMNS</w:t>
            </w:r>
          </w:p>
        </w:tc>
      </w:tr>
      <w:tr w:rsidR="00E566BF" w:rsidRPr="00FD5AD9" w14:paraId="6EDD00CA"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14:paraId="6EDD00C7"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T6</w:t>
            </w:r>
          </w:p>
        </w:tc>
        <w:tc>
          <w:tcPr>
            <w:tcW w:w="3392" w:type="pct"/>
            <w:vAlign w:val="center"/>
            <w:hideMark/>
          </w:tcPr>
          <w:p w14:paraId="6EDD00C8"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Bazë të dhënash për cilësinë e lëndës djegëse, e hartuar dhe e përditësuar çdo vit.</w:t>
            </w:r>
          </w:p>
        </w:tc>
        <w:tc>
          <w:tcPr>
            <w:tcW w:w="1212" w:type="pct"/>
            <w:vAlign w:val="center"/>
            <w:hideMark/>
          </w:tcPr>
          <w:p w14:paraId="6EDD00C9"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SMNS</w:t>
            </w:r>
          </w:p>
        </w:tc>
      </w:tr>
      <w:tr w:rsidR="00E566BF" w:rsidRPr="00FD5AD9" w14:paraId="6EDD00CE"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14:paraId="6EDD00CB"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T7</w:t>
            </w:r>
          </w:p>
        </w:tc>
        <w:tc>
          <w:tcPr>
            <w:tcW w:w="3392" w:type="pct"/>
            <w:vAlign w:val="center"/>
            <w:hideMark/>
          </w:tcPr>
          <w:p w14:paraId="6EDD00CC" w14:textId="446E60F9"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Stacione për monitorimin e cilësisë së ajrit dhe trafikut: Plan që synon përmirësimin e qëndrueshmërisë në transport,</w:t>
            </w:r>
            <w:r w:rsidR="00FD5AD9" w:rsidRPr="00FD5AD9">
              <w:rPr>
                <w:rFonts w:ascii="Garamond" w:eastAsia="Times New Roman" w:hAnsi="Garamond" w:cs="Times New Roman"/>
                <w:color w:val="000000"/>
                <w:sz w:val="18"/>
                <w:szCs w:val="18"/>
              </w:rPr>
              <w:t xml:space="preserve"> </w:t>
            </w:r>
            <w:r w:rsidRPr="00FD5AD9">
              <w:rPr>
                <w:rFonts w:ascii="Garamond" w:eastAsia="Times New Roman" w:hAnsi="Garamond" w:cs="Times New Roman"/>
                <w:color w:val="000000"/>
                <w:sz w:val="18"/>
                <w:szCs w:val="18"/>
              </w:rPr>
              <w:t xml:space="preserve">kërkon monitorimin efektiv të evolucionit të cilësisë së ajrit sipas kushteve të trafikut përgjatë rrjetit. </w:t>
            </w:r>
          </w:p>
        </w:tc>
        <w:tc>
          <w:tcPr>
            <w:tcW w:w="1212" w:type="pct"/>
            <w:vAlign w:val="center"/>
            <w:hideMark/>
          </w:tcPr>
          <w:p w14:paraId="6EDD00CD"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TECTQ</w:t>
            </w:r>
          </w:p>
        </w:tc>
      </w:tr>
      <w:tr w:rsidR="00E566BF" w:rsidRPr="00FD5AD9" w14:paraId="6EDD00D2"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14:paraId="6EDD00CF"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T8</w:t>
            </w:r>
          </w:p>
        </w:tc>
        <w:tc>
          <w:tcPr>
            <w:tcW w:w="3392" w:type="pct"/>
            <w:vAlign w:val="center"/>
            <w:hideMark/>
          </w:tcPr>
          <w:p w14:paraId="6EDD00D0"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Ngritja e një sistemi monitorues të volumeve të trafikut (mallra dhe pasagjerë).</w:t>
            </w:r>
          </w:p>
        </w:tc>
        <w:tc>
          <w:tcPr>
            <w:tcW w:w="1212" w:type="pct"/>
            <w:vAlign w:val="center"/>
            <w:hideMark/>
          </w:tcPr>
          <w:p w14:paraId="6EDD00D1"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SKZHI-II</w:t>
            </w:r>
          </w:p>
        </w:tc>
      </w:tr>
      <w:tr w:rsidR="00E566BF" w:rsidRPr="00FD5AD9" w14:paraId="6EDD00D6"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14:paraId="6EDD00D3"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T51</w:t>
            </w:r>
          </w:p>
        </w:tc>
        <w:tc>
          <w:tcPr>
            <w:tcW w:w="3392" w:type="pct"/>
            <w:vAlign w:val="center"/>
            <w:hideMark/>
          </w:tcPr>
          <w:p w14:paraId="6EDD00D4"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Sisteme detare dhe portuale efikase dhe reaguese.</w:t>
            </w:r>
          </w:p>
        </w:tc>
        <w:tc>
          <w:tcPr>
            <w:tcW w:w="1212" w:type="pct"/>
            <w:vAlign w:val="center"/>
            <w:hideMark/>
          </w:tcPr>
          <w:p w14:paraId="6EDD00D5"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SSTPV</w:t>
            </w:r>
          </w:p>
        </w:tc>
      </w:tr>
      <w:tr w:rsidR="00E566BF" w:rsidRPr="00FD5AD9" w14:paraId="6EDD00DA"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14:paraId="6EDD00D7"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T70</w:t>
            </w:r>
          </w:p>
        </w:tc>
        <w:tc>
          <w:tcPr>
            <w:tcW w:w="3392" w:type="pct"/>
            <w:vAlign w:val="center"/>
            <w:hideMark/>
          </w:tcPr>
          <w:p w14:paraId="6EDD00D8"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Monitorimi i shkarkimeve GES për transport mallrash dhe aviacion.</w:t>
            </w:r>
          </w:p>
        </w:tc>
        <w:tc>
          <w:tcPr>
            <w:tcW w:w="1212" w:type="pct"/>
            <w:hideMark/>
          </w:tcPr>
          <w:p w14:paraId="6EDD00D9"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Projektligj mbi Ndryshimet Klimatike</w:t>
            </w:r>
          </w:p>
        </w:tc>
      </w:tr>
      <w:tr w:rsidR="00E566BF" w:rsidRPr="00FD5AD9" w14:paraId="6EDD00DE"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14:paraId="6EDD00DB"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T71</w:t>
            </w:r>
          </w:p>
        </w:tc>
        <w:tc>
          <w:tcPr>
            <w:tcW w:w="3392" w:type="pct"/>
            <w:vAlign w:val="center"/>
            <w:hideMark/>
          </w:tcPr>
          <w:p w14:paraId="6EDD00DC"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Monitorimi i shkarkimeve GES për transportin rrugor.</w:t>
            </w:r>
          </w:p>
        </w:tc>
        <w:tc>
          <w:tcPr>
            <w:tcW w:w="1212" w:type="pct"/>
            <w:hideMark/>
          </w:tcPr>
          <w:p w14:paraId="6EDD00DD"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Projektligj mbi Ndryshimet Klimatike</w:t>
            </w:r>
          </w:p>
        </w:tc>
      </w:tr>
      <w:tr w:rsidR="00E566BF" w:rsidRPr="00FD5AD9" w14:paraId="6EDD00E2"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vAlign w:val="center"/>
            <w:hideMark/>
          </w:tcPr>
          <w:p w14:paraId="6EDD00DF"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A15</w:t>
            </w:r>
          </w:p>
        </w:tc>
        <w:tc>
          <w:tcPr>
            <w:tcW w:w="3392" w:type="pct"/>
            <w:vAlign w:val="center"/>
            <w:hideMark/>
          </w:tcPr>
          <w:p w14:paraId="6EDD00E0"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FD5AD9">
              <w:rPr>
                <w:rFonts w:ascii="Garamond" w:eastAsia="Times New Roman" w:hAnsi="Garamond" w:cs="Times New Roman"/>
                <w:sz w:val="18"/>
                <w:szCs w:val="18"/>
              </w:rPr>
              <w:t>Mbledhje të dhënash për tokat bujqësore dhe praktikat.</w:t>
            </w:r>
          </w:p>
        </w:tc>
        <w:tc>
          <w:tcPr>
            <w:tcW w:w="1212" w:type="pct"/>
            <w:vAlign w:val="center"/>
            <w:hideMark/>
          </w:tcPr>
          <w:p w14:paraId="6EDD00E1"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FD5AD9">
              <w:rPr>
                <w:rFonts w:ascii="Garamond" w:eastAsia="Times New Roman" w:hAnsi="Garamond" w:cs="Times New Roman"/>
                <w:color w:val="000000"/>
                <w:sz w:val="18"/>
                <w:szCs w:val="18"/>
              </w:rPr>
              <w:t>PKZNK</w:t>
            </w:r>
          </w:p>
        </w:tc>
      </w:tr>
      <w:tr w:rsidR="00E566BF" w:rsidRPr="00FD5AD9" w14:paraId="6EDD00E6"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vAlign w:val="center"/>
            <w:hideMark/>
          </w:tcPr>
          <w:p w14:paraId="6EDD00E3"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L6</w:t>
            </w:r>
          </w:p>
        </w:tc>
        <w:tc>
          <w:tcPr>
            <w:tcW w:w="3392" w:type="pct"/>
            <w:vAlign w:val="center"/>
            <w:hideMark/>
          </w:tcPr>
          <w:p w14:paraId="6EDD00E4" w14:textId="19A5C0CB"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Inventari i habitateve natyrore parësore në Shqipëri.</w:t>
            </w:r>
            <w:r w:rsidR="008D30FC" w:rsidRPr="00FD5AD9">
              <w:rPr>
                <w:rFonts w:ascii="Garamond" w:eastAsia="Times New Roman" w:hAnsi="Garamond" w:cs="Times New Roman"/>
                <w:color w:val="000000"/>
                <w:sz w:val="18"/>
                <w:szCs w:val="18"/>
              </w:rPr>
              <w:t xml:space="preserve"> </w:t>
            </w:r>
            <w:r w:rsidRPr="00FD5AD9">
              <w:rPr>
                <w:rFonts w:ascii="Garamond" w:eastAsia="Times New Roman" w:hAnsi="Garamond" w:cs="Times New Roman"/>
                <w:color w:val="000000"/>
                <w:sz w:val="18"/>
                <w:szCs w:val="18"/>
              </w:rPr>
              <w:t xml:space="preserve">Identifikimi i habitateve natyrore prioritare në mbarë vendin (bazuar në listën e propozuar në DPSMB) dhe identifikimi i llojeve të tjera të habitateve me vlerë të lartë konservuese dhe zonimi </w:t>
            </w:r>
            <w:r w:rsidR="000A2A01" w:rsidRPr="00FD5AD9">
              <w:rPr>
                <w:rFonts w:ascii="Garamond" w:eastAsia="Times New Roman" w:hAnsi="Garamond" w:cs="Times New Roman"/>
                <w:color w:val="000000"/>
                <w:sz w:val="18"/>
                <w:szCs w:val="18"/>
              </w:rPr>
              <w:t>“</w:t>
            </w:r>
            <w:r w:rsidRPr="00FD5AD9">
              <w:rPr>
                <w:rFonts w:ascii="Garamond" w:eastAsia="Times New Roman" w:hAnsi="Garamond" w:cs="Times New Roman"/>
                <w:color w:val="000000"/>
                <w:sz w:val="18"/>
                <w:szCs w:val="18"/>
              </w:rPr>
              <w:t>NATURA 2000</w:t>
            </w:r>
            <w:r w:rsidR="000A2A01" w:rsidRPr="00FD5AD9">
              <w:rPr>
                <w:rFonts w:ascii="Garamond" w:eastAsia="Times New Roman" w:hAnsi="Garamond" w:cs="Times New Roman"/>
                <w:color w:val="000000"/>
                <w:sz w:val="18"/>
                <w:szCs w:val="18"/>
              </w:rPr>
              <w:t>”</w:t>
            </w:r>
            <w:r w:rsidRPr="00FD5AD9">
              <w:rPr>
                <w:rFonts w:ascii="Garamond" w:eastAsia="Times New Roman" w:hAnsi="Garamond" w:cs="Times New Roman"/>
                <w:color w:val="000000"/>
                <w:sz w:val="18"/>
                <w:szCs w:val="18"/>
              </w:rPr>
              <w:t>.</w:t>
            </w:r>
          </w:p>
        </w:tc>
        <w:tc>
          <w:tcPr>
            <w:tcW w:w="1212" w:type="pct"/>
            <w:vAlign w:val="center"/>
            <w:hideMark/>
          </w:tcPr>
          <w:p w14:paraId="6EDD00E5"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FD5AD9">
              <w:rPr>
                <w:rFonts w:ascii="Garamond" w:eastAsia="Times New Roman" w:hAnsi="Garamond" w:cs="Times New Roman"/>
                <w:sz w:val="18"/>
                <w:szCs w:val="18"/>
              </w:rPr>
              <w:t>DPSMB; PKT</w:t>
            </w:r>
          </w:p>
        </w:tc>
      </w:tr>
      <w:tr w:rsidR="00E566BF" w:rsidRPr="00FD5AD9" w14:paraId="6EDD00EA"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vAlign w:val="center"/>
            <w:hideMark/>
          </w:tcPr>
          <w:p w14:paraId="6EDD00E7"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L7</w:t>
            </w:r>
          </w:p>
        </w:tc>
        <w:tc>
          <w:tcPr>
            <w:tcW w:w="3392" w:type="pct"/>
            <w:vAlign w:val="center"/>
            <w:hideMark/>
          </w:tcPr>
          <w:p w14:paraId="6EDD00E8"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Ngitja e një sistemi monitorimi për zonat e rëndësishme konservuese.</w:t>
            </w:r>
          </w:p>
        </w:tc>
        <w:tc>
          <w:tcPr>
            <w:tcW w:w="1212" w:type="pct"/>
            <w:vAlign w:val="center"/>
            <w:hideMark/>
          </w:tcPr>
          <w:p w14:paraId="6EDD00E9"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FD5AD9">
              <w:rPr>
                <w:rFonts w:ascii="Garamond" w:eastAsia="Times New Roman" w:hAnsi="Garamond" w:cs="Times New Roman"/>
                <w:sz w:val="18"/>
                <w:szCs w:val="18"/>
              </w:rPr>
              <w:t>DPSMB</w:t>
            </w:r>
          </w:p>
        </w:tc>
      </w:tr>
      <w:tr w:rsidR="00E566BF" w:rsidRPr="00FD5AD9" w14:paraId="6EDD00EE"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vAlign w:val="center"/>
            <w:hideMark/>
          </w:tcPr>
          <w:p w14:paraId="6EDD00EB"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L22</w:t>
            </w:r>
          </w:p>
        </w:tc>
        <w:tc>
          <w:tcPr>
            <w:tcW w:w="3392" w:type="pct"/>
            <w:vAlign w:val="center"/>
            <w:hideMark/>
          </w:tcPr>
          <w:p w14:paraId="6EDD00EC" w14:textId="11466574"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FD5AD9">
              <w:rPr>
                <w:rFonts w:ascii="Garamond" w:eastAsia="Times New Roman" w:hAnsi="Garamond" w:cs="Times New Roman"/>
                <w:sz w:val="18"/>
                <w:szCs w:val="18"/>
              </w:rPr>
              <w:t>Përmirësimi i planifikimit të sektorit pyjor dhe sistemi i informacionit i bazës së</w:t>
            </w:r>
            <w:r w:rsidR="000A2A01" w:rsidRPr="00FD5AD9">
              <w:rPr>
                <w:rFonts w:ascii="Garamond" w:eastAsia="Times New Roman" w:hAnsi="Garamond" w:cs="Times New Roman"/>
                <w:sz w:val="18"/>
                <w:szCs w:val="18"/>
              </w:rPr>
              <w:t xml:space="preserve"> </w:t>
            </w:r>
            <w:r w:rsidRPr="00FD5AD9">
              <w:rPr>
                <w:rFonts w:ascii="Garamond" w:eastAsia="Times New Roman" w:hAnsi="Garamond" w:cs="Times New Roman"/>
                <w:sz w:val="18"/>
                <w:szCs w:val="18"/>
              </w:rPr>
              <w:t>të dhënave pyjore dhe bimëve shumuese hartohet dhe miratohet, duke përditësuar të dhënat e tyre, si dhe duke arritur 37% të objektivit dhe ngritjen e njësive territoriale me funksion prodhimin dhe menaxhimin e tyre të integruar përmes teknikave të përparuara.</w:t>
            </w:r>
          </w:p>
        </w:tc>
        <w:tc>
          <w:tcPr>
            <w:tcW w:w="1212" w:type="pct"/>
            <w:vAlign w:val="center"/>
            <w:hideMark/>
          </w:tcPr>
          <w:p w14:paraId="6EDD00ED"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FD5AD9">
              <w:rPr>
                <w:rFonts w:ascii="Garamond" w:eastAsia="Times New Roman" w:hAnsi="Garamond" w:cs="Times New Roman"/>
                <w:sz w:val="18"/>
                <w:szCs w:val="18"/>
              </w:rPr>
              <w:t xml:space="preserve">SMNS; SKZHI-II; Projektligj mbi Fondin e Pyjeve dhe Kullotave </w:t>
            </w:r>
          </w:p>
        </w:tc>
      </w:tr>
      <w:tr w:rsidR="00E566BF" w:rsidRPr="00FD5AD9" w14:paraId="6EDD00F2"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vAlign w:val="center"/>
            <w:hideMark/>
          </w:tcPr>
          <w:p w14:paraId="6EDD00EF"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L23</w:t>
            </w:r>
          </w:p>
        </w:tc>
        <w:tc>
          <w:tcPr>
            <w:tcW w:w="3392" w:type="pct"/>
            <w:vAlign w:val="center"/>
            <w:hideMark/>
          </w:tcPr>
          <w:p w14:paraId="6EDD00F0"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 xml:space="preserve">Ngritja e një baze të dhënash për mbledhje të dhënash mbi lëndën e djegshme </w:t>
            </w:r>
          </w:p>
        </w:tc>
        <w:tc>
          <w:tcPr>
            <w:tcW w:w="1212" w:type="pct"/>
            <w:vAlign w:val="center"/>
            <w:hideMark/>
          </w:tcPr>
          <w:p w14:paraId="6EDD00F1"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FD5AD9">
              <w:rPr>
                <w:rFonts w:ascii="Garamond" w:eastAsia="Times New Roman" w:hAnsi="Garamond" w:cs="Times New Roman"/>
                <w:sz w:val="18"/>
                <w:szCs w:val="18"/>
              </w:rPr>
              <w:t>Projektligj mbi Fondin e Pyjeve dhe Kullotave</w:t>
            </w:r>
          </w:p>
        </w:tc>
      </w:tr>
      <w:tr w:rsidR="00E566BF" w:rsidRPr="00FD5AD9" w14:paraId="6EDD00F6"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vAlign w:val="center"/>
            <w:hideMark/>
          </w:tcPr>
          <w:p w14:paraId="6EDD00F3"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L24</w:t>
            </w:r>
          </w:p>
        </w:tc>
        <w:tc>
          <w:tcPr>
            <w:tcW w:w="3392" w:type="pct"/>
            <w:vAlign w:val="center"/>
            <w:hideMark/>
          </w:tcPr>
          <w:p w14:paraId="6EDD00F4"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Krijimi i burimeve financiare për monitorimin e pyjeve dhe kullotave</w:t>
            </w:r>
          </w:p>
        </w:tc>
        <w:tc>
          <w:tcPr>
            <w:tcW w:w="1212" w:type="pct"/>
            <w:vAlign w:val="center"/>
            <w:hideMark/>
          </w:tcPr>
          <w:p w14:paraId="6EDD00F5"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FD5AD9">
              <w:rPr>
                <w:rFonts w:ascii="Garamond" w:eastAsia="Times New Roman" w:hAnsi="Garamond" w:cs="Times New Roman"/>
                <w:sz w:val="18"/>
                <w:szCs w:val="18"/>
              </w:rPr>
              <w:t>Projektligj mbi Fondin e Pyjeve dhe Kullotave</w:t>
            </w:r>
          </w:p>
        </w:tc>
      </w:tr>
      <w:tr w:rsidR="00E566BF" w:rsidRPr="007114AF" w14:paraId="6EDD00FA" w14:textId="77777777" w:rsidTr="001C467C">
        <w:trPr>
          <w:trHeight w:val="20"/>
        </w:trPr>
        <w:tc>
          <w:tcPr>
            <w:cnfStyle w:val="001000000000" w:firstRow="0" w:lastRow="0" w:firstColumn="1" w:lastColumn="0" w:oddVBand="0" w:evenVBand="0" w:oddHBand="0" w:evenHBand="0" w:firstRowFirstColumn="0" w:firstRowLastColumn="0" w:lastRowFirstColumn="0" w:lastRowLastColumn="0"/>
            <w:tcW w:w="396" w:type="pct"/>
            <w:vAlign w:val="center"/>
            <w:hideMark/>
          </w:tcPr>
          <w:p w14:paraId="6EDD00F7" w14:textId="77777777" w:rsidR="00E566BF" w:rsidRPr="00FD5AD9" w:rsidRDefault="00E566BF" w:rsidP="00E566BF">
            <w:pPr>
              <w:spacing w:after="0"/>
              <w:rPr>
                <w:rFonts w:ascii="Garamond" w:eastAsia="Times New Roman" w:hAnsi="Garamond" w:cs="Times New Roman"/>
                <w:color w:val="000000"/>
                <w:sz w:val="18"/>
                <w:szCs w:val="18"/>
              </w:rPr>
            </w:pPr>
            <w:r w:rsidRPr="00FD5AD9">
              <w:rPr>
                <w:rFonts w:ascii="Garamond" w:eastAsia="Times New Roman" w:hAnsi="Garamond" w:cs="Times New Roman"/>
                <w:color w:val="000000"/>
                <w:sz w:val="18"/>
                <w:szCs w:val="18"/>
              </w:rPr>
              <w:t>L48</w:t>
            </w:r>
          </w:p>
        </w:tc>
        <w:tc>
          <w:tcPr>
            <w:tcW w:w="3392" w:type="pct"/>
            <w:vAlign w:val="center"/>
            <w:hideMark/>
          </w:tcPr>
          <w:p w14:paraId="6EDD00F8" w14:textId="77777777" w:rsidR="00E566BF" w:rsidRPr="00FD5AD9"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FD5AD9">
              <w:rPr>
                <w:rFonts w:ascii="Garamond" w:eastAsia="Times New Roman" w:hAnsi="Garamond" w:cs="Times New Roman"/>
                <w:sz w:val="18"/>
                <w:szCs w:val="18"/>
              </w:rPr>
              <w:t xml:space="preserve">Forcimi i sistemit të kërkimit, zhvillimit teknik dhe risive në pyje. </w:t>
            </w:r>
          </w:p>
        </w:tc>
        <w:tc>
          <w:tcPr>
            <w:tcW w:w="1212" w:type="pct"/>
            <w:vAlign w:val="center"/>
            <w:hideMark/>
          </w:tcPr>
          <w:p w14:paraId="6EDD00F9" w14:textId="77777777" w:rsidR="00E566BF" w:rsidRPr="007114AF" w:rsidRDefault="00E566BF" w:rsidP="00E566B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FD5AD9">
              <w:rPr>
                <w:rFonts w:ascii="Garamond" w:eastAsia="Times New Roman" w:hAnsi="Garamond" w:cs="Times New Roman"/>
                <w:sz w:val="18"/>
                <w:szCs w:val="18"/>
              </w:rPr>
              <w:t>SMNS</w:t>
            </w:r>
          </w:p>
        </w:tc>
      </w:tr>
    </w:tbl>
    <w:p w14:paraId="6EDD00FB" w14:textId="77777777" w:rsidR="008A4207" w:rsidRPr="007114AF" w:rsidRDefault="008A4207" w:rsidP="00D9782D">
      <w:pPr>
        <w:pStyle w:val="TEKSTI"/>
      </w:pPr>
    </w:p>
    <w:p w14:paraId="6EDD00FC" w14:textId="1A973310" w:rsidR="00D9782D" w:rsidRPr="007114AF" w:rsidRDefault="00D9782D" w:rsidP="00D9782D">
      <w:pPr>
        <w:pStyle w:val="TEKSTI"/>
        <w:rPr>
          <w:b/>
        </w:rPr>
      </w:pPr>
      <w:bookmarkStart w:id="172" w:name="_Toc476580577"/>
      <w:bookmarkStart w:id="173" w:name="_Toc484424524"/>
      <w:r w:rsidRPr="007114AF">
        <w:rPr>
          <w:b/>
        </w:rPr>
        <w:t xml:space="preserve">5.7 Burimet </w:t>
      </w:r>
      <w:r w:rsidR="00676CBC" w:rsidRPr="007114AF">
        <w:rPr>
          <w:b/>
        </w:rPr>
        <w:t>financiare</w:t>
      </w:r>
      <w:bookmarkEnd w:id="172"/>
      <w:r w:rsidRPr="007114AF">
        <w:rPr>
          <w:b/>
        </w:rPr>
        <w:t xml:space="preserve"> për Planin e Zbutjes</w:t>
      </w:r>
      <w:bookmarkEnd w:id="173"/>
    </w:p>
    <w:p w14:paraId="6EDD00FD" w14:textId="111B2169" w:rsidR="00D9782D" w:rsidRPr="007114AF" w:rsidRDefault="00D9782D" w:rsidP="00D9782D">
      <w:pPr>
        <w:pStyle w:val="TEKSTI"/>
      </w:pPr>
      <w:r w:rsidRPr="007114AF">
        <w:t xml:space="preserve"> </w:t>
      </w:r>
      <w:r w:rsidR="000A2A01" w:rsidRPr="007114AF">
        <w:t>“</w:t>
      </w:r>
      <w:r w:rsidRPr="007114AF">
        <w:t>Strategjia Kombëtare dhe Planeve të Veprimit</w:t>
      </w:r>
      <w:r w:rsidR="000A2A01" w:rsidRPr="007114AF">
        <w:t xml:space="preserve"> </w:t>
      </w:r>
      <w:r w:rsidRPr="007114AF">
        <w:t>për Zbutjen me Efekt Serrë (NMP) dhe Përshtatjen ndaj Ndryshimeve Klimaterike (NAP) është hartuar mbështetur në një numër në strategjish sektoriale, kuadrin ligjor ekzistues dhe draft ligje/plane në proces miratimi gjatë hartimit të këtij dokumenti. Masat e parashikuara sipas sektorëve nuk janë masa të reja. Burimet e financimit të tyre janë parashikuar në dokumentet respektive. Plani i Veprimit</w:t>
      </w:r>
      <w:r w:rsidR="000A2A01" w:rsidRPr="007114AF">
        <w:t xml:space="preserve"> </w:t>
      </w:r>
      <w:r w:rsidRPr="007114AF">
        <w:t>për Zbutjen me Efekt Serrë (NMP)</w:t>
      </w:r>
      <w:r w:rsidR="000A2A01" w:rsidRPr="007114AF">
        <w:t xml:space="preserve"> </w:t>
      </w:r>
      <w:r w:rsidRPr="007114AF">
        <w:t xml:space="preserve">ka </w:t>
      </w:r>
      <w:r w:rsidR="00FD5AD9" w:rsidRPr="007114AF">
        <w:t>përmbledhur</w:t>
      </w:r>
      <w:r w:rsidRPr="007114AF">
        <w:t xml:space="preserve"> masat me ndikim në efektin serrë dhe ka bërë një analizë të kostove totale dhe burimeve të financimit</w:t>
      </w:r>
    </w:p>
    <w:p w14:paraId="6EDD00FE" w14:textId="58DD7F6D" w:rsidR="00D9782D" w:rsidRPr="007114AF" w:rsidRDefault="00D9782D" w:rsidP="00D9782D">
      <w:pPr>
        <w:pStyle w:val="TEKSTI"/>
      </w:pPr>
      <w:r w:rsidRPr="007114AF">
        <w:t>Që nga 2005, Shqipëria ka paraqitur Sistemin e Planëzimit të Integruar (IPS), i cili ka si qëllim të sigurojë: koherencë, efektivitet dhe harmonizim në planet strategjike, financat publike dhe monitorimin e politikave. Në mënyrë specifike, IPS-ja duhet të sigurojë koherencën ndërmjet Strategjisë Kombëtare për Zhvillim dhe Integrim (NSDI), strategjitë afatgjatë e ndërsektoriale,</w:t>
      </w:r>
      <w:r w:rsidR="00FD5AD9">
        <w:t xml:space="preserve"> </w:t>
      </w:r>
      <w:r w:rsidRPr="007114AF">
        <w:t xml:space="preserve">si dhe Programin e Buxhetit Afatmesëm (MTBP). Një element kyç i IPS-ës është se strategjitë sektoriale duhet të udhëzojnë MTBP-në dhe buxhetin vjetor shtetëror. </w:t>
      </w:r>
    </w:p>
    <w:p w14:paraId="6EDD00FF" w14:textId="76B56CC8" w:rsidR="00D9782D" w:rsidRPr="007114AF" w:rsidRDefault="00D9782D" w:rsidP="00D9782D">
      <w:pPr>
        <w:pStyle w:val="TEKSTI"/>
      </w:pPr>
      <w:r w:rsidRPr="007114AF">
        <w:t>Plani i V</w:t>
      </w:r>
      <w:r w:rsidR="00FD5AD9">
        <w:t>e</w:t>
      </w:r>
      <w:r w:rsidRPr="007114AF">
        <w:t>primit për secilin prej sektorëve është kostuar duke u bazuar në dokument</w:t>
      </w:r>
      <w:r w:rsidR="00FD5AD9">
        <w:t>e</w:t>
      </w:r>
      <w:r w:rsidRPr="007114AF">
        <w:t>t e PBA 2020</w:t>
      </w:r>
      <w:r w:rsidR="001A6E2E">
        <w:t>–</w:t>
      </w:r>
      <w:r w:rsidRPr="007114AF">
        <w:t xml:space="preserve">2022 të dorëzuar nga </w:t>
      </w:r>
      <w:r w:rsidR="00FD5AD9">
        <w:t>m</w:t>
      </w:r>
      <w:r w:rsidRPr="007114AF">
        <w:t>inistritë e linjës për fazën e parë të PBA</w:t>
      </w:r>
      <w:r w:rsidR="00A419A4">
        <w:t>-së</w:t>
      </w:r>
      <w:r w:rsidRPr="007114AF">
        <w:t xml:space="preserve">. </w:t>
      </w:r>
    </w:p>
    <w:p w14:paraId="6EDD0100" w14:textId="77777777" w:rsidR="00E566BF" w:rsidRPr="007114AF" w:rsidRDefault="00E566BF" w:rsidP="00524E98">
      <w:pPr>
        <w:pStyle w:val="TEKSTI"/>
        <w:rPr>
          <w:sz w:val="14"/>
        </w:rPr>
      </w:pPr>
    </w:p>
    <w:tbl>
      <w:tblPr>
        <w:tblW w:w="5330" w:type="pct"/>
        <w:tblLayout w:type="fixed"/>
        <w:tblLook w:val="04A0" w:firstRow="1" w:lastRow="0" w:firstColumn="1" w:lastColumn="0" w:noHBand="0" w:noVBand="1"/>
      </w:tblPr>
      <w:tblGrid>
        <w:gridCol w:w="1609"/>
        <w:gridCol w:w="1606"/>
        <w:gridCol w:w="2323"/>
        <w:gridCol w:w="1338"/>
        <w:gridCol w:w="1420"/>
        <w:gridCol w:w="1604"/>
      </w:tblGrid>
      <w:tr w:rsidR="004C7CD4" w:rsidRPr="007114AF" w14:paraId="6EDD0102" w14:textId="77777777" w:rsidTr="001C467C">
        <w:trPr>
          <w:gridAfter w:val="3"/>
          <w:wAfter w:w="2203" w:type="pct"/>
          <w:trHeight w:val="315"/>
        </w:trPr>
        <w:tc>
          <w:tcPr>
            <w:tcW w:w="2797" w:type="pct"/>
            <w:gridSpan w:val="3"/>
            <w:tcBorders>
              <w:top w:val="nil"/>
              <w:left w:val="nil"/>
              <w:bottom w:val="nil"/>
              <w:right w:val="nil"/>
            </w:tcBorders>
            <w:shd w:val="clear" w:color="000000" w:fill="EBF1DE"/>
            <w:noWrap/>
            <w:vAlign w:val="bottom"/>
            <w:hideMark/>
          </w:tcPr>
          <w:p w14:paraId="6EDD0101" w14:textId="77777777" w:rsidR="004C7CD4" w:rsidRPr="007114AF" w:rsidRDefault="004C7CD4" w:rsidP="00A45C8C">
            <w:pPr>
              <w:pStyle w:val="FIGURA"/>
              <w:rPr>
                <w:rFonts w:eastAsia="Times New Roman"/>
                <w:sz w:val="20"/>
                <w:szCs w:val="20"/>
                <w:lang w:eastAsia="en-US"/>
              </w:rPr>
            </w:pPr>
            <w:r w:rsidRPr="007114AF">
              <w:rPr>
                <w:rFonts w:eastAsia="Times New Roman"/>
                <w:sz w:val="20"/>
                <w:szCs w:val="20"/>
                <w:lang w:eastAsia="en-US"/>
              </w:rPr>
              <w:t>Burimet e financimit për implementimin e strategjisë</w:t>
            </w:r>
          </w:p>
        </w:tc>
      </w:tr>
      <w:tr w:rsidR="004C7CD4" w:rsidRPr="007114AF" w14:paraId="6EDD0109" w14:textId="77777777" w:rsidTr="001C467C">
        <w:trPr>
          <w:trHeight w:val="510"/>
        </w:trPr>
        <w:tc>
          <w:tcPr>
            <w:tcW w:w="813" w:type="pct"/>
            <w:tcBorders>
              <w:top w:val="single" w:sz="4" w:space="0" w:color="auto"/>
              <w:left w:val="single" w:sz="4" w:space="0" w:color="auto"/>
              <w:bottom w:val="single" w:sz="4" w:space="0" w:color="auto"/>
              <w:right w:val="single" w:sz="4" w:space="0" w:color="auto"/>
            </w:tcBorders>
            <w:shd w:val="clear" w:color="000000" w:fill="EBF1DE"/>
            <w:hideMark/>
          </w:tcPr>
          <w:p w14:paraId="6EDD0103" w14:textId="77777777" w:rsidR="004C7CD4" w:rsidRPr="007114AF" w:rsidRDefault="004C7CD4" w:rsidP="004C7CD4">
            <w:pPr>
              <w:spacing w:after="0" w:line="240" w:lineRule="auto"/>
              <w:jc w:val="center"/>
              <w:rPr>
                <w:rFonts w:ascii="Garamond" w:eastAsia="Times New Roman" w:hAnsi="Garamond" w:cs="Times New Roman"/>
                <w:b/>
                <w:bCs/>
                <w:color w:val="000000"/>
                <w:sz w:val="20"/>
                <w:szCs w:val="20"/>
                <w:lang w:eastAsia="en-US"/>
              </w:rPr>
            </w:pPr>
            <w:r w:rsidRPr="007114AF">
              <w:rPr>
                <w:rFonts w:ascii="Garamond" w:eastAsia="Times New Roman" w:hAnsi="Garamond" w:cs="Times New Roman"/>
                <w:b/>
                <w:bCs/>
                <w:color w:val="000000"/>
                <w:sz w:val="20"/>
                <w:szCs w:val="20"/>
                <w:lang w:eastAsia="en-US"/>
              </w:rPr>
              <w:t> </w:t>
            </w:r>
          </w:p>
        </w:tc>
        <w:tc>
          <w:tcPr>
            <w:tcW w:w="811" w:type="pct"/>
            <w:tcBorders>
              <w:top w:val="single" w:sz="4" w:space="0" w:color="auto"/>
              <w:left w:val="nil"/>
              <w:bottom w:val="single" w:sz="4" w:space="0" w:color="auto"/>
              <w:right w:val="single" w:sz="4" w:space="0" w:color="auto"/>
            </w:tcBorders>
            <w:shd w:val="clear" w:color="000000" w:fill="F2F2F2"/>
            <w:vAlign w:val="center"/>
            <w:hideMark/>
          </w:tcPr>
          <w:p w14:paraId="6EDD0104" w14:textId="77777777" w:rsidR="004C7CD4" w:rsidRPr="007114AF" w:rsidRDefault="004C7CD4" w:rsidP="004C7CD4">
            <w:pPr>
              <w:spacing w:after="0" w:line="240" w:lineRule="auto"/>
              <w:jc w:val="center"/>
              <w:rPr>
                <w:rFonts w:ascii="Garamond" w:eastAsia="Times New Roman" w:hAnsi="Garamond" w:cs="Times New Roman"/>
                <w:b/>
                <w:bCs/>
                <w:sz w:val="16"/>
                <w:szCs w:val="16"/>
                <w:lang w:eastAsia="en-US"/>
              </w:rPr>
            </w:pPr>
            <w:r w:rsidRPr="007114AF">
              <w:rPr>
                <w:rFonts w:ascii="Garamond" w:eastAsia="Times New Roman" w:hAnsi="Garamond" w:cs="Times New Roman"/>
                <w:b/>
                <w:bCs/>
                <w:sz w:val="16"/>
                <w:szCs w:val="16"/>
                <w:lang w:eastAsia="en-US"/>
              </w:rPr>
              <w:t xml:space="preserve"> Buxheti i shtetit </w:t>
            </w:r>
          </w:p>
        </w:tc>
        <w:tc>
          <w:tcPr>
            <w:tcW w:w="1173" w:type="pct"/>
            <w:tcBorders>
              <w:top w:val="single" w:sz="4" w:space="0" w:color="auto"/>
              <w:left w:val="nil"/>
              <w:bottom w:val="single" w:sz="4" w:space="0" w:color="auto"/>
              <w:right w:val="nil"/>
            </w:tcBorders>
            <w:shd w:val="clear" w:color="000000" w:fill="F2F2F2"/>
            <w:vAlign w:val="center"/>
            <w:hideMark/>
          </w:tcPr>
          <w:p w14:paraId="6EDD0105" w14:textId="77777777" w:rsidR="004C7CD4" w:rsidRPr="007114AF" w:rsidRDefault="004C7CD4" w:rsidP="004C7CD4">
            <w:pPr>
              <w:spacing w:after="0" w:line="240" w:lineRule="auto"/>
              <w:jc w:val="center"/>
              <w:rPr>
                <w:rFonts w:ascii="Garamond" w:eastAsia="Times New Roman" w:hAnsi="Garamond" w:cs="Times New Roman"/>
                <w:b/>
                <w:bCs/>
                <w:sz w:val="16"/>
                <w:szCs w:val="16"/>
                <w:lang w:eastAsia="en-US"/>
              </w:rPr>
            </w:pPr>
            <w:r w:rsidRPr="007114AF">
              <w:rPr>
                <w:rFonts w:ascii="Garamond" w:eastAsia="Times New Roman" w:hAnsi="Garamond" w:cs="Times New Roman"/>
                <w:b/>
                <w:bCs/>
                <w:sz w:val="16"/>
                <w:szCs w:val="16"/>
                <w:lang w:eastAsia="en-US"/>
              </w:rPr>
              <w:t xml:space="preserve"> EU </w:t>
            </w:r>
          </w:p>
        </w:tc>
        <w:tc>
          <w:tcPr>
            <w:tcW w:w="676" w:type="pct"/>
            <w:tcBorders>
              <w:top w:val="single" w:sz="4" w:space="0" w:color="auto"/>
              <w:left w:val="single" w:sz="4" w:space="0" w:color="auto"/>
              <w:bottom w:val="single" w:sz="4" w:space="0" w:color="auto"/>
              <w:right w:val="nil"/>
            </w:tcBorders>
            <w:shd w:val="clear" w:color="000000" w:fill="F2F2F2"/>
            <w:vAlign w:val="center"/>
            <w:hideMark/>
          </w:tcPr>
          <w:p w14:paraId="6EDD0106" w14:textId="22ECB77E" w:rsidR="004C7CD4" w:rsidRPr="007114AF" w:rsidRDefault="004C7CD4" w:rsidP="004C7CD4">
            <w:pPr>
              <w:spacing w:after="0" w:line="240" w:lineRule="auto"/>
              <w:jc w:val="center"/>
              <w:rPr>
                <w:rFonts w:ascii="Garamond" w:eastAsia="Times New Roman" w:hAnsi="Garamond" w:cs="Times New Roman"/>
                <w:b/>
                <w:bCs/>
                <w:sz w:val="16"/>
                <w:szCs w:val="16"/>
                <w:lang w:eastAsia="en-US"/>
              </w:rPr>
            </w:pPr>
            <w:r w:rsidRPr="007114AF">
              <w:rPr>
                <w:rFonts w:ascii="Garamond" w:eastAsia="Times New Roman" w:hAnsi="Garamond" w:cs="Times New Roman"/>
                <w:b/>
                <w:bCs/>
                <w:sz w:val="16"/>
                <w:szCs w:val="16"/>
                <w:lang w:eastAsia="en-US"/>
              </w:rPr>
              <w:t xml:space="preserve"> Donatorë të tjerë</w:t>
            </w:r>
            <w:r w:rsidR="008D30FC" w:rsidRPr="007114AF">
              <w:rPr>
                <w:rFonts w:ascii="Garamond" w:eastAsia="Times New Roman" w:hAnsi="Garamond" w:cs="Times New Roman"/>
                <w:b/>
                <w:bCs/>
                <w:sz w:val="16"/>
                <w:szCs w:val="16"/>
                <w:lang w:eastAsia="en-US"/>
              </w:rPr>
              <w:t xml:space="preserve"> </w:t>
            </w:r>
          </w:p>
        </w:tc>
        <w:tc>
          <w:tcPr>
            <w:tcW w:w="717" w:type="pct"/>
            <w:tcBorders>
              <w:top w:val="single" w:sz="4" w:space="0" w:color="auto"/>
              <w:left w:val="single" w:sz="4" w:space="0" w:color="auto"/>
              <w:bottom w:val="single" w:sz="4" w:space="0" w:color="auto"/>
              <w:right w:val="nil"/>
            </w:tcBorders>
            <w:shd w:val="clear" w:color="000000" w:fill="F2F2F2"/>
            <w:vAlign w:val="center"/>
            <w:hideMark/>
          </w:tcPr>
          <w:p w14:paraId="6EDD0107" w14:textId="77777777" w:rsidR="004C7CD4" w:rsidRPr="007114AF" w:rsidRDefault="004C7CD4" w:rsidP="004C7CD4">
            <w:pPr>
              <w:spacing w:after="0" w:line="240" w:lineRule="auto"/>
              <w:jc w:val="center"/>
              <w:rPr>
                <w:rFonts w:ascii="Garamond" w:eastAsia="Times New Roman" w:hAnsi="Garamond" w:cs="Times New Roman"/>
                <w:b/>
                <w:bCs/>
                <w:sz w:val="16"/>
                <w:szCs w:val="16"/>
                <w:lang w:eastAsia="en-US"/>
              </w:rPr>
            </w:pPr>
            <w:r w:rsidRPr="007114AF">
              <w:rPr>
                <w:rFonts w:ascii="Garamond" w:eastAsia="Times New Roman" w:hAnsi="Garamond" w:cs="Times New Roman"/>
                <w:b/>
                <w:bCs/>
                <w:sz w:val="16"/>
                <w:szCs w:val="16"/>
                <w:lang w:eastAsia="en-US"/>
              </w:rPr>
              <w:t>Hendeku Financiar</w:t>
            </w:r>
          </w:p>
        </w:tc>
        <w:tc>
          <w:tcPr>
            <w:tcW w:w="810" w:type="pct"/>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6EDD0108" w14:textId="77777777" w:rsidR="004C7CD4" w:rsidRPr="007114AF" w:rsidRDefault="004C7CD4" w:rsidP="004C7CD4">
            <w:pPr>
              <w:spacing w:after="0" w:line="240" w:lineRule="auto"/>
              <w:jc w:val="center"/>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Totali</w:t>
            </w:r>
          </w:p>
        </w:tc>
      </w:tr>
      <w:tr w:rsidR="004C7CD4" w:rsidRPr="007114AF" w14:paraId="6EDD0110" w14:textId="77777777" w:rsidTr="001C467C">
        <w:trPr>
          <w:trHeight w:val="300"/>
        </w:trPr>
        <w:tc>
          <w:tcPr>
            <w:tcW w:w="813" w:type="pct"/>
            <w:tcBorders>
              <w:top w:val="nil"/>
              <w:left w:val="single" w:sz="4" w:space="0" w:color="auto"/>
              <w:bottom w:val="single" w:sz="4" w:space="0" w:color="auto"/>
              <w:right w:val="single" w:sz="4" w:space="0" w:color="auto"/>
            </w:tcBorders>
            <w:shd w:val="clear" w:color="000000" w:fill="EBF1DE"/>
            <w:noWrap/>
            <w:vAlign w:val="bottom"/>
            <w:hideMark/>
          </w:tcPr>
          <w:p w14:paraId="6EDD010A" w14:textId="77777777" w:rsidR="004C7CD4" w:rsidRPr="007114AF" w:rsidRDefault="004C7CD4"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Energjia</w:t>
            </w:r>
          </w:p>
        </w:tc>
        <w:tc>
          <w:tcPr>
            <w:tcW w:w="811" w:type="pct"/>
            <w:tcBorders>
              <w:top w:val="nil"/>
              <w:left w:val="nil"/>
              <w:bottom w:val="single" w:sz="4" w:space="0" w:color="auto"/>
              <w:right w:val="single" w:sz="4" w:space="0" w:color="auto"/>
            </w:tcBorders>
            <w:shd w:val="clear" w:color="auto" w:fill="auto"/>
            <w:noWrap/>
            <w:vAlign w:val="bottom"/>
            <w:hideMark/>
          </w:tcPr>
          <w:p w14:paraId="6EDD010B" w14:textId="7B3B0EDD"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0A2A01"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23,422,408 </w:t>
            </w:r>
          </w:p>
        </w:tc>
        <w:tc>
          <w:tcPr>
            <w:tcW w:w="1173" w:type="pct"/>
            <w:tcBorders>
              <w:top w:val="nil"/>
              <w:left w:val="nil"/>
              <w:bottom w:val="single" w:sz="4" w:space="0" w:color="auto"/>
              <w:right w:val="single" w:sz="4" w:space="0" w:color="auto"/>
            </w:tcBorders>
            <w:shd w:val="clear" w:color="auto" w:fill="auto"/>
            <w:noWrap/>
            <w:vAlign w:val="bottom"/>
            <w:hideMark/>
          </w:tcPr>
          <w:p w14:paraId="6EDD010C" w14:textId="3E01FCA5"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w:t>
            </w:r>
            <w:r w:rsidRPr="007114AF">
              <w:rPr>
                <w:rFonts w:ascii="Garamond" w:eastAsia="Times New Roman" w:hAnsi="Garamond" w:cs="Times New Roman"/>
                <w:color w:val="000000"/>
                <w:lang w:eastAsia="en-US"/>
              </w:rPr>
              <w:t xml:space="preserve"> </w:t>
            </w:r>
          </w:p>
        </w:tc>
        <w:tc>
          <w:tcPr>
            <w:tcW w:w="676" w:type="pct"/>
            <w:tcBorders>
              <w:top w:val="nil"/>
              <w:left w:val="nil"/>
              <w:bottom w:val="single" w:sz="4" w:space="0" w:color="auto"/>
              <w:right w:val="single" w:sz="4" w:space="0" w:color="auto"/>
            </w:tcBorders>
            <w:shd w:val="clear" w:color="auto" w:fill="auto"/>
            <w:noWrap/>
            <w:vAlign w:val="bottom"/>
            <w:hideMark/>
          </w:tcPr>
          <w:p w14:paraId="6EDD010D" w14:textId="246E5FA2"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0A2A01"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6,551,819 </w:t>
            </w:r>
          </w:p>
        </w:tc>
        <w:tc>
          <w:tcPr>
            <w:tcW w:w="717" w:type="pct"/>
            <w:tcBorders>
              <w:top w:val="nil"/>
              <w:left w:val="nil"/>
              <w:bottom w:val="single" w:sz="4" w:space="0" w:color="auto"/>
              <w:right w:val="nil"/>
            </w:tcBorders>
            <w:shd w:val="clear" w:color="auto" w:fill="auto"/>
            <w:noWrap/>
            <w:vAlign w:val="bottom"/>
            <w:hideMark/>
          </w:tcPr>
          <w:p w14:paraId="6EDD010E" w14:textId="18E6707C"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0A2A01"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6,906,638 </w:t>
            </w:r>
          </w:p>
        </w:tc>
        <w:tc>
          <w:tcPr>
            <w:tcW w:w="810" w:type="pct"/>
            <w:tcBorders>
              <w:top w:val="nil"/>
              <w:left w:val="single" w:sz="4" w:space="0" w:color="auto"/>
              <w:bottom w:val="single" w:sz="4" w:space="0" w:color="auto"/>
              <w:right w:val="single" w:sz="4" w:space="0" w:color="auto"/>
            </w:tcBorders>
            <w:shd w:val="clear" w:color="000000" w:fill="EBF1DE"/>
            <w:noWrap/>
            <w:vAlign w:val="bottom"/>
            <w:hideMark/>
          </w:tcPr>
          <w:p w14:paraId="6EDD010F" w14:textId="4CE7D406" w:rsidR="004C7CD4" w:rsidRPr="007114AF" w:rsidRDefault="008D30FC" w:rsidP="004C7CD4">
            <w:pPr>
              <w:spacing w:after="0" w:line="240" w:lineRule="auto"/>
              <w:jc w:val="center"/>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29,974,227 </w:t>
            </w:r>
          </w:p>
        </w:tc>
      </w:tr>
      <w:tr w:rsidR="004C7CD4" w:rsidRPr="007114AF" w14:paraId="6EDD0117" w14:textId="77777777" w:rsidTr="001C467C">
        <w:trPr>
          <w:trHeight w:val="300"/>
        </w:trPr>
        <w:tc>
          <w:tcPr>
            <w:tcW w:w="813" w:type="pct"/>
            <w:tcBorders>
              <w:top w:val="nil"/>
              <w:left w:val="single" w:sz="4" w:space="0" w:color="auto"/>
              <w:bottom w:val="single" w:sz="4" w:space="0" w:color="auto"/>
              <w:right w:val="single" w:sz="4" w:space="0" w:color="auto"/>
            </w:tcBorders>
            <w:shd w:val="clear" w:color="000000" w:fill="EBF1DE"/>
            <w:noWrap/>
            <w:vAlign w:val="bottom"/>
            <w:hideMark/>
          </w:tcPr>
          <w:p w14:paraId="6EDD0111" w14:textId="77777777" w:rsidR="004C7CD4" w:rsidRPr="007114AF" w:rsidRDefault="004C7CD4"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Transporti</w:t>
            </w:r>
          </w:p>
        </w:tc>
        <w:tc>
          <w:tcPr>
            <w:tcW w:w="811" w:type="pct"/>
            <w:tcBorders>
              <w:top w:val="nil"/>
              <w:left w:val="nil"/>
              <w:bottom w:val="single" w:sz="4" w:space="0" w:color="auto"/>
              <w:right w:val="single" w:sz="4" w:space="0" w:color="auto"/>
            </w:tcBorders>
            <w:shd w:val="clear" w:color="auto" w:fill="auto"/>
            <w:noWrap/>
            <w:vAlign w:val="bottom"/>
            <w:hideMark/>
          </w:tcPr>
          <w:p w14:paraId="6EDD0112" w14:textId="252665CC"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0A2A01"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38,354,551 </w:t>
            </w:r>
          </w:p>
        </w:tc>
        <w:tc>
          <w:tcPr>
            <w:tcW w:w="1173" w:type="pct"/>
            <w:tcBorders>
              <w:top w:val="nil"/>
              <w:left w:val="nil"/>
              <w:bottom w:val="single" w:sz="4" w:space="0" w:color="auto"/>
              <w:right w:val="single" w:sz="4" w:space="0" w:color="auto"/>
            </w:tcBorders>
            <w:shd w:val="clear" w:color="auto" w:fill="auto"/>
            <w:noWrap/>
            <w:vAlign w:val="bottom"/>
            <w:hideMark/>
          </w:tcPr>
          <w:p w14:paraId="6EDD0113" w14:textId="744A3223"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 262,320 </w:t>
            </w:r>
          </w:p>
        </w:tc>
        <w:tc>
          <w:tcPr>
            <w:tcW w:w="676" w:type="pct"/>
            <w:tcBorders>
              <w:top w:val="nil"/>
              <w:left w:val="nil"/>
              <w:bottom w:val="single" w:sz="4" w:space="0" w:color="auto"/>
              <w:right w:val="single" w:sz="4" w:space="0" w:color="auto"/>
            </w:tcBorders>
            <w:shd w:val="clear" w:color="auto" w:fill="auto"/>
            <w:noWrap/>
            <w:vAlign w:val="bottom"/>
            <w:hideMark/>
          </w:tcPr>
          <w:p w14:paraId="6EDD0114" w14:textId="70E6779E"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0A2A01"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6,811,289 </w:t>
            </w:r>
          </w:p>
        </w:tc>
        <w:tc>
          <w:tcPr>
            <w:tcW w:w="717" w:type="pct"/>
            <w:tcBorders>
              <w:top w:val="nil"/>
              <w:left w:val="nil"/>
              <w:bottom w:val="single" w:sz="4" w:space="0" w:color="auto"/>
              <w:right w:val="nil"/>
            </w:tcBorders>
            <w:shd w:val="clear" w:color="auto" w:fill="auto"/>
            <w:noWrap/>
            <w:vAlign w:val="bottom"/>
            <w:hideMark/>
          </w:tcPr>
          <w:p w14:paraId="6EDD0115" w14:textId="1C403CBA"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0A2A01"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5,270,346 </w:t>
            </w:r>
          </w:p>
        </w:tc>
        <w:tc>
          <w:tcPr>
            <w:tcW w:w="810" w:type="pct"/>
            <w:tcBorders>
              <w:top w:val="nil"/>
              <w:left w:val="single" w:sz="4" w:space="0" w:color="auto"/>
              <w:bottom w:val="single" w:sz="4" w:space="0" w:color="auto"/>
              <w:right w:val="single" w:sz="4" w:space="0" w:color="auto"/>
            </w:tcBorders>
            <w:shd w:val="clear" w:color="000000" w:fill="EBF1DE"/>
            <w:noWrap/>
            <w:vAlign w:val="bottom"/>
            <w:hideMark/>
          </w:tcPr>
          <w:p w14:paraId="6EDD0116" w14:textId="586A6784" w:rsidR="004C7CD4" w:rsidRPr="007114AF" w:rsidRDefault="008D30FC" w:rsidP="004C7CD4">
            <w:pPr>
              <w:spacing w:after="0" w:line="240" w:lineRule="auto"/>
              <w:jc w:val="center"/>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45,428,160 </w:t>
            </w:r>
          </w:p>
        </w:tc>
      </w:tr>
      <w:tr w:rsidR="004C7CD4" w:rsidRPr="007114AF" w14:paraId="6EDD011E" w14:textId="77777777" w:rsidTr="001C467C">
        <w:trPr>
          <w:trHeight w:val="300"/>
        </w:trPr>
        <w:tc>
          <w:tcPr>
            <w:tcW w:w="813" w:type="pct"/>
            <w:tcBorders>
              <w:top w:val="nil"/>
              <w:left w:val="single" w:sz="4" w:space="0" w:color="auto"/>
              <w:bottom w:val="single" w:sz="4" w:space="0" w:color="auto"/>
              <w:right w:val="single" w:sz="4" w:space="0" w:color="auto"/>
            </w:tcBorders>
            <w:shd w:val="clear" w:color="000000" w:fill="EBF1DE"/>
            <w:noWrap/>
            <w:vAlign w:val="bottom"/>
            <w:hideMark/>
          </w:tcPr>
          <w:p w14:paraId="6EDD0118" w14:textId="77777777" w:rsidR="004C7CD4" w:rsidRPr="007114AF" w:rsidRDefault="004C7CD4"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Bujqesia</w:t>
            </w:r>
          </w:p>
        </w:tc>
        <w:tc>
          <w:tcPr>
            <w:tcW w:w="811" w:type="pct"/>
            <w:tcBorders>
              <w:top w:val="nil"/>
              <w:left w:val="nil"/>
              <w:bottom w:val="single" w:sz="4" w:space="0" w:color="auto"/>
              <w:right w:val="single" w:sz="4" w:space="0" w:color="auto"/>
            </w:tcBorders>
            <w:shd w:val="clear" w:color="auto" w:fill="auto"/>
            <w:noWrap/>
            <w:vAlign w:val="bottom"/>
            <w:hideMark/>
          </w:tcPr>
          <w:p w14:paraId="6EDD0119" w14:textId="274FA97C"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 9,663,350 </w:t>
            </w:r>
          </w:p>
        </w:tc>
        <w:tc>
          <w:tcPr>
            <w:tcW w:w="1173" w:type="pct"/>
            <w:tcBorders>
              <w:top w:val="nil"/>
              <w:left w:val="nil"/>
              <w:bottom w:val="single" w:sz="4" w:space="0" w:color="auto"/>
              <w:right w:val="single" w:sz="4" w:space="0" w:color="auto"/>
            </w:tcBorders>
            <w:shd w:val="clear" w:color="auto" w:fill="auto"/>
            <w:noWrap/>
            <w:vAlign w:val="bottom"/>
            <w:hideMark/>
          </w:tcPr>
          <w:p w14:paraId="6EDD011A" w14:textId="06164665"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w:t>
            </w:r>
            <w:r w:rsidRPr="007114AF">
              <w:rPr>
                <w:rFonts w:ascii="Garamond" w:eastAsia="Times New Roman" w:hAnsi="Garamond" w:cs="Times New Roman"/>
                <w:color w:val="000000"/>
                <w:lang w:eastAsia="en-US"/>
              </w:rPr>
              <w:t xml:space="preserve"> </w:t>
            </w:r>
          </w:p>
        </w:tc>
        <w:tc>
          <w:tcPr>
            <w:tcW w:w="676" w:type="pct"/>
            <w:tcBorders>
              <w:top w:val="nil"/>
              <w:left w:val="nil"/>
              <w:bottom w:val="single" w:sz="4" w:space="0" w:color="auto"/>
              <w:right w:val="single" w:sz="4" w:space="0" w:color="auto"/>
            </w:tcBorders>
            <w:shd w:val="clear" w:color="auto" w:fill="auto"/>
            <w:noWrap/>
            <w:vAlign w:val="bottom"/>
            <w:hideMark/>
          </w:tcPr>
          <w:p w14:paraId="6EDD011B" w14:textId="29C8DD24"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0A2A01"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1,064,214 </w:t>
            </w:r>
          </w:p>
        </w:tc>
        <w:tc>
          <w:tcPr>
            <w:tcW w:w="717" w:type="pct"/>
            <w:tcBorders>
              <w:top w:val="nil"/>
              <w:left w:val="nil"/>
              <w:bottom w:val="single" w:sz="4" w:space="0" w:color="auto"/>
              <w:right w:val="nil"/>
            </w:tcBorders>
            <w:shd w:val="clear" w:color="auto" w:fill="auto"/>
            <w:noWrap/>
            <w:vAlign w:val="bottom"/>
            <w:hideMark/>
          </w:tcPr>
          <w:p w14:paraId="6EDD011C" w14:textId="6BCFFE6D"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 -</w:t>
            </w:r>
            <w:r w:rsidRPr="007114AF">
              <w:rPr>
                <w:rFonts w:ascii="Garamond" w:eastAsia="Times New Roman" w:hAnsi="Garamond" w:cs="Times New Roman"/>
                <w:color w:val="000000"/>
                <w:lang w:eastAsia="en-US"/>
              </w:rPr>
              <w:t xml:space="preserve"> </w:t>
            </w:r>
          </w:p>
        </w:tc>
        <w:tc>
          <w:tcPr>
            <w:tcW w:w="810" w:type="pct"/>
            <w:tcBorders>
              <w:top w:val="nil"/>
              <w:left w:val="single" w:sz="4" w:space="0" w:color="auto"/>
              <w:bottom w:val="single" w:sz="4" w:space="0" w:color="auto"/>
              <w:right w:val="single" w:sz="4" w:space="0" w:color="auto"/>
            </w:tcBorders>
            <w:shd w:val="clear" w:color="000000" w:fill="EBF1DE"/>
            <w:noWrap/>
            <w:vAlign w:val="bottom"/>
            <w:hideMark/>
          </w:tcPr>
          <w:p w14:paraId="6EDD011D" w14:textId="22D84B7C" w:rsidR="004C7CD4" w:rsidRPr="007114AF" w:rsidRDefault="008D30FC" w:rsidP="004C7CD4">
            <w:pPr>
              <w:spacing w:after="0" w:line="240" w:lineRule="auto"/>
              <w:jc w:val="center"/>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10,727,564 </w:t>
            </w:r>
          </w:p>
        </w:tc>
      </w:tr>
      <w:tr w:rsidR="004C7CD4" w:rsidRPr="007114AF" w14:paraId="6EDD0125" w14:textId="77777777" w:rsidTr="001C467C">
        <w:trPr>
          <w:trHeight w:val="300"/>
        </w:trPr>
        <w:tc>
          <w:tcPr>
            <w:tcW w:w="813" w:type="pct"/>
            <w:tcBorders>
              <w:top w:val="nil"/>
              <w:left w:val="single" w:sz="4" w:space="0" w:color="auto"/>
              <w:bottom w:val="single" w:sz="4" w:space="0" w:color="auto"/>
              <w:right w:val="single" w:sz="4" w:space="0" w:color="auto"/>
            </w:tcBorders>
            <w:shd w:val="clear" w:color="000000" w:fill="EBF1DE"/>
            <w:noWrap/>
            <w:vAlign w:val="bottom"/>
            <w:hideMark/>
          </w:tcPr>
          <w:p w14:paraId="6EDD011F" w14:textId="77777777" w:rsidR="004C7CD4" w:rsidRPr="007114AF" w:rsidRDefault="004C7CD4"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Toka+Pyjet</w:t>
            </w:r>
          </w:p>
        </w:tc>
        <w:tc>
          <w:tcPr>
            <w:tcW w:w="811" w:type="pct"/>
            <w:tcBorders>
              <w:top w:val="nil"/>
              <w:left w:val="nil"/>
              <w:bottom w:val="single" w:sz="4" w:space="0" w:color="auto"/>
              <w:right w:val="single" w:sz="4" w:space="0" w:color="auto"/>
            </w:tcBorders>
            <w:shd w:val="clear" w:color="auto" w:fill="auto"/>
            <w:noWrap/>
            <w:vAlign w:val="bottom"/>
            <w:hideMark/>
          </w:tcPr>
          <w:p w14:paraId="6EDD0120" w14:textId="4E7A3A35"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 1,471,226 </w:t>
            </w:r>
          </w:p>
        </w:tc>
        <w:tc>
          <w:tcPr>
            <w:tcW w:w="1173" w:type="pct"/>
            <w:tcBorders>
              <w:top w:val="nil"/>
              <w:left w:val="nil"/>
              <w:bottom w:val="single" w:sz="4" w:space="0" w:color="auto"/>
              <w:right w:val="single" w:sz="4" w:space="0" w:color="auto"/>
            </w:tcBorders>
            <w:shd w:val="clear" w:color="auto" w:fill="auto"/>
            <w:noWrap/>
            <w:vAlign w:val="bottom"/>
            <w:hideMark/>
          </w:tcPr>
          <w:p w14:paraId="6EDD0121" w14:textId="57193663"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w:t>
            </w:r>
            <w:r w:rsidRPr="007114AF">
              <w:rPr>
                <w:rFonts w:ascii="Garamond" w:eastAsia="Times New Roman" w:hAnsi="Garamond" w:cs="Times New Roman"/>
                <w:color w:val="000000"/>
                <w:lang w:eastAsia="en-US"/>
              </w:rPr>
              <w:t xml:space="preserve"> </w:t>
            </w:r>
          </w:p>
        </w:tc>
        <w:tc>
          <w:tcPr>
            <w:tcW w:w="676" w:type="pct"/>
            <w:tcBorders>
              <w:top w:val="nil"/>
              <w:left w:val="nil"/>
              <w:bottom w:val="single" w:sz="4" w:space="0" w:color="auto"/>
              <w:right w:val="single" w:sz="4" w:space="0" w:color="auto"/>
            </w:tcBorders>
            <w:shd w:val="clear" w:color="auto" w:fill="auto"/>
            <w:noWrap/>
            <w:vAlign w:val="bottom"/>
            <w:hideMark/>
          </w:tcPr>
          <w:p w14:paraId="6EDD0122" w14:textId="79BB4D1F"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 -</w:t>
            </w:r>
            <w:r w:rsidRPr="007114AF">
              <w:rPr>
                <w:rFonts w:ascii="Garamond" w:eastAsia="Times New Roman" w:hAnsi="Garamond" w:cs="Times New Roman"/>
                <w:color w:val="000000"/>
                <w:lang w:eastAsia="en-US"/>
              </w:rPr>
              <w:t xml:space="preserve"> </w:t>
            </w:r>
          </w:p>
        </w:tc>
        <w:tc>
          <w:tcPr>
            <w:tcW w:w="717" w:type="pct"/>
            <w:tcBorders>
              <w:top w:val="nil"/>
              <w:left w:val="nil"/>
              <w:bottom w:val="single" w:sz="4" w:space="0" w:color="auto"/>
              <w:right w:val="nil"/>
            </w:tcBorders>
            <w:shd w:val="clear" w:color="auto" w:fill="auto"/>
            <w:noWrap/>
            <w:vAlign w:val="bottom"/>
            <w:hideMark/>
          </w:tcPr>
          <w:p w14:paraId="6EDD0123" w14:textId="10497B8D"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0A2A01"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4,480 </w:t>
            </w:r>
          </w:p>
        </w:tc>
        <w:tc>
          <w:tcPr>
            <w:tcW w:w="810" w:type="pct"/>
            <w:tcBorders>
              <w:top w:val="nil"/>
              <w:left w:val="single" w:sz="4" w:space="0" w:color="auto"/>
              <w:bottom w:val="single" w:sz="4" w:space="0" w:color="auto"/>
              <w:right w:val="single" w:sz="4" w:space="0" w:color="auto"/>
            </w:tcBorders>
            <w:shd w:val="clear" w:color="000000" w:fill="EBF1DE"/>
            <w:noWrap/>
            <w:vAlign w:val="bottom"/>
            <w:hideMark/>
          </w:tcPr>
          <w:p w14:paraId="6EDD0124" w14:textId="12941BD0" w:rsidR="004C7CD4" w:rsidRPr="007114AF" w:rsidRDefault="008D30FC" w:rsidP="004C7CD4">
            <w:pPr>
              <w:spacing w:after="0" w:line="240" w:lineRule="auto"/>
              <w:jc w:val="center"/>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0A2A01"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1,471,226 </w:t>
            </w:r>
          </w:p>
        </w:tc>
      </w:tr>
      <w:tr w:rsidR="004C7CD4" w:rsidRPr="007114AF" w14:paraId="6EDD012C" w14:textId="77777777" w:rsidTr="001C467C">
        <w:trPr>
          <w:trHeight w:val="315"/>
        </w:trPr>
        <w:tc>
          <w:tcPr>
            <w:tcW w:w="813" w:type="pct"/>
            <w:tcBorders>
              <w:top w:val="nil"/>
              <w:left w:val="single" w:sz="4" w:space="0" w:color="auto"/>
              <w:bottom w:val="single" w:sz="4" w:space="0" w:color="auto"/>
              <w:right w:val="single" w:sz="4" w:space="0" w:color="auto"/>
            </w:tcBorders>
            <w:shd w:val="clear" w:color="000000" w:fill="EBF1DE"/>
            <w:noWrap/>
            <w:vAlign w:val="bottom"/>
            <w:hideMark/>
          </w:tcPr>
          <w:p w14:paraId="6EDD0126" w14:textId="77777777" w:rsidR="004C7CD4" w:rsidRPr="007114AF" w:rsidRDefault="004C7CD4"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Ndersektoriale</w:t>
            </w:r>
          </w:p>
        </w:tc>
        <w:tc>
          <w:tcPr>
            <w:tcW w:w="811" w:type="pct"/>
            <w:tcBorders>
              <w:top w:val="nil"/>
              <w:left w:val="nil"/>
              <w:bottom w:val="single" w:sz="4" w:space="0" w:color="auto"/>
              <w:right w:val="single" w:sz="4" w:space="0" w:color="auto"/>
            </w:tcBorders>
            <w:shd w:val="clear" w:color="auto" w:fill="auto"/>
            <w:noWrap/>
            <w:vAlign w:val="bottom"/>
            <w:hideMark/>
          </w:tcPr>
          <w:p w14:paraId="6EDD0127" w14:textId="7CD9582E"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w:t>
            </w:r>
            <w:r w:rsidRPr="007114AF">
              <w:rPr>
                <w:rFonts w:ascii="Garamond" w:eastAsia="Times New Roman" w:hAnsi="Garamond" w:cs="Times New Roman"/>
                <w:color w:val="000000"/>
                <w:lang w:eastAsia="en-US"/>
              </w:rPr>
              <w:t xml:space="preserve"> </w:t>
            </w:r>
          </w:p>
        </w:tc>
        <w:tc>
          <w:tcPr>
            <w:tcW w:w="1173" w:type="pct"/>
            <w:tcBorders>
              <w:top w:val="nil"/>
              <w:left w:val="nil"/>
              <w:bottom w:val="single" w:sz="4" w:space="0" w:color="auto"/>
              <w:right w:val="single" w:sz="4" w:space="0" w:color="auto"/>
            </w:tcBorders>
            <w:shd w:val="clear" w:color="auto" w:fill="auto"/>
            <w:noWrap/>
            <w:vAlign w:val="bottom"/>
            <w:hideMark/>
          </w:tcPr>
          <w:p w14:paraId="6EDD0128" w14:textId="1D7D6F33"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w:t>
            </w:r>
            <w:r w:rsidRPr="007114AF">
              <w:rPr>
                <w:rFonts w:ascii="Garamond" w:eastAsia="Times New Roman" w:hAnsi="Garamond" w:cs="Times New Roman"/>
                <w:color w:val="000000"/>
                <w:lang w:eastAsia="en-US"/>
              </w:rPr>
              <w:t xml:space="preserve"> </w:t>
            </w:r>
          </w:p>
        </w:tc>
        <w:tc>
          <w:tcPr>
            <w:tcW w:w="676" w:type="pct"/>
            <w:tcBorders>
              <w:top w:val="nil"/>
              <w:left w:val="nil"/>
              <w:bottom w:val="single" w:sz="4" w:space="0" w:color="auto"/>
              <w:right w:val="single" w:sz="4" w:space="0" w:color="auto"/>
            </w:tcBorders>
            <w:shd w:val="clear" w:color="auto" w:fill="auto"/>
            <w:noWrap/>
            <w:vAlign w:val="bottom"/>
            <w:hideMark/>
          </w:tcPr>
          <w:p w14:paraId="6EDD0129" w14:textId="266B7743"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15,000 </w:t>
            </w:r>
          </w:p>
        </w:tc>
        <w:tc>
          <w:tcPr>
            <w:tcW w:w="717" w:type="pct"/>
            <w:tcBorders>
              <w:top w:val="nil"/>
              <w:left w:val="nil"/>
              <w:bottom w:val="single" w:sz="4" w:space="0" w:color="auto"/>
              <w:right w:val="nil"/>
            </w:tcBorders>
            <w:shd w:val="clear" w:color="auto" w:fill="auto"/>
            <w:noWrap/>
            <w:vAlign w:val="bottom"/>
            <w:hideMark/>
          </w:tcPr>
          <w:p w14:paraId="6EDD012A" w14:textId="323BEFA0" w:rsidR="004C7CD4" w:rsidRPr="007114AF" w:rsidRDefault="008D30FC" w:rsidP="004C7CD4">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15,000 </w:t>
            </w:r>
          </w:p>
        </w:tc>
        <w:tc>
          <w:tcPr>
            <w:tcW w:w="810" w:type="pct"/>
            <w:tcBorders>
              <w:top w:val="nil"/>
              <w:left w:val="single" w:sz="4" w:space="0" w:color="auto"/>
              <w:bottom w:val="single" w:sz="4" w:space="0" w:color="auto"/>
              <w:right w:val="single" w:sz="4" w:space="0" w:color="auto"/>
            </w:tcBorders>
            <w:shd w:val="clear" w:color="000000" w:fill="EBF1DE"/>
            <w:noWrap/>
            <w:vAlign w:val="bottom"/>
            <w:hideMark/>
          </w:tcPr>
          <w:p w14:paraId="6EDD012B" w14:textId="49D1D7FD" w:rsidR="004C7CD4" w:rsidRPr="007114AF" w:rsidRDefault="008D30FC" w:rsidP="004C7CD4">
            <w:pPr>
              <w:spacing w:after="0" w:line="240" w:lineRule="auto"/>
              <w:jc w:val="center"/>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    </w:t>
            </w:r>
            <w:r w:rsidR="004C7CD4" w:rsidRPr="007114AF">
              <w:rPr>
                <w:rFonts w:ascii="Garamond" w:eastAsia="Times New Roman" w:hAnsi="Garamond" w:cs="Times New Roman"/>
                <w:color w:val="000000"/>
                <w:lang w:eastAsia="en-US"/>
              </w:rPr>
              <w:t xml:space="preserve">15,000 </w:t>
            </w:r>
          </w:p>
        </w:tc>
      </w:tr>
      <w:tr w:rsidR="004C7CD4" w:rsidRPr="007114AF" w14:paraId="6EDD0133" w14:textId="77777777" w:rsidTr="001C467C">
        <w:trPr>
          <w:trHeight w:val="315"/>
        </w:trPr>
        <w:tc>
          <w:tcPr>
            <w:tcW w:w="813" w:type="pct"/>
            <w:tcBorders>
              <w:top w:val="single" w:sz="8" w:space="0" w:color="auto"/>
              <w:left w:val="single" w:sz="8" w:space="0" w:color="auto"/>
              <w:bottom w:val="single" w:sz="8" w:space="0" w:color="auto"/>
              <w:right w:val="single" w:sz="4" w:space="0" w:color="auto"/>
            </w:tcBorders>
            <w:shd w:val="clear" w:color="000000" w:fill="EBF1DE"/>
            <w:noWrap/>
            <w:vAlign w:val="bottom"/>
            <w:hideMark/>
          </w:tcPr>
          <w:p w14:paraId="6EDD012D" w14:textId="77777777" w:rsidR="004C7CD4" w:rsidRPr="007114AF" w:rsidRDefault="004C7CD4" w:rsidP="004C7CD4">
            <w:pPr>
              <w:spacing w:after="0" w:line="240" w:lineRule="auto"/>
              <w:jc w:val="left"/>
              <w:rPr>
                <w:rFonts w:ascii="Garamond" w:eastAsia="Times New Roman" w:hAnsi="Garamond" w:cs="Times New Roman"/>
                <w:lang w:eastAsia="en-US"/>
              </w:rPr>
            </w:pPr>
            <w:r w:rsidRPr="007114AF">
              <w:rPr>
                <w:rFonts w:ascii="Garamond" w:eastAsia="Times New Roman" w:hAnsi="Garamond" w:cs="Times New Roman"/>
                <w:lang w:eastAsia="en-US"/>
              </w:rPr>
              <w:t>Total</w:t>
            </w:r>
          </w:p>
        </w:tc>
        <w:tc>
          <w:tcPr>
            <w:tcW w:w="811" w:type="pct"/>
            <w:tcBorders>
              <w:top w:val="nil"/>
              <w:left w:val="nil"/>
              <w:bottom w:val="single" w:sz="8" w:space="0" w:color="auto"/>
              <w:right w:val="single" w:sz="4" w:space="0" w:color="auto"/>
            </w:tcBorders>
            <w:shd w:val="clear" w:color="000000" w:fill="EBF1DE"/>
            <w:noWrap/>
            <w:vAlign w:val="bottom"/>
            <w:hideMark/>
          </w:tcPr>
          <w:p w14:paraId="6EDD012E" w14:textId="04533991" w:rsidR="004C7CD4" w:rsidRPr="007114AF" w:rsidRDefault="008D30FC" w:rsidP="004C7CD4">
            <w:pPr>
              <w:spacing w:after="0" w:line="240" w:lineRule="auto"/>
              <w:jc w:val="center"/>
              <w:rPr>
                <w:rFonts w:ascii="Garamond" w:eastAsia="Times New Roman" w:hAnsi="Garamond" w:cs="Times New Roman"/>
                <w:b/>
                <w:bCs/>
                <w:color w:val="C0504D"/>
                <w:lang w:eastAsia="en-US"/>
              </w:rPr>
            </w:pPr>
            <w:r w:rsidRPr="007114AF">
              <w:rPr>
                <w:rFonts w:ascii="Garamond" w:eastAsia="Times New Roman" w:hAnsi="Garamond" w:cs="Times New Roman"/>
                <w:b/>
                <w:bCs/>
                <w:color w:val="C0504D"/>
                <w:lang w:eastAsia="en-US"/>
              </w:rPr>
              <w:t xml:space="preserve">     </w:t>
            </w:r>
            <w:r w:rsidR="000A2A01" w:rsidRPr="007114AF">
              <w:rPr>
                <w:rFonts w:ascii="Garamond" w:eastAsia="Times New Roman" w:hAnsi="Garamond" w:cs="Times New Roman"/>
                <w:b/>
                <w:bCs/>
                <w:color w:val="C0504D"/>
                <w:lang w:eastAsia="en-US"/>
              </w:rPr>
              <w:t xml:space="preserve"> </w:t>
            </w:r>
            <w:r w:rsidR="004C7CD4" w:rsidRPr="007114AF">
              <w:rPr>
                <w:rFonts w:ascii="Garamond" w:eastAsia="Times New Roman" w:hAnsi="Garamond" w:cs="Times New Roman"/>
                <w:b/>
                <w:bCs/>
                <w:color w:val="C0504D"/>
                <w:lang w:eastAsia="en-US"/>
              </w:rPr>
              <w:t xml:space="preserve">72,911,535 </w:t>
            </w:r>
          </w:p>
        </w:tc>
        <w:tc>
          <w:tcPr>
            <w:tcW w:w="1173" w:type="pct"/>
            <w:tcBorders>
              <w:top w:val="nil"/>
              <w:left w:val="nil"/>
              <w:bottom w:val="single" w:sz="8" w:space="0" w:color="auto"/>
              <w:right w:val="single" w:sz="4" w:space="0" w:color="auto"/>
            </w:tcBorders>
            <w:shd w:val="clear" w:color="000000" w:fill="EBF1DE"/>
            <w:noWrap/>
            <w:vAlign w:val="bottom"/>
            <w:hideMark/>
          </w:tcPr>
          <w:p w14:paraId="6EDD012F" w14:textId="04655424" w:rsidR="004C7CD4" w:rsidRPr="007114AF" w:rsidRDefault="008D30FC" w:rsidP="004C7CD4">
            <w:pPr>
              <w:spacing w:after="0" w:line="240" w:lineRule="auto"/>
              <w:jc w:val="center"/>
              <w:rPr>
                <w:rFonts w:ascii="Garamond" w:eastAsia="Times New Roman" w:hAnsi="Garamond" w:cs="Times New Roman"/>
                <w:b/>
                <w:bCs/>
                <w:color w:val="C0504D"/>
                <w:lang w:eastAsia="en-US"/>
              </w:rPr>
            </w:pPr>
            <w:r w:rsidRPr="007114AF">
              <w:rPr>
                <w:rFonts w:ascii="Garamond" w:eastAsia="Times New Roman" w:hAnsi="Garamond" w:cs="Times New Roman"/>
                <w:b/>
                <w:bCs/>
                <w:color w:val="C0504D"/>
                <w:lang w:eastAsia="en-US"/>
              </w:rPr>
              <w:t xml:space="preserve">         </w:t>
            </w:r>
            <w:r w:rsidR="004C7CD4" w:rsidRPr="007114AF">
              <w:rPr>
                <w:rFonts w:ascii="Garamond" w:eastAsia="Times New Roman" w:hAnsi="Garamond" w:cs="Times New Roman"/>
                <w:b/>
                <w:bCs/>
                <w:color w:val="C0504D"/>
                <w:lang w:eastAsia="en-US"/>
              </w:rPr>
              <w:t xml:space="preserve"> 262,320 </w:t>
            </w:r>
          </w:p>
        </w:tc>
        <w:tc>
          <w:tcPr>
            <w:tcW w:w="676" w:type="pct"/>
            <w:tcBorders>
              <w:top w:val="nil"/>
              <w:left w:val="nil"/>
              <w:bottom w:val="single" w:sz="8" w:space="0" w:color="auto"/>
              <w:right w:val="single" w:sz="4" w:space="0" w:color="auto"/>
            </w:tcBorders>
            <w:shd w:val="clear" w:color="000000" w:fill="EBF1DE"/>
            <w:noWrap/>
            <w:vAlign w:val="bottom"/>
            <w:hideMark/>
          </w:tcPr>
          <w:p w14:paraId="6EDD0130" w14:textId="264380D8" w:rsidR="004C7CD4" w:rsidRPr="007114AF" w:rsidRDefault="008D30FC" w:rsidP="004C7CD4">
            <w:pPr>
              <w:spacing w:after="0" w:line="240" w:lineRule="auto"/>
              <w:jc w:val="center"/>
              <w:rPr>
                <w:rFonts w:ascii="Garamond" w:eastAsia="Times New Roman" w:hAnsi="Garamond" w:cs="Times New Roman"/>
                <w:b/>
                <w:bCs/>
                <w:color w:val="C0504D"/>
                <w:lang w:eastAsia="en-US"/>
              </w:rPr>
            </w:pPr>
            <w:r w:rsidRPr="007114AF">
              <w:rPr>
                <w:rFonts w:ascii="Garamond" w:eastAsia="Times New Roman" w:hAnsi="Garamond" w:cs="Times New Roman"/>
                <w:b/>
                <w:bCs/>
                <w:color w:val="C0504D"/>
                <w:lang w:eastAsia="en-US"/>
              </w:rPr>
              <w:t xml:space="preserve">  </w:t>
            </w:r>
            <w:r w:rsidR="004C7CD4" w:rsidRPr="007114AF">
              <w:rPr>
                <w:rFonts w:ascii="Garamond" w:eastAsia="Times New Roman" w:hAnsi="Garamond" w:cs="Times New Roman"/>
                <w:b/>
                <w:bCs/>
                <w:color w:val="C0504D"/>
                <w:lang w:eastAsia="en-US"/>
              </w:rPr>
              <w:t xml:space="preserve">14,442,322 </w:t>
            </w:r>
          </w:p>
        </w:tc>
        <w:tc>
          <w:tcPr>
            <w:tcW w:w="717" w:type="pct"/>
            <w:tcBorders>
              <w:top w:val="nil"/>
              <w:left w:val="nil"/>
              <w:bottom w:val="single" w:sz="8" w:space="0" w:color="auto"/>
              <w:right w:val="nil"/>
            </w:tcBorders>
            <w:shd w:val="clear" w:color="000000" w:fill="EBF1DE"/>
            <w:noWrap/>
            <w:vAlign w:val="bottom"/>
            <w:hideMark/>
          </w:tcPr>
          <w:p w14:paraId="6EDD0131" w14:textId="2E91F0A5" w:rsidR="004C7CD4" w:rsidRPr="007114AF" w:rsidRDefault="008D30FC" w:rsidP="004C7CD4">
            <w:pPr>
              <w:spacing w:after="0" w:line="240" w:lineRule="auto"/>
              <w:jc w:val="center"/>
              <w:rPr>
                <w:rFonts w:ascii="Garamond" w:eastAsia="Times New Roman" w:hAnsi="Garamond" w:cs="Times New Roman"/>
                <w:b/>
                <w:bCs/>
                <w:color w:val="C0504D"/>
                <w:lang w:eastAsia="en-US"/>
              </w:rPr>
            </w:pPr>
            <w:r w:rsidRPr="007114AF">
              <w:rPr>
                <w:rFonts w:ascii="Garamond" w:eastAsia="Times New Roman" w:hAnsi="Garamond" w:cs="Times New Roman"/>
                <w:b/>
                <w:bCs/>
                <w:color w:val="C0504D"/>
                <w:lang w:eastAsia="en-US"/>
              </w:rPr>
              <w:t xml:space="preserve">       </w:t>
            </w:r>
            <w:r w:rsidR="004C7CD4" w:rsidRPr="007114AF">
              <w:rPr>
                <w:rFonts w:ascii="Garamond" w:eastAsia="Times New Roman" w:hAnsi="Garamond" w:cs="Times New Roman"/>
                <w:b/>
                <w:bCs/>
                <w:color w:val="C0504D"/>
                <w:lang w:eastAsia="en-US"/>
              </w:rPr>
              <w:t xml:space="preserve">12,196,464 </w:t>
            </w:r>
          </w:p>
        </w:tc>
        <w:tc>
          <w:tcPr>
            <w:tcW w:w="810" w:type="pct"/>
            <w:tcBorders>
              <w:top w:val="nil"/>
              <w:left w:val="single" w:sz="4" w:space="0" w:color="auto"/>
              <w:bottom w:val="single" w:sz="4" w:space="0" w:color="auto"/>
              <w:right w:val="single" w:sz="4" w:space="0" w:color="auto"/>
            </w:tcBorders>
            <w:shd w:val="clear" w:color="000000" w:fill="EBF1DE"/>
            <w:noWrap/>
            <w:vAlign w:val="bottom"/>
            <w:hideMark/>
          </w:tcPr>
          <w:p w14:paraId="6EDD0132" w14:textId="67EC72F2" w:rsidR="004C7CD4" w:rsidRPr="007114AF" w:rsidRDefault="008D30FC" w:rsidP="004C7CD4">
            <w:pPr>
              <w:spacing w:after="0" w:line="240" w:lineRule="auto"/>
              <w:jc w:val="center"/>
              <w:rPr>
                <w:rFonts w:ascii="Garamond" w:eastAsia="Times New Roman" w:hAnsi="Garamond" w:cs="Times New Roman"/>
                <w:b/>
                <w:bCs/>
                <w:color w:val="FF0000"/>
                <w:lang w:eastAsia="en-US"/>
              </w:rPr>
            </w:pPr>
            <w:r w:rsidRPr="007114AF">
              <w:rPr>
                <w:rFonts w:ascii="Garamond" w:eastAsia="Times New Roman" w:hAnsi="Garamond" w:cs="Times New Roman"/>
                <w:b/>
                <w:bCs/>
                <w:color w:val="FF0000"/>
                <w:lang w:eastAsia="en-US"/>
              </w:rPr>
              <w:t xml:space="preserve">  </w:t>
            </w:r>
            <w:r w:rsidR="004C7CD4" w:rsidRPr="007114AF">
              <w:rPr>
                <w:rFonts w:ascii="Garamond" w:eastAsia="Times New Roman" w:hAnsi="Garamond" w:cs="Times New Roman"/>
                <w:b/>
                <w:bCs/>
                <w:color w:val="FF0000"/>
                <w:lang w:eastAsia="en-US"/>
              </w:rPr>
              <w:t xml:space="preserve">87,616,177 </w:t>
            </w:r>
          </w:p>
        </w:tc>
      </w:tr>
    </w:tbl>
    <w:p w14:paraId="6EDD0134" w14:textId="77777777" w:rsidR="004C7CD4" w:rsidRPr="007114AF" w:rsidRDefault="004C7CD4" w:rsidP="00524E98">
      <w:pPr>
        <w:pStyle w:val="TEKSTI"/>
      </w:pPr>
    </w:p>
    <w:p w14:paraId="6EDD0135" w14:textId="77777777" w:rsidR="004C7CD4" w:rsidRPr="007114AF" w:rsidRDefault="005B0E74" w:rsidP="00A45C8C">
      <w:pPr>
        <w:pStyle w:val="TEKSTI"/>
        <w:jc w:val="center"/>
      </w:pPr>
      <w:r w:rsidRPr="007114AF">
        <w:rPr>
          <w:noProof/>
          <w:lang w:val="en-US" w:eastAsia="en-US"/>
        </w:rPr>
        <w:drawing>
          <wp:inline distT="0" distB="0" distL="0" distR="0" wp14:anchorId="6EDD17BE" wp14:editId="6EDD17BF">
            <wp:extent cx="5335326" cy="2075290"/>
            <wp:effectExtent l="0" t="0" r="17780" b="2032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EDD0136" w14:textId="77777777" w:rsidR="00A45C8C" w:rsidRPr="007114AF" w:rsidRDefault="00A45C8C" w:rsidP="00524E98">
      <w:pPr>
        <w:pStyle w:val="TEKSTI"/>
      </w:pPr>
    </w:p>
    <w:p w14:paraId="6EDD0137" w14:textId="77777777" w:rsidR="005B0E74" w:rsidRPr="007114AF" w:rsidRDefault="005B0E74" w:rsidP="00A45C8C">
      <w:pPr>
        <w:pStyle w:val="TEKSTI"/>
        <w:jc w:val="center"/>
      </w:pPr>
      <w:r w:rsidRPr="007114AF">
        <w:rPr>
          <w:noProof/>
          <w:lang w:val="en-US" w:eastAsia="en-US"/>
        </w:rPr>
        <w:drawing>
          <wp:inline distT="0" distB="0" distL="0" distR="0" wp14:anchorId="6EDD17C0" wp14:editId="6EDD17C1">
            <wp:extent cx="5334000" cy="2195513"/>
            <wp:effectExtent l="0" t="0" r="0" b="1460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EDD0138" w14:textId="77777777" w:rsidR="005B0E74" w:rsidRPr="007114AF" w:rsidRDefault="005B0E74" w:rsidP="00524E98">
      <w:pPr>
        <w:pStyle w:val="TEKSTI"/>
      </w:pPr>
    </w:p>
    <w:tbl>
      <w:tblPr>
        <w:tblW w:w="5174" w:type="pct"/>
        <w:jc w:val="center"/>
        <w:tblLook w:val="04A0" w:firstRow="1" w:lastRow="0" w:firstColumn="1" w:lastColumn="0" w:noHBand="0" w:noVBand="1"/>
      </w:tblPr>
      <w:tblGrid>
        <w:gridCol w:w="1374"/>
        <w:gridCol w:w="2168"/>
        <w:gridCol w:w="2583"/>
        <w:gridCol w:w="1440"/>
        <w:gridCol w:w="2045"/>
      </w:tblGrid>
      <w:tr w:rsidR="005B0E74" w:rsidRPr="007114AF" w14:paraId="6EDD013D" w14:textId="77777777" w:rsidTr="00A45C8C">
        <w:trPr>
          <w:trHeight w:val="315"/>
          <w:jc w:val="center"/>
        </w:trPr>
        <w:tc>
          <w:tcPr>
            <w:tcW w:w="1843" w:type="pct"/>
            <w:gridSpan w:val="2"/>
            <w:tcBorders>
              <w:top w:val="nil"/>
              <w:left w:val="nil"/>
              <w:bottom w:val="nil"/>
              <w:right w:val="nil"/>
            </w:tcBorders>
            <w:shd w:val="clear" w:color="000000" w:fill="EBF1DE"/>
            <w:noWrap/>
            <w:vAlign w:val="bottom"/>
            <w:hideMark/>
          </w:tcPr>
          <w:p w14:paraId="6EDD0139" w14:textId="77777777" w:rsidR="005B0E74" w:rsidRPr="007114AF" w:rsidRDefault="005B0E74" w:rsidP="001C467C">
            <w:pPr>
              <w:spacing w:after="0" w:line="240" w:lineRule="auto"/>
              <w:jc w:val="left"/>
              <w:rPr>
                <w:rFonts w:ascii="Garamond" w:eastAsia="Times New Roman" w:hAnsi="Garamond" w:cs="Times New Roman"/>
                <w:b/>
                <w:bCs/>
                <w:color w:val="366092"/>
                <w:sz w:val="18"/>
                <w:szCs w:val="18"/>
                <w:lang w:eastAsia="en-US"/>
              </w:rPr>
            </w:pPr>
            <w:r w:rsidRPr="007114AF">
              <w:rPr>
                <w:rFonts w:ascii="Garamond" w:eastAsia="Times New Roman" w:hAnsi="Garamond" w:cs="Times New Roman"/>
                <w:b/>
                <w:bCs/>
                <w:color w:val="366092"/>
                <w:sz w:val="18"/>
                <w:szCs w:val="18"/>
                <w:lang w:eastAsia="en-US"/>
              </w:rPr>
              <w:t>Shpërndarja e fondeve sipas viteve</w:t>
            </w:r>
          </w:p>
        </w:tc>
        <w:tc>
          <w:tcPr>
            <w:tcW w:w="1344" w:type="pct"/>
            <w:tcBorders>
              <w:top w:val="nil"/>
              <w:left w:val="nil"/>
              <w:bottom w:val="nil"/>
              <w:right w:val="nil"/>
            </w:tcBorders>
            <w:shd w:val="clear" w:color="000000" w:fill="EBF1DE"/>
            <w:noWrap/>
            <w:vAlign w:val="bottom"/>
            <w:hideMark/>
          </w:tcPr>
          <w:p w14:paraId="6EDD013A" w14:textId="77777777" w:rsidR="005B0E74" w:rsidRPr="007114AF" w:rsidRDefault="005B0E7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w:t>
            </w:r>
          </w:p>
        </w:tc>
        <w:tc>
          <w:tcPr>
            <w:tcW w:w="749" w:type="pct"/>
            <w:tcBorders>
              <w:top w:val="nil"/>
              <w:left w:val="nil"/>
              <w:bottom w:val="nil"/>
              <w:right w:val="nil"/>
            </w:tcBorders>
            <w:shd w:val="clear" w:color="000000" w:fill="EBF1DE"/>
            <w:noWrap/>
            <w:vAlign w:val="bottom"/>
            <w:hideMark/>
          </w:tcPr>
          <w:p w14:paraId="6EDD013B" w14:textId="77777777" w:rsidR="005B0E74" w:rsidRPr="007114AF" w:rsidRDefault="005B0E7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w:t>
            </w:r>
          </w:p>
        </w:tc>
        <w:tc>
          <w:tcPr>
            <w:tcW w:w="1064" w:type="pct"/>
            <w:tcBorders>
              <w:top w:val="nil"/>
              <w:left w:val="nil"/>
              <w:bottom w:val="nil"/>
              <w:right w:val="nil"/>
            </w:tcBorders>
            <w:shd w:val="clear" w:color="000000" w:fill="EBF1DE"/>
            <w:noWrap/>
            <w:vAlign w:val="bottom"/>
            <w:hideMark/>
          </w:tcPr>
          <w:p w14:paraId="6EDD013C" w14:textId="77777777" w:rsidR="005B0E74" w:rsidRPr="007114AF" w:rsidRDefault="005B0E7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w:t>
            </w:r>
          </w:p>
        </w:tc>
      </w:tr>
      <w:tr w:rsidR="005B0E74" w:rsidRPr="007114AF" w14:paraId="6EDD0143" w14:textId="77777777" w:rsidTr="00A45C8C">
        <w:trPr>
          <w:trHeight w:val="300"/>
          <w:jc w:val="center"/>
        </w:trPr>
        <w:tc>
          <w:tcPr>
            <w:tcW w:w="715" w:type="pct"/>
            <w:tcBorders>
              <w:top w:val="single" w:sz="4" w:space="0" w:color="auto"/>
              <w:left w:val="single" w:sz="4" w:space="0" w:color="auto"/>
              <w:bottom w:val="single" w:sz="4" w:space="0" w:color="auto"/>
              <w:right w:val="single" w:sz="4" w:space="0" w:color="auto"/>
            </w:tcBorders>
            <w:shd w:val="clear" w:color="000000" w:fill="EBF1DE"/>
            <w:hideMark/>
          </w:tcPr>
          <w:p w14:paraId="6EDD013E" w14:textId="77777777" w:rsidR="005B0E74" w:rsidRPr="007114AF" w:rsidRDefault="005B0E74"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 </w:t>
            </w:r>
          </w:p>
        </w:tc>
        <w:tc>
          <w:tcPr>
            <w:tcW w:w="1128" w:type="pct"/>
            <w:tcBorders>
              <w:top w:val="single" w:sz="4" w:space="0" w:color="auto"/>
              <w:left w:val="nil"/>
              <w:bottom w:val="single" w:sz="4" w:space="0" w:color="auto"/>
              <w:right w:val="single" w:sz="4" w:space="0" w:color="auto"/>
            </w:tcBorders>
            <w:shd w:val="clear" w:color="000000" w:fill="EBF1DE"/>
            <w:hideMark/>
          </w:tcPr>
          <w:p w14:paraId="6EDD013F" w14:textId="77777777" w:rsidR="005B0E74" w:rsidRPr="007114AF" w:rsidRDefault="005B0E74"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2019</w:t>
            </w:r>
          </w:p>
        </w:tc>
        <w:tc>
          <w:tcPr>
            <w:tcW w:w="1344" w:type="pct"/>
            <w:tcBorders>
              <w:top w:val="single" w:sz="4" w:space="0" w:color="auto"/>
              <w:left w:val="nil"/>
              <w:bottom w:val="single" w:sz="4" w:space="0" w:color="auto"/>
              <w:right w:val="single" w:sz="4" w:space="0" w:color="auto"/>
            </w:tcBorders>
            <w:shd w:val="clear" w:color="000000" w:fill="EBF1DE"/>
            <w:hideMark/>
          </w:tcPr>
          <w:p w14:paraId="6EDD0140" w14:textId="77777777" w:rsidR="005B0E74" w:rsidRPr="007114AF" w:rsidRDefault="005B0E74"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2020</w:t>
            </w:r>
          </w:p>
        </w:tc>
        <w:tc>
          <w:tcPr>
            <w:tcW w:w="749" w:type="pct"/>
            <w:tcBorders>
              <w:top w:val="single" w:sz="4" w:space="0" w:color="auto"/>
              <w:left w:val="nil"/>
              <w:bottom w:val="single" w:sz="4" w:space="0" w:color="auto"/>
              <w:right w:val="single" w:sz="4" w:space="0" w:color="auto"/>
            </w:tcBorders>
            <w:shd w:val="clear" w:color="000000" w:fill="EBF1DE"/>
            <w:hideMark/>
          </w:tcPr>
          <w:p w14:paraId="6EDD0141" w14:textId="77777777" w:rsidR="005B0E74" w:rsidRPr="007114AF" w:rsidRDefault="005B0E74"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2021</w:t>
            </w:r>
          </w:p>
        </w:tc>
        <w:tc>
          <w:tcPr>
            <w:tcW w:w="1064" w:type="pct"/>
            <w:tcBorders>
              <w:top w:val="single" w:sz="4" w:space="0" w:color="auto"/>
              <w:left w:val="nil"/>
              <w:bottom w:val="single" w:sz="4" w:space="0" w:color="auto"/>
              <w:right w:val="single" w:sz="4" w:space="0" w:color="auto"/>
            </w:tcBorders>
            <w:shd w:val="clear" w:color="000000" w:fill="EBF1DE"/>
            <w:hideMark/>
          </w:tcPr>
          <w:p w14:paraId="6EDD0142" w14:textId="77777777" w:rsidR="005B0E74" w:rsidRPr="007114AF" w:rsidRDefault="005B0E74"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Total</w:t>
            </w:r>
          </w:p>
        </w:tc>
      </w:tr>
      <w:tr w:rsidR="005B0E74" w:rsidRPr="007114AF" w14:paraId="6EDD0149" w14:textId="77777777" w:rsidTr="00A45C8C">
        <w:trPr>
          <w:trHeight w:val="300"/>
          <w:jc w:val="center"/>
        </w:trPr>
        <w:tc>
          <w:tcPr>
            <w:tcW w:w="715" w:type="pct"/>
            <w:tcBorders>
              <w:top w:val="nil"/>
              <w:left w:val="single" w:sz="4" w:space="0" w:color="auto"/>
              <w:bottom w:val="single" w:sz="4" w:space="0" w:color="auto"/>
              <w:right w:val="single" w:sz="4" w:space="0" w:color="auto"/>
            </w:tcBorders>
            <w:shd w:val="clear" w:color="000000" w:fill="EBF1DE"/>
            <w:noWrap/>
            <w:vAlign w:val="bottom"/>
            <w:hideMark/>
          </w:tcPr>
          <w:p w14:paraId="6EDD0144" w14:textId="77777777" w:rsidR="005B0E74" w:rsidRPr="007114AF" w:rsidRDefault="005B0E7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Energjia</w:t>
            </w:r>
          </w:p>
        </w:tc>
        <w:tc>
          <w:tcPr>
            <w:tcW w:w="1128" w:type="pct"/>
            <w:tcBorders>
              <w:top w:val="nil"/>
              <w:left w:val="nil"/>
              <w:bottom w:val="nil"/>
              <w:right w:val="nil"/>
            </w:tcBorders>
            <w:shd w:val="clear" w:color="auto" w:fill="auto"/>
            <w:noWrap/>
            <w:vAlign w:val="bottom"/>
            <w:hideMark/>
          </w:tcPr>
          <w:p w14:paraId="6EDD0145" w14:textId="74C04F4A"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405,200 </w:t>
            </w:r>
          </w:p>
        </w:tc>
        <w:tc>
          <w:tcPr>
            <w:tcW w:w="1344" w:type="pct"/>
            <w:tcBorders>
              <w:top w:val="nil"/>
              <w:left w:val="nil"/>
              <w:bottom w:val="nil"/>
              <w:right w:val="nil"/>
            </w:tcBorders>
            <w:shd w:val="clear" w:color="auto" w:fill="auto"/>
            <w:noWrap/>
            <w:vAlign w:val="bottom"/>
            <w:hideMark/>
          </w:tcPr>
          <w:p w14:paraId="6EDD0146" w14:textId="7BEA669C"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 2,578,362 </w:t>
            </w:r>
          </w:p>
        </w:tc>
        <w:tc>
          <w:tcPr>
            <w:tcW w:w="749" w:type="pct"/>
            <w:tcBorders>
              <w:top w:val="nil"/>
              <w:left w:val="nil"/>
              <w:bottom w:val="nil"/>
              <w:right w:val="nil"/>
            </w:tcBorders>
            <w:shd w:val="clear" w:color="auto" w:fill="auto"/>
            <w:noWrap/>
            <w:vAlign w:val="bottom"/>
            <w:hideMark/>
          </w:tcPr>
          <w:p w14:paraId="6EDD0147" w14:textId="65ADF9F7"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7,445,752 </w:t>
            </w:r>
          </w:p>
        </w:tc>
        <w:tc>
          <w:tcPr>
            <w:tcW w:w="1064" w:type="pct"/>
            <w:tcBorders>
              <w:top w:val="nil"/>
              <w:left w:val="single" w:sz="4" w:space="0" w:color="auto"/>
              <w:bottom w:val="single" w:sz="4" w:space="0" w:color="auto"/>
              <w:right w:val="single" w:sz="4" w:space="0" w:color="auto"/>
            </w:tcBorders>
            <w:shd w:val="clear" w:color="000000" w:fill="EBF1DE"/>
            <w:noWrap/>
            <w:vAlign w:val="bottom"/>
            <w:hideMark/>
          </w:tcPr>
          <w:p w14:paraId="6EDD0148" w14:textId="3BB84A46" w:rsidR="005B0E7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10,429,314 </w:t>
            </w:r>
          </w:p>
        </w:tc>
      </w:tr>
      <w:tr w:rsidR="005B0E74" w:rsidRPr="007114AF" w14:paraId="6EDD014F" w14:textId="77777777" w:rsidTr="00A45C8C">
        <w:trPr>
          <w:trHeight w:val="300"/>
          <w:jc w:val="center"/>
        </w:trPr>
        <w:tc>
          <w:tcPr>
            <w:tcW w:w="715" w:type="pct"/>
            <w:tcBorders>
              <w:top w:val="nil"/>
              <w:left w:val="single" w:sz="4" w:space="0" w:color="auto"/>
              <w:bottom w:val="single" w:sz="4" w:space="0" w:color="auto"/>
              <w:right w:val="single" w:sz="4" w:space="0" w:color="auto"/>
            </w:tcBorders>
            <w:shd w:val="clear" w:color="000000" w:fill="EBF1DE"/>
            <w:noWrap/>
            <w:vAlign w:val="bottom"/>
            <w:hideMark/>
          </w:tcPr>
          <w:p w14:paraId="6EDD014A" w14:textId="77777777" w:rsidR="005B0E74" w:rsidRPr="007114AF" w:rsidRDefault="005B0E7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Transporti</w:t>
            </w:r>
          </w:p>
        </w:tc>
        <w:tc>
          <w:tcPr>
            <w:tcW w:w="1128" w:type="pct"/>
            <w:tcBorders>
              <w:top w:val="nil"/>
              <w:left w:val="nil"/>
              <w:bottom w:val="nil"/>
              <w:right w:val="nil"/>
            </w:tcBorders>
            <w:shd w:val="clear" w:color="auto" w:fill="auto"/>
            <w:noWrap/>
            <w:vAlign w:val="bottom"/>
            <w:hideMark/>
          </w:tcPr>
          <w:p w14:paraId="6EDD014B" w14:textId="6DB9B1A7"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 4,490,150 </w:t>
            </w:r>
          </w:p>
        </w:tc>
        <w:tc>
          <w:tcPr>
            <w:tcW w:w="1344" w:type="pct"/>
            <w:tcBorders>
              <w:top w:val="nil"/>
              <w:left w:val="nil"/>
              <w:bottom w:val="nil"/>
              <w:right w:val="nil"/>
            </w:tcBorders>
            <w:shd w:val="clear" w:color="auto" w:fill="auto"/>
            <w:noWrap/>
            <w:vAlign w:val="bottom"/>
            <w:hideMark/>
          </w:tcPr>
          <w:p w14:paraId="6EDD014C" w14:textId="31993246"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16,309,586 </w:t>
            </w:r>
          </w:p>
        </w:tc>
        <w:tc>
          <w:tcPr>
            <w:tcW w:w="749" w:type="pct"/>
            <w:tcBorders>
              <w:top w:val="nil"/>
              <w:left w:val="nil"/>
              <w:bottom w:val="nil"/>
              <w:right w:val="nil"/>
            </w:tcBorders>
            <w:shd w:val="clear" w:color="auto" w:fill="auto"/>
            <w:noWrap/>
            <w:vAlign w:val="bottom"/>
            <w:hideMark/>
          </w:tcPr>
          <w:p w14:paraId="6EDD014D" w14:textId="56F794E5"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15,320,984 </w:t>
            </w:r>
          </w:p>
        </w:tc>
        <w:tc>
          <w:tcPr>
            <w:tcW w:w="1064" w:type="pct"/>
            <w:tcBorders>
              <w:top w:val="nil"/>
              <w:left w:val="single" w:sz="4" w:space="0" w:color="auto"/>
              <w:bottom w:val="single" w:sz="4" w:space="0" w:color="auto"/>
              <w:right w:val="single" w:sz="4" w:space="0" w:color="auto"/>
            </w:tcBorders>
            <w:shd w:val="clear" w:color="000000" w:fill="EBF1DE"/>
            <w:noWrap/>
            <w:vAlign w:val="bottom"/>
            <w:hideMark/>
          </w:tcPr>
          <w:p w14:paraId="6EDD014E" w14:textId="0364E644" w:rsidR="005B0E7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36,120,720 </w:t>
            </w:r>
          </w:p>
        </w:tc>
      </w:tr>
      <w:tr w:rsidR="005B0E74" w:rsidRPr="007114AF" w14:paraId="6EDD0155" w14:textId="77777777" w:rsidTr="00A45C8C">
        <w:trPr>
          <w:trHeight w:val="300"/>
          <w:jc w:val="center"/>
        </w:trPr>
        <w:tc>
          <w:tcPr>
            <w:tcW w:w="715" w:type="pct"/>
            <w:tcBorders>
              <w:top w:val="nil"/>
              <w:left w:val="single" w:sz="4" w:space="0" w:color="auto"/>
              <w:bottom w:val="single" w:sz="4" w:space="0" w:color="auto"/>
              <w:right w:val="single" w:sz="4" w:space="0" w:color="auto"/>
            </w:tcBorders>
            <w:shd w:val="clear" w:color="000000" w:fill="EBF1DE"/>
            <w:noWrap/>
            <w:vAlign w:val="bottom"/>
            <w:hideMark/>
          </w:tcPr>
          <w:p w14:paraId="6EDD0150" w14:textId="77777777" w:rsidR="005B0E74" w:rsidRPr="007114AF" w:rsidRDefault="005B0E7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Bujqesia</w:t>
            </w:r>
          </w:p>
        </w:tc>
        <w:tc>
          <w:tcPr>
            <w:tcW w:w="1128" w:type="pct"/>
            <w:tcBorders>
              <w:top w:val="nil"/>
              <w:left w:val="nil"/>
              <w:bottom w:val="nil"/>
              <w:right w:val="nil"/>
            </w:tcBorders>
            <w:shd w:val="clear" w:color="auto" w:fill="auto"/>
            <w:noWrap/>
            <w:vAlign w:val="bottom"/>
            <w:hideMark/>
          </w:tcPr>
          <w:p w14:paraId="6EDD0151" w14:textId="64617675"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 2,355,607 </w:t>
            </w:r>
          </w:p>
        </w:tc>
        <w:tc>
          <w:tcPr>
            <w:tcW w:w="1344" w:type="pct"/>
            <w:tcBorders>
              <w:top w:val="nil"/>
              <w:left w:val="nil"/>
              <w:bottom w:val="nil"/>
              <w:right w:val="nil"/>
            </w:tcBorders>
            <w:shd w:val="clear" w:color="auto" w:fill="auto"/>
            <w:noWrap/>
            <w:vAlign w:val="bottom"/>
            <w:hideMark/>
          </w:tcPr>
          <w:p w14:paraId="6EDD0152" w14:textId="177EFC37"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 3,065,704 </w:t>
            </w:r>
          </w:p>
        </w:tc>
        <w:tc>
          <w:tcPr>
            <w:tcW w:w="749" w:type="pct"/>
            <w:tcBorders>
              <w:top w:val="nil"/>
              <w:left w:val="nil"/>
              <w:bottom w:val="nil"/>
              <w:right w:val="nil"/>
            </w:tcBorders>
            <w:shd w:val="clear" w:color="auto" w:fill="auto"/>
            <w:noWrap/>
            <w:vAlign w:val="bottom"/>
            <w:hideMark/>
          </w:tcPr>
          <w:p w14:paraId="6EDD0153" w14:textId="442F3A92"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2,591,000 </w:t>
            </w:r>
          </w:p>
        </w:tc>
        <w:tc>
          <w:tcPr>
            <w:tcW w:w="1064" w:type="pct"/>
            <w:tcBorders>
              <w:top w:val="nil"/>
              <w:left w:val="single" w:sz="4" w:space="0" w:color="auto"/>
              <w:bottom w:val="single" w:sz="4" w:space="0" w:color="auto"/>
              <w:right w:val="single" w:sz="4" w:space="0" w:color="auto"/>
            </w:tcBorders>
            <w:shd w:val="clear" w:color="000000" w:fill="EBF1DE"/>
            <w:noWrap/>
            <w:vAlign w:val="bottom"/>
            <w:hideMark/>
          </w:tcPr>
          <w:p w14:paraId="6EDD0154" w14:textId="24D049ED" w:rsidR="005B0E7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8,012,311 </w:t>
            </w:r>
          </w:p>
        </w:tc>
      </w:tr>
      <w:tr w:rsidR="005B0E74" w:rsidRPr="007114AF" w14:paraId="6EDD015B" w14:textId="77777777" w:rsidTr="00A45C8C">
        <w:trPr>
          <w:trHeight w:val="300"/>
          <w:jc w:val="center"/>
        </w:trPr>
        <w:tc>
          <w:tcPr>
            <w:tcW w:w="715" w:type="pct"/>
            <w:tcBorders>
              <w:top w:val="nil"/>
              <w:left w:val="single" w:sz="4" w:space="0" w:color="auto"/>
              <w:bottom w:val="single" w:sz="4" w:space="0" w:color="auto"/>
              <w:right w:val="single" w:sz="4" w:space="0" w:color="auto"/>
            </w:tcBorders>
            <w:shd w:val="clear" w:color="000000" w:fill="EBF1DE"/>
            <w:noWrap/>
            <w:vAlign w:val="bottom"/>
            <w:hideMark/>
          </w:tcPr>
          <w:p w14:paraId="6EDD0156" w14:textId="77777777" w:rsidR="005B0E74" w:rsidRPr="007114AF" w:rsidRDefault="005B0E7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Toka+Pyjet</w:t>
            </w:r>
          </w:p>
        </w:tc>
        <w:tc>
          <w:tcPr>
            <w:tcW w:w="1128" w:type="pct"/>
            <w:tcBorders>
              <w:top w:val="nil"/>
              <w:left w:val="nil"/>
              <w:bottom w:val="nil"/>
              <w:right w:val="nil"/>
            </w:tcBorders>
            <w:shd w:val="clear" w:color="auto" w:fill="auto"/>
            <w:noWrap/>
            <w:vAlign w:val="bottom"/>
            <w:hideMark/>
          </w:tcPr>
          <w:p w14:paraId="6EDD0157" w14:textId="1AFA40D6"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325,386 </w:t>
            </w:r>
          </w:p>
        </w:tc>
        <w:tc>
          <w:tcPr>
            <w:tcW w:w="1344" w:type="pct"/>
            <w:tcBorders>
              <w:top w:val="nil"/>
              <w:left w:val="nil"/>
              <w:bottom w:val="nil"/>
              <w:right w:val="nil"/>
            </w:tcBorders>
            <w:shd w:val="clear" w:color="auto" w:fill="auto"/>
            <w:noWrap/>
            <w:vAlign w:val="bottom"/>
            <w:hideMark/>
          </w:tcPr>
          <w:p w14:paraId="6EDD0158" w14:textId="682164B3"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 403,640 </w:t>
            </w:r>
          </w:p>
        </w:tc>
        <w:tc>
          <w:tcPr>
            <w:tcW w:w="749" w:type="pct"/>
            <w:tcBorders>
              <w:top w:val="nil"/>
              <w:left w:val="nil"/>
              <w:bottom w:val="nil"/>
              <w:right w:val="nil"/>
            </w:tcBorders>
            <w:shd w:val="clear" w:color="auto" w:fill="auto"/>
            <w:noWrap/>
            <w:vAlign w:val="bottom"/>
            <w:hideMark/>
          </w:tcPr>
          <w:p w14:paraId="6EDD0159" w14:textId="05A96690"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 413,600 </w:t>
            </w:r>
          </w:p>
        </w:tc>
        <w:tc>
          <w:tcPr>
            <w:tcW w:w="1064" w:type="pct"/>
            <w:tcBorders>
              <w:top w:val="nil"/>
              <w:left w:val="single" w:sz="4" w:space="0" w:color="auto"/>
              <w:bottom w:val="single" w:sz="4" w:space="0" w:color="auto"/>
              <w:right w:val="single" w:sz="4" w:space="0" w:color="auto"/>
            </w:tcBorders>
            <w:shd w:val="clear" w:color="000000" w:fill="EBF1DE"/>
            <w:noWrap/>
            <w:vAlign w:val="bottom"/>
            <w:hideMark/>
          </w:tcPr>
          <w:p w14:paraId="6EDD015A" w14:textId="62B266EC" w:rsidR="005B0E7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1,142,626 </w:t>
            </w:r>
          </w:p>
        </w:tc>
      </w:tr>
      <w:tr w:rsidR="005B0E74" w:rsidRPr="007114AF" w14:paraId="6EDD0161" w14:textId="77777777" w:rsidTr="00A45C8C">
        <w:trPr>
          <w:trHeight w:val="315"/>
          <w:jc w:val="center"/>
        </w:trPr>
        <w:tc>
          <w:tcPr>
            <w:tcW w:w="715" w:type="pct"/>
            <w:tcBorders>
              <w:top w:val="nil"/>
              <w:left w:val="single" w:sz="4" w:space="0" w:color="auto"/>
              <w:bottom w:val="single" w:sz="4" w:space="0" w:color="auto"/>
              <w:right w:val="single" w:sz="4" w:space="0" w:color="auto"/>
            </w:tcBorders>
            <w:shd w:val="clear" w:color="000000" w:fill="EBF1DE"/>
            <w:noWrap/>
            <w:vAlign w:val="bottom"/>
            <w:hideMark/>
          </w:tcPr>
          <w:p w14:paraId="6EDD015C" w14:textId="77777777" w:rsidR="005B0E74" w:rsidRPr="007114AF" w:rsidRDefault="005B0E7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Ndersektoriale</w:t>
            </w:r>
          </w:p>
        </w:tc>
        <w:tc>
          <w:tcPr>
            <w:tcW w:w="1128" w:type="pct"/>
            <w:tcBorders>
              <w:top w:val="nil"/>
              <w:left w:val="nil"/>
              <w:bottom w:val="nil"/>
              <w:right w:val="nil"/>
            </w:tcBorders>
            <w:shd w:val="clear" w:color="auto" w:fill="auto"/>
            <w:noWrap/>
            <w:vAlign w:val="bottom"/>
            <w:hideMark/>
          </w:tcPr>
          <w:p w14:paraId="6EDD015D" w14:textId="740FF00B"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w:t>
            </w:r>
            <w:r w:rsidRPr="007114AF">
              <w:rPr>
                <w:rFonts w:ascii="Garamond" w:eastAsia="Times New Roman" w:hAnsi="Garamond" w:cs="Times New Roman"/>
                <w:color w:val="000000"/>
                <w:sz w:val="18"/>
                <w:szCs w:val="18"/>
                <w:lang w:eastAsia="en-US"/>
              </w:rPr>
              <w:t xml:space="preserve"> </w:t>
            </w:r>
          </w:p>
        </w:tc>
        <w:tc>
          <w:tcPr>
            <w:tcW w:w="1344" w:type="pct"/>
            <w:tcBorders>
              <w:top w:val="nil"/>
              <w:left w:val="nil"/>
              <w:bottom w:val="nil"/>
              <w:right w:val="nil"/>
            </w:tcBorders>
            <w:shd w:val="clear" w:color="auto" w:fill="auto"/>
            <w:noWrap/>
            <w:vAlign w:val="bottom"/>
            <w:hideMark/>
          </w:tcPr>
          <w:p w14:paraId="6EDD015E" w14:textId="4D83D5B9"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15,000 </w:t>
            </w:r>
          </w:p>
        </w:tc>
        <w:tc>
          <w:tcPr>
            <w:tcW w:w="749" w:type="pct"/>
            <w:tcBorders>
              <w:top w:val="nil"/>
              <w:left w:val="nil"/>
              <w:bottom w:val="nil"/>
              <w:right w:val="nil"/>
            </w:tcBorders>
            <w:shd w:val="clear" w:color="auto" w:fill="auto"/>
            <w:noWrap/>
            <w:vAlign w:val="bottom"/>
            <w:hideMark/>
          </w:tcPr>
          <w:p w14:paraId="6EDD015F" w14:textId="58A544A3" w:rsidR="005B0E7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c>
          <w:tcPr>
            <w:tcW w:w="1064" w:type="pct"/>
            <w:tcBorders>
              <w:top w:val="nil"/>
              <w:left w:val="single" w:sz="4" w:space="0" w:color="auto"/>
              <w:bottom w:val="nil"/>
              <w:right w:val="single" w:sz="4" w:space="0" w:color="auto"/>
            </w:tcBorders>
            <w:shd w:val="clear" w:color="000000" w:fill="EBF1DE"/>
            <w:noWrap/>
            <w:vAlign w:val="bottom"/>
            <w:hideMark/>
          </w:tcPr>
          <w:p w14:paraId="6EDD0160" w14:textId="18396158" w:rsidR="005B0E7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15,000 </w:t>
            </w:r>
          </w:p>
        </w:tc>
      </w:tr>
      <w:tr w:rsidR="005B0E74" w:rsidRPr="007114AF" w14:paraId="6EDD0167" w14:textId="77777777" w:rsidTr="00A45C8C">
        <w:trPr>
          <w:trHeight w:val="315"/>
          <w:jc w:val="center"/>
        </w:trPr>
        <w:tc>
          <w:tcPr>
            <w:tcW w:w="715" w:type="pct"/>
            <w:tcBorders>
              <w:top w:val="nil"/>
              <w:left w:val="single" w:sz="8" w:space="0" w:color="auto"/>
              <w:bottom w:val="single" w:sz="8" w:space="0" w:color="auto"/>
              <w:right w:val="single" w:sz="4" w:space="0" w:color="auto"/>
            </w:tcBorders>
            <w:shd w:val="clear" w:color="000000" w:fill="EBF1DE"/>
            <w:noWrap/>
            <w:vAlign w:val="bottom"/>
            <w:hideMark/>
          </w:tcPr>
          <w:p w14:paraId="6EDD0162" w14:textId="77777777" w:rsidR="005B0E74" w:rsidRPr="007114AF" w:rsidRDefault="005B0E7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Total</w:t>
            </w:r>
          </w:p>
        </w:tc>
        <w:tc>
          <w:tcPr>
            <w:tcW w:w="1128" w:type="pct"/>
            <w:tcBorders>
              <w:top w:val="single" w:sz="8" w:space="0" w:color="auto"/>
              <w:left w:val="nil"/>
              <w:bottom w:val="single" w:sz="8" w:space="0" w:color="auto"/>
              <w:right w:val="single" w:sz="4" w:space="0" w:color="auto"/>
            </w:tcBorders>
            <w:shd w:val="clear" w:color="000000" w:fill="EBF1DE"/>
            <w:noWrap/>
            <w:vAlign w:val="bottom"/>
            <w:hideMark/>
          </w:tcPr>
          <w:p w14:paraId="6EDD0163" w14:textId="06775AE3" w:rsidR="005B0E7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 7,576,343 </w:t>
            </w:r>
          </w:p>
        </w:tc>
        <w:tc>
          <w:tcPr>
            <w:tcW w:w="1344" w:type="pct"/>
            <w:tcBorders>
              <w:top w:val="single" w:sz="8" w:space="0" w:color="auto"/>
              <w:left w:val="nil"/>
              <w:bottom w:val="single" w:sz="8" w:space="0" w:color="auto"/>
              <w:right w:val="single" w:sz="4" w:space="0" w:color="auto"/>
            </w:tcBorders>
            <w:shd w:val="clear" w:color="000000" w:fill="EBF1DE"/>
            <w:noWrap/>
            <w:vAlign w:val="bottom"/>
            <w:hideMark/>
          </w:tcPr>
          <w:p w14:paraId="6EDD0164" w14:textId="6A9F3B9E" w:rsidR="005B0E7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22,357,292 </w:t>
            </w:r>
          </w:p>
        </w:tc>
        <w:tc>
          <w:tcPr>
            <w:tcW w:w="749" w:type="pct"/>
            <w:tcBorders>
              <w:top w:val="single" w:sz="8" w:space="0" w:color="auto"/>
              <w:left w:val="nil"/>
              <w:bottom w:val="single" w:sz="8" w:space="0" w:color="auto"/>
              <w:right w:val="single" w:sz="4" w:space="0" w:color="auto"/>
            </w:tcBorders>
            <w:shd w:val="clear" w:color="000000" w:fill="EBF1DE"/>
            <w:noWrap/>
            <w:vAlign w:val="bottom"/>
            <w:hideMark/>
          </w:tcPr>
          <w:p w14:paraId="6EDD0165" w14:textId="38A3E9F2" w:rsidR="005B0E7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5B0E74" w:rsidRPr="007114AF">
              <w:rPr>
                <w:rFonts w:ascii="Garamond" w:eastAsia="Times New Roman" w:hAnsi="Garamond" w:cs="Times New Roman"/>
                <w:color w:val="000000"/>
                <w:sz w:val="18"/>
                <w:szCs w:val="18"/>
                <w:lang w:eastAsia="en-US"/>
              </w:rPr>
              <w:t xml:space="preserve">25,771,336 </w:t>
            </w:r>
          </w:p>
        </w:tc>
        <w:tc>
          <w:tcPr>
            <w:tcW w:w="1064" w:type="pct"/>
            <w:tcBorders>
              <w:top w:val="single" w:sz="8" w:space="0" w:color="auto"/>
              <w:left w:val="nil"/>
              <w:bottom w:val="single" w:sz="8" w:space="0" w:color="auto"/>
              <w:right w:val="single" w:sz="4" w:space="0" w:color="auto"/>
            </w:tcBorders>
            <w:shd w:val="clear" w:color="000000" w:fill="EBF1DE"/>
            <w:noWrap/>
            <w:vAlign w:val="bottom"/>
            <w:hideMark/>
          </w:tcPr>
          <w:p w14:paraId="6EDD0166" w14:textId="654650B2" w:rsidR="005B0E74" w:rsidRPr="007114AF" w:rsidRDefault="008D30FC" w:rsidP="001C467C">
            <w:pPr>
              <w:spacing w:after="0" w:line="240" w:lineRule="auto"/>
              <w:jc w:val="center"/>
              <w:rPr>
                <w:rFonts w:ascii="Garamond" w:eastAsia="Times New Roman" w:hAnsi="Garamond" w:cs="Times New Roman"/>
                <w:b/>
                <w:bCs/>
                <w:color w:val="FF0000"/>
                <w:sz w:val="18"/>
                <w:szCs w:val="18"/>
                <w:lang w:eastAsia="en-US"/>
              </w:rPr>
            </w:pPr>
            <w:r w:rsidRPr="007114AF">
              <w:rPr>
                <w:rFonts w:ascii="Garamond" w:eastAsia="Times New Roman" w:hAnsi="Garamond" w:cs="Times New Roman"/>
                <w:b/>
                <w:bCs/>
                <w:color w:val="FF0000"/>
                <w:sz w:val="18"/>
                <w:szCs w:val="18"/>
                <w:lang w:eastAsia="en-US"/>
              </w:rPr>
              <w:t xml:space="preserve">       </w:t>
            </w:r>
            <w:r w:rsidR="005B0E74" w:rsidRPr="007114AF">
              <w:rPr>
                <w:rFonts w:ascii="Garamond" w:eastAsia="Times New Roman" w:hAnsi="Garamond" w:cs="Times New Roman"/>
                <w:b/>
                <w:bCs/>
                <w:color w:val="FF0000"/>
                <w:sz w:val="18"/>
                <w:szCs w:val="18"/>
                <w:lang w:eastAsia="en-US"/>
              </w:rPr>
              <w:t xml:space="preserve">55,719,971 </w:t>
            </w:r>
          </w:p>
        </w:tc>
      </w:tr>
    </w:tbl>
    <w:p w14:paraId="6EDD0168" w14:textId="77777777" w:rsidR="005B0E74" w:rsidRPr="007114AF" w:rsidRDefault="005B0E74" w:rsidP="00524E98">
      <w:pPr>
        <w:pStyle w:val="TEKSTI"/>
      </w:pPr>
    </w:p>
    <w:p w14:paraId="6EDD0169" w14:textId="6586C04F" w:rsidR="00114B84" w:rsidRPr="007114AF" w:rsidRDefault="00114B84" w:rsidP="00114B84">
      <w:pPr>
        <w:pStyle w:val="TEKSTI"/>
      </w:pPr>
      <w:r w:rsidRPr="007114AF">
        <w:t>Siç shihet nga tabela pjesa më e madhe e masave janë kostuar për t</w:t>
      </w:r>
      <w:r w:rsidR="00D10DAB" w:rsidRPr="007114AF">
        <w:t>’</w:t>
      </w:r>
      <w:r w:rsidRPr="007114AF">
        <w:t>u realizuar gjatë 3-vjecarit 2019</w:t>
      </w:r>
      <w:r w:rsidR="00A419A4">
        <w:t>–</w:t>
      </w:r>
      <w:r w:rsidRPr="007114AF">
        <w:t>2021 bazuar në buxhetimin e bërë nga ministritë e linjës në dokument</w:t>
      </w:r>
      <w:r w:rsidR="00AA3BEF" w:rsidRPr="007114AF">
        <w:t>e</w:t>
      </w:r>
      <w:r w:rsidRPr="007114AF">
        <w:t>t e PBA 2020</w:t>
      </w:r>
      <w:r w:rsidR="00A419A4">
        <w:t>–</w:t>
      </w:r>
      <w:r w:rsidRPr="007114AF">
        <w:t xml:space="preserve">2022 të përgatitur për fazën e parë të këtij procesi. </w:t>
      </w:r>
    </w:p>
    <w:p w14:paraId="6EDD016A" w14:textId="77777777" w:rsidR="005B0E74" w:rsidRPr="007114AF" w:rsidRDefault="005B0E74" w:rsidP="00524E98">
      <w:pPr>
        <w:pStyle w:val="TEKSTI"/>
      </w:pPr>
    </w:p>
    <w:tbl>
      <w:tblPr>
        <w:tblW w:w="5304" w:type="pct"/>
        <w:jc w:val="center"/>
        <w:tblLook w:val="04A0" w:firstRow="1" w:lastRow="0" w:firstColumn="1" w:lastColumn="0" w:noHBand="0" w:noVBand="1"/>
      </w:tblPr>
      <w:tblGrid>
        <w:gridCol w:w="1406"/>
        <w:gridCol w:w="2162"/>
        <w:gridCol w:w="2532"/>
        <w:gridCol w:w="1486"/>
        <w:gridCol w:w="2266"/>
      </w:tblGrid>
      <w:tr w:rsidR="00114B84" w:rsidRPr="007114AF" w14:paraId="6EDD016F" w14:textId="77777777" w:rsidTr="00A45C8C">
        <w:trPr>
          <w:trHeight w:val="315"/>
          <w:jc w:val="center"/>
        </w:trPr>
        <w:tc>
          <w:tcPr>
            <w:tcW w:w="1810" w:type="pct"/>
            <w:gridSpan w:val="2"/>
            <w:tcBorders>
              <w:top w:val="nil"/>
              <w:left w:val="nil"/>
              <w:bottom w:val="nil"/>
              <w:right w:val="nil"/>
            </w:tcBorders>
            <w:shd w:val="clear" w:color="000000" w:fill="EBF1DE"/>
            <w:noWrap/>
            <w:vAlign w:val="bottom"/>
            <w:hideMark/>
          </w:tcPr>
          <w:p w14:paraId="6EDD016B" w14:textId="77777777" w:rsidR="00114B84" w:rsidRPr="007114AF" w:rsidRDefault="00114B84" w:rsidP="001C467C">
            <w:pPr>
              <w:spacing w:after="0" w:line="240" w:lineRule="auto"/>
              <w:jc w:val="left"/>
              <w:rPr>
                <w:rFonts w:ascii="Garamond" w:eastAsia="Times New Roman" w:hAnsi="Garamond" w:cs="Times New Roman"/>
                <w:b/>
                <w:bCs/>
                <w:color w:val="366092"/>
                <w:sz w:val="18"/>
                <w:szCs w:val="18"/>
                <w:lang w:eastAsia="en-US"/>
              </w:rPr>
            </w:pPr>
            <w:r w:rsidRPr="007114AF">
              <w:rPr>
                <w:rFonts w:ascii="Garamond" w:eastAsia="Times New Roman" w:hAnsi="Garamond" w:cs="Times New Roman"/>
                <w:b/>
                <w:bCs/>
                <w:color w:val="366092"/>
                <w:sz w:val="18"/>
                <w:szCs w:val="18"/>
                <w:lang w:eastAsia="en-US"/>
              </w:rPr>
              <w:t>Shpërndarja e fondeve sipas viteve</w:t>
            </w:r>
          </w:p>
        </w:tc>
        <w:tc>
          <w:tcPr>
            <w:tcW w:w="1285" w:type="pct"/>
            <w:tcBorders>
              <w:top w:val="nil"/>
              <w:left w:val="nil"/>
              <w:bottom w:val="nil"/>
              <w:right w:val="nil"/>
            </w:tcBorders>
            <w:shd w:val="clear" w:color="000000" w:fill="EBF1DE"/>
            <w:noWrap/>
            <w:vAlign w:val="bottom"/>
            <w:hideMark/>
          </w:tcPr>
          <w:p w14:paraId="6EDD016C" w14:textId="77777777" w:rsidR="00114B84" w:rsidRPr="007114AF" w:rsidRDefault="00114B8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w:t>
            </w:r>
          </w:p>
        </w:tc>
        <w:tc>
          <w:tcPr>
            <w:tcW w:w="754" w:type="pct"/>
            <w:tcBorders>
              <w:top w:val="nil"/>
              <w:left w:val="nil"/>
              <w:bottom w:val="nil"/>
              <w:right w:val="nil"/>
            </w:tcBorders>
            <w:shd w:val="clear" w:color="000000" w:fill="EBF1DE"/>
            <w:noWrap/>
            <w:vAlign w:val="bottom"/>
            <w:hideMark/>
          </w:tcPr>
          <w:p w14:paraId="6EDD016D" w14:textId="77777777" w:rsidR="00114B84" w:rsidRPr="007114AF" w:rsidRDefault="00114B8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w:t>
            </w:r>
          </w:p>
        </w:tc>
        <w:tc>
          <w:tcPr>
            <w:tcW w:w="1151" w:type="pct"/>
            <w:tcBorders>
              <w:top w:val="nil"/>
              <w:left w:val="nil"/>
              <w:bottom w:val="nil"/>
              <w:right w:val="nil"/>
            </w:tcBorders>
            <w:shd w:val="clear" w:color="000000" w:fill="EBF1DE"/>
            <w:noWrap/>
            <w:vAlign w:val="bottom"/>
            <w:hideMark/>
          </w:tcPr>
          <w:p w14:paraId="6EDD016E" w14:textId="77777777" w:rsidR="00114B84" w:rsidRPr="007114AF" w:rsidRDefault="00114B8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w:t>
            </w:r>
          </w:p>
        </w:tc>
      </w:tr>
      <w:tr w:rsidR="006E723E" w:rsidRPr="007114AF" w14:paraId="6EDD0175" w14:textId="77777777" w:rsidTr="00A45C8C">
        <w:trPr>
          <w:trHeight w:val="300"/>
          <w:jc w:val="center"/>
        </w:trPr>
        <w:tc>
          <w:tcPr>
            <w:tcW w:w="714" w:type="pct"/>
            <w:tcBorders>
              <w:top w:val="single" w:sz="4" w:space="0" w:color="auto"/>
              <w:left w:val="single" w:sz="4" w:space="0" w:color="auto"/>
              <w:bottom w:val="single" w:sz="4" w:space="0" w:color="auto"/>
              <w:right w:val="single" w:sz="4" w:space="0" w:color="auto"/>
            </w:tcBorders>
            <w:shd w:val="clear" w:color="000000" w:fill="EBF1DE"/>
            <w:hideMark/>
          </w:tcPr>
          <w:p w14:paraId="6EDD0170" w14:textId="77777777" w:rsidR="00114B84" w:rsidRPr="007114AF" w:rsidRDefault="00114B84"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 </w:t>
            </w:r>
          </w:p>
        </w:tc>
        <w:tc>
          <w:tcPr>
            <w:tcW w:w="1097" w:type="pct"/>
            <w:tcBorders>
              <w:top w:val="single" w:sz="4" w:space="0" w:color="auto"/>
              <w:left w:val="nil"/>
              <w:bottom w:val="single" w:sz="4" w:space="0" w:color="auto"/>
              <w:right w:val="single" w:sz="4" w:space="0" w:color="auto"/>
            </w:tcBorders>
            <w:shd w:val="clear" w:color="000000" w:fill="EBF1DE"/>
            <w:hideMark/>
          </w:tcPr>
          <w:p w14:paraId="6EDD0171" w14:textId="77777777" w:rsidR="00114B84" w:rsidRPr="007114AF" w:rsidRDefault="00114B84"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2022</w:t>
            </w:r>
          </w:p>
        </w:tc>
        <w:tc>
          <w:tcPr>
            <w:tcW w:w="1285" w:type="pct"/>
            <w:tcBorders>
              <w:top w:val="single" w:sz="4" w:space="0" w:color="auto"/>
              <w:left w:val="nil"/>
              <w:bottom w:val="single" w:sz="4" w:space="0" w:color="auto"/>
              <w:right w:val="single" w:sz="4" w:space="0" w:color="auto"/>
            </w:tcBorders>
            <w:shd w:val="clear" w:color="000000" w:fill="EBF1DE"/>
            <w:hideMark/>
          </w:tcPr>
          <w:p w14:paraId="6EDD0172" w14:textId="77777777" w:rsidR="00114B84" w:rsidRPr="007114AF" w:rsidRDefault="00114B84"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2023</w:t>
            </w:r>
          </w:p>
        </w:tc>
        <w:tc>
          <w:tcPr>
            <w:tcW w:w="754" w:type="pct"/>
            <w:tcBorders>
              <w:top w:val="single" w:sz="4" w:space="0" w:color="auto"/>
              <w:left w:val="nil"/>
              <w:bottom w:val="single" w:sz="4" w:space="0" w:color="auto"/>
              <w:right w:val="single" w:sz="4" w:space="0" w:color="auto"/>
            </w:tcBorders>
            <w:shd w:val="clear" w:color="000000" w:fill="EBF1DE"/>
            <w:hideMark/>
          </w:tcPr>
          <w:p w14:paraId="6EDD0173" w14:textId="77777777" w:rsidR="00114B84" w:rsidRPr="007114AF" w:rsidRDefault="00114B84"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2024</w:t>
            </w:r>
          </w:p>
        </w:tc>
        <w:tc>
          <w:tcPr>
            <w:tcW w:w="1151" w:type="pct"/>
            <w:tcBorders>
              <w:top w:val="single" w:sz="4" w:space="0" w:color="auto"/>
              <w:left w:val="nil"/>
              <w:bottom w:val="single" w:sz="4" w:space="0" w:color="auto"/>
              <w:right w:val="single" w:sz="4" w:space="0" w:color="auto"/>
            </w:tcBorders>
            <w:shd w:val="clear" w:color="000000" w:fill="EBF1DE"/>
            <w:hideMark/>
          </w:tcPr>
          <w:p w14:paraId="6EDD0174" w14:textId="77777777" w:rsidR="00114B84" w:rsidRPr="007114AF" w:rsidRDefault="00114B84"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Total</w:t>
            </w:r>
          </w:p>
        </w:tc>
      </w:tr>
      <w:tr w:rsidR="006E723E" w:rsidRPr="007114AF" w14:paraId="6EDD017B" w14:textId="77777777" w:rsidTr="00A45C8C">
        <w:trPr>
          <w:trHeight w:val="300"/>
          <w:jc w:val="center"/>
        </w:trPr>
        <w:tc>
          <w:tcPr>
            <w:tcW w:w="714" w:type="pct"/>
            <w:tcBorders>
              <w:top w:val="nil"/>
              <w:left w:val="single" w:sz="4" w:space="0" w:color="auto"/>
              <w:bottom w:val="single" w:sz="4" w:space="0" w:color="auto"/>
              <w:right w:val="single" w:sz="4" w:space="0" w:color="auto"/>
            </w:tcBorders>
            <w:shd w:val="clear" w:color="000000" w:fill="EBF1DE"/>
            <w:noWrap/>
            <w:vAlign w:val="bottom"/>
            <w:hideMark/>
          </w:tcPr>
          <w:p w14:paraId="6EDD0176" w14:textId="77777777" w:rsidR="00114B84" w:rsidRPr="007114AF" w:rsidRDefault="00114B8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Energjia</w:t>
            </w:r>
          </w:p>
        </w:tc>
        <w:tc>
          <w:tcPr>
            <w:tcW w:w="1097" w:type="pct"/>
            <w:tcBorders>
              <w:top w:val="nil"/>
              <w:left w:val="nil"/>
              <w:bottom w:val="nil"/>
              <w:right w:val="nil"/>
            </w:tcBorders>
            <w:shd w:val="clear" w:color="auto" w:fill="auto"/>
            <w:noWrap/>
            <w:vAlign w:val="bottom"/>
            <w:hideMark/>
          </w:tcPr>
          <w:p w14:paraId="6EDD0177" w14:textId="5E2DA95A"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12,452,204 </w:t>
            </w:r>
          </w:p>
        </w:tc>
        <w:tc>
          <w:tcPr>
            <w:tcW w:w="1285" w:type="pct"/>
            <w:tcBorders>
              <w:top w:val="nil"/>
              <w:left w:val="nil"/>
              <w:bottom w:val="nil"/>
              <w:right w:val="nil"/>
            </w:tcBorders>
            <w:shd w:val="clear" w:color="auto" w:fill="auto"/>
            <w:noWrap/>
            <w:vAlign w:val="bottom"/>
            <w:hideMark/>
          </w:tcPr>
          <w:p w14:paraId="6EDD0178" w14:textId="79DDC909"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311,619 </w:t>
            </w:r>
          </w:p>
        </w:tc>
        <w:tc>
          <w:tcPr>
            <w:tcW w:w="754" w:type="pct"/>
            <w:tcBorders>
              <w:top w:val="nil"/>
              <w:left w:val="nil"/>
              <w:bottom w:val="nil"/>
              <w:right w:val="nil"/>
            </w:tcBorders>
            <w:shd w:val="clear" w:color="auto" w:fill="auto"/>
            <w:noWrap/>
            <w:vAlign w:val="bottom"/>
            <w:hideMark/>
          </w:tcPr>
          <w:p w14:paraId="6EDD0179" w14:textId="3EF6CC75"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666,960 </w:t>
            </w:r>
          </w:p>
        </w:tc>
        <w:tc>
          <w:tcPr>
            <w:tcW w:w="1151" w:type="pct"/>
            <w:tcBorders>
              <w:top w:val="nil"/>
              <w:left w:val="single" w:sz="4" w:space="0" w:color="auto"/>
              <w:bottom w:val="single" w:sz="4" w:space="0" w:color="auto"/>
              <w:right w:val="single" w:sz="4" w:space="0" w:color="auto"/>
            </w:tcBorders>
            <w:shd w:val="clear" w:color="000000" w:fill="EBF1DE"/>
            <w:noWrap/>
            <w:vAlign w:val="bottom"/>
            <w:hideMark/>
          </w:tcPr>
          <w:p w14:paraId="6EDD017A" w14:textId="005652E4" w:rsidR="00114B8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13,430,783 </w:t>
            </w:r>
          </w:p>
        </w:tc>
      </w:tr>
      <w:tr w:rsidR="006E723E" w:rsidRPr="007114AF" w14:paraId="6EDD0181" w14:textId="77777777" w:rsidTr="00A45C8C">
        <w:trPr>
          <w:trHeight w:val="300"/>
          <w:jc w:val="center"/>
        </w:trPr>
        <w:tc>
          <w:tcPr>
            <w:tcW w:w="714" w:type="pct"/>
            <w:tcBorders>
              <w:top w:val="nil"/>
              <w:left w:val="single" w:sz="4" w:space="0" w:color="auto"/>
              <w:bottom w:val="single" w:sz="4" w:space="0" w:color="auto"/>
              <w:right w:val="single" w:sz="4" w:space="0" w:color="auto"/>
            </w:tcBorders>
            <w:shd w:val="clear" w:color="000000" w:fill="EBF1DE"/>
            <w:noWrap/>
            <w:vAlign w:val="bottom"/>
            <w:hideMark/>
          </w:tcPr>
          <w:p w14:paraId="6EDD017C" w14:textId="77777777" w:rsidR="00114B84" w:rsidRPr="007114AF" w:rsidRDefault="00114B8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Transporti</w:t>
            </w:r>
          </w:p>
        </w:tc>
        <w:tc>
          <w:tcPr>
            <w:tcW w:w="1097" w:type="pct"/>
            <w:tcBorders>
              <w:top w:val="nil"/>
              <w:left w:val="nil"/>
              <w:bottom w:val="nil"/>
              <w:right w:val="nil"/>
            </w:tcBorders>
            <w:shd w:val="clear" w:color="auto" w:fill="auto"/>
            <w:noWrap/>
            <w:vAlign w:val="bottom"/>
            <w:hideMark/>
          </w:tcPr>
          <w:p w14:paraId="6EDD017D" w14:textId="06DF1ADB"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2,637,396 </w:t>
            </w:r>
          </w:p>
        </w:tc>
        <w:tc>
          <w:tcPr>
            <w:tcW w:w="1285" w:type="pct"/>
            <w:tcBorders>
              <w:top w:val="nil"/>
              <w:left w:val="nil"/>
              <w:bottom w:val="nil"/>
              <w:right w:val="nil"/>
            </w:tcBorders>
            <w:shd w:val="clear" w:color="auto" w:fill="auto"/>
            <w:noWrap/>
            <w:vAlign w:val="bottom"/>
            <w:hideMark/>
          </w:tcPr>
          <w:p w14:paraId="6EDD017E" w14:textId="4D5833FA"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808,538 </w:t>
            </w:r>
          </w:p>
        </w:tc>
        <w:tc>
          <w:tcPr>
            <w:tcW w:w="754" w:type="pct"/>
            <w:tcBorders>
              <w:top w:val="nil"/>
              <w:left w:val="nil"/>
              <w:bottom w:val="nil"/>
              <w:right w:val="nil"/>
            </w:tcBorders>
            <w:shd w:val="clear" w:color="auto" w:fill="auto"/>
            <w:noWrap/>
            <w:vAlign w:val="bottom"/>
            <w:hideMark/>
          </w:tcPr>
          <w:p w14:paraId="6EDD017F" w14:textId="383A0BBF"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5,643,316 </w:t>
            </w:r>
          </w:p>
        </w:tc>
        <w:tc>
          <w:tcPr>
            <w:tcW w:w="1151" w:type="pct"/>
            <w:tcBorders>
              <w:top w:val="nil"/>
              <w:left w:val="single" w:sz="4" w:space="0" w:color="auto"/>
              <w:bottom w:val="single" w:sz="4" w:space="0" w:color="auto"/>
              <w:right w:val="single" w:sz="4" w:space="0" w:color="auto"/>
            </w:tcBorders>
            <w:shd w:val="clear" w:color="000000" w:fill="EBF1DE"/>
            <w:noWrap/>
            <w:vAlign w:val="bottom"/>
            <w:hideMark/>
          </w:tcPr>
          <w:p w14:paraId="6EDD0180" w14:textId="2D583E3B" w:rsidR="00114B8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9,089,250 </w:t>
            </w:r>
          </w:p>
        </w:tc>
      </w:tr>
      <w:tr w:rsidR="006E723E" w:rsidRPr="007114AF" w14:paraId="6EDD0187" w14:textId="77777777" w:rsidTr="00A45C8C">
        <w:trPr>
          <w:trHeight w:val="300"/>
          <w:jc w:val="center"/>
        </w:trPr>
        <w:tc>
          <w:tcPr>
            <w:tcW w:w="714" w:type="pct"/>
            <w:tcBorders>
              <w:top w:val="nil"/>
              <w:left w:val="single" w:sz="4" w:space="0" w:color="auto"/>
              <w:bottom w:val="single" w:sz="4" w:space="0" w:color="auto"/>
              <w:right w:val="single" w:sz="4" w:space="0" w:color="auto"/>
            </w:tcBorders>
            <w:shd w:val="clear" w:color="000000" w:fill="EBF1DE"/>
            <w:noWrap/>
            <w:vAlign w:val="bottom"/>
            <w:hideMark/>
          </w:tcPr>
          <w:p w14:paraId="6EDD0182" w14:textId="77777777" w:rsidR="00114B84" w:rsidRPr="007114AF" w:rsidRDefault="00114B8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Bujqesia</w:t>
            </w:r>
          </w:p>
        </w:tc>
        <w:tc>
          <w:tcPr>
            <w:tcW w:w="1097" w:type="pct"/>
            <w:tcBorders>
              <w:top w:val="nil"/>
              <w:left w:val="nil"/>
              <w:bottom w:val="nil"/>
              <w:right w:val="nil"/>
            </w:tcBorders>
            <w:shd w:val="clear" w:color="auto" w:fill="auto"/>
            <w:noWrap/>
            <w:vAlign w:val="bottom"/>
            <w:hideMark/>
          </w:tcPr>
          <w:p w14:paraId="6EDD0183" w14:textId="7E9869A4"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2,715,253 </w:t>
            </w:r>
          </w:p>
        </w:tc>
        <w:tc>
          <w:tcPr>
            <w:tcW w:w="1285" w:type="pct"/>
            <w:tcBorders>
              <w:top w:val="nil"/>
              <w:left w:val="nil"/>
              <w:bottom w:val="nil"/>
              <w:right w:val="nil"/>
            </w:tcBorders>
            <w:shd w:val="clear" w:color="auto" w:fill="auto"/>
            <w:noWrap/>
            <w:vAlign w:val="bottom"/>
            <w:hideMark/>
          </w:tcPr>
          <w:p w14:paraId="6EDD0184" w14:textId="35B2CA0F"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w:t>
            </w:r>
            <w:r w:rsidRPr="007114AF">
              <w:rPr>
                <w:rFonts w:ascii="Garamond" w:eastAsia="Times New Roman" w:hAnsi="Garamond" w:cs="Times New Roman"/>
                <w:color w:val="000000"/>
                <w:sz w:val="18"/>
                <w:szCs w:val="18"/>
                <w:lang w:eastAsia="en-US"/>
              </w:rPr>
              <w:t xml:space="preserve"> </w:t>
            </w:r>
          </w:p>
        </w:tc>
        <w:tc>
          <w:tcPr>
            <w:tcW w:w="754" w:type="pct"/>
            <w:tcBorders>
              <w:top w:val="nil"/>
              <w:left w:val="nil"/>
              <w:bottom w:val="nil"/>
              <w:right w:val="nil"/>
            </w:tcBorders>
            <w:shd w:val="clear" w:color="auto" w:fill="auto"/>
            <w:noWrap/>
            <w:vAlign w:val="bottom"/>
            <w:hideMark/>
          </w:tcPr>
          <w:p w14:paraId="6EDD0185" w14:textId="195F08F5"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c>
          <w:tcPr>
            <w:tcW w:w="1151" w:type="pct"/>
            <w:tcBorders>
              <w:top w:val="nil"/>
              <w:left w:val="single" w:sz="4" w:space="0" w:color="auto"/>
              <w:bottom w:val="single" w:sz="4" w:space="0" w:color="auto"/>
              <w:right w:val="single" w:sz="4" w:space="0" w:color="auto"/>
            </w:tcBorders>
            <w:shd w:val="clear" w:color="000000" w:fill="EBF1DE"/>
            <w:noWrap/>
            <w:vAlign w:val="bottom"/>
            <w:hideMark/>
          </w:tcPr>
          <w:p w14:paraId="6EDD0186" w14:textId="786B4E3F" w:rsidR="00114B8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2,715,253 </w:t>
            </w:r>
          </w:p>
        </w:tc>
      </w:tr>
      <w:tr w:rsidR="006E723E" w:rsidRPr="007114AF" w14:paraId="6EDD018D" w14:textId="77777777" w:rsidTr="00A45C8C">
        <w:trPr>
          <w:trHeight w:val="300"/>
          <w:jc w:val="center"/>
        </w:trPr>
        <w:tc>
          <w:tcPr>
            <w:tcW w:w="714" w:type="pct"/>
            <w:tcBorders>
              <w:top w:val="nil"/>
              <w:left w:val="single" w:sz="4" w:space="0" w:color="auto"/>
              <w:bottom w:val="single" w:sz="4" w:space="0" w:color="auto"/>
              <w:right w:val="single" w:sz="4" w:space="0" w:color="auto"/>
            </w:tcBorders>
            <w:shd w:val="clear" w:color="000000" w:fill="EBF1DE"/>
            <w:noWrap/>
            <w:vAlign w:val="bottom"/>
            <w:hideMark/>
          </w:tcPr>
          <w:p w14:paraId="6EDD0188" w14:textId="77777777" w:rsidR="00114B84" w:rsidRPr="007114AF" w:rsidRDefault="00114B8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Toka+Pyjet</w:t>
            </w:r>
          </w:p>
        </w:tc>
        <w:tc>
          <w:tcPr>
            <w:tcW w:w="1097" w:type="pct"/>
            <w:tcBorders>
              <w:top w:val="nil"/>
              <w:left w:val="nil"/>
              <w:bottom w:val="nil"/>
              <w:right w:val="nil"/>
            </w:tcBorders>
            <w:shd w:val="clear" w:color="auto" w:fill="auto"/>
            <w:noWrap/>
            <w:vAlign w:val="bottom"/>
            <w:hideMark/>
          </w:tcPr>
          <w:p w14:paraId="6EDD0189" w14:textId="17569EA2"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38,600 </w:t>
            </w:r>
          </w:p>
        </w:tc>
        <w:tc>
          <w:tcPr>
            <w:tcW w:w="1285" w:type="pct"/>
            <w:tcBorders>
              <w:top w:val="nil"/>
              <w:left w:val="nil"/>
              <w:bottom w:val="nil"/>
              <w:right w:val="nil"/>
            </w:tcBorders>
            <w:shd w:val="clear" w:color="auto" w:fill="auto"/>
            <w:noWrap/>
            <w:vAlign w:val="bottom"/>
            <w:hideMark/>
          </w:tcPr>
          <w:p w14:paraId="6EDD018A" w14:textId="2FFBFCB1"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250,000 </w:t>
            </w:r>
          </w:p>
        </w:tc>
        <w:tc>
          <w:tcPr>
            <w:tcW w:w="754" w:type="pct"/>
            <w:tcBorders>
              <w:top w:val="nil"/>
              <w:left w:val="nil"/>
              <w:bottom w:val="nil"/>
              <w:right w:val="nil"/>
            </w:tcBorders>
            <w:shd w:val="clear" w:color="auto" w:fill="auto"/>
            <w:noWrap/>
            <w:vAlign w:val="bottom"/>
            <w:hideMark/>
          </w:tcPr>
          <w:p w14:paraId="6EDD018B" w14:textId="65621708"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40,000 </w:t>
            </w:r>
          </w:p>
        </w:tc>
        <w:tc>
          <w:tcPr>
            <w:tcW w:w="1151" w:type="pct"/>
            <w:tcBorders>
              <w:top w:val="nil"/>
              <w:left w:val="single" w:sz="4" w:space="0" w:color="auto"/>
              <w:bottom w:val="single" w:sz="4" w:space="0" w:color="auto"/>
              <w:right w:val="single" w:sz="4" w:space="0" w:color="auto"/>
            </w:tcBorders>
            <w:shd w:val="clear" w:color="000000" w:fill="EBF1DE"/>
            <w:noWrap/>
            <w:vAlign w:val="bottom"/>
            <w:hideMark/>
          </w:tcPr>
          <w:p w14:paraId="6EDD018C" w14:textId="3AC9E303" w:rsidR="00114B8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328,600 </w:t>
            </w:r>
          </w:p>
        </w:tc>
      </w:tr>
      <w:tr w:rsidR="006E723E" w:rsidRPr="007114AF" w14:paraId="6EDD0193" w14:textId="77777777" w:rsidTr="00A45C8C">
        <w:trPr>
          <w:trHeight w:val="315"/>
          <w:jc w:val="center"/>
        </w:trPr>
        <w:tc>
          <w:tcPr>
            <w:tcW w:w="714" w:type="pct"/>
            <w:tcBorders>
              <w:top w:val="nil"/>
              <w:left w:val="single" w:sz="4" w:space="0" w:color="auto"/>
              <w:bottom w:val="single" w:sz="4" w:space="0" w:color="auto"/>
              <w:right w:val="single" w:sz="4" w:space="0" w:color="auto"/>
            </w:tcBorders>
            <w:shd w:val="clear" w:color="000000" w:fill="EBF1DE"/>
            <w:noWrap/>
            <w:vAlign w:val="bottom"/>
            <w:hideMark/>
          </w:tcPr>
          <w:p w14:paraId="6EDD018E" w14:textId="77777777" w:rsidR="00114B84" w:rsidRPr="007114AF" w:rsidRDefault="00114B8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Ndersektoriale</w:t>
            </w:r>
          </w:p>
        </w:tc>
        <w:tc>
          <w:tcPr>
            <w:tcW w:w="1097" w:type="pct"/>
            <w:tcBorders>
              <w:top w:val="nil"/>
              <w:left w:val="nil"/>
              <w:bottom w:val="nil"/>
              <w:right w:val="nil"/>
            </w:tcBorders>
            <w:shd w:val="clear" w:color="auto" w:fill="auto"/>
            <w:noWrap/>
            <w:vAlign w:val="bottom"/>
            <w:hideMark/>
          </w:tcPr>
          <w:p w14:paraId="6EDD018F" w14:textId="701FECD3"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w:t>
            </w:r>
            <w:r w:rsidRPr="007114AF">
              <w:rPr>
                <w:rFonts w:ascii="Garamond" w:eastAsia="Times New Roman" w:hAnsi="Garamond" w:cs="Times New Roman"/>
                <w:color w:val="000000"/>
                <w:sz w:val="18"/>
                <w:szCs w:val="18"/>
                <w:lang w:eastAsia="en-US"/>
              </w:rPr>
              <w:t xml:space="preserve"> </w:t>
            </w:r>
          </w:p>
        </w:tc>
        <w:tc>
          <w:tcPr>
            <w:tcW w:w="1285" w:type="pct"/>
            <w:tcBorders>
              <w:top w:val="nil"/>
              <w:left w:val="nil"/>
              <w:bottom w:val="nil"/>
              <w:right w:val="nil"/>
            </w:tcBorders>
            <w:shd w:val="clear" w:color="auto" w:fill="auto"/>
            <w:noWrap/>
            <w:vAlign w:val="bottom"/>
            <w:hideMark/>
          </w:tcPr>
          <w:p w14:paraId="6EDD0190" w14:textId="01D7FD64"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w:t>
            </w:r>
            <w:r w:rsidRPr="007114AF">
              <w:rPr>
                <w:rFonts w:ascii="Garamond" w:eastAsia="Times New Roman" w:hAnsi="Garamond" w:cs="Times New Roman"/>
                <w:color w:val="000000"/>
                <w:sz w:val="18"/>
                <w:szCs w:val="18"/>
                <w:lang w:eastAsia="en-US"/>
              </w:rPr>
              <w:t xml:space="preserve"> </w:t>
            </w:r>
          </w:p>
        </w:tc>
        <w:tc>
          <w:tcPr>
            <w:tcW w:w="754" w:type="pct"/>
            <w:tcBorders>
              <w:top w:val="nil"/>
              <w:left w:val="nil"/>
              <w:bottom w:val="nil"/>
              <w:right w:val="nil"/>
            </w:tcBorders>
            <w:shd w:val="clear" w:color="auto" w:fill="auto"/>
            <w:noWrap/>
            <w:vAlign w:val="bottom"/>
            <w:hideMark/>
          </w:tcPr>
          <w:p w14:paraId="6EDD0191" w14:textId="7549E155" w:rsidR="00114B84"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c>
          <w:tcPr>
            <w:tcW w:w="1151" w:type="pct"/>
            <w:tcBorders>
              <w:top w:val="nil"/>
              <w:left w:val="single" w:sz="4" w:space="0" w:color="auto"/>
              <w:bottom w:val="single" w:sz="4" w:space="0" w:color="auto"/>
              <w:right w:val="single" w:sz="4" w:space="0" w:color="auto"/>
            </w:tcBorders>
            <w:shd w:val="clear" w:color="000000" w:fill="EBF1DE"/>
            <w:noWrap/>
            <w:vAlign w:val="bottom"/>
            <w:hideMark/>
          </w:tcPr>
          <w:p w14:paraId="6EDD0192" w14:textId="08723D45" w:rsidR="00114B8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r>
      <w:tr w:rsidR="006E723E" w:rsidRPr="007114AF" w14:paraId="6EDD0199" w14:textId="77777777" w:rsidTr="00A45C8C">
        <w:trPr>
          <w:trHeight w:val="315"/>
          <w:jc w:val="center"/>
        </w:trPr>
        <w:tc>
          <w:tcPr>
            <w:tcW w:w="714" w:type="pct"/>
            <w:tcBorders>
              <w:top w:val="nil"/>
              <w:left w:val="single" w:sz="8" w:space="0" w:color="auto"/>
              <w:bottom w:val="single" w:sz="8" w:space="0" w:color="auto"/>
              <w:right w:val="single" w:sz="4" w:space="0" w:color="auto"/>
            </w:tcBorders>
            <w:shd w:val="clear" w:color="000000" w:fill="EBF1DE"/>
            <w:noWrap/>
            <w:vAlign w:val="bottom"/>
            <w:hideMark/>
          </w:tcPr>
          <w:p w14:paraId="6EDD0194" w14:textId="77777777" w:rsidR="00114B84" w:rsidRPr="007114AF" w:rsidRDefault="00114B84"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Total</w:t>
            </w:r>
          </w:p>
        </w:tc>
        <w:tc>
          <w:tcPr>
            <w:tcW w:w="1097" w:type="pct"/>
            <w:tcBorders>
              <w:top w:val="single" w:sz="8" w:space="0" w:color="auto"/>
              <w:left w:val="nil"/>
              <w:bottom w:val="single" w:sz="8" w:space="0" w:color="auto"/>
              <w:right w:val="single" w:sz="4" w:space="0" w:color="auto"/>
            </w:tcBorders>
            <w:shd w:val="clear" w:color="000000" w:fill="EBF1DE"/>
            <w:noWrap/>
            <w:vAlign w:val="bottom"/>
            <w:hideMark/>
          </w:tcPr>
          <w:p w14:paraId="6EDD0195" w14:textId="63131292" w:rsidR="00114B8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17,843,453 </w:t>
            </w:r>
          </w:p>
        </w:tc>
        <w:tc>
          <w:tcPr>
            <w:tcW w:w="1285" w:type="pct"/>
            <w:tcBorders>
              <w:top w:val="single" w:sz="8" w:space="0" w:color="auto"/>
              <w:left w:val="nil"/>
              <w:bottom w:val="single" w:sz="8" w:space="0" w:color="auto"/>
              <w:right w:val="single" w:sz="4" w:space="0" w:color="auto"/>
            </w:tcBorders>
            <w:shd w:val="clear" w:color="000000" w:fill="EBF1DE"/>
            <w:noWrap/>
            <w:vAlign w:val="bottom"/>
            <w:hideMark/>
          </w:tcPr>
          <w:p w14:paraId="6EDD0196" w14:textId="6ABEB89D" w:rsidR="00114B8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 1,370,157 </w:t>
            </w:r>
          </w:p>
        </w:tc>
        <w:tc>
          <w:tcPr>
            <w:tcW w:w="754" w:type="pct"/>
            <w:tcBorders>
              <w:top w:val="single" w:sz="8" w:space="0" w:color="auto"/>
              <w:left w:val="nil"/>
              <w:bottom w:val="single" w:sz="8" w:space="0" w:color="auto"/>
              <w:right w:val="single" w:sz="4" w:space="0" w:color="auto"/>
            </w:tcBorders>
            <w:shd w:val="clear" w:color="000000" w:fill="EBF1DE"/>
            <w:noWrap/>
            <w:vAlign w:val="bottom"/>
            <w:hideMark/>
          </w:tcPr>
          <w:p w14:paraId="6EDD0197" w14:textId="25FEB128" w:rsidR="00114B84"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114B84" w:rsidRPr="007114AF">
              <w:rPr>
                <w:rFonts w:ascii="Garamond" w:eastAsia="Times New Roman" w:hAnsi="Garamond" w:cs="Times New Roman"/>
                <w:color w:val="000000"/>
                <w:sz w:val="18"/>
                <w:szCs w:val="18"/>
                <w:lang w:eastAsia="en-US"/>
              </w:rPr>
              <w:t xml:space="preserve">6,350,276 </w:t>
            </w:r>
          </w:p>
        </w:tc>
        <w:tc>
          <w:tcPr>
            <w:tcW w:w="1151" w:type="pct"/>
            <w:tcBorders>
              <w:top w:val="nil"/>
              <w:left w:val="nil"/>
              <w:bottom w:val="single" w:sz="4" w:space="0" w:color="auto"/>
              <w:right w:val="single" w:sz="4" w:space="0" w:color="auto"/>
            </w:tcBorders>
            <w:shd w:val="clear" w:color="000000" w:fill="EBF1DE"/>
            <w:noWrap/>
            <w:vAlign w:val="bottom"/>
            <w:hideMark/>
          </w:tcPr>
          <w:p w14:paraId="6EDD0198" w14:textId="6F9939BC" w:rsidR="00114B84" w:rsidRPr="007114AF" w:rsidRDefault="008D30FC" w:rsidP="001C467C">
            <w:pPr>
              <w:spacing w:after="0" w:line="240" w:lineRule="auto"/>
              <w:jc w:val="center"/>
              <w:rPr>
                <w:rFonts w:ascii="Garamond" w:eastAsia="Times New Roman" w:hAnsi="Garamond" w:cs="Times New Roman"/>
                <w:b/>
                <w:bCs/>
                <w:color w:val="FF0000"/>
                <w:sz w:val="18"/>
                <w:szCs w:val="18"/>
                <w:lang w:eastAsia="en-US"/>
              </w:rPr>
            </w:pPr>
            <w:r w:rsidRPr="007114AF">
              <w:rPr>
                <w:rFonts w:ascii="Garamond" w:eastAsia="Times New Roman" w:hAnsi="Garamond" w:cs="Times New Roman"/>
                <w:b/>
                <w:bCs/>
                <w:color w:val="FF0000"/>
                <w:sz w:val="18"/>
                <w:szCs w:val="18"/>
                <w:lang w:eastAsia="en-US"/>
              </w:rPr>
              <w:t xml:space="preserve">       </w:t>
            </w:r>
            <w:r w:rsidR="00114B84" w:rsidRPr="007114AF">
              <w:rPr>
                <w:rFonts w:ascii="Garamond" w:eastAsia="Times New Roman" w:hAnsi="Garamond" w:cs="Times New Roman"/>
                <w:b/>
                <w:bCs/>
                <w:color w:val="FF0000"/>
                <w:sz w:val="18"/>
                <w:szCs w:val="18"/>
                <w:lang w:eastAsia="en-US"/>
              </w:rPr>
              <w:t xml:space="preserve">25,563,886 </w:t>
            </w:r>
          </w:p>
        </w:tc>
      </w:tr>
    </w:tbl>
    <w:p w14:paraId="6EDD019A" w14:textId="77777777" w:rsidR="00114B84" w:rsidRPr="007114AF" w:rsidRDefault="00114B84" w:rsidP="00524E98">
      <w:pPr>
        <w:pStyle w:val="TEKSTI"/>
      </w:pPr>
    </w:p>
    <w:p w14:paraId="6EDD019B" w14:textId="432C26F9" w:rsidR="001E2A51" w:rsidRPr="007114AF" w:rsidRDefault="001E2A51" w:rsidP="001E2A51">
      <w:pPr>
        <w:pStyle w:val="TEKSTI"/>
      </w:pPr>
      <w:r w:rsidRPr="007114AF">
        <w:t xml:space="preserve">Edhe masat që do të implementohen gjatë vitit 2022 në pjesën më të madhe janë të bazuara në buxhetimin e bërë nga ministritë e </w:t>
      </w:r>
      <w:r w:rsidR="00A419A4">
        <w:t>linjës në dokument</w:t>
      </w:r>
      <w:r w:rsidR="00FD5AD9">
        <w:t>e</w:t>
      </w:r>
      <w:r w:rsidR="00A419A4">
        <w:t>t e PBA 2020–</w:t>
      </w:r>
      <w:r w:rsidRPr="007114AF">
        <w:t>2022 të përgatitur për fazën e parë të këtij procesi.</w:t>
      </w:r>
    </w:p>
    <w:p w14:paraId="6EDD019C" w14:textId="77777777" w:rsidR="001E2A51" w:rsidRPr="007114AF" w:rsidRDefault="001E2A51" w:rsidP="001E2A51">
      <w:pPr>
        <w:pStyle w:val="TEKSTI"/>
      </w:pPr>
      <w:r w:rsidRPr="007114AF">
        <w:t xml:space="preserve"> </w:t>
      </w:r>
    </w:p>
    <w:tbl>
      <w:tblPr>
        <w:tblW w:w="5301" w:type="pct"/>
        <w:tblInd w:w="-318" w:type="dxa"/>
        <w:tblLook w:val="04A0" w:firstRow="1" w:lastRow="0" w:firstColumn="1" w:lastColumn="0" w:noHBand="0" w:noVBand="1"/>
      </w:tblPr>
      <w:tblGrid>
        <w:gridCol w:w="1249"/>
        <w:gridCol w:w="2367"/>
        <w:gridCol w:w="2485"/>
        <w:gridCol w:w="1398"/>
        <w:gridCol w:w="2347"/>
      </w:tblGrid>
      <w:tr w:rsidR="001E2A51" w:rsidRPr="007114AF" w14:paraId="6EDD01A1" w14:textId="77777777" w:rsidTr="00A45C8C">
        <w:trPr>
          <w:trHeight w:val="315"/>
        </w:trPr>
        <w:tc>
          <w:tcPr>
            <w:tcW w:w="1835" w:type="pct"/>
            <w:gridSpan w:val="2"/>
            <w:tcBorders>
              <w:top w:val="nil"/>
              <w:left w:val="nil"/>
              <w:bottom w:val="nil"/>
              <w:right w:val="nil"/>
            </w:tcBorders>
            <w:shd w:val="clear" w:color="000000" w:fill="EBF1DE"/>
            <w:noWrap/>
            <w:vAlign w:val="bottom"/>
            <w:hideMark/>
          </w:tcPr>
          <w:p w14:paraId="6EDD019D" w14:textId="77777777" w:rsidR="001E2A51" w:rsidRPr="007114AF" w:rsidRDefault="001E2A51" w:rsidP="001C467C">
            <w:pPr>
              <w:spacing w:after="0" w:line="240" w:lineRule="auto"/>
              <w:jc w:val="left"/>
              <w:rPr>
                <w:rFonts w:ascii="Garamond" w:eastAsia="Times New Roman" w:hAnsi="Garamond" w:cs="Times New Roman"/>
                <w:b/>
                <w:bCs/>
                <w:color w:val="366092"/>
                <w:sz w:val="18"/>
                <w:szCs w:val="18"/>
                <w:lang w:eastAsia="en-US"/>
              </w:rPr>
            </w:pPr>
            <w:r w:rsidRPr="007114AF">
              <w:rPr>
                <w:rFonts w:ascii="Garamond" w:eastAsia="Times New Roman" w:hAnsi="Garamond" w:cs="Times New Roman"/>
                <w:b/>
                <w:bCs/>
                <w:color w:val="366092"/>
                <w:sz w:val="18"/>
                <w:szCs w:val="18"/>
                <w:lang w:eastAsia="en-US"/>
              </w:rPr>
              <w:t>Shpërndarja e fondeve sipas viteve</w:t>
            </w:r>
          </w:p>
        </w:tc>
        <w:tc>
          <w:tcPr>
            <w:tcW w:w="1262" w:type="pct"/>
            <w:tcBorders>
              <w:top w:val="nil"/>
              <w:left w:val="nil"/>
              <w:bottom w:val="nil"/>
              <w:right w:val="nil"/>
            </w:tcBorders>
            <w:shd w:val="clear" w:color="000000" w:fill="EBF1DE"/>
            <w:noWrap/>
            <w:vAlign w:val="bottom"/>
            <w:hideMark/>
          </w:tcPr>
          <w:p w14:paraId="6EDD019E" w14:textId="77777777" w:rsidR="001E2A51" w:rsidRPr="007114AF" w:rsidRDefault="001E2A51"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w:t>
            </w:r>
          </w:p>
        </w:tc>
        <w:tc>
          <w:tcPr>
            <w:tcW w:w="710" w:type="pct"/>
            <w:tcBorders>
              <w:top w:val="nil"/>
              <w:left w:val="nil"/>
              <w:bottom w:val="nil"/>
              <w:right w:val="nil"/>
            </w:tcBorders>
            <w:shd w:val="clear" w:color="000000" w:fill="EBF1DE"/>
            <w:noWrap/>
            <w:vAlign w:val="bottom"/>
            <w:hideMark/>
          </w:tcPr>
          <w:p w14:paraId="6EDD019F" w14:textId="77777777" w:rsidR="001E2A51" w:rsidRPr="007114AF" w:rsidRDefault="001E2A51"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w:t>
            </w:r>
          </w:p>
        </w:tc>
        <w:tc>
          <w:tcPr>
            <w:tcW w:w="1192" w:type="pct"/>
            <w:tcBorders>
              <w:top w:val="nil"/>
              <w:left w:val="nil"/>
              <w:bottom w:val="nil"/>
              <w:right w:val="nil"/>
            </w:tcBorders>
            <w:shd w:val="clear" w:color="000000" w:fill="EBF1DE"/>
            <w:noWrap/>
            <w:vAlign w:val="bottom"/>
            <w:hideMark/>
          </w:tcPr>
          <w:p w14:paraId="6EDD01A0" w14:textId="77777777" w:rsidR="001E2A51" w:rsidRPr="007114AF" w:rsidRDefault="001E2A51"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w:t>
            </w:r>
          </w:p>
        </w:tc>
      </w:tr>
      <w:tr w:rsidR="001E2A51" w:rsidRPr="007114AF" w14:paraId="6EDD01A7" w14:textId="77777777" w:rsidTr="00A45C8C">
        <w:trPr>
          <w:trHeight w:val="300"/>
        </w:trPr>
        <w:tc>
          <w:tcPr>
            <w:tcW w:w="634" w:type="pct"/>
            <w:tcBorders>
              <w:top w:val="single" w:sz="4" w:space="0" w:color="auto"/>
              <w:left w:val="single" w:sz="4" w:space="0" w:color="auto"/>
              <w:bottom w:val="single" w:sz="4" w:space="0" w:color="auto"/>
              <w:right w:val="single" w:sz="4" w:space="0" w:color="auto"/>
            </w:tcBorders>
            <w:shd w:val="clear" w:color="000000" w:fill="EBF1DE"/>
            <w:hideMark/>
          </w:tcPr>
          <w:p w14:paraId="6EDD01A2" w14:textId="77777777" w:rsidR="001E2A51" w:rsidRPr="007114AF" w:rsidRDefault="001E2A51"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 </w:t>
            </w:r>
          </w:p>
        </w:tc>
        <w:tc>
          <w:tcPr>
            <w:tcW w:w="1202" w:type="pct"/>
            <w:tcBorders>
              <w:top w:val="single" w:sz="4" w:space="0" w:color="auto"/>
              <w:left w:val="nil"/>
              <w:bottom w:val="single" w:sz="4" w:space="0" w:color="auto"/>
              <w:right w:val="single" w:sz="4" w:space="0" w:color="auto"/>
            </w:tcBorders>
            <w:shd w:val="clear" w:color="000000" w:fill="EBF1DE"/>
            <w:hideMark/>
          </w:tcPr>
          <w:p w14:paraId="6EDD01A3" w14:textId="77777777" w:rsidR="001E2A51" w:rsidRPr="007114AF" w:rsidRDefault="001E2A51"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2025</w:t>
            </w:r>
          </w:p>
        </w:tc>
        <w:tc>
          <w:tcPr>
            <w:tcW w:w="1262" w:type="pct"/>
            <w:tcBorders>
              <w:top w:val="single" w:sz="4" w:space="0" w:color="auto"/>
              <w:left w:val="nil"/>
              <w:bottom w:val="single" w:sz="4" w:space="0" w:color="auto"/>
              <w:right w:val="single" w:sz="4" w:space="0" w:color="auto"/>
            </w:tcBorders>
            <w:shd w:val="clear" w:color="000000" w:fill="EBF1DE"/>
            <w:hideMark/>
          </w:tcPr>
          <w:p w14:paraId="6EDD01A4" w14:textId="77777777" w:rsidR="001E2A51" w:rsidRPr="007114AF" w:rsidRDefault="001E2A51"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2026</w:t>
            </w:r>
          </w:p>
        </w:tc>
        <w:tc>
          <w:tcPr>
            <w:tcW w:w="710" w:type="pct"/>
            <w:tcBorders>
              <w:top w:val="single" w:sz="4" w:space="0" w:color="auto"/>
              <w:left w:val="nil"/>
              <w:bottom w:val="single" w:sz="4" w:space="0" w:color="auto"/>
              <w:right w:val="single" w:sz="4" w:space="0" w:color="auto"/>
            </w:tcBorders>
            <w:shd w:val="clear" w:color="000000" w:fill="EBF1DE"/>
            <w:hideMark/>
          </w:tcPr>
          <w:p w14:paraId="6EDD01A5" w14:textId="77777777" w:rsidR="001E2A51" w:rsidRPr="007114AF" w:rsidRDefault="001E2A51"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2027</w:t>
            </w:r>
          </w:p>
        </w:tc>
        <w:tc>
          <w:tcPr>
            <w:tcW w:w="1192" w:type="pct"/>
            <w:tcBorders>
              <w:top w:val="single" w:sz="4" w:space="0" w:color="auto"/>
              <w:left w:val="nil"/>
              <w:bottom w:val="single" w:sz="4" w:space="0" w:color="auto"/>
              <w:right w:val="single" w:sz="4" w:space="0" w:color="auto"/>
            </w:tcBorders>
            <w:shd w:val="clear" w:color="000000" w:fill="EBF1DE"/>
            <w:hideMark/>
          </w:tcPr>
          <w:p w14:paraId="6EDD01A6" w14:textId="77777777" w:rsidR="001E2A51" w:rsidRPr="007114AF" w:rsidRDefault="001E2A51" w:rsidP="001C467C">
            <w:pPr>
              <w:spacing w:after="0" w:line="240" w:lineRule="auto"/>
              <w:jc w:val="center"/>
              <w:rPr>
                <w:rFonts w:ascii="Garamond" w:eastAsia="Times New Roman" w:hAnsi="Garamond" w:cs="Times New Roman"/>
                <w:b/>
                <w:bCs/>
                <w:color w:val="000000"/>
                <w:sz w:val="18"/>
                <w:szCs w:val="18"/>
                <w:lang w:eastAsia="en-US"/>
              </w:rPr>
            </w:pPr>
            <w:r w:rsidRPr="007114AF">
              <w:rPr>
                <w:rFonts w:ascii="Garamond" w:eastAsia="Times New Roman" w:hAnsi="Garamond" w:cs="Times New Roman"/>
                <w:b/>
                <w:bCs/>
                <w:color w:val="000000"/>
                <w:sz w:val="18"/>
                <w:szCs w:val="18"/>
                <w:lang w:eastAsia="en-US"/>
              </w:rPr>
              <w:t>Total</w:t>
            </w:r>
          </w:p>
        </w:tc>
      </w:tr>
      <w:tr w:rsidR="001E2A51" w:rsidRPr="007114AF" w14:paraId="6EDD01AD" w14:textId="77777777" w:rsidTr="00A45C8C">
        <w:trPr>
          <w:trHeight w:val="300"/>
        </w:trPr>
        <w:tc>
          <w:tcPr>
            <w:tcW w:w="634" w:type="pct"/>
            <w:tcBorders>
              <w:top w:val="nil"/>
              <w:left w:val="single" w:sz="4" w:space="0" w:color="auto"/>
              <w:bottom w:val="single" w:sz="4" w:space="0" w:color="auto"/>
              <w:right w:val="single" w:sz="4" w:space="0" w:color="auto"/>
            </w:tcBorders>
            <w:shd w:val="clear" w:color="000000" w:fill="EBF1DE"/>
            <w:noWrap/>
            <w:vAlign w:val="bottom"/>
            <w:hideMark/>
          </w:tcPr>
          <w:p w14:paraId="6EDD01A8" w14:textId="77777777" w:rsidR="001E2A51" w:rsidRPr="007114AF" w:rsidRDefault="001E2A51"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Energjia</w:t>
            </w:r>
          </w:p>
        </w:tc>
        <w:tc>
          <w:tcPr>
            <w:tcW w:w="1202" w:type="pct"/>
            <w:tcBorders>
              <w:top w:val="nil"/>
              <w:left w:val="nil"/>
              <w:bottom w:val="nil"/>
              <w:right w:val="nil"/>
            </w:tcBorders>
            <w:shd w:val="clear" w:color="auto" w:fill="auto"/>
            <w:noWrap/>
            <w:vAlign w:val="bottom"/>
            <w:hideMark/>
          </w:tcPr>
          <w:p w14:paraId="6EDD01A9" w14:textId="142D495F"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910,130 </w:t>
            </w:r>
          </w:p>
        </w:tc>
        <w:tc>
          <w:tcPr>
            <w:tcW w:w="1262" w:type="pct"/>
            <w:tcBorders>
              <w:top w:val="nil"/>
              <w:left w:val="nil"/>
              <w:bottom w:val="nil"/>
              <w:right w:val="nil"/>
            </w:tcBorders>
            <w:shd w:val="clear" w:color="auto" w:fill="auto"/>
            <w:noWrap/>
            <w:vAlign w:val="bottom"/>
            <w:hideMark/>
          </w:tcPr>
          <w:p w14:paraId="6EDD01AA" w14:textId="70118FDC"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5,204,000 </w:t>
            </w:r>
          </w:p>
        </w:tc>
        <w:tc>
          <w:tcPr>
            <w:tcW w:w="710" w:type="pct"/>
            <w:tcBorders>
              <w:top w:val="nil"/>
              <w:left w:val="nil"/>
              <w:bottom w:val="nil"/>
              <w:right w:val="nil"/>
            </w:tcBorders>
            <w:shd w:val="clear" w:color="auto" w:fill="auto"/>
            <w:noWrap/>
            <w:vAlign w:val="bottom"/>
            <w:hideMark/>
          </w:tcPr>
          <w:p w14:paraId="6EDD01AB" w14:textId="5D86A7E7"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c>
          <w:tcPr>
            <w:tcW w:w="1192" w:type="pct"/>
            <w:tcBorders>
              <w:top w:val="nil"/>
              <w:left w:val="single" w:sz="4" w:space="0" w:color="auto"/>
              <w:bottom w:val="single" w:sz="4" w:space="0" w:color="auto"/>
              <w:right w:val="single" w:sz="4" w:space="0" w:color="auto"/>
            </w:tcBorders>
            <w:shd w:val="clear" w:color="000000" w:fill="EBF1DE"/>
            <w:noWrap/>
            <w:vAlign w:val="bottom"/>
            <w:hideMark/>
          </w:tcPr>
          <w:p w14:paraId="6EDD01AC" w14:textId="62A70BF0" w:rsidR="001E2A51"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0A2A01"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6,114,130 </w:t>
            </w:r>
          </w:p>
        </w:tc>
      </w:tr>
      <w:tr w:rsidR="001E2A51" w:rsidRPr="007114AF" w14:paraId="6EDD01B3" w14:textId="77777777" w:rsidTr="00A45C8C">
        <w:trPr>
          <w:trHeight w:val="300"/>
        </w:trPr>
        <w:tc>
          <w:tcPr>
            <w:tcW w:w="634" w:type="pct"/>
            <w:tcBorders>
              <w:top w:val="nil"/>
              <w:left w:val="single" w:sz="4" w:space="0" w:color="auto"/>
              <w:bottom w:val="single" w:sz="4" w:space="0" w:color="auto"/>
              <w:right w:val="single" w:sz="4" w:space="0" w:color="auto"/>
            </w:tcBorders>
            <w:shd w:val="clear" w:color="000000" w:fill="EBF1DE"/>
            <w:noWrap/>
            <w:vAlign w:val="bottom"/>
            <w:hideMark/>
          </w:tcPr>
          <w:p w14:paraId="6EDD01AE" w14:textId="77777777" w:rsidR="001E2A51" w:rsidRPr="007114AF" w:rsidRDefault="001E2A51"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Transporti</w:t>
            </w:r>
          </w:p>
        </w:tc>
        <w:tc>
          <w:tcPr>
            <w:tcW w:w="1202" w:type="pct"/>
            <w:tcBorders>
              <w:top w:val="nil"/>
              <w:left w:val="nil"/>
              <w:bottom w:val="nil"/>
              <w:right w:val="nil"/>
            </w:tcBorders>
            <w:shd w:val="clear" w:color="auto" w:fill="auto"/>
            <w:noWrap/>
            <w:vAlign w:val="bottom"/>
            <w:hideMark/>
          </w:tcPr>
          <w:p w14:paraId="6EDD01AF" w14:textId="39E6A37A"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217,070 </w:t>
            </w:r>
          </w:p>
        </w:tc>
        <w:tc>
          <w:tcPr>
            <w:tcW w:w="1262" w:type="pct"/>
            <w:tcBorders>
              <w:top w:val="nil"/>
              <w:left w:val="nil"/>
              <w:bottom w:val="nil"/>
              <w:right w:val="nil"/>
            </w:tcBorders>
            <w:shd w:val="clear" w:color="auto" w:fill="auto"/>
            <w:noWrap/>
            <w:vAlign w:val="bottom"/>
            <w:hideMark/>
          </w:tcPr>
          <w:p w14:paraId="6EDD01B0" w14:textId="0C3E6C43"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1,120 </w:t>
            </w:r>
          </w:p>
        </w:tc>
        <w:tc>
          <w:tcPr>
            <w:tcW w:w="710" w:type="pct"/>
            <w:tcBorders>
              <w:top w:val="nil"/>
              <w:left w:val="nil"/>
              <w:bottom w:val="nil"/>
              <w:right w:val="nil"/>
            </w:tcBorders>
            <w:shd w:val="clear" w:color="auto" w:fill="auto"/>
            <w:noWrap/>
            <w:vAlign w:val="bottom"/>
            <w:hideMark/>
          </w:tcPr>
          <w:p w14:paraId="6EDD01B1" w14:textId="02994BD5"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c>
          <w:tcPr>
            <w:tcW w:w="1192" w:type="pct"/>
            <w:tcBorders>
              <w:top w:val="nil"/>
              <w:left w:val="single" w:sz="4" w:space="0" w:color="auto"/>
              <w:bottom w:val="single" w:sz="4" w:space="0" w:color="auto"/>
              <w:right w:val="single" w:sz="4" w:space="0" w:color="auto"/>
            </w:tcBorders>
            <w:shd w:val="clear" w:color="000000" w:fill="EBF1DE"/>
            <w:noWrap/>
            <w:vAlign w:val="bottom"/>
            <w:hideMark/>
          </w:tcPr>
          <w:p w14:paraId="6EDD01B2" w14:textId="6EC3223D" w:rsidR="001E2A51"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218,190 </w:t>
            </w:r>
          </w:p>
        </w:tc>
      </w:tr>
      <w:tr w:rsidR="001E2A51" w:rsidRPr="007114AF" w14:paraId="6EDD01B9" w14:textId="77777777" w:rsidTr="00A45C8C">
        <w:trPr>
          <w:trHeight w:val="300"/>
        </w:trPr>
        <w:tc>
          <w:tcPr>
            <w:tcW w:w="634" w:type="pct"/>
            <w:tcBorders>
              <w:top w:val="nil"/>
              <w:left w:val="single" w:sz="4" w:space="0" w:color="auto"/>
              <w:bottom w:val="single" w:sz="4" w:space="0" w:color="auto"/>
              <w:right w:val="single" w:sz="4" w:space="0" w:color="auto"/>
            </w:tcBorders>
            <w:shd w:val="clear" w:color="000000" w:fill="EBF1DE"/>
            <w:noWrap/>
            <w:vAlign w:val="bottom"/>
            <w:hideMark/>
          </w:tcPr>
          <w:p w14:paraId="6EDD01B4" w14:textId="77777777" w:rsidR="001E2A51" w:rsidRPr="007114AF" w:rsidRDefault="001E2A51"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Bujqesia</w:t>
            </w:r>
          </w:p>
        </w:tc>
        <w:tc>
          <w:tcPr>
            <w:tcW w:w="1202" w:type="pct"/>
            <w:tcBorders>
              <w:top w:val="nil"/>
              <w:left w:val="nil"/>
              <w:bottom w:val="nil"/>
              <w:right w:val="nil"/>
            </w:tcBorders>
            <w:shd w:val="clear" w:color="auto" w:fill="auto"/>
            <w:noWrap/>
            <w:vAlign w:val="bottom"/>
            <w:hideMark/>
          </w:tcPr>
          <w:p w14:paraId="6EDD01B5" w14:textId="27470BD6"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w:t>
            </w:r>
            <w:r w:rsidRPr="007114AF">
              <w:rPr>
                <w:rFonts w:ascii="Garamond" w:eastAsia="Times New Roman" w:hAnsi="Garamond" w:cs="Times New Roman"/>
                <w:color w:val="000000"/>
                <w:sz w:val="18"/>
                <w:szCs w:val="18"/>
                <w:lang w:eastAsia="en-US"/>
              </w:rPr>
              <w:t xml:space="preserve"> </w:t>
            </w:r>
          </w:p>
        </w:tc>
        <w:tc>
          <w:tcPr>
            <w:tcW w:w="1262" w:type="pct"/>
            <w:tcBorders>
              <w:top w:val="nil"/>
              <w:left w:val="nil"/>
              <w:bottom w:val="nil"/>
              <w:right w:val="nil"/>
            </w:tcBorders>
            <w:shd w:val="clear" w:color="auto" w:fill="auto"/>
            <w:noWrap/>
            <w:vAlign w:val="bottom"/>
            <w:hideMark/>
          </w:tcPr>
          <w:p w14:paraId="6EDD01B6" w14:textId="62254CBB"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w:t>
            </w:r>
            <w:r w:rsidRPr="007114AF">
              <w:rPr>
                <w:rFonts w:ascii="Garamond" w:eastAsia="Times New Roman" w:hAnsi="Garamond" w:cs="Times New Roman"/>
                <w:color w:val="000000"/>
                <w:sz w:val="18"/>
                <w:szCs w:val="18"/>
                <w:lang w:eastAsia="en-US"/>
              </w:rPr>
              <w:t xml:space="preserve"> </w:t>
            </w:r>
          </w:p>
        </w:tc>
        <w:tc>
          <w:tcPr>
            <w:tcW w:w="710" w:type="pct"/>
            <w:tcBorders>
              <w:top w:val="nil"/>
              <w:left w:val="nil"/>
              <w:bottom w:val="nil"/>
              <w:right w:val="nil"/>
            </w:tcBorders>
            <w:shd w:val="clear" w:color="auto" w:fill="auto"/>
            <w:noWrap/>
            <w:vAlign w:val="bottom"/>
            <w:hideMark/>
          </w:tcPr>
          <w:p w14:paraId="6EDD01B7" w14:textId="54DAC8B9"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c>
          <w:tcPr>
            <w:tcW w:w="1192" w:type="pct"/>
            <w:tcBorders>
              <w:top w:val="nil"/>
              <w:left w:val="single" w:sz="4" w:space="0" w:color="auto"/>
              <w:bottom w:val="single" w:sz="4" w:space="0" w:color="auto"/>
              <w:right w:val="single" w:sz="4" w:space="0" w:color="auto"/>
            </w:tcBorders>
            <w:shd w:val="clear" w:color="000000" w:fill="EBF1DE"/>
            <w:noWrap/>
            <w:vAlign w:val="bottom"/>
            <w:hideMark/>
          </w:tcPr>
          <w:p w14:paraId="6EDD01B8" w14:textId="1227693B" w:rsidR="001E2A51"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r>
      <w:tr w:rsidR="001E2A51" w:rsidRPr="007114AF" w14:paraId="6EDD01BF" w14:textId="77777777" w:rsidTr="00A45C8C">
        <w:trPr>
          <w:trHeight w:val="300"/>
        </w:trPr>
        <w:tc>
          <w:tcPr>
            <w:tcW w:w="634" w:type="pct"/>
            <w:tcBorders>
              <w:top w:val="nil"/>
              <w:left w:val="single" w:sz="4" w:space="0" w:color="auto"/>
              <w:bottom w:val="single" w:sz="4" w:space="0" w:color="auto"/>
              <w:right w:val="single" w:sz="4" w:space="0" w:color="auto"/>
            </w:tcBorders>
            <w:shd w:val="clear" w:color="000000" w:fill="EBF1DE"/>
            <w:noWrap/>
            <w:vAlign w:val="bottom"/>
            <w:hideMark/>
          </w:tcPr>
          <w:p w14:paraId="6EDD01BA" w14:textId="77777777" w:rsidR="001E2A51" w:rsidRPr="007114AF" w:rsidRDefault="001E2A51"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Toka+Pyjet</w:t>
            </w:r>
          </w:p>
        </w:tc>
        <w:tc>
          <w:tcPr>
            <w:tcW w:w="1202" w:type="pct"/>
            <w:tcBorders>
              <w:top w:val="nil"/>
              <w:left w:val="nil"/>
              <w:bottom w:val="nil"/>
              <w:right w:val="nil"/>
            </w:tcBorders>
            <w:shd w:val="clear" w:color="auto" w:fill="auto"/>
            <w:noWrap/>
            <w:vAlign w:val="bottom"/>
            <w:hideMark/>
          </w:tcPr>
          <w:p w14:paraId="6EDD01BB" w14:textId="24841878"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w:t>
            </w:r>
            <w:r w:rsidRPr="007114AF">
              <w:rPr>
                <w:rFonts w:ascii="Garamond" w:eastAsia="Times New Roman" w:hAnsi="Garamond" w:cs="Times New Roman"/>
                <w:color w:val="000000"/>
                <w:sz w:val="18"/>
                <w:szCs w:val="18"/>
                <w:lang w:eastAsia="en-US"/>
              </w:rPr>
              <w:t xml:space="preserve"> </w:t>
            </w:r>
          </w:p>
        </w:tc>
        <w:tc>
          <w:tcPr>
            <w:tcW w:w="1262" w:type="pct"/>
            <w:tcBorders>
              <w:top w:val="nil"/>
              <w:left w:val="nil"/>
              <w:bottom w:val="nil"/>
              <w:right w:val="nil"/>
            </w:tcBorders>
            <w:shd w:val="clear" w:color="auto" w:fill="auto"/>
            <w:noWrap/>
            <w:vAlign w:val="bottom"/>
            <w:hideMark/>
          </w:tcPr>
          <w:p w14:paraId="6EDD01BC" w14:textId="7A9461BE"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w:t>
            </w:r>
            <w:r w:rsidRPr="007114AF">
              <w:rPr>
                <w:rFonts w:ascii="Garamond" w:eastAsia="Times New Roman" w:hAnsi="Garamond" w:cs="Times New Roman"/>
                <w:color w:val="000000"/>
                <w:sz w:val="18"/>
                <w:szCs w:val="18"/>
                <w:lang w:eastAsia="en-US"/>
              </w:rPr>
              <w:t xml:space="preserve"> </w:t>
            </w:r>
          </w:p>
        </w:tc>
        <w:tc>
          <w:tcPr>
            <w:tcW w:w="710" w:type="pct"/>
            <w:tcBorders>
              <w:top w:val="nil"/>
              <w:left w:val="nil"/>
              <w:bottom w:val="nil"/>
              <w:right w:val="nil"/>
            </w:tcBorders>
            <w:shd w:val="clear" w:color="auto" w:fill="auto"/>
            <w:noWrap/>
            <w:vAlign w:val="bottom"/>
            <w:hideMark/>
          </w:tcPr>
          <w:p w14:paraId="6EDD01BD" w14:textId="70C8F5A5"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c>
          <w:tcPr>
            <w:tcW w:w="1192" w:type="pct"/>
            <w:tcBorders>
              <w:top w:val="nil"/>
              <w:left w:val="single" w:sz="4" w:space="0" w:color="auto"/>
              <w:bottom w:val="single" w:sz="4" w:space="0" w:color="auto"/>
              <w:right w:val="single" w:sz="4" w:space="0" w:color="auto"/>
            </w:tcBorders>
            <w:shd w:val="clear" w:color="000000" w:fill="EBF1DE"/>
            <w:noWrap/>
            <w:vAlign w:val="bottom"/>
            <w:hideMark/>
          </w:tcPr>
          <w:p w14:paraId="6EDD01BE" w14:textId="60A0752D" w:rsidR="001E2A51"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r>
      <w:tr w:rsidR="001E2A51" w:rsidRPr="007114AF" w14:paraId="6EDD01C5" w14:textId="77777777" w:rsidTr="00A45C8C">
        <w:trPr>
          <w:trHeight w:val="315"/>
        </w:trPr>
        <w:tc>
          <w:tcPr>
            <w:tcW w:w="634" w:type="pct"/>
            <w:tcBorders>
              <w:top w:val="nil"/>
              <w:left w:val="single" w:sz="4" w:space="0" w:color="auto"/>
              <w:bottom w:val="single" w:sz="4" w:space="0" w:color="auto"/>
              <w:right w:val="single" w:sz="4" w:space="0" w:color="auto"/>
            </w:tcBorders>
            <w:shd w:val="clear" w:color="000000" w:fill="EBF1DE"/>
            <w:noWrap/>
            <w:vAlign w:val="bottom"/>
            <w:hideMark/>
          </w:tcPr>
          <w:p w14:paraId="6EDD01C0" w14:textId="77777777" w:rsidR="001E2A51" w:rsidRPr="007114AF" w:rsidRDefault="001E2A51"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Ndersektoriale</w:t>
            </w:r>
          </w:p>
        </w:tc>
        <w:tc>
          <w:tcPr>
            <w:tcW w:w="1202" w:type="pct"/>
            <w:tcBorders>
              <w:top w:val="nil"/>
              <w:left w:val="nil"/>
              <w:bottom w:val="nil"/>
              <w:right w:val="nil"/>
            </w:tcBorders>
            <w:shd w:val="clear" w:color="auto" w:fill="auto"/>
            <w:noWrap/>
            <w:vAlign w:val="bottom"/>
            <w:hideMark/>
          </w:tcPr>
          <w:p w14:paraId="6EDD01C1" w14:textId="7BC844B5"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w:t>
            </w:r>
            <w:r w:rsidRPr="007114AF">
              <w:rPr>
                <w:rFonts w:ascii="Garamond" w:eastAsia="Times New Roman" w:hAnsi="Garamond" w:cs="Times New Roman"/>
                <w:color w:val="000000"/>
                <w:sz w:val="18"/>
                <w:szCs w:val="18"/>
                <w:lang w:eastAsia="en-US"/>
              </w:rPr>
              <w:t xml:space="preserve"> </w:t>
            </w:r>
          </w:p>
        </w:tc>
        <w:tc>
          <w:tcPr>
            <w:tcW w:w="1262" w:type="pct"/>
            <w:tcBorders>
              <w:top w:val="nil"/>
              <w:left w:val="nil"/>
              <w:bottom w:val="nil"/>
              <w:right w:val="nil"/>
            </w:tcBorders>
            <w:shd w:val="clear" w:color="auto" w:fill="auto"/>
            <w:noWrap/>
            <w:vAlign w:val="bottom"/>
            <w:hideMark/>
          </w:tcPr>
          <w:p w14:paraId="6EDD01C2" w14:textId="575881EA"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w:t>
            </w:r>
            <w:r w:rsidRPr="007114AF">
              <w:rPr>
                <w:rFonts w:ascii="Garamond" w:eastAsia="Times New Roman" w:hAnsi="Garamond" w:cs="Times New Roman"/>
                <w:color w:val="000000"/>
                <w:sz w:val="18"/>
                <w:szCs w:val="18"/>
                <w:lang w:eastAsia="en-US"/>
              </w:rPr>
              <w:t xml:space="preserve"> </w:t>
            </w:r>
          </w:p>
        </w:tc>
        <w:tc>
          <w:tcPr>
            <w:tcW w:w="710" w:type="pct"/>
            <w:tcBorders>
              <w:top w:val="nil"/>
              <w:left w:val="nil"/>
              <w:bottom w:val="nil"/>
              <w:right w:val="nil"/>
            </w:tcBorders>
            <w:shd w:val="clear" w:color="auto" w:fill="auto"/>
            <w:noWrap/>
            <w:vAlign w:val="bottom"/>
            <w:hideMark/>
          </w:tcPr>
          <w:p w14:paraId="6EDD01C3" w14:textId="1A862CB7" w:rsidR="001E2A51" w:rsidRPr="007114AF" w:rsidRDefault="008D30FC"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c>
          <w:tcPr>
            <w:tcW w:w="1192" w:type="pct"/>
            <w:tcBorders>
              <w:top w:val="nil"/>
              <w:left w:val="single" w:sz="4" w:space="0" w:color="auto"/>
              <w:bottom w:val="nil"/>
              <w:right w:val="single" w:sz="4" w:space="0" w:color="auto"/>
            </w:tcBorders>
            <w:shd w:val="clear" w:color="000000" w:fill="EBF1DE"/>
            <w:noWrap/>
            <w:vAlign w:val="bottom"/>
            <w:hideMark/>
          </w:tcPr>
          <w:p w14:paraId="6EDD01C4" w14:textId="77777777" w:rsidR="001E2A51" w:rsidRPr="007114AF" w:rsidRDefault="001E2A51"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w:t>
            </w:r>
          </w:p>
        </w:tc>
      </w:tr>
      <w:tr w:rsidR="001E2A51" w:rsidRPr="007114AF" w14:paraId="6EDD01CB" w14:textId="77777777" w:rsidTr="00A45C8C">
        <w:trPr>
          <w:trHeight w:val="315"/>
        </w:trPr>
        <w:tc>
          <w:tcPr>
            <w:tcW w:w="634" w:type="pct"/>
            <w:tcBorders>
              <w:top w:val="nil"/>
              <w:left w:val="single" w:sz="8" w:space="0" w:color="auto"/>
              <w:bottom w:val="single" w:sz="8" w:space="0" w:color="auto"/>
              <w:right w:val="single" w:sz="4" w:space="0" w:color="auto"/>
            </w:tcBorders>
            <w:shd w:val="clear" w:color="000000" w:fill="EBF1DE"/>
            <w:noWrap/>
            <w:vAlign w:val="bottom"/>
            <w:hideMark/>
          </w:tcPr>
          <w:p w14:paraId="6EDD01C6" w14:textId="77777777" w:rsidR="001E2A51" w:rsidRPr="007114AF" w:rsidRDefault="001E2A51" w:rsidP="001C467C">
            <w:pPr>
              <w:spacing w:after="0" w:line="240" w:lineRule="auto"/>
              <w:jc w:val="left"/>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Total</w:t>
            </w:r>
          </w:p>
        </w:tc>
        <w:tc>
          <w:tcPr>
            <w:tcW w:w="1202" w:type="pct"/>
            <w:tcBorders>
              <w:top w:val="single" w:sz="8" w:space="0" w:color="auto"/>
              <w:left w:val="nil"/>
              <w:bottom w:val="single" w:sz="8" w:space="0" w:color="auto"/>
              <w:right w:val="single" w:sz="4" w:space="0" w:color="auto"/>
            </w:tcBorders>
            <w:shd w:val="clear" w:color="000000" w:fill="EBF1DE"/>
            <w:noWrap/>
            <w:vAlign w:val="bottom"/>
            <w:hideMark/>
          </w:tcPr>
          <w:p w14:paraId="6EDD01C7" w14:textId="1E03B21A" w:rsidR="001E2A51"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1,127,200 </w:t>
            </w:r>
          </w:p>
        </w:tc>
        <w:tc>
          <w:tcPr>
            <w:tcW w:w="1262" w:type="pct"/>
            <w:tcBorders>
              <w:top w:val="single" w:sz="8" w:space="0" w:color="auto"/>
              <w:left w:val="nil"/>
              <w:bottom w:val="single" w:sz="8" w:space="0" w:color="auto"/>
              <w:right w:val="single" w:sz="4" w:space="0" w:color="auto"/>
            </w:tcBorders>
            <w:shd w:val="clear" w:color="000000" w:fill="EBF1DE"/>
            <w:noWrap/>
            <w:vAlign w:val="bottom"/>
            <w:hideMark/>
          </w:tcPr>
          <w:p w14:paraId="6EDD01C8" w14:textId="19FEF4A6" w:rsidR="001E2A51"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5,205,120 </w:t>
            </w:r>
          </w:p>
        </w:tc>
        <w:tc>
          <w:tcPr>
            <w:tcW w:w="710" w:type="pct"/>
            <w:tcBorders>
              <w:top w:val="single" w:sz="8" w:space="0" w:color="auto"/>
              <w:left w:val="nil"/>
              <w:bottom w:val="single" w:sz="8" w:space="0" w:color="auto"/>
              <w:right w:val="single" w:sz="4" w:space="0" w:color="auto"/>
            </w:tcBorders>
            <w:shd w:val="clear" w:color="000000" w:fill="EBF1DE"/>
            <w:noWrap/>
            <w:vAlign w:val="bottom"/>
            <w:hideMark/>
          </w:tcPr>
          <w:p w14:paraId="6EDD01C9" w14:textId="0146A948" w:rsidR="001E2A51" w:rsidRPr="007114AF" w:rsidRDefault="008D30FC" w:rsidP="001C467C">
            <w:pPr>
              <w:spacing w:after="0" w:line="240" w:lineRule="auto"/>
              <w:jc w:val="center"/>
              <w:rPr>
                <w:rFonts w:ascii="Garamond" w:eastAsia="Times New Roman" w:hAnsi="Garamond" w:cs="Times New Roman"/>
                <w:color w:val="000000"/>
                <w:sz w:val="18"/>
                <w:szCs w:val="18"/>
                <w:lang w:eastAsia="en-US"/>
              </w:rPr>
            </w:pPr>
            <w:r w:rsidRPr="007114AF">
              <w:rPr>
                <w:rFonts w:ascii="Garamond" w:eastAsia="Times New Roman" w:hAnsi="Garamond" w:cs="Times New Roman"/>
                <w:color w:val="000000"/>
                <w:sz w:val="18"/>
                <w:szCs w:val="18"/>
                <w:lang w:eastAsia="en-US"/>
              </w:rPr>
              <w:t xml:space="preserve">      </w:t>
            </w:r>
            <w:r w:rsidR="001E2A51" w:rsidRPr="007114AF">
              <w:rPr>
                <w:rFonts w:ascii="Garamond" w:eastAsia="Times New Roman" w:hAnsi="Garamond" w:cs="Times New Roman"/>
                <w:color w:val="000000"/>
                <w:sz w:val="18"/>
                <w:szCs w:val="18"/>
                <w:lang w:eastAsia="en-US"/>
              </w:rPr>
              <w:t xml:space="preserve"> -</w:t>
            </w:r>
            <w:r w:rsidRPr="007114AF">
              <w:rPr>
                <w:rFonts w:ascii="Garamond" w:eastAsia="Times New Roman" w:hAnsi="Garamond" w:cs="Times New Roman"/>
                <w:color w:val="000000"/>
                <w:sz w:val="18"/>
                <w:szCs w:val="18"/>
                <w:lang w:eastAsia="en-US"/>
              </w:rPr>
              <w:t xml:space="preserve"> </w:t>
            </w:r>
          </w:p>
        </w:tc>
        <w:tc>
          <w:tcPr>
            <w:tcW w:w="1192" w:type="pct"/>
            <w:tcBorders>
              <w:top w:val="single" w:sz="8" w:space="0" w:color="auto"/>
              <w:left w:val="nil"/>
              <w:bottom w:val="single" w:sz="8" w:space="0" w:color="auto"/>
              <w:right w:val="single" w:sz="4" w:space="0" w:color="auto"/>
            </w:tcBorders>
            <w:shd w:val="clear" w:color="000000" w:fill="EBF1DE"/>
            <w:noWrap/>
            <w:vAlign w:val="bottom"/>
            <w:hideMark/>
          </w:tcPr>
          <w:p w14:paraId="6EDD01CA" w14:textId="634883E0" w:rsidR="001E2A51" w:rsidRPr="007114AF" w:rsidRDefault="008D30FC" w:rsidP="001C467C">
            <w:pPr>
              <w:spacing w:after="0" w:line="240" w:lineRule="auto"/>
              <w:jc w:val="center"/>
              <w:rPr>
                <w:rFonts w:ascii="Garamond" w:eastAsia="Times New Roman" w:hAnsi="Garamond" w:cs="Times New Roman"/>
                <w:b/>
                <w:bCs/>
                <w:color w:val="FF0000"/>
                <w:sz w:val="18"/>
                <w:szCs w:val="18"/>
                <w:lang w:eastAsia="en-US"/>
              </w:rPr>
            </w:pPr>
            <w:r w:rsidRPr="007114AF">
              <w:rPr>
                <w:rFonts w:ascii="Garamond" w:eastAsia="Times New Roman" w:hAnsi="Garamond" w:cs="Times New Roman"/>
                <w:b/>
                <w:bCs/>
                <w:color w:val="FF0000"/>
                <w:sz w:val="18"/>
                <w:szCs w:val="18"/>
                <w:lang w:eastAsia="en-US"/>
              </w:rPr>
              <w:t xml:space="preserve">       </w:t>
            </w:r>
            <w:r w:rsidR="000A2A01" w:rsidRPr="007114AF">
              <w:rPr>
                <w:rFonts w:ascii="Garamond" w:eastAsia="Times New Roman" w:hAnsi="Garamond" w:cs="Times New Roman"/>
                <w:b/>
                <w:bCs/>
                <w:color w:val="FF0000"/>
                <w:sz w:val="18"/>
                <w:szCs w:val="18"/>
                <w:lang w:eastAsia="en-US"/>
              </w:rPr>
              <w:t xml:space="preserve"> </w:t>
            </w:r>
            <w:r w:rsidR="001E2A51" w:rsidRPr="007114AF">
              <w:rPr>
                <w:rFonts w:ascii="Garamond" w:eastAsia="Times New Roman" w:hAnsi="Garamond" w:cs="Times New Roman"/>
                <w:b/>
                <w:bCs/>
                <w:color w:val="FF0000"/>
                <w:sz w:val="18"/>
                <w:szCs w:val="18"/>
                <w:lang w:eastAsia="en-US"/>
              </w:rPr>
              <w:t xml:space="preserve">6,332,320 </w:t>
            </w:r>
          </w:p>
        </w:tc>
      </w:tr>
    </w:tbl>
    <w:p w14:paraId="6EDD01CC" w14:textId="77777777" w:rsidR="00A45C8C" w:rsidRPr="007114AF" w:rsidRDefault="00A45C8C" w:rsidP="005F61FA">
      <w:pPr>
        <w:pStyle w:val="TEKSTI"/>
      </w:pPr>
    </w:p>
    <w:p w14:paraId="6EDD01CD" w14:textId="0C4E8BAE" w:rsidR="005F61FA" w:rsidRPr="007114AF" w:rsidRDefault="005F61FA" w:rsidP="005F61FA">
      <w:pPr>
        <w:pStyle w:val="TEKSTI"/>
      </w:pPr>
      <w:r w:rsidRPr="007114AF">
        <w:t>Hendeku financiar rezulton të jetë në pjesën më të madhe në masat që do të implementohen pas vitit 2022, kostot e të cilave bazohen në dokument</w:t>
      </w:r>
      <w:r w:rsidR="00FD5AD9">
        <w:t>e</w:t>
      </w:r>
      <w:r w:rsidRPr="007114AF">
        <w:t xml:space="preserve"> ekzistues</w:t>
      </w:r>
      <w:r w:rsidR="00FD5AD9">
        <w:t>e,</w:t>
      </w:r>
      <w:r w:rsidRPr="007114AF">
        <w:t xml:space="preserve"> si</w:t>
      </w:r>
      <w:r w:rsidR="00FD5AD9">
        <w:t>:</w:t>
      </w:r>
      <w:r w:rsidRPr="007114AF">
        <w:t xml:space="preserve"> Dokumenti i Politikave Strategjike për Mbrojtjen e Biodiversitetit, Plani Kombëtar i Veprimit për Efi</w:t>
      </w:r>
      <w:r w:rsidR="00FD5AD9">
        <w:t>ci</w:t>
      </w:r>
      <w:r w:rsidRPr="007114AF">
        <w:t xml:space="preserve">encën e Energjisë etj. hendeku financiar është parashikuar të financohet pjesërisht nga buxheti i shtetit dhe pjesa tjetër nga donatorët. Ky fakt duhet të </w:t>
      </w:r>
      <w:r w:rsidR="00FD5AD9" w:rsidRPr="007114AF">
        <w:t>ndërgjegjësoj</w:t>
      </w:r>
      <w:r w:rsidRPr="007114AF">
        <w:t xml:space="preserve"> institucionet implementuese për të parashikuar fonde të mjaftueshme për implementimin e këtyre masave në dokument</w:t>
      </w:r>
      <w:r w:rsidR="00FD5AD9">
        <w:t>e</w:t>
      </w:r>
      <w:r w:rsidRPr="007114AF">
        <w:t xml:space="preserve">t e buxheteve afatmesme të viteve në vijim si dhe të angazhohen për të kërkuar financime nga donatorë të ndryshëm. </w:t>
      </w:r>
    </w:p>
    <w:p w14:paraId="6EDD01CE" w14:textId="77777777" w:rsidR="00114B84" w:rsidRPr="007114AF" w:rsidRDefault="00114B84" w:rsidP="00524E98">
      <w:pPr>
        <w:pStyle w:val="TEKSTI"/>
      </w:pPr>
    </w:p>
    <w:tbl>
      <w:tblPr>
        <w:tblW w:w="4161" w:type="pct"/>
        <w:jc w:val="center"/>
        <w:tblLook w:val="04A0" w:firstRow="1" w:lastRow="0" w:firstColumn="1" w:lastColumn="0" w:noHBand="0" w:noVBand="1"/>
      </w:tblPr>
      <w:tblGrid>
        <w:gridCol w:w="2688"/>
        <w:gridCol w:w="2299"/>
        <w:gridCol w:w="2742"/>
      </w:tblGrid>
      <w:tr w:rsidR="005F61FA" w:rsidRPr="007114AF" w14:paraId="6EDD01D4" w14:textId="77777777" w:rsidTr="005F61FA">
        <w:trPr>
          <w:trHeight w:val="300"/>
          <w:jc w:val="center"/>
        </w:trPr>
        <w:tc>
          <w:tcPr>
            <w:tcW w:w="1739" w:type="pct"/>
            <w:tcBorders>
              <w:top w:val="nil"/>
              <w:left w:val="nil"/>
              <w:bottom w:val="nil"/>
              <w:right w:val="nil"/>
            </w:tcBorders>
            <w:shd w:val="clear" w:color="000000" w:fill="EBF1DE"/>
            <w:noWrap/>
            <w:vAlign w:val="bottom"/>
            <w:hideMark/>
          </w:tcPr>
          <w:p w14:paraId="6EDD01CF" w14:textId="77777777" w:rsidR="005F61FA" w:rsidRPr="007114AF" w:rsidRDefault="005F61FA" w:rsidP="001C467C">
            <w:pPr>
              <w:spacing w:after="0" w:line="240" w:lineRule="auto"/>
              <w:jc w:val="left"/>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w:t>
            </w:r>
          </w:p>
        </w:tc>
        <w:tc>
          <w:tcPr>
            <w:tcW w:w="1487" w:type="pct"/>
            <w:tcBorders>
              <w:top w:val="nil"/>
              <w:left w:val="nil"/>
              <w:bottom w:val="nil"/>
              <w:right w:val="nil"/>
            </w:tcBorders>
            <w:shd w:val="clear" w:color="000000" w:fill="EBF1DE"/>
            <w:noWrap/>
            <w:vAlign w:val="bottom"/>
            <w:hideMark/>
          </w:tcPr>
          <w:p w14:paraId="6EDD01D0" w14:textId="002C2D18" w:rsidR="005F61FA" w:rsidRPr="007114AF" w:rsidRDefault="005F61FA" w:rsidP="001C467C">
            <w:pPr>
              <w:spacing w:after="0" w:line="240" w:lineRule="auto"/>
              <w:jc w:val="center"/>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TOTALI (n</w:t>
            </w:r>
            <w:r w:rsidR="00FD5AD9">
              <w:rPr>
                <w:rFonts w:ascii="Garamond" w:eastAsia="Times New Roman" w:hAnsi="Garamond" w:cs="Times New Roman"/>
                <w:color w:val="000000"/>
                <w:lang w:eastAsia="en-US"/>
              </w:rPr>
              <w:t>ë</w:t>
            </w:r>
            <w:r w:rsidRPr="007114AF">
              <w:rPr>
                <w:rFonts w:ascii="Garamond" w:eastAsia="Times New Roman" w:hAnsi="Garamond" w:cs="Times New Roman"/>
                <w:color w:val="000000"/>
                <w:lang w:eastAsia="en-US"/>
              </w:rPr>
              <w:t xml:space="preserve"> 000 ALL)</w:t>
            </w:r>
          </w:p>
          <w:p w14:paraId="6EDD01D1" w14:textId="461ECC69" w:rsidR="005F61FA" w:rsidRPr="007114AF" w:rsidRDefault="005F61FA" w:rsidP="00A419A4">
            <w:pPr>
              <w:spacing w:after="0" w:line="240" w:lineRule="auto"/>
              <w:jc w:val="center"/>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Buxheti + </w:t>
            </w:r>
            <w:r w:rsidR="00A419A4">
              <w:rPr>
                <w:rFonts w:ascii="Garamond" w:eastAsia="Times New Roman" w:hAnsi="Garamond" w:cs="Times New Roman"/>
                <w:color w:val="000000"/>
                <w:lang w:eastAsia="en-US"/>
              </w:rPr>
              <w:t>d</w:t>
            </w:r>
            <w:r w:rsidRPr="007114AF">
              <w:rPr>
                <w:rFonts w:ascii="Garamond" w:eastAsia="Times New Roman" w:hAnsi="Garamond" w:cs="Times New Roman"/>
                <w:color w:val="000000"/>
                <w:lang w:eastAsia="en-US"/>
              </w:rPr>
              <w:t>onator</w:t>
            </w:r>
            <w:r w:rsidR="00A419A4">
              <w:rPr>
                <w:rFonts w:ascii="Garamond" w:eastAsia="Times New Roman" w:hAnsi="Garamond" w:cs="Times New Roman"/>
                <w:color w:val="000000"/>
                <w:lang w:eastAsia="en-US"/>
              </w:rPr>
              <w:t>ë</w:t>
            </w:r>
          </w:p>
        </w:tc>
        <w:tc>
          <w:tcPr>
            <w:tcW w:w="1774" w:type="pct"/>
            <w:tcBorders>
              <w:top w:val="nil"/>
              <w:left w:val="nil"/>
              <w:bottom w:val="nil"/>
              <w:right w:val="nil"/>
            </w:tcBorders>
            <w:shd w:val="clear" w:color="000000" w:fill="EBF1DE"/>
            <w:noWrap/>
            <w:vAlign w:val="bottom"/>
            <w:hideMark/>
          </w:tcPr>
          <w:p w14:paraId="6EDD01D2" w14:textId="77777777" w:rsidR="005F61FA" w:rsidRPr="007114AF" w:rsidRDefault="005F61FA" w:rsidP="001C467C">
            <w:pPr>
              <w:spacing w:after="0" w:line="240" w:lineRule="auto"/>
              <w:jc w:val="center"/>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 xml:space="preserve">Hendeku </w:t>
            </w:r>
          </w:p>
          <w:p w14:paraId="6EDD01D3" w14:textId="5191D716" w:rsidR="005F61FA" w:rsidRPr="007114AF" w:rsidRDefault="005F61FA" w:rsidP="00A419A4">
            <w:pPr>
              <w:spacing w:after="0" w:line="240" w:lineRule="auto"/>
              <w:jc w:val="center"/>
              <w:rPr>
                <w:rFonts w:ascii="Garamond" w:eastAsia="Times New Roman" w:hAnsi="Garamond" w:cs="Times New Roman"/>
                <w:color w:val="000000"/>
                <w:lang w:eastAsia="en-US"/>
              </w:rPr>
            </w:pPr>
            <w:r w:rsidRPr="007114AF">
              <w:rPr>
                <w:rFonts w:ascii="Garamond" w:eastAsia="Times New Roman" w:hAnsi="Garamond" w:cs="Times New Roman"/>
                <w:color w:val="000000"/>
                <w:lang w:eastAsia="en-US"/>
              </w:rPr>
              <w:t>(n</w:t>
            </w:r>
            <w:r w:rsidR="00A419A4">
              <w:rPr>
                <w:rFonts w:ascii="Garamond" w:eastAsia="Times New Roman" w:hAnsi="Garamond" w:cs="Times New Roman"/>
                <w:color w:val="000000"/>
                <w:lang w:eastAsia="en-US"/>
              </w:rPr>
              <w:t>ë</w:t>
            </w:r>
            <w:r w:rsidRPr="007114AF">
              <w:rPr>
                <w:rFonts w:ascii="Garamond" w:eastAsia="Times New Roman" w:hAnsi="Garamond" w:cs="Times New Roman"/>
                <w:color w:val="000000"/>
                <w:lang w:eastAsia="en-US"/>
              </w:rPr>
              <w:t xml:space="preserve"> 000 ALL)</w:t>
            </w:r>
          </w:p>
        </w:tc>
      </w:tr>
      <w:tr w:rsidR="005F61FA" w:rsidRPr="007114AF" w14:paraId="6EDD01D8" w14:textId="77777777" w:rsidTr="005F61FA">
        <w:trPr>
          <w:trHeight w:val="300"/>
          <w:jc w:val="center"/>
        </w:trPr>
        <w:tc>
          <w:tcPr>
            <w:tcW w:w="1739" w:type="pct"/>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6EDD01D5" w14:textId="68297FB8" w:rsidR="005F61FA" w:rsidRPr="007114AF" w:rsidRDefault="005F61FA" w:rsidP="001C467C">
            <w:pPr>
              <w:spacing w:after="0" w:line="240" w:lineRule="auto"/>
              <w:jc w:val="left"/>
              <w:rPr>
                <w:rFonts w:ascii="Garamond" w:eastAsia="Times New Roman" w:hAnsi="Garamond" w:cs="Times New Roman"/>
                <w:b/>
                <w:bCs/>
                <w:color w:val="000000"/>
                <w:lang w:eastAsia="en-US"/>
              </w:rPr>
            </w:pPr>
            <w:r w:rsidRPr="007114AF">
              <w:rPr>
                <w:rFonts w:ascii="Garamond" w:eastAsia="Times New Roman" w:hAnsi="Garamond" w:cs="Times New Roman"/>
                <w:b/>
                <w:bCs/>
                <w:color w:val="000000"/>
                <w:lang w:eastAsia="en-US"/>
              </w:rPr>
              <w:t>total</w:t>
            </w:r>
            <w:r w:rsidR="000A2A01" w:rsidRPr="007114AF">
              <w:rPr>
                <w:rFonts w:ascii="Garamond" w:eastAsia="Times New Roman" w:hAnsi="Garamond" w:cs="Times New Roman"/>
                <w:b/>
                <w:bCs/>
                <w:color w:val="000000"/>
                <w:lang w:eastAsia="en-US"/>
              </w:rPr>
              <w:t xml:space="preserve"> </w:t>
            </w:r>
            <w:r w:rsidRPr="00F2430D">
              <w:rPr>
                <w:rFonts w:ascii="Garamond" w:eastAsia="Times New Roman" w:hAnsi="Garamond" w:cs="Times New Roman"/>
                <w:b/>
                <w:bCs/>
                <w:color w:val="000000"/>
                <w:lang w:eastAsia="en-US"/>
              </w:rPr>
              <w:t>Pillars in Years</w:t>
            </w:r>
          </w:p>
        </w:tc>
        <w:tc>
          <w:tcPr>
            <w:tcW w:w="1487" w:type="pct"/>
            <w:tcBorders>
              <w:top w:val="single" w:sz="4" w:space="0" w:color="auto"/>
              <w:left w:val="nil"/>
              <w:bottom w:val="single" w:sz="4" w:space="0" w:color="auto"/>
              <w:right w:val="single" w:sz="4" w:space="0" w:color="auto"/>
            </w:tcBorders>
            <w:shd w:val="clear" w:color="000000" w:fill="EBF1DE"/>
            <w:noWrap/>
            <w:vAlign w:val="bottom"/>
            <w:hideMark/>
          </w:tcPr>
          <w:p w14:paraId="6EDD01D6" w14:textId="4358F20E" w:rsidR="005F61FA" w:rsidRPr="007114AF" w:rsidRDefault="008D30FC" w:rsidP="001C467C">
            <w:pPr>
              <w:spacing w:after="0" w:line="240" w:lineRule="auto"/>
              <w:jc w:val="center"/>
              <w:rPr>
                <w:rFonts w:ascii="Garamond" w:eastAsia="Times New Roman" w:hAnsi="Garamond" w:cs="Times New Roman"/>
                <w:b/>
                <w:bCs/>
                <w:color w:val="000000"/>
                <w:lang w:eastAsia="en-US"/>
              </w:rPr>
            </w:pPr>
            <w:r w:rsidRPr="007114AF">
              <w:rPr>
                <w:rFonts w:ascii="Garamond" w:eastAsia="Times New Roman" w:hAnsi="Garamond" w:cs="Times New Roman"/>
                <w:b/>
                <w:bCs/>
                <w:color w:val="000000"/>
                <w:lang w:eastAsia="en-US"/>
              </w:rPr>
              <w:t xml:space="preserve">     </w:t>
            </w:r>
            <w:r w:rsidR="000A2A01" w:rsidRPr="007114AF">
              <w:rPr>
                <w:rFonts w:ascii="Garamond" w:eastAsia="Times New Roman" w:hAnsi="Garamond" w:cs="Times New Roman"/>
                <w:b/>
                <w:bCs/>
                <w:color w:val="000000"/>
                <w:lang w:eastAsia="en-US"/>
              </w:rPr>
              <w:t xml:space="preserve"> </w:t>
            </w:r>
            <w:r w:rsidR="005F61FA" w:rsidRPr="007114AF">
              <w:rPr>
                <w:rFonts w:ascii="Garamond" w:eastAsia="Times New Roman" w:hAnsi="Garamond" w:cs="Times New Roman"/>
                <w:b/>
                <w:bCs/>
                <w:color w:val="000000"/>
                <w:lang w:eastAsia="en-US"/>
              </w:rPr>
              <w:t xml:space="preserve">87,616,177 </w:t>
            </w:r>
          </w:p>
        </w:tc>
        <w:tc>
          <w:tcPr>
            <w:tcW w:w="1774" w:type="pct"/>
            <w:tcBorders>
              <w:top w:val="single" w:sz="4" w:space="0" w:color="auto"/>
              <w:left w:val="nil"/>
              <w:bottom w:val="single" w:sz="4" w:space="0" w:color="auto"/>
              <w:right w:val="single" w:sz="4" w:space="0" w:color="auto"/>
            </w:tcBorders>
            <w:shd w:val="clear" w:color="000000" w:fill="EBF1DE"/>
            <w:noWrap/>
            <w:vAlign w:val="bottom"/>
            <w:hideMark/>
          </w:tcPr>
          <w:p w14:paraId="6EDD01D7" w14:textId="076F9482" w:rsidR="005F61FA" w:rsidRPr="007114AF" w:rsidRDefault="008D30FC" w:rsidP="001C467C">
            <w:pPr>
              <w:spacing w:after="0" w:line="240" w:lineRule="auto"/>
              <w:jc w:val="center"/>
              <w:rPr>
                <w:rFonts w:ascii="Garamond" w:eastAsia="Times New Roman" w:hAnsi="Garamond" w:cs="Times New Roman"/>
                <w:b/>
                <w:bCs/>
                <w:color w:val="000000"/>
                <w:lang w:eastAsia="en-US"/>
              </w:rPr>
            </w:pPr>
            <w:r w:rsidRPr="007114AF">
              <w:rPr>
                <w:rFonts w:ascii="Garamond" w:eastAsia="Times New Roman" w:hAnsi="Garamond" w:cs="Times New Roman"/>
                <w:b/>
                <w:bCs/>
                <w:color w:val="000000"/>
                <w:lang w:eastAsia="en-US"/>
              </w:rPr>
              <w:t xml:space="preserve">        </w:t>
            </w:r>
            <w:r w:rsidR="005F61FA" w:rsidRPr="007114AF">
              <w:rPr>
                <w:rFonts w:ascii="Garamond" w:eastAsia="Times New Roman" w:hAnsi="Garamond" w:cs="Times New Roman"/>
                <w:b/>
                <w:bCs/>
                <w:color w:val="000000"/>
                <w:lang w:eastAsia="en-US"/>
              </w:rPr>
              <w:t xml:space="preserve">12,196,464 </w:t>
            </w:r>
          </w:p>
        </w:tc>
      </w:tr>
    </w:tbl>
    <w:p w14:paraId="6EDD01D9" w14:textId="77777777" w:rsidR="001E2A51" w:rsidRPr="007114AF" w:rsidRDefault="001E2A51" w:rsidP="00524E98">
      <w:pPr>
        <w:pStyle w:val="TEKSTI"/>
      </w:pPr>
    </w:p>
    <w:p w14:paraId="6EDD01DA" w14:textId="77777777" w:rsidR="00E47E70" w:rsidRPr="007114AF" w:rsidRDefault="00E47E70" w:rsidP="00E47E70">
      <w:pPr>
        <w:pStyle w:val="TEKSTI"/>
      </w:pPr>
      <w:r w:rsidRPr="007114AF">
        <w:t>Në këtë kuadër, vlerësimii kostos i PKZNK-ës kryhet duke konsideruar pikat kyçe si më poshtë.</w:t>
      </w:r>
    </w:p>
    <w:p w14:paraId="6EDD01DB" w14:textId="77777777" w:rsidR="00E47E70" w:rsidRPr="007114AF" w:rsidRDefault="00A45C8C" w:rsidP="00E47E70">
      <w:pPr>
        <w:pStyle w:val="TEKSTI"/>
      </w:pPr>
      <w:r w:rsidRPr="007114AF">
        <w:t>-</w:t>
      </w:r>
      <w:r w:rsidR="00E47E70" w:rsidRPr="007114AF">
        <w:t xml:space="preserve"> Të gjitha vlerësimet e kostove të kryera në dokumentet strategjike ekzistuese (strategjitë e ndryshme dhe Planet e Veprimit) janë parë në detaj për këto masa të përfshira në këtë dokument. Këto kosto janë të përfshira, pa asnjë ndryshim, në kostot tashmë të përfshira në dokumentet ekzistuese.</w:t>
      </w:r>
    </w:p>
    <w:p w14:paraId="6EDD01DC" w14:textId="77777777" w:rsidR="00E47E70" w:rsidRPr="007114AF" w:rsidRDefault="00A45C8C" w:rsidP="00E47E70">
      <w:pPr>
        <w:pStyle w:val="TEKSTI"/>
      </w:pPr>
      <w:r w:rsidRPr="007114AF">
        <w:t>-</w:t>
      </w:r>
      <w:r w:rsidR="00E47E70" w:rsidRPr="007114AF">
        <w:t xml:space="preserve"> Për shumicën e masave në sektorin e transportit ne kemi marrë shifrat nga Plani Kombëtar i Transportit dhe Plani për një Transport të Qëndrueshëm. Kurdoherë që burimi i fondeve nuk specifikohet, ne kemi supozuar një mangësi në fonde.</w:t>
      </w:r>
    </w:p>
    <w:p w14:paraId="6EDD01DD" w14:textId="77777777" w:rsidR="00E47E70" w:rsidRPr="007114AF" w:rsidRDefault="00A45C8C" w:rsidP="00E47E70">
      <w:pPr>
        <w:pStyle w:val="TEKSTI"/>
      </w:pPr>
      <w:r w:rsidRPr="007114AF">
        <w:t>-</w:t>
      </w:r>
      <w:r w:rsidR="00E47E70" w:rsidRPr="007114AF">
        <w:t xml:space="preserve"> Shumë masa në sektorin energjetik i referohen Planit i Tretë i Veprimit Kombëtar ndaj Eficiencës së Energjisë (PKVEE).</w:t>
      </w:r>
    </w:p>
    <w:p w14:paraId="6EDD01DE" w14:textId="1D669A99" w:rsidR="00E47E70" w:rsidRPr="007114AF" w:rsidRDefault="00A45C8C" w:rsidP="00E47E70">
      <w:pPr>
        <w:pStyle w:val="TEKSTI"/>
      </w:pPr>
      <w:r w:rsidRPr="007114AF">
        <w:t>-</w:t>
      </w:r>
      <w:r w:rsidR="00A419A4">
        <w:t xml:space="preserve"> </w:t>
      </w:r>
      <w:r w:rsidR="00E47E70" w:rsidRPr="007114AF">
        <w:t>Disa masa janë të përfshira si rezultate në programin buxhetor të lidhura me Buxhetin Afatmesëm 2020</w:t>
      </w:r>
      <w:r w:rsidR="00A419A4">
        <w:t>–</w:t>
      </w:r>
      <w:r w:rsidR="00E47E70" w:rsidRPr="007114AF">
        <w:t>2022. Për këto masa ne kemi përdorur koston për njësi dhe kostot totale të parashikuara në Programin e Buxhetit Afatmesëm 2020</w:t>
      </w:r>
      <w:r w:rsidR="00A419A4">
        <w:t>–</w:t>
      </w:r>
      <w:r w:rsidR="00E47E70" w:rsidRPr="007114AF">
        <w:t>2022 (</w:t>
      </w:r>
      <w:r w:rsidR="00A419A4">
        <w:t>f</w:t>
      </w:r>
      <w:r w:rsidR="00E47E70" w:rsidRPr="007114AF">
        <w:t>aza II). Për çdo masë tjetër, buxheti i propozuar ka ndjekur praktikat ekzistuese (kosto e veprimeve të njëjta të ndërmarra në ministritë e linjës).</w:t>
      </w:r>
    </w:p>
    <w:p w14:paraId="6EDD01DF" w14:textId="77777777" w:rsidR="00E47E70" w:rsidRPr="007114AF" w:rsidRDefault="00A45C8C" w:rsidP="00E47E70">
      <w:pPr>
        <w:pStyle w:val="TEKSTI"/>
      </w:pPr>
      <w:r w:rsidRPr="007114AF">
        <w:t xml:space="preserve">- </w:t>
      </w:r>
      <w:r w:rsidR="00E47E70" w:rsidRPr="007114AF">
        <w:t xml:space="preserve">Kurdoherë një masë nuk tregon një buxhet specifik, kuptohet se shpenzimet operacionale të ministrive të linjës mbulojnë kostot e lidhura. </w:t>
      </w:r>
    </w:p>
    <w:p w14:paraId="6EDD01E0" w14:textId="7DFFC04C" w:rsidR="00E47E70" w:rsidRPr="007114AF" w:rsidRDefault="00A45C8C" w:rsidP="00E47E70">
      <w:pPr>
        <w:pStyle w:val="TEKSTI"/>
      </w:pPr>
      <w:r w:rsidRPr="007114AF">
        <w:t xml:space="preserve">- </w:t>
      </w:r>
      <w:r w:rsidR="00E47E70" w:rsidRPr="007114AF">
        <w:t xml:space="preserve">Kolona </w:t>
      </w:r>
      <w:r w:rsidR="000A2A01" w:rsidRPr="007114AF">
        <w:t>“</w:t>
      </w:r>
      <w:r w:rsidR="00E47E70" w:rsidRPr="007114AF">
        <w:t>Donatorët</w:t>
      </w:r>
      <w:r w:rsidR="000A2A01" w:rsidRPr="007114AF">
        <w:t>”</w:t>
      </w:r>
      <w:r w:rsidR="00E47E70" w:rsidRPr="007114AF">
        <w:t xml:space="preserve"> përfshin financime të siguruara, ndërsa kolona </w:t>
      </w:r>
      <w:r w:rsidR="000A2A01" w:rsidRPr="007114AF">
        <w:t>“</w:t>
      </w:r>
      <w:r w:rsidR="00E47E70" w:rsidRPr="007114AF">
        <w:t>Mungesa financiare</w:t>
      </w:r>
      <w:r w:rsidR="000A2A01" w:rsidRPr="007114AF">
        <w:t>”</w:t>
      </w:r>
      <w:r w:rsidR="00E47E70" w:rsidRPr="007114AF">
        <w:t xml:space="preserve"> përmbledh atë pjesë të financimit për të cilën nuk janë identifikuar burimet. Mungesa lidhet më masa të veçanta dhe mungesa financiare është identifikuar nga dokumentet që iu jemi referuar.</w:t>
      </w:r>
    </w:p>
    <w:p w14:paraId="6EDD01E1" w14:textId="650907AB" w:rsidR="00E47E70" w:rsidRPr="007114AF" w:rsidRDefault="00A45C8C" w:rsidP="00E47E70">
      <w:pPr>
        <w:pStyle w:val="TEKSTI"/>
      </w:pPr>
      <w:r w:rsidRPr="007114AF">
        <w:t xml:space="preserve">- </w:t>
      </w:r>
      <w:r w:rsidR="00E47E70" w:rsidRPr="007114AF">
        <w:t>masa që duhen ndërmarrë për arritjen e objektivit të zbutjes së ndryshimeve klimatike, nuk kanë si qëllim vetëm zbutjen e ndryshimeve klimatike në nivel global. Në të vërtetë, fillimisht ato kanë si qëllim përfitimet ekonomike kombëtare nga eficienca e energjisë, përmirësimi i rrjetit të transportit, pyllëzimet etj</w:t>
      </w:r>
      <w:r w:rsidR="00FD5AD9">
        <w:t>.</w:t>
      </w:r>
      <w:r w:rsidR="00E47E70" w:rsidRPr="007114AF">
        <w:t xml:space="preserve">, por në të njëjtën kohë kanë një efekt direkt, indirekt dhe mundësues në ndryshimet e zbutjes së ndryshimeve klimatike, reduktimin e shkarkimeve ose rritjen e përthithësve. Vlen të theksohet se këto masa kanë kosto të cilat do të kompensohen nga përfitime të shumëfishta: përfitime kombëtare ekonomike dhe efekte globale të zbutjes së ndryshimeve klimatike. Masat e PKZNK-ës janë klasifikuar si më poshtë: </w:t>
      </w:r>
    </w:p>
    <w:p w14:paraId="6EDD01E2" w14:textId="6A8A9B1D" w:rsidR="00E47E70" w:rsidRPr="007114AF" w:rsidRDefault="00E47E70" w:rsidP="00E47E70">
      <w:pPr>
        <w:pStyle w:val="TEKSTI"/>
      </w:pPr>
      <w:r w:rsidRPr="007114AF">
        <w:t xml:space="preserve">1) Masa direkte: ku përfshihen ato masa që kanë një impakt të </w:t>
      </w:r>
      <w:r w:rsidR="00FD5AD9" w:rsidRPr="007114AF">
        <w:t>drejtpërdrejtë</w:t>
      </w:r>
      <w:r w:rsidRPr="007114AF">
        <w:t xml:space="preserve"> tek zbutja e ndryshimeve klimatike, për sa i përket reduktimit të shkarkimeve ose rritjes së përthithësve të karbonit (p.sh. veprime konkrete, masa sp</w:t>
      </w:r>
      <w:r w:rsidR="00FD5AD9">
        <w:t>ecifike për një zonë të caktuar</w:t>
      </w:r>
      <w:r w:rsidRPr="007114AF">
        <w:t xml:space="preserve"> etj.);</w:t>
      </w:r>
    </w:p>
    <w:p w14:paraId="6EDD01E3" w14:textId="77777777" w:rsidR="00E47E70" w:rsidRPr="007114AF" w:rsidRDefault="00E47E70" w:rsidP="00E47E70">
      <w:pPr>
        <w:pStyle w:val="TEKSTI"/>
      </w:pPr>
      <w:r w:rsidRPr="007114AF">
        <w:t>2) Masa indirekte: ku përfshihen ato masa që kanë një impakt pozitiv, për sa i përket zbutjes së ndryshimeve klimatike, dhe që do të çojnë nga reduktimi afatshkurtër deri tek afatmesëm dhe afatgjatë, tek një reduktim indirekt i shkarkimit ose rritje të përthithësve të karbonit (p.sh. trajnime dhe rritje të ndërgjegjësimit, certifikim dhe skemë etiketimi, financim etj.);</w:t>
      </w:r>
    </w:p>
    <w:p w14:paraId="6EDD01E4" w14:textId="600611A3" w:rsidR="00E47E70" w:rsidRPr="007114AF" w:rsidRDefault="00E47E70" w:rsidP="00E47E70">
      <w:pPr>
        <w:pStyle w:val="TEKSTI"/>
      </w:pPr>
      <w:r w:rsidRPr="007114AF">
        <w:t>3) Masa mundësuese: duke përfshirë ato masa që janë funksionale për arritjen e kushteve të nevojshme, që lejojnë aplikimin e masave direkte/indirekte, të cilat çojnë në zb</w:t>
      </w:r>
      <w:r w:rsidR="00DA60B5">
        <w:t>utjen e ndryshimeve klimatike (</w:t>
      </w:r>
      <w:r w:rsidRPr="007114AF">
        <w:t>p.sh. forcimi i planifikimit territorial, përforcimi i marrëveshjeve institucionale, monitorimi etj.)</w:t>
      </w:r>
      <w:r w:rsidR="00DA60B5">
        <w:t>.</w:t>
      </w:r>
      <w:r w:rsidRPr="007114AF">
        <w:t xml:space="preserve"> </w:t>
      </w:r>
    </w:p>
    <w:p w14:paraId="6EDD01E5" w14:textId="6070DE32" w:rsidR="00E47E70" w:rsidRPr="007114AF" w:rsidRDefault="00E47E70" w:rsidP="00E47E70">
      <w:pPr>
        <w:pStyle w:val="TEKSTI"/>
      </w:pPr>
      <w:r w:rsidRPr="007114AF">
        <w:t>Kosto totale e parashikuar për implementimin e dokumentit të strategjisë kombëtare dhe planeve të veprimit për zbutjen e gazeve me efekt serrë dhe përshtatjen ndaj ndryshimeve klimatike është</w:t>
      </w:r>
      <w:r w:rsidR="000A2A01" w:rsidRPr="007114AF">
        <w:t xml:space="preserve"> </w:t>
      </w:r>
      <w:r w:rsidRPr="007114AF">
        <w:t>87,616,</w:t>
      </w:r>
      <w:r w:rsidR="00DA60B5">
        <w:t>177 (</w:t>
      </w:r>
      <w:r w:rsidRPr="007114AF">
        <w:t>në 000 ALL) bazuar në parashikimet e PBA 2020</w:t>
      </w:r>
      <w:r w:rsidR="00DA60B5">
        <w:t>–</w:t>
      </w:r>
      <w:r w:rsidRPr="007114AF">
        <w:t>2022 të institucioneve përgjegjëse dhe donatorëve të mundshëm. Hendeku financiar që i përket më së shumti masave që do të implementohen pas vitit 2022, është 12,196,464 (në 000 ALL) që përbën 12% të kostos totale. Zbatimi i suksesshëm i PKZNK-ës ka mundësi të përballet me sfida për arsye të rreziqeve specifike, të cilat duhet të merren në konsideratë, për të mos krijuar vështirësi reale në procesin e zbatimit të PKZNK-</w:t>
      </w:r>
      <w:r w:rsidRPr="007114AF">
        <w:rPr>
          <w:rFonts w:cs="Times New Roman"/>
        </w:rPr>
        <w:t>ës</w:t>
      </w:r>
      <w:r w:rsidR="00FD5AD9">
        <w:rPr>
          <w:rFonts w:cs="Times New Roman"/>
        </w:rPr>
        <w:t xml:space="preserve"> </w:t>
      </w:r>
      <w:r w:rsidRPr="007114AF">
        <w:t>dhe janë të lidhura me dy shtresat e qeverisjes: Qeverisja qendrore (ministritë përgjegjëse për zbatimin e Planit të Veprimit) dhe Njësitë Vendore të Vetëqeverisjes.</w:t>
      </w:r>
    </w:p>
    <w:p w14:paraId="6EDD01E6" w14:textId="39CA9576" w:rsidR="00E47E70" w:rsidRPr="007114AF" w:rsidRDefault="00E47E70" w:rsidP="00E47E70">
      <w:pPr>
        <w:pStyle w:val="TEKSTI"/>
      </w:pPr>
      <w:r w:rsidRPr="007114AF">
        <w:t>Rreziqet në nivelin e qeverisjes qendrore janë kryesisht të lidhura me detyrimin e të gjitha institucioneve të duhura të përfshira në këtë PKZNK-ë</w:t>
      </w:r>
      <w:r w:rsidR="00FD5AD9">
        <w:t xml:space="preserve"> </w:t>
      </w:r>
      <w:r w:rsidRPr="007114AF">
        <w:t>në mbështetje të zbatimit të PKZNK-ës dhe mbështetja me fondet e nevojshme, për të mundësuar një ekzekutim të plotë të aktiviteteve të planëzuara.</w:t>
      </w:r>
    </w:p>
    <w:p w14:paraId="6EDD01E7" w14:textId="77777777" w:rsidR="00E47E70" w:rsidRPr="007114AF" w:rsidRDefault="00E47E70" w:rsidP="00E47E70">
      <w:pPr>
        <w:pStyle w:val="TEKSTI"/>
      </w:pPr>
      <w:r w:rsidRPr="007114AF">
        <w:t>Qeverisja vendore dhe rreziqet janë kryesisht të lidhura me detyrimin e NjVQV-e, për të zbatuar masat të cilat janë pjesë të PKZNK-ës, dhe detyrimin e tyre për të kontribuar me të ardhurat e tyre, për të dhënë fonde për aktivitetet e planëzuara dhe/ose shërbimet.</w:t>
      </w:r>
    </w:p>
    <w:p w14:paraId="6EDD01E8" w14:textId="77777777" w:rsidR="00AC399F" w:rsidRPr="007114AF" w:rsidRDefault="00AC399F" w:rsidP="00E47E70">
      <w:pPr>
        <w:pStyle w:val="TEKSTI"/>
      </w:pPr>
    </w:p>
    <w:p w14:paraId="6EDD01E9" w14:textId="77777777" w:rsidR="00AC399F" w:rsidRPr="007114AF" w:rsidRDefault="00AC399F" w:rsidP="00E47E70">
      <w:pPr>
        <w:pStyle w:val="TEKSTI"/>
      </w:pPr>
    </w:p>
    <w:p w14:paraId="6EDD01EA" w14:textId="77777777" w:rsidR="00AC399F" w:rsidRPr="007114AF" w:rsidRDefault="00AC399F" w:rsidP="00E47E70">
      <w:pPr>
        <w:pStyle w:val="TEKSTI"/>
      </w:pPr>
    </w:p>
    <w:p w14:paraId="6EDD01EB" w14:textId="77777777" w:rsidR="00AC399F" w:rsidRPr="007114AF" w:rsidRDefault="00AC399F" w:rsidP="00E47E70">
      <w:pPr>
        <w:pStyle w:val="TEKSTI"/>
      </w:pPr>
    </w:p>
    <w:p w14:paraId="6EDD01EC" w14:textId="55B0F003" w:rsidR="00881E70" w:rsidRDefault="00881E70" w:rsidP="00E47E70">
      <w:pPr>
        <w:pStyle w:val="TEKSTI"/>
      </w:pPr>
    </w:p>
    <w:p w14:paraId="32EFC6FA" w14:textId="77777777" w:rsidR="00881E70" w:rsidRPr="00881E70" w:rsidRDefault="00881E70" w:rsidP="00881E70"/>
    <w:p w14:paraId="31842DA7" w14:textId="77777777" w:rsidR="00881E70" w:rsidRPr="00881E70" w:rsidRDefault="00881E70" w:rsidP="00881E70"/>
    <w:p w14:paraId="20EC38D9" w14:textId="77777777" w:rsidR="00881E70" w:rsidRPr="00881E70" w:rsidRDefault="00881E70" w:rsidP="00881E70"/>
    <w:p w14:paraId="3A57D955" w14:textId="77777777" w:rsidR="00881E70" w:rsidRPr="00881E70" w:rsidRDefault="00881E70" w:rsidP="00881E70"/>
    <w:p w14:paraId="5216F5CE" w14:textId="77777777" w:rsidR="00881E70" w:rsidRPr="00881E70" w:rsidRDefault="00881E70" w:rsidP="00881E70"/>
    <w:p w14:paraId="2CB54BB0" w14:textId="77777777" w:rsidR="00881E70" w:rsidRPr="00881E70" w:rsidRDefault="00881E70" w:rsidP="00881E70"/>
    <w:p w14:paraId="3207826F" w14:textId="77777777" w:rsidR="00881E70" w:rsidRPr="00881E70" w:rsidRDefault="00881E70" w:rsidP="00881E70"/>
    <w:p w14:paraId="2261655A" w14:textId="77777777" w:rsidR="00881E70" w:rsidRPr="00881E70" w:rsidRDefault="00881E70" w:rsidP="00881E70"/>
    <w:p w14:paraId="1907D7EA" w14:textId="77777777" w:rsidR="00881E70" w:rsidRPr="00881E70" w:rsidRDefault="00881E70" w:rsidP="00881E70"/>
    <w:p w14:paraId="70B8B892" w14:textId="77777777" w:rsidR="00881E70" w:rsidRPr="00881E70" w:rsidRDefault="00881E70" w:rsidP="00881E70"/>
    <w:p w14:paraId="4DFF8626" w14:textId="77777777" w:rsidR="00881E70" w:rsidRPr="00881E70" w:rsidRDefault="00881E70" w:rsidP="00881E70"/>
    <w:p w14:paraId="0EB08503" w14:textId="77777777" w:rsidR="00881E70" w:rsidRPr="00881E70" w:rsidRDefault="00881E70" w:rsidP="00881E70"/>
    <w:p w14:paraId="7C059CED" w14:textId="77777777" w:rsidR="00881E70" w:rsidRPr="00881E70" w:rsidRDefault="00881E70" w:rsidP="00881E70"/>
    <w:p w14:paraId="16799C04" w14:textId="77777777" w:rsidR="00881E70" w:rsidRPr="00881E70" w:rsidRDefault="00881E70" w:rsidP="00881E70"/>
    <w:p w14:paraId="3E052551" w14:textId="77777777" w:rsidR="00881E70" w:rsidRPr="00881E70" w:rsidRDefault="00881E70" w:rsidP="00881E70"/>
    <w:p w14:paraId="42A971A6" w14:textId="77777777" w:rsidR="00881E70" w:rsidRPr="00881E70" w:rsidRDefault="00881E70" w:rsidP="00881E70"/>
    <w:p w14:paraId="5229CD79" w14:textId="77777777" w:rsidR="00881E70" w:rsidRPr="00881E70" w:rsidRDefault="00881E70" w:rsidP="00881E70"/>
    <w:p w14:paraId="600A9117" w14:textId="77777777" w:rsidR="00881E70" w:rsidRPr="00881E70" w:rsidRDefault="00881E70" w:rsidP="00881E70"/>
    <w:p w14:paraId="7FF48CCF" w14:textId="60748B0F" w:rsidR="00881E70" w:rsidRDefault="00881E70" w:rsidP="00881E70">
      <w:pPr>
        <w:tabs>
          <w:tab w:val="left" w:pos="1530"/>
        </w:tabs>
      </w:pPr>
      <w:r>
        <w:tab/>
      </w:r>
    </w:p>
    <w:p w14:paraId="43C854FC" w14:textId="4F0DD36B" w:rsidR="00A45C8C" w:rsidRPr="00881E70" w:rsidRDefault="00881E70" w:rsidP="00881E70">
      <w:pPr>
        <w:tabs>
          <w:tab w:val="left" w:pos="1530"/>
        </w:tabs>
        <w:sectPr w:rsidR="00A45C8C" w:rsidRPr="00881E70" w:rsidSect="00056A3A">
          <w:pgSz w:w="11907" w:h="16840" w:code="9"/>
          <w:pgMar w:top="1418" w:right="1418" w:bottom="1418" w:left="1418" w:header="1304" w:footer="1134" w:gutter="0"/>
          <w:cols w:space="720"/>
          <w:docGrid w:linePitch="360"/>
        </w:sectPr>
      </w:pPr>
      <w:r>
        <w:tab/>
      </w:r>
    </w:p>
    <w:p w14:paraId="6EDD01ED" w14:textId="63DF7ADF" w:rsidR="004C1E86" w:rsidRPr="007114AF" w:rsidRDefault="004C1E86" w:rsidP="004C1E86">
      <w:pPr>
        <w:pStyle w:val="TEKSTI"/>
        <w:rPr>
          <w:b/>
        </w:rPr>
      </w:pPr>
      <w:bookmarkStart w:id="174" w:name="_Toc476580578"/>
      <w:bookmarkStart w:id="175" w:name="_Toc484424525"/>
      <w:r w:rsidRPr="007114AF">
        <w:rPr>
          <w:b/>
        </w:rPr>
        <w:t>5.8 Kosto</w:t>
      </w:r>
      <w:r w:rsidR="00DA60B5">
        <w:rPr>
          <w:b/>
        </w:rPr>
        <w:t>ja</w:t>
      </w:r>
      <w:r w:rsidRPr="007114AF">
        <w:rPr>
          <w:b/>
        </w:rPr>
        <w:t xml:space="preserve"> e masave</w:t>
      </w:r>
      <w:bookmarkEnd w:id="174"/>
      <w:bookmarkEnd w:id="175"/>
    </w:p>
    <w:p w14:paraId="6EDD01EE" w14:textId="77777777" w:rsidR="004C1E86" w:rsidRPr="007114AF" w:rsidRDefault="004C1E86" w:rsidP="004C1E86">
      <w:pPr>
        <w:pStyle w:val="TEKSTI"/>
        <w:rPr>
          <w:b/>
          <w:lang w:eastAsia="en-US"/>
        </w:rPr>
      </w:pPr>
      <w:bookmarkStart w:id="176" w:name="_Toc476580579"/>
      <w:bookmarkStart w:id="177" w:name="_Toc484424526"/>
      <w:r w:rsidRPr="007114AF">
        <w:rPr>
          <w:b/>
          <w:lang w:eastAsia="en-US"/>
        </w:rPr>
        <w:t>5.8.1 Energjia</w:t>
      </w:r>
      <w:bookmarkEnd w:id="176"/>
      <w:bookmarkEnd w:id="177"/>
    </w:p>
    <w:tbl>
      <w:tblPr>
        <w:tblStyle w:val="GridTable1Light-Accent11"/>
        <w:tblW w:w="14376" w:type="dxa"/>
        <w:jc w:val="center"/>
        <w:tblLayout w:type="fixed"/>
        <w:tblLook w:val="04A0" w:firstRow="1" w:lastRow="0" w:firstColumn="1" w:lastColumn="0" w:noHBand="0" w:noVBand="1"/>
      </w:tblPr>
      <w:tblGrid>
        <w:gridCol w:w="496"/>
        <w:gridCol w:w="2022"/>
        <w:gridCol w:w="1134"/>
        <w:gridCol w:w="992"/>
        <w:gridCol w:w="1014"/>
        <w:gridCol w:w="1538"/>
        <w:gridCol w:w="1276"/>
        <w:gridCol w:w="1134"/>
        <w:gridCol w:w="1276"/>
        <w:gridCol w:w="1134"/>
        <w:gridCol w:w="2360"/>
      </w:tblGrid>
      <w:tr w:rsidR="000235FE" w:rsidRPr="007114AF" w14:paraId="6EDD01FA" w14:textId="77777777" w:rsidTr="000235FE">
        <w:trPr>
          <w:cnfStyle w:val="100000000000" w:firstRow="1" w:lastRow="0" w:firstColumn="0" w:lastColumn="0" w:oddVBand="0" w:evenVBand="0" w:oddHBand="0" w:evenHBand="0" w:firstRowFirstColumn="0" w:firstRowLastColumn="0" w:lastRowFirstColumn="0" w:lastRowLastColumn="0"/>
          <w:cantSplit/>
          <w:trHeight w:val="20"/>
          <w:tblHeader/>
          <w:jc w:val="center"/>
        </w:trPr>
        <w:tc>
          <w:tcPr>
            <w:cnfStyle w:val="001000000000" w:firstRow="0" w:lastRow="0" w:firstColumn="1" w:lastColumn="0" w:oddVBand="0" w:evenVBand="0" w:oddHBand="0" w:evenHBand="0" w:firstRowFirstColumn="0" w:firstRowLastColumn="0" w:lastRowFirstColumn="0" w:lastRowLastColumn="0"/>
            <w:tcW w:w="496" w:type="dxa"/>
            <w:vAlign w:val="center"/>
            <w:hideMark/>
          </w:tcPr>
          <w:p w14:paraId="6EDD01EF" w14:textId="77777777" w:rsidR="000235FE" w:rsidRPr="007114AF" w:rsidRDefault="000235FE" w:rsidP="00DA60B5">
            <w:pPr>
              <w:spacing w:after="0"/>
              <w:jc w:val="center"/>
              <w:rPr>
                <w:rFonts w:ascii="Garamond" w:eastAsia="Times New Roman" w:hAnsi="Garamond" w:cs="Times New Roman"/>
                <w:bCs w:val="0"/>
                <w:sz w:val="18"/>
                <w:szCs w:val="18"/>
              </w:rPr>
            </w:pPr>
            <w:r w:rsidRPr="007114AF">
              <w:rPr>
                <w:rFonts w:ascii="Garamond" w:eastAsia="Times New Roman" w:hAnsi="Garamond" w:cs="Times New Roman"/>
                <w:sz w:val="18"/>
                <w:szCs w:val="18"/>
              </w:rPr>
              <w:t>ID</w:t>
            </w:r>
          </w:p>
        </w:tc>
        <w:tc>
          <w:tcPr>
            <w:tcW w:w="2022" w:type="dxa"/>
            <w:vAlign w:val="center"/>
            <w:hideMark/>
          </w:tcPr>
          <w:p w14:paraId="6EDD01F0" w14:textId="77777777" w:rsidR="000235FE" w:rsidRPr="007114AF" w:rsidRDefault="000235FE" w:rsidP="00DA60B5">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Masa</w:t>
            </w:r>
          </w:p>
        </w:tc>
        <w:tc>
          <w:tcPr>
            <w:tcW w:w="1134" w:type="dxa"/>
            <w:vAlign w:val="center"/>
            <w:hideMark/>
          </w:tcPr>
          <w:p w14:paraId="6EDD01F1" w14:textId="77777777" w:rsidR="000235FE" w:rsidRPr="007114AF" w:rsidRDefault="000235FE" w:rsidP="00DA60B5">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Viti/periudha</w:t>
            </w:r>
          </w:p>
        </w:tc>
        <w:tc>
          <w:tcPr>
            <w:tcW w:w="992" w:type="dxa"/>
            <w:vAlign w:val="center"/>
            <w:hideMark/>
          </w:tcPr>
          <w:p w14:paraId="6EDD01F2" w14:textId="77777777" w:rsidR="000235FE" w:rsidRPr="007114AF" w:rsidRDefault="000235FE" w:rsidP="00DA60B5">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Burimi</w:t>
            </w:r>
          </w:p>
        </w:tc>
        <w:tc>
          <w:tcPr>
            <w:tcW w:w="1014" w:type="dxa"/>
            <w:vAlign w:val="center"/>
          </w:tcPr>
          <w:p w14:paraId="6EDD01F3" w14:textId="77777777" w:rsidR="000235FE" w:rsidRPr="007114AF" w:rsidRDefault="000235FE" w:rsidP="00DA60B5">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hAnsi="Garamond"/>
                <w:sz w:val="18"/>
                <w:szCs w:val="18"/>
              </w:rPr>
              <w:t>Lloji i efektit</w:t>
            </w:r>
          </w:p>
        </w:tc>
        <w:tc>
          <w:tcPr>
            <w:tcW w:w="1538" w:type="dxa"/>
            <w:vAlign w:val="center"/>
            <w:hideMark/>
          </w:tcPr>
          <w:p w14:paraId="6EDD01F4" w14:textId="486EA5EB" w:rsidR="000235FE" w:rsidRPr="007114AF" w:rsidRDefault="000235FE" w:rsidP="00DA60B5">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 xml:space="preserve">Kosto </w:t>
            </w:r>
            <w:r w:rsidR="00DA60B5" w:rsidRPr="007114AF">
              <w:rPr>
                <w:rFonts w:ascii="Garamond" w:eastAsia="Times New Roman" w:hAnsi="Garamond" w:cs="Times New Roman"/>
                <w:sz w:val="18"/>
                <w:szCs w:val="18"/>
              </w:rPr>
              <w:t>t</w:t>
            </w:r>
            <w:r w:rsidRPr="007114AF">
              <w:rPr>
                <w:rFonts w:ascii="Garamond" w:eastAsia="Times New Roman" w:hAnsi="Garamond" w:cs="Times New Roman"/>
                <w:sz w:val="18"/>
                <w:szCs w:val="18"/>
              </w:rPr>
              <w:t>otale në mijëra ALL</w:t>
            </w:r>
          </w:p>
        </w:tc>
        <w:tc>
          <w:tcPr>
            <w:tcW w:w="1276" w:type="dxa"/>
            <w:vAlign w:val="center"/>
            <w:hideMark/>
          </w:tcPr>
          <w:p w14:paraId="6EDD01F5" w14:textId="77777777" w:rsidR="000235FE" w:rsidRPr="007114AF" w:rsidRDefault="000235FE" w:rsidP="00DA60B5">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Buxheti i Shtetit</w:t>
            </w:r>
          </w:p>
        </w:tc>
        <w:tc>
          <w:tcPr>
            <w:tcW w:w="1134" w:type="dxa"/>
            <w:vAlign w:val="center"/>
            <w:hideMark/>
          </w:tcPr>
          <w:p w14:paraId="6EDD01F6" w14:textId="77777777" w:rsidR="000235FE" w:rsidRPr="007114AF" w:rsidRDefault="000235FE" w:rsidP="00DA60B5">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Donatorët</w:t>
            </w:r>
          </w:p>
        </w:tc>
        <w:tc>
          <w:tcPr>
            <w:tcW w:w="1276" w:type="dxa"/>
            <w:vAlign w:val="center"/>
            <w:hideMark/>
          </w:tcPr>
          <w:p w14:paraId="6EDD01F7" w14:textId="77777777" w:rsidR="000235FE" w:rsidRPr="007114AF" w:rsidRDefault="000235FE" w:rsidP="00DA60B5">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Tjetër</w:t>
            </w:r>
          </w:p>
        </w:tc>
        <w:tc>
          <w:tcPr>
            <w:tcW w:w="1134" w:type="dxa"/>
            <w:vAlign w:val="center"/>
            <w:hideMark/>
          </w:tcPr>
          <w:p w14:paraId="6EDD01F8" w14:textId="77777777" w:rsidR="000235FE" w:rsidRPr="007114AF" w:rsidRDefault="000235FE" w:rsidP="00DA60B5">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Hapësira Financiare</w:t>
            </w:r>
          </w:p>
        </w:tc>
        <w:tc>
          <w:tcPr>
            <w:tcW w:w="2360" w:type="dxa"/>
            <w:vAlign w:val="center"/>
            <w:hideMark/>
          </w:tcPr>
          <w:p w14:paraId="6EDD01F9" w14:textId="77777777" w:rsidR="000235FE" w:rsidRPr="007114AF" w:rsidRDefault="000235FE" w:rsidP="00DA60B5">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Shënim mbi kostot</w:t>
            </w:r>
          </w:p>
        </w:tc>
      </w:tr>
      <w:tr w:rsidR="000235FE" w:rsidRPr="007114AF" w14:paraId="6EDD0206"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1FB"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w:t>
            </w:r>
          </w:p>
        </w:tc>
        <w:tc>
          <w:tcPr>
            <w:tcW w:w="2022" w:type="dxa"/>
            <w:vAlign w:val="center"/>
            <w:hideMark/>
          </w:tcPr>
          <w:p w14:paraId="6EDD01F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Kërkesat minimale të cilësisë termike tek SFH të sapondërtuara </w:t>
            </w:r>
          </w:p>
        </w:tc>
        <w:tc>
          <w:tcPr>
            <w:tcW w:w="1134" w:type="dxa"/>
            <w:vAlign w:val="center"/>
            <w:hideMark/>
          </w:tcPr>
          <w:p w14:paraId="6EDD01F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2017-2018</w:t>
            </w:r>
          </w:p>
        </w:tc>
        <w:tc>
          <w:tcPr>
            <w:tcW w:w="992" w:type="dxa"/>
            <w:vAlign w:val="center"/>
            <w:hideMark/>
          </w:tcPr>
          <w:p w14:paraId="6EDD01F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 Draftligji mbi EPD</w:t>
            </w:r>
          </w:p>
        </w:tc>
        <w:tc>
          <w:tcPr>
            <w:tcW w:w="1014" w:type="dxa"/>
            <w:vAlign w:val="center"/>
          </w:tcPr>
          <w:p w14:paraId="6EDD01F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w:t>
            </w:r>
          </w:p>
        </w:tc>
        <w:tc>
          <w:tcPr>
            <w:tcW w:w="1538" w:type="dxa"/>
            <w:vAlign w:val="center"/>
            <w:hideMark/>
          </w:tcPr>
          <w:p w14:paraId="6EDD020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w:t>
            </w:r>
          </w:p>
        </w:tc>
        <w:tc>
          <w:tcPr>
            <w:tcW w:w="1276" w:type="dxa"/>
            <w:vAlign w:val="center"/>
            <w:hideMark/>
          </w:tcPr>
          <w:p w14:paraId="6EDD020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w:t>
            </w:r>
          </w:p>
        </w:tc>
        <w:tc>
          <w:tcPr>
            <w:tcW w:w="1134" w:type="dxa"/>
            <w:vAlign w:val="center"/>
            <w:hideMark/>
          </w:tcPr>
          <w:p w14:paraId="6EDD020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0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0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0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për dizenjimin e një godine të re, në përputhje me dokumentin PKVEE</w:t>
            </w:r>
          </w:p>
        </w:tc>
      </w:tr>
      <w:tr w:rsidR="000235FE" w:rsidRPr="007114AF" w14:paraId="6EDD0212"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07"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E2</w:t>
            </w:r>
          </w:p>
        </w:tc>
        <w:tc>
          <w:tcPr>
            <w:tcW w:w="2022" w:type="dxa"/>
            <w:vAlign w:val="center"/>
            <w:hideMark/>
          </w:tcPr>
          <w:p w14:paraId="6EDD020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Detyrimin e zbatimit të kërkesave minimale për SFH</w:t>
            </w:r>
          </w:p>
        </w:tc>
        <w:tc>
          <w:tcPr>
            <w:tcW w:w="1134" w:type="dxa"/>
            <w:vAlign w:val="center"/>
            <w:hideMark/>
          </w:tcPr>
          <w:p w14:paraId="6EDD020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92" w:type="dxa"/>
            <w:vAlign w:val="center"/>
            <w:hideMark/>
          </w:tcPr>
          <w:p w14:paraId="6EDD020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 Draftligji mbi EPD</w:t>
            </w:r>
          </w:p>
        </w:tc>
        <w:tc>
          <w:tcPr>
            <w:tcW w:w="1014" w:type="dxa"/>
            <w:vAlign w:val="center"/>
          </w:tcPr>
          <w:p w14:paraId="6EDD020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vAlign w:val="center"/>
            <w:hideMark/>
          </w:tcPr>
          <w:p w14:paraId="6EDD020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276" w:type="dxa"/>
            <w:vAlign w:val="center"/>
            <w:hideMark/>
          </w:tcPr>
          <w:p w14:paraId="6EDD020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134" w:type="dxa"/>
            <w:vAlign w:val="center"/>
            <w:hideMark/>
          </w:tcPr>
          <w:p w14:paraId="6EDD020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0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1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11" w14:textId="11DA00F1"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Personel i shtuar për të kontrolluar eficiencën</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energjetike të godinave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(buxhetet bashkiakë)</w:t>
            </w:r>
          </w:p>
        </w:tc>
      </w:tr>
      <w:tr w:rsidR="000235FE" w:rsidRPr="007114AF" w14:paraId="6EDD021E"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13"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w:t>
            </w:r>
          </w:p>
        </w:tc>
        <w:tc>
          <w:tcPr>
            <w:tcW w:w="2022" w:type="dxa"/>
            <w:vAlign w:val="center"/>
            <w:hideMark/>
          </w:tcPr>
          <w:p w14:paraId="6EDD021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Kërkesat minimale mbi cilësinë termike të SFH të sapondërtuara</w:t>
            </w:r>
          </w:p>
        </w:tc>
        <w:tc>
          <w:tcPr>
            <w:tcW w:w="1134" w:type="dxa"/>
            <w:vAlign w:val="center"/>
            <w:hideMark/>
          </w:tcPr>
          <w:p w14:paraId="6EDD021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w:t>
            </w:r>
          </w:p>
        </w:tc>
        <w:tc>
          <w:tcPr>
            <w:tcW w:w="992" w:type="dxa"/>
            <w:vAlign w:val="center"/>
            <w:hideMark/>
          </w:tcPr>
          <w:p w14:paraId="6EDD021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 Draftligji mbi EPD</w:t>
            </w:r>
          </w:p>
        </w:tc>
        <w:tc>
          <w:tcPr>
            <w:tcW w:w="1014" w:type="dxa"/>
            <w:vAlign w:val="center"/>
          </w:tcPr>
          <w:p w14:paraId="6EDD021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538" w:type="dxa"/>
            <w:vAlign w:val="center"/>
            <w:hideMark/>
          </w:tcPr>
          <w:p w14:paraId="6EDD021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vAlign w:val="center"/>
            <w:hideMark/>
          </w:tcPr>
          <w:p w14:paraId="6EDD021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vAlign w:val="center"/>
            <w:hideMark/>
          </w:tcPr>
          <w:p w14:paraId="6EDD021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1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1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1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paraqitet për miratim në parlament dhe konsultohet me të interesuarit e ndryshëm. Nuk ka nevojë për fonde të tjera</w:t>
            </w:r>
          </w:p>
        </w:tc>
      </w:tr>
      <w:tr w:rsidR="000235FE" w:rsidRPr="007114AF" w14:paraId="6EDD022A"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1F"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w:t>
            </w:r>
          </w:p>
        </w:tc>
        <w:tc>
          <w:tcPr>
            <w:tcW w:w="2022" w:type="dxa"/>
            <w:vAlign w:val="center"/>
            <w:hideMark/>
          </w:tcPr>
          <w:p w14:paraId="6EDD022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Transferimin në praktikë të kuadrit të ri ligjor për banesat</w:t>
            </w:r>
          </w:p>
        </w:tc>
        <w:tc>
          <w:tcPr>
            <w:tcW w:w="1134" w:type="dxa"/>
            <w:vAlign w:val="center"/>
            <w:hideMark/>
          </w:tcPr>
          <w:p w14:paraId="6EDD022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2016-2019</w:t>
            </w:r>
          </w:p>
        </w:tc>
        <w:tc>
          <w:tcPr>
            <w:tcW w:w="992" w:type="dxa"/>
            <w:vAlign w:val="center"/>
            <w:hideMark/>
          </w:tcPr>
          <w:p w14:paraId="6EDD022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22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vAlign w:val="center"/>
            <w:hideMark/>
          </w:tcPr>
          <w:p w14:paraId="6EDD022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293,000.00</w:t>
            </w:r>
          </w:p>
        </w:tc>
        <w:tc>
          <w:tcPr>
            <w:tcW w:w="1276" w:type="dxa"/>
            <w:vAlign w:val="center"/>
            <w:hideMark/>
          </w:tcPr>
          <w:p w14:paraId="6EDD022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293,000.00</w:t>
            </w:r>
          </w:p>
        </w:tc>
        <w:tc>
          <w:tcPr>
            <w:tcW w:w="1134" w:type="dxa"/>
            <w:vAlign w:val="center"/>
            <w:hideMark/>
          </w:tcPr>
          <w:p w14:paraId="6EDD022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2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2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29" w14:textId="1B1C7B28" w:rsidR="000235FE" w:rsidRPr="007114AF" w:rsidRDefault="000A2A01"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w:t>
            </w:r>
            <w:r w:rsidR="000235FE" w:rsidRPr="007114AF">
              <w:rPr>
                <w:rFonts w:ascii="Garamond" w:eastAsia="Times New Roman" w:hAnsi="Garamond" w:cs="Times New Roman"/>
                <w:sz w:val="18"/>
                <w:szCs w:val="18"/>
              </w:rPr>
              <w:t>Nga fondi EF për të gjithë periudhën</w:t>
            </w:r>
            <w:r w:rsidRPr="007114AF">
              <w:rPr>
                <w:rFonts w:ascii="Garamond" w:eastAsia="Times New Roman" w:hAnsi="Garamond" w:cs="Times New Roman"/>
                <w:sz w:val="18"/>
                <w:szCs w:val="18"/>
              </w:rPr>
              <w:t>”</w:t>
            </w:r>
            <w:r w:rsidR="000235FE" w:rsidRPr="007114AF">
              <w:rPr>
                <w:rFonts w:ascii="Garamond" w:eastAsia="Times New Roman" w:hAnsi="Garamond" w:cs="Times New Roman"/>
                <w:sz w:val="18"/>
                <w:szCs w:val="18"/>
              </w:rPr>
              <w:t xml:space="preserve"> si rezultat i Programit </w:t>
            </w:r>
            <w:r w:rsidRPr="007114AF">
              <w:rPr>
                <w:rFonts w:ascii="Garamond" w:eastAsia="Times New Roman" w:hAnsi="Garamond" w:cs="Times New Roman"/>
                <w:sz w:val="18"/>
                <w:szCs w:val="18"/>
              </w:rPr>
              <w:t>“</w:t>
            </w:r>
            <w:r w:rsidR="000235FE" w:rsidRPr="007114AF">
              <w:rPr>
                <w:rFonts w:ascii="Garamond" w:eastAsia="Times New Roman" w:hAnsi="Garamond" w:cs="Times New Roman"/>
                <w:sz w:val="18"/>
                <w:szCs w:val="18"/>
              </w:rPr>
              <w:t>Planifikimi Urban dhe Banesat</w:t>
            </w:r>
            <w:r w:rsidRPr="007114AF">
              <w:rPr>
                <w:rFonts w:ascii="Garamond" w:eastAsia="Times New Roman" w:hAnsi="Garamond" w:cs="Times New Roman"/>
                <w:sz w:val="18"/>
                <w:szCs w:val="18"/>
              </w:rPr>
              <w:t>”</w:t>
            </w:r>
            <w:r w:rsidR="000235FE" w:rsidRPr="007114AF">
              <w:rPr>
                <w:rFonts w:ascii="Garamond" w:eastAsia="Times New Roman" w:hAnsi="Garamond" w:cs="Times New Roman"/>
                <w:sz w:val="18"/>
                <w:szCs w:val="18"/>
              </w:rPr>
              <w:t>; rehabilitimi i</w:t>
            </w:r>
            <w:r w:rsidRPr="007114AF">
              <w:rPr>
                <w:rFonts w:ascii="Garamond" w:eastAsia="Times New Roman" w:hAnsi="Garamond" w:cs="Times New Roman"/>
                <w:sz w:val="18"/>
                <w:szCs w:val="18"/>
              </w:rPr>
              <w:t xml:space="preserve"> </w:t>
            </w:r>
            <w:r w:rsidR="000235FE" w:rsidRPr="007114AF">
              <w:rPr>
                <w:rFonts w:ascii="Garamond" w:eastAsia="Times New Roman" w:hAnsi="Garamond" w:cs="Times New Roman"/>
                <w:sz w:val="18"/>
                <w:szCs w:val="18"/>
              </w:rPr>
              <w:t>MFH me qëllim të përdorimit racional të energjisë</w:t>
            </w:r>
          </w:p>
        </w:tc>
      </w:tr>
      <w:tr w:rsidR="000235FE" w:rsidRPr="007114AF" w14:paraId="6EDD0236"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2B"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w:t>
            </w:r>
          </w:p>
        </w:tc>
        <w:tc>
          <w:tcPr>
            <w:tcW w:w="2022" w:type="dxa"/>
            <w:vAlign w:val="center"/>
            <w:hideMark/>
          </w:tcPr>
          <w:p w14:paraId="6EDD022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Standarde të forta të efikasitetit energjetik për godinat e reja publike </w:t>
            </w:r>
          </w:p>
        </w:tc>
        <w:tc>
          <w:tcPr>
            <w:tcW w:w="1134" w:type="dxa"/>
            <w:vAlign w:val="center"/>
            <w:hideMark/>
          </w:tcPr>
          <w:p w14:paraId="6EDD022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992" w:type="dxa"/>
            <w:vAlign w:val="center"/>
            <w:hideMark/>
          </w:tcPr>
          <w:p w14:paraId="6EDD022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 Draftligji mbi EPD</w:t>
            </w:r>
          </w:p>
        </w:tc>
        <w:tc>
          <w:tcPr>
            <w:tcW w:w="1014" w:type="dxa"/>
            <w:vAlign w:val="center"/>
          </w:tcPr>
          <w:p w14:paraId="6EDD022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538" w:type="dxa"/>
            <w:vAlign w:val="center"/>
            <w:hideMark/>
          </w:tcPr>
          <w:p w14:paraId="6EDD023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vAlign w:val="center"/>
            <w:hideMark/>
          </w:tcPr>
          <w:p w14:paraId="6EDD023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23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3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3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3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është miratuar në 2016. Kostoja e akteve nënligjore është përfshirë në një masë tjetër. Nuk ka nevojë për fonde shtesë</w:t>
            </w:r>
          </w:p>
        </w:tc>
      </w:tr>
      <w:tr w:rsidR="000235FE" w:rsidRPr="007114AF" w14:paraId="6EDD0242"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37"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w:t>
            </w:r>
          </w:p>
        </w:tc>
        <w:tc>
          <w:tcPr>
            <w:tcW w:w="2022" w:type="dxa"/>
            <w:vAlign w:val="center"/>
            <w:hideMark/>
          </w:tcPr>
          <w:p w14:paraId="6EDD0238" w14:textId="4673B844"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Standardet</w:t>
            </w:r>
            <w:r w:rsidR="00FD5AD9">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 xml:space="preserve">minimale për ngrohjen dhe ftohjen për godinat e sapondërtuara të shërbimit </w:t>
            </w:r>
          </w:p>
        </w:tc>
        <w:tc>
          <w:tcPr>
            <w:tcW w:w="1134" w:type="dxa"/>
            <w:vAlign w:val="center"/>
            <w:hideMark/>
          </w:tcPr>
          <w:p w14:paraId="6EDD023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992" w:type="dxa"/>
            <w:vAlign w:val="center"/>
            <w:hideMark/>
          </w:tcPr>
          <w:p w14:paraId="6EDD023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23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538" w:type="dxa"/>
            <w:vAlign w:val="center"/>
            <w:hideMark/>
          </w:tcPr>
          <w:p w14:paraId="6EDD023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w:t>
            </w:r>
          </w:p>
        </w:tc>
        <w:tc>
          <w:tcPr>
            <w:tcW w:w="1276" w:type="dxa"/>
            <w:vAlign w:val="center"/>
            <w:hideMark/>
          </w:tcPr>
          <w:p w14:paraId="6EDD023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w:t>
            </w:r>
          </w:p>
        </w:tc>
        <w:tc>
          <w:tcPr>
            <w:tcW w:w="1134" w:type="dxa"/>
            <w:vAlign w:val="center"/>
            <w:hideMark/>
          </w:tcPr>
          <w:p w14:paraId="6EDD023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3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4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4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e hartimit të akteve nënligjore</w:t>
            </w:r>
          </w:p>
        </w:tc>
      </w:tr>
      <w:tr w:rsidR="000235FE" w:rsidRPr="007114AF" w14:paraId="6EDD024E"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43"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E7</w:t>
            </w:r>
          </w:p>
        </w:tc>
        <w:tc>
          <w:tcPr>
            <w:tcW w:w="2022" w:type="dxa"/>
            <w:vAlign w:val="center"/>
            <w:hideMark/>
          </w:tcPr>
          <w:p w14:paraId="6EDD0244" w14:textId="1AE28E26"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Objektivat minimalë energjet</w:t>
            </w:r>
            <w:r w:rsidR="00DA60B5">
              <w:rPr>
                <w:rFonts w:ascii="Garamond" w:eastAsia="Times New Roman" w:hAnsi="Garamond" w:cs="Times New Roman"/>
                <w:sz w:val="18"/>
                <w:szCs w:val="18"/>
              </w:rPr>
              <w:t>ik për ngrohje dhe ftohje (neni</w:t>
            </w:r>
            <w:r w:rsidR="00DA60B5"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30)</w:t>
            </w:r>
          </w:p>
        </w:tc>
        <w:tc>
          <w:tcPr>
            <w:tcW w:w="1134" w:type="dxa"/>
            <w:vAlign w:val="center"/>
            <w:hideMark/>
          </w:tcPr>
          <w:p w14:paraId="6EDD024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24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24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538" w:type="dxa"/>
            <w:noWrap/>
            <w:vAlign w:val="center"/>
            <w:hideMark/>
          </w:tcPr>
          <w:p w14:paraId="6EDD024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vAlign w:val="center"/>
            <w:hideMark/>
          </w:tcPr>
          <w:p w14:paraId="6EDD024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vAlign w:val="center"/>
            <w:hideMark/>
          </w:tcPr>
          <w:p w14:paraId="6EDD024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4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4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4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Draftvendim i Këshillit të Ministrave për sasinë e energjisë së rinovueshme që do të konsumohet deri në 2020; Masa 1 e planit Kombëtar për Burimet e Energjisë së Rinovueshme</w:t>
            </w:r>
          </w:p>
        </w:tc>
      </w:tr>
      <w:tr w:rsidR="000235FE" w:rsidRPr="007114AF" w14:paraId="6EDD025A"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4F"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E8</w:t>
            </w:r>
          </w:p>
        </w:tc>
        <w:tc>
          <w:tcPr>
            <w:tcW w:w="2022" w:type="dxa"/>
            <w:vAlign w:val="center"/>
            <w:hideMark/>
          </w:tcPr>
          <w:p w14:paraId="6EDD025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Minimumi i detyrueshëm i sistemeve të ngrohjes së ujit me panele diellore (Art. 31)</w:t>
            </w:r>
          </w:p>
        </w:tc>
        <w:tc>
          <w:tcPr>
            <w:tcW w:w="1134" w:type="dxa"/>
            <w:vAlign w:val="center"/>
            <w:hideMark/>
          </w:tcPr>
          <w:p w14:paraId="6EDD025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 (2018-2019)</w:t>
            </w:r>
          </w:p>
        </w:tc>
        <w:tc>
          <w:tcPr>
            <w:tcW w:w="992" w:type="dxa"/>
            <w:vAlign w:val="center"/>
            <w:hideMark/>
          </w:tcPr>
          <w:p w14:paraId="6EDD025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25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25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8,000.00</w:t>
            </w:r>
          </w:p>
        </w:tc>
        <w:tc>
          <w:tcPr>
            <w:tcW w:w="1276" w:type="dxa"/>
            <w:vAlign w:val="center"/>
            <w:hideMark/>
          </w:tcPr>
          <w:p w14:paraId="6EDD025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8,000.00</w:t>
            </w:r>
          </w:p>
        </w:tc>
        <w:tc>
          <w:tcPr>
            <w:tcW w:w="1134" w:type="dxa"/>
            <w:vAlign w:val="center"/>
            <w:hideMark/>
          </w:tcPr>
          <w:p w14:paraId="6EDD025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5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5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5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Monitorimi i Performancës së Energjisë në godinat ekzistuese, shtëpitë dhe shërbimet publike</w:t>
            </w:r>
          </w:p>
        </w:tc>
      </w:tr>
      <w:tr w:rsidR="000235FE" w:rsidRPr="007114AF" w14:paraId="6EDD0266"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5B"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E9</w:t>
            </w:r>
          </w:p>
        </w:tc>
        <w:tc>
          <w:tcPr>
            <w:tcW w:w="2022" w:type="dxa"/>
            <w:vAlign w:val="center"/>
            <w:hideMark/>
          </w:tcPr>
          <w:p w14:paraId="6EDD025C" w14:textId="2D9EF6ED"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Kursimet energjetike: standarde më të forta energjetike për godinat e reja të shërbimit, publike ose private, (efic</w:t>
            </w:r>
            <w:r w:rsidR="00FD5AD9">
              <w:rPr>
                <w:rFonts w:ascii="Garamond" w:eastAsia="Times New Roman" w:hAnsi="Garamond" w:cs="Times New Roman"/>
                <w:sz w:val="18"/>
                <w:szCs w:val="18"/>
              </w:rPr>
              <w:t>i</w:t>
            </w:r>
            <w:r w:rsidRPr="007114AF">
              <w:rPr>
                <w:rFonts w:ascii="Garamond" w:eastAsia="Times New Roman" w:hAnsi="Garamond" w:cs="Times New Roman"/>
                <w:sz w:val="18"/>
                <w:szCs w:val="18"/>
              </w:rPr>
              <w:t xml:space="preserve">enca e energjisë në rregullimin e godinave private dhe publike) </w:t>
            </w:r>
          </w:p>
        </w:tc>
        <w:tc>
          <w:tcPr>
            <w:tcW w:w="1134" w:type="dxa"/>
            <w:vAlign w:val="center"/>
            <w:hideMark/>
          </w:tcPr>
          <w:p w14:paraId="6EDD025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2016-2017</w:t>
            </w:r>
          </w:p>
        </w:tc>
        <w:tc>
          <w:tcPr>
            <w:tcW w:w="992" w:type="dxa"/>
            <w:vAlign w:val="center"/>
            <w:hideMark/>
          </w:tcPr>
          <w:p w14:paraId="6EDD025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 Draftligji mbi EPD</w:t>
            </w:r>
          </w:p>
        </w:tc>
        <w:tc>
          <w:tcPr>
            <w:tcW w:w="1014" w:type="dxa"/>
            <w:vAlign w:val="center"/>
          </w:tcPr>
          <w:p w14:paraId="6EDD025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538" w:type="dxa"/>
            <w:noWrap/>
            <w:vAlign w:val="center"/>
            <w:hideMark/>
          </w:tcPr>
          <w:p w14:paraId="6EDD026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11,000.00</w:t>
            </w:r>
          </w:p>
        </w:tc>
        <w:tc>
          <w:tcPr>
            <w:tcW w:w="1276" w:type="dxa"/>
            <w:noWrap/>
            <w:vAlign w:val="center"/>
            <w:hideMark/>
          </w:tcPr>
          <w:p w14:paraId="6EDD026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11,000.00</w:t>
            </w:r>
          </w:p>
        </w:tc>
        <w:tc>
          <w:tcPr>
            <w:tcW w:w="1134" w:type="dxa"/>
            <w:noWrap/>
            <w:vAlign w:val="center"/>
            <w:hideMark/>
          </w:tcPr>
          <w:p w14:paraId="6EDD026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26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26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6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e hartimit dhe e miratimit të ligjit</w:t>
            </w:r>
          </w:p>
        </w:tc>
      </w:tr>
      <w:tr w:rsidR="000235FE" w:rsidRPr="007114AF" w14:paraId="6EDD0272"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67"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E10</w:t>
            </w:r>
          </w:p>
        </w:tc>
        <w:tc>
          <w:tcPr>
            <w:tcW w:w="2022" w:type="dxa"/>
            <w:vAlign w:val="center"/>
            <w:hideMark/>
          </w:tcPr>
          <w:p w14:paraId="6EDD026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Kursimet energjike: rregullat teknike mbi performancën energjetike të godinave </w:t>
            </w:r>
          </w:p>
        </w:tc>
        <w:tc>
          <w:tcPr>
            <w:tcW w:w="1134" w:type="dxa"/>
            <w:vAlign w:val="center"/>
            <w:hideMark/>
          </w:tcPr>
          <w:p w14:paraId="6EDD026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2017-2018</w:t>
            </w:r>
          </w:p>
        </w:tc>
        <w:tc>
          <w:tcPr>
            <w:tcW w:w="992" w:type="dxa"/>
            <w:vAlign w:val="center"/>
            <w:hideMark/>
          </w:tcPr>
          <w:p w14:paraId="6EDD026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26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26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w:t>
            </w:r>
          </w:p>
        </w:tc>
        <w:tc>
          <w:tcPr>
            <w:tcW w:w="1276" w:type="dxa"/>
            <w:noWrap/>
            <w:vAlign w:val="center"/>
            <w:hideMark/>
          </w:tcPr>
          <w:p w14:paraId="6EDD026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w:t>
            </w:r>
          </w:p>
        </w:tc>
        <w:tc>
          <w:tcPr>
            <w:tcW w:w="1134" w:type="dxa"/>
            <w:noWrap/>
            <w:vAlign w:val="center"/>
            <w:hideMark/>
          </w:tcPr>
          <w:p w14:paraId="6EDD026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26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27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71" w14:textId="26EFD39D"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e hartimit të kodeve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(kryesisht burime njerëzore). Kostot për njësi sipas akteve të tjera nënligjore</w:t>
            </w:r>
          </w:p>
        </w:tc>
      </w:tr>
      <w:tr w:rsidR="000235FE" w:rsidRPr="007114AF" w14:paraId="6EDD027E" w14:textId="77777777" w:rsidTr="000235FE">
        <w:trPr>
          <w:cantSplit/>
          <w:trHeight w:val="2197"/>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73"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E11</w:t>
            </w:r>
          </w:p>
        </w:tc>
        <w:tc>
          <w:tcPr>
            <w:tcW w:w="2022" w:type="dxa"/>
            <w:vAlign w:val="center"/>
            <w:hideMark/>
          </w:tcPr>
          <w:p w14:paraId="6EDD027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Programi i rregullimit të godinave publike të shërbimit</w:t>
            </w:r>
          </w:p>
        </w:tc>
        <w:tc>
          <w:tcPr>
            <w:tcW w:w="1134" w:type="dxa"/>
            <w:vAlign w:val="center"/>
            <w:hideMark/>
          </w:tcPr>
          <w:p w14:paraId="6EDD027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Align w:val="center"/>
            <w:hideMark/>
          </w:tcPr>
          <w:p w14:paraId="6EDD027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27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Direkte</w:t>
            </w:r>
          </w:p>
        </w:tc>
        <w:tc>
          <w:tcPr>
            <w:tcW w:w="1538" w:type="dxa"/>
            <w:vAlign w:val="center"/>
            <w:hideMark/>
          </w:tcPr>
          <w:p w14:paraId="6EDD027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5,600,000.00</w:t>
            </w:r>
          </w:p>
        </w:tc>
        <w:tc>
          <w:tcPr>
            <w:tcW w:w="1276" w:type="dxa"/>
            <w:vAlign w:val="center"/>
            <w:hideMark/>
          </w:tcPr>
          <w:p w14:paraId="6EDD027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2,600,000.00</w:t>
            </w:r>
          </w:p>
        </w:tc>
        <w:tc>
          <w:tcPr>
            <w:tcW w:w="1134" w:type="dxa"/>
            <w:vAlign w:val="center"/>
            <w:hideMark/>
          </w:tcPr>
          <w:p w14:paraId="6EDD027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7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3,000,000.00</w:t>
            </w:r>
          </w:p>
        </w:tc>
        <w:tc>
          <w:tcPr>
            <w:tcW w:w="1134" w:type="dxa"/>
            <w:vAlign w:val="center"/>
            <w:hideMark/>
          </w:tcPr>
          <w:p w14:paraId="6EDD027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7D" w14:textId="3E9CE0DF"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treguese për investimin në godinat e shërbimeve publike në qeverisjen qendrore dhe vendore; fondet e nevojshme për rinovim të godinave publike dalin nga Plan</w:t>
            </w:r>
            <w:r w:rsidR="00FD5AD9">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Veprimi i Dytë dhe i Tretë Kombëtar mbi Eficiencën e Energjisë/R 10</w:t>
            </w:r>
          </w:p>
        </w:tc>
      </w:tr>
      <w:tr w:rsidR="000235FE" w:rsidRPr="007114AF" w14:paraId="6EDD028A"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7F"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E12</w:t>
            </w:r>
          </w:p>
        </w:tc>
        <w:tc>
          <w:tcPr>
            <w:tcW w:w="2022" w:type="dxa"/>
            <w:vAlign w:val="center"/>
            <w:hideMark/>
          </w:tcPr>
          <w:p w14:paraId="6EDD0280" w14:textId="789752FD"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Masat e Eficiencës së Energjisë në Sektorin Publik dhe Masat Ndërsektoriale (</w:t>
            </w:r>
            <w:r w:rsidR="00DA60B5" w:rsidRPr="007114AF">
              <w:rPr>
                <w:rFonts w:ascii="Garamond" w:eastAsia="Times New Roman" w:hAnsi="Garamond" w:cs="Times New Roman"/>
                <w:sz w:val="18"/>
                <w:szCs w:val="18"/>
              </w:rPr>
              <w:t>neni</w:t>
            </w:r>
            <w:r w:rsidR="00DA60B5">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9)</w:t>
            </w:r>
          </w:p>
        </w:tc>
        <w:tc>
          <w:tcPr>
            <w:tcW w:w="1134" w:type="dxa"/>
            <w:vAlign w:val="center"/>
            <w:hideMark/>
          </w:tcPr>
          <w:p w14:paraId="6EDD028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noWrap/>
            <w:vAlign w:val="center"/>
            <w:hideMark/>
          </w:tcPr>
          <w:p w14:paraId="6EDD028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124/2015 Mbi Eficiencën e Energjisë</w:t>
            </w:r>
          </w:p>
        </w:tc>
        <w:tc>
          <w:tcPr>
            <w:tcW w:w="1014" w:type="dxa"/>
            <w:vAlign w:val="center"/>
          </w:tcPr>
          <w:p w14:paraId="6EDD028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noWrap/>
            <w:vAlign w:val="center"/>
            <w:hideMark/>
          </w:tcPr>
          <w:p w14:paraId="6EDD028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28,000.00</w:t>
            </w:r>
          </w:p>
        </w:tc>
        <w:tc>
          <w:tcPr>
            <w:tcW w:w="1276" w:type="dxa"/>
            <w:noWrap/>
            <w:vAlign w:val="center"/>
            <w:hideMark/>
          </w:tcPr>
          <w:p w14:paraId="6EDD028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9,000.00</w:t>
            </w:r>
          </w:p>
        </w:tc>
        <w:tc>
          <w:tcPr>
            <w:tcW w:w="1134" w:type="dxa"/>
            <w:vAlign w:val="center"/>
            <w:hideMark/>
          </w:tcPr>
          <w:p w14:paraId="6EDD028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8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8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19,000.00</w:t>
            </w:r>
          </w:p>
        </w:tc>
        <w:tc>
          <w:tcPr>
            <w:tcW w:w="2360" w:type="dxa"/>
            <w:vAlign w:val="center"/>
            <w:hideMark/>
          </w:tcPr>
          <w:p w14:paraId="6EDD0289" w14:textId="35517EE7" w:rsidR="000235FE" w:rsidRPr="007114AF" w:rsidRDefault="000235FE" w:rsidP="0000517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totale e marrë nga Plani i Dytë dhe i Tretë Kombëtar mbi Eficiencën e Energjisë për Shqipërinë 2016-2020; Manuali për prokurimin e gjelbër si e dalë n</w:t>
            </w:r>
            <w:r w:rsidR="0000517F">
              <w:rPr>
                <w:rFonts w:ascii="Garamond" w:eastAsia="Times New Roman" w:hAnsi="Garamond" w:cs="Times New Roman"/>
                <w:sz w:val="18"/>
                <w:szCs w:val="18"/>
              </w:rPr>
              <w:t>ë</w:t>
            </w:r>
            <w:r w:rsidRPr="007114AF">
              <w:rPr>
                <w:rFonts w:ascii="Garamond" w:eastAsia="Times New Roman" w:hAnsi="Garamond" w:cs="Times New Roman"/>
                <w:sz w:val="18"/>
                <w:szCs w:val="18"/>
              </w:rPr>
              <w:t xml:space="preserve"> buxhetin në terma afatmesëm</w:t>
            </w:r>
          </w:p>
        </w:tc>
      </w:tr>
      <w:tr w:rsidR="000235FE" w:rsidRPr="007114AF" w14:paraId="6EDD0296"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8B"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E13</w:t>
            </w:r>
          </w:p>
        </w:tc>
        <w:tc>
          <w:tcPr>
            <w:tcW w:w="2022" w:type="dxa"/>
            <w:vAlign w:val="center"/>
            <w:hideMark/>
          </w:tcPr>
          <w:p w14:paraId="6EDD028C" w14:textId="6057A6B3"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Agjencia përgjegjëse për energjitë e rinovueshme (</w:t>
            </w:r>
            <w:r w:rsidR="00DA60B5" w:rsidRPr="007114AF">
              <w:rPr>
                <w:rFonts w:ascii="Garamond" w:eastAsia="Times New Roman" w:hAnsi="Garamond" w:cs="Times New Roman"/>
                <w:sz w:val="18"/>
                <w:szCs w:val="18"/>
              </w:rPr>
              <w:t>neni</w:t>
            </w:r>
            <w:r w:rsidRPr="007114AF">
              <w:rPr>
                <w:rFonts w:ascii="Garamond" w:eastAsia="Times New Roman" w:hAnsi="Garamond" w:cs="Times New Roman"/>
                <w:sz w:val="18"/>
                <w:szCs w:val="18"/>
              </w:rPr>
              <w:t xml:space="preserve"> 13-14)</w:t>
            </w:r>
          </w:p>
        </w:tc>
        <w:tc>
          <w:tcPr>
            <w:tcW w:w="1134" w:type="dxa"/>
            <w:vAlign w:val="center"/>
            <w:hideMark/>
          </w:tcPr>
          <w:p w14:paraId="6EDD028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28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28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noWrap/>
            <w:vAlign w:val="center"/>
            <w:hideMark/>
          </w:tcPr>
          <w:p w14:paraId="6EDD029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185,000.00</w:t>
            </w:r>
          </w:p>
        </w:tc>
        <w:tc>
          <w:tcPr>
            <w:tcW w:w="1276" w:type="dxa"/>
            <w:vAlign w:val="center"/>
            <w:hideMark/>
          </w:tcPr>
          <w:p w14:paraId="6EDD029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29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9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9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185,000.00</w:t>
            </w:r>
          </w:p>
        </w:tc>
        <w:tc>
          <w:tcPr>
            <w:tcW w:w="2360" w:type="dxa"/>
            <w:vAlign w:val="center"/>
            <w:hideMark/>
          </w:tcPr>
          <w:p w14:paraId="6EDD0295" w14:textId="0B5B0A0A" w:rsidR="000235FE" w:rsidRPr="007114AF" w:rsidRDefault="000235FE" w:rsidP="00FD5AD9">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për godinat institucionale. Kostot parashikohen në bazë të p</w:t>
            </w:r>
            <w:r w:rsidR="00FD5AD9">
              <w:rPr>
                <w:rFonts w:ascii="Garamond" w:eastAsia="Times New Roman" w:hAnsi="Garamond" w:cs="Times New Roman"/>
                <w:sz w:val="18"/>
                <w:szCs w:val="18"/>
              </w:rPr>
              <w:t>ë</w:t>
            </w:r>
            <w:r w:rsidRPr="007114AF">
              <w:rPr>
                <w:rFonts w:ascii="Garamond" w:eastAsia="Times New Roman" w:hAnsi="Garamond" w:cs="Times New Roman"/>
                <w:sz w:val="18"/>
                <w:szCs w:val="18"/>
              </w:rPr>
              <w:t>rdorimit të energjisë</w:t>
            </w:r>
          </w:p>
        </w:tc>
      </w:tr>
      <w:tr w:rsidR="000235FE" w:rsidRPr="007114AF" w14:paraId="6EDD02A2"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97"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E14</w:t>
            </w:r>
          </w:p>
        </w:tc>
        <w:tc>
          <w:tcPr>
            <w:tcW w:w="2022" w:type="dxa"/>
            <w:vAlign w:val="center"/>
            <w:hideMark/>
          </w:tcPr>
          <w:p w14:paraId="6EDD0298" w14:textId="7F924743"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Agjencia për Eficiencën e Energjisë (</w:t>
            </w:r>
            <w:r w:rsidR="00DA60B5" w:rsidRPr="007114AF">
              <w:rPr>
                <w:rFonts w:ascii="Garamond" w:eastAsia="Times New Roman" w:hAnsi="Garamond" w:cs="Times New Roman"/>
                <w:sz w:val="18"/>
                <w:szCs w:val="18"/>
              </w:rPr>
              <w:t xml:space="preserve">kapitulli </w:t>
            </w:r>
            <w:r w:rsidRPr="007114AF">
              <w:rPr>
                <w:rFonts w:ascii="Garamond" w:eastAsia="Times New Roman" w:hAnsi="Garamond" w:cs="Times New Roman"/>
                <w:sz w:val="18"/>
                <w:szCs w:val="18"/>
              </w:rPr>
              <w:t>VI)</w:t>
            </w:r>
          </w:p>
        </w:tc>
        <w:tc>
          <w:tcPr>
            <w:tcW w:w="1134" w:type="dxa"/>
            <w:vAlign w:val="center"/>
            <w:hideMark/>
          </w:tcPr>
          <w:p w14:paraId="6EDD029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noWrap/>
            <w:vAlign w:val="center"/>
            <w:hideMark/>
          </w:tcPr>
          <w:p w14:paraId="6EDD029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124/2015 Mbi Eficencën e Energjisë</w:t>
            </w:r>
          </w:p>
        </w:tc>
        <w:tc>
          <w:tcPr>
            <w:tcW w:w="1014" w:type="dxa"/>
            <w:vAlign w:val="center"/>
          </w:tcPr>
          <w:p w14:paraId="6EDD029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noWrap/>
            <w:vAlign w:val="center"/>
            <w:hideMark/>
          </w:tcPr>
          <w:p w14:paraId="6EDD029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345,000.00</w:t>
            </w:r>
          </w:p>
        </w:tc>
        <w:tc>
          <w:tcPr>
            <w:tcW w:w="1276" w:type="dxa"/>
            <w:noWrap/>
            <w:vAlign w:val="center"/>
            <w:hideMark/>
          </w:tcPr>
          <w:p w14:paraId="6EDD029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183,900.00</w:t>
            </w:r>
          </w:p>
        </w:tc>
        <w:tc>
          <w:tcPr>
            <w:tcW w:w="1134" w:type="dxa"/>
            <w:vAlign w:val="center"/>
            <w:hideMark/>
          </w:tcPr>
          <w:p w14:paraId="6EDD029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9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A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161,100.00</w:t>
            </w:r>
          </w:p>
        </w:tc>
        <w:tc>
          <w:tcPr>
            <w:tcW w:w="2360" w:type="dxa"/>
            <w:vAlign w:val="center"/>
            <w:hideMark/>
          </w:tcPr>
          <w:p w14:paraId="6EDD02A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Një pjesë e buxhetit të MIE (vendosja e projektit të Agjencisë së Eficiencës së Energjisë)/ Kosto totale e dalë nga Plani i Dytë dhe i Tretë Kombëtar i Efikasitetit Energjetik për Shqipërinë 2016-2020</w:t>
            </w:r>
          </w:p>
        </w:tc>
      </w:tr>
      <w:tr w:rsidR="000235FE" w:rsidRPr="007114AF" w14:paraId="6EDD02AE" w14:textId="77777777" w:rsidTr="000235FE">
        <w:trPr>
          <w:cantSplit/>
          <w:trHeight w:val="91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A3"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E15</w:t>
            </w:r>
          </w:p>
        </w:tc>
        <w:tc>
          <w:tcPr>
            <w:tcW w:w="2022" w:type="dxa"/>
            <w:vAlign w:val="center"/>
            <w:hideMark/>
          </w:tcPr>
          <w:p w14:paraId="6EDD02A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Skema e subvencioneve për rregullimin e plotë të MFH </w:t>
            </w:r>
          </w:p>
        </w:tc>
        <w:tc>
          <w:tcPr>
            <w:tcW w:w="1134" w:type="dxa"/>
            <w:vAlign w:val="center"/>
            <w:hideMark/>
          </w:tcPr>
          <w:p w14:paraId="6EDD02A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Align w:val="center"/>
            <w:hideMark/>
          </w:tcPr>
          <w:p w14:paraId="6EDD02A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2A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noWrap/>
            <w:vAlign w:val="center"/>
            <w:hideMark/>
          </w:tcPr>
          <w:p w14:paraId="6EDD02A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2,498.86</w:t>
            </w:r>
          </w:p>
        </w:tc>
        <w:tc>
          <w:tcPr>
            <w:tcW w:w="1276" w:type="dxa"/>
            <w:noWrap/>
            <w:vAlign w:val="center"/>
            <w:hideMark/>
          </w:tcPr>
          <w:p w14:paraId="6EDD02A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2,498.86</w:t>
            </w:r>
          </w:p>
        </w:tc>
        <w:tc>
          <w:tcPr>
            <w:tcW w:w="1134" w:type="dxa"/>
            <w:vAlign w:val="center"/>
            <w:hideMark/>
          </w:tcPr>
          <w:p w14:paraId="6EDD02A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A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A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A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MZHU për zhvillimin e standardeve të godinave</w:t>
            </w:r>
          </w:p>
        </w:tc>
      </w:tr>
      <w:tr w:rsidR="000235FE" w:rsidRPr="007114AF" w14:paraId="6EDD02BA" w14:textId="77777777" w:rsidTr="00C136A5">
        <w:trPr>
          <w:cantSplit/>
          <w:trHeight w:val="2044"/>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AF"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E16</w:t>
            </w:r>
          </w:p>
        </w:tc>
        <w:tc>
          <w:tcPr>
            <w:tcW w:w="2022" w:type="dxa"/>
            <w:vAlign w:val="center"/>
            <w:hideMark/>
          </w:tcPr>
          <w:p w14:paraId="6EDD02B0" w14:textId="60DBE8EC" w:rsidR="000235FE" w:rsidRPr="007114AF" w:rsidRDefault="000235FE" w:rsidP="0000517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Një mekanizëm financues i cili jep grante dhe hua me interes të ulët për investime n</w:t>
            </w:r>
            <w:r w:rsidR="0000517F">
              <w:rPr>
                <w:rFonts w:ascii="Garamond" w:eastAsia="Times New Roman" w:hAnsi="Garamond" w:cs="Times New Roman"/>
                <w:sz w:val="18"/>
                <w:szCs w:val="18"/>
              </w:rPr>
              <w:t>ë</w:t>
            </w:r>
            <w:r w:rsidRPr="007114AF">
              <w:rPr>
                <w:rFonts w:ascii="Garamond" w:eastAsia="Times New Roman" w:hAnsi="Garamond" w:cs="Times New Roman"/>
                <w:sz w:val="18"/>
                <w:szCs w:val="18"/>
              </w:rPr>
              <w:t xml:space="preserve"> Eficiencën e Energjisë të godinave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(Në Bashkëpunim me Institucionet Financiare Ndërkombëtare dhe donatorët)</w:t>
            </w:r>
          </w:p>
        </w:tc>
        <w:tc>
          <w:tcPr>
            <w:tcW w:w="1134" w:type="dxa"/>
            <w:vAlign w:val="center"/>
            <w:hideMark/>
          </w:tcPr>
          <w:p w14:paraId="6EDD02B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 me qëllimin për të vazhduar më tej nëse ka fonde</w:t>
            </w:r>
          </w:p>
        </w:tc>
        <w:tc>
          <w:tcPr>
            <w:tcW w:w="992" w:type="dxa"/>
            <w:vAlign w:val="center"/>
            <w:hideMark/>
          </w:tcPr>
          <w:p w14:paraId="6EDD02B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NAMA – Mekanizma Financues në Eficiencën e Energjisënë Godina</w:t>
            </w:r>
          </w:p>
        </w:tc>
        <w:tc>
          <w:tcPr>
            <w:tcW w:w="1014" w:type="dxa"/>
            <w:vAlign w:val="center"/>
          </w:tcPr>
          <w:p w14:paraId="6EDD02B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vAlign w:val="center"/>
            <w:hideMark/>
          </w:tcPr>
          <w:p w14:paraId="6EDD02B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5,903,900.00</w:t>
            </w:r>
          </w:p>
        </w:tc>
        <w:tc>
          <w:tcPr>
            <w:tcW w:w="1276" w:type="dxa"/>
            <w:vAlign w:val="center"/>
            <w:hideMark/>
          </w:tcPr>
          <w:p w14:paraId="6EDD02B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2B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411,900.00</w:t>
            </w:r>
          </w:p>
        </w:tc>
        <w:tc>
          <w:tcPr>
            <w:tcW w:w="1276" w:type="dxa"/>
            <w:vAlign w:val="center"/>
            <w:hideMark/>
          </w:tcPr>
          <w:p w14:paraId="6EDD02B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5,492,000.00</w:t>
            </w:r>
          </w:p>
        </w:tc>
        <w:tc>
          <w:tcPr>
            <w:tcW w:w="1134" w:type="dxa"/>
            <w:vAlign w:val="center"/>
            <w:hideMark/>
          </w:tcPr>
          <w:p w14:paraId="6EDD02B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B9" w14:textId="04E7BE76"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e cila: € 25 M hua koncesionare; € 15 M linja e kreditit komercial nga sektori privat; € 3 M grante; garanci e kredisë së pjesshme për t</w:t>
            </w:r>
            <w:r w:rsidR="00D10DAB"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u diskutuar</w:t>
            </w:r>
          </w:p>
        </w:tc>
      </w:tr>
      <w:tr w:rsidR="000235FE" w:rsidRPr="007114AF" w14:paraId="6EDD02C6" w14:textId="77777777" w:rsidTr="000235FE">
        <w:trPr>
          <w:cantSplit/>
          <w:trHeight w:val="220"/>
          <w:jc w:val="center"/>
        </w:trPr>
        <w:tc>
          <w:tcPr>
            <w:cnfStyle w:val="001000000000" w:firstRow="0" w:lastRow="0" w:firstColumn="1" w:lastColumn="0" w:oddVBand="0" w:evenVBand="0" w:oddHBand="0" w:evenHBand="0" w:firstRowFirstColumn="0" w:firstRowLastColumn="0" w:lastRowFirstColumn="0" w:lastRowLastColumn="0"/>
            <w:tcW w:w="496" w:type="dxa"/>
            <w:vMerge w:val="restart"/>
            <w:noWrap/>
            <w:vAlign w:val="center"/>
            <w:hideMark/>
          </w:tcPr>
          <w:p w14:paraId="6EDD02BB"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E17</w:t>
            </w:r>
          </w:p>
        </w:tc>
        <w:tc>
          <w:tcPr>
            <w:tcW w:w="2022" w:type="dxa"/>
            <w:vMerge w:val="restart"/>
            <w:vAlign w:val="center"/>
            <w:hideMark/>
          </w:tcPr>
          <w:p w14:paraId="6EDD02B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Paketa e instrumenteve promovuese për instalimin e ngrohjes së ujit me panele diellore në shtëpi </w:t>
            </w:r>
          </w:p>
        </w:tc>
        <w:tc>
          <w:tcPr>
            <w:tcW w:w="1134" w:type="dxa"/>
            <w:vMerge w:val="restart"/>
            <w:vAlign w:val="center"/>
            <w:hideMark/>
          </w:tcPr>
          <w:p w14:paraId="6EDD02B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Merge w:val="restart"/>
            <w:vAlign w:val="center"/>
            <w:hideMark/>
          </w:tcPr>
          <w:p w14:paraId="6EDD02B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2B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vMerge w:val="restart"/>
            <w:vAlign w:val="center"/>
            <w:hideMark/>
          </w:tcPr>
          <w:p w14:paraId="6EDD02C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116,000.00</w:t>
            </w:r>
          </w:p>
        </w:tc>
        <w:tc>
          <w:tcPr>
            <w:tcW w:w="1276" w:type="dxa"/>
            <w:vMerge w:val="restart"/>
            <w:vAlign w:val="center"/>
            <w:hideMark/>
          </w:tcPr>
          <w:p w14:paraId="6EDD02C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restart"/>
            <w:vAlign w:val="center"/>
            <w:hideMark/>
          </w:tcPr>
          <w:p w14:paraId="6EDD02C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Merge w:val="restart"/>
            <w:vAlign w:val="center"/>
            <w:hideMark/>
          </w:tcPr>
          <w:p w14:paraId="6EDD02C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116,000.00</w:t>
            </w:r>
          </w:p>
        </w:tc>
        <w:tc>
          <w:tcPr>
            <w:tcW w:w="1134" w:type="dxa"/>
            <w:vMerge w:val="restart"/>
            <w:vAlign w:val="center"/>
            <w:hideMark/>
          </w:tcPr>
          <w:p w14:paraId="6EDD02C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Merge w:val="restart"/>
            <w:vAlign w:val="center"/>
            <w:hideMark/>
          </w:tcPr>
          <w:p w14:paraId="6EDD02C5" w14:textId="0D444F83"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 shtesë për informacionin dhe trajnimin; € 50.000 (+ linjë krediti për</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4.5 M Euro me EBRD dhe bankat private); Plani Kombëtar i Veprimit për Burimet e Energjisë së Rinovueshme, 2015-2020</w:t>
            </w:r>
          </w:p>
        </w:tc>
      </w:tr>
      <w:tr w:rsidR="000235FE" w:rsidRPr="007114AF" w14:paraId="6EDD02D2" w14:textId="77777777" w:rsidTr="000235FE">
        <w:trPr>
          <w:cantSplit/>
          <w:trHeight w:val="220"/>
          <w:jc w:val="center"/>
        </w:trPr>
        <w:tc>
          <w:tcPr>
            <w:cnfStyle w:val="001000000000" w:firstRow="0" w:lastRow="0" w:firstColumn="1" w:lastColumn="0" w:oddVBand="0" w:evenVBand="0" w:oddHBand="0" w:evenHBand="0" w:firstRowFirstColumn="0" w:firstRowLastColumn="0" w:lastRowFirstColumn="0" w:lastRowLastColumn="0"/>
            <w:tcW w:w="496" w:type="dxa"/>
            <w:vMerge/>
            <w:vAlign w:val="center"/>
            <w:hideMark/>
          </w:tcPr>
          <w:p w14:paraId="6EDD02C7" w14:textId="77777777" w:rsidR="000235FE" w:rsidRPr="007114AF" w:rsidRDefault="000235FE" w:rsidP="00C136A5">
            <w:pPr>
              <w:spacing w:after="0"/>
              <w:rPr>
                <w:rFonts w:ascii="Garamond" w:eastAsia="Times New Roman" w:hAnsi="Garamond" w:cs="Times New Roman"/>
                <w:b w:val="0"/>
                <w:bCs w:val="0"/>
                <w:sz w:val="18"/>
                <w:szCs w:val="18"/>
              </w:rPr>
            </w:pPr>
          </w:p>
        </w:tc>
        <w:tc>
          <w:tcPr>
            <w:tcW w:w="2022" w:type="dxa"/>
            <w:vMerge/>
            <w:vAlign w:val="center"/>
            <w:hideMark/>
          </w:tcPr>
          <w:p w14:paraId="6EDD02C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ign w:val="center"/>
            <w:hideMark/>
          </w:tcPr>
          <w:p w14:paraId="6EDD02C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992" w:type="dxa"/>
            <w:vMerge/>
            <w:vAlign w:val="center"/>
            <w:hideMark/>
          </w:tcPr>
          <w:p w14:paraId="6EDD02C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14" w:type="dxa"/>
            <w:vAlign w:val="center"/>
          </w:tcPr>
          <w:p w14:paraId="6EDD02C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538" w:type="dxa"/>
            <w:vMerge/>
            <w:vAlign w:val="center"/>
            <w:hideMark/>
          </w:tcPr>
          <w:p w14:paraId="6EDD02C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vMerge/>
            <w:vAlign w:val="center"/>
            <w:hideMark/>
          </w:tcPr>
          <w:p w14:paraId="6EDD02C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ign w:val="center"/>
            <w:hideMark/>
          </w:tcPr>
          <w:p w14:paraId="6EDD02C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vMerge/>
            <w:vAlign w:val="center"/>
            <w:hideMark/>
          </w:tcPr>
          <w:p w14:paraId="6EDD02C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ign w:val="center"/>
            <w:hideMark/>
          </w:tcPr>
          <w:p w14:paraId="6EDD02D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2360" w:type="dxa"/>
            <w:vMerge/>
            <w:vAlign w:val="center"/>
            <w:hideMark/>
          </w:tcPr>
          <w:p w14:paraId="6EDD02D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r>
      <w:tr w:rsidR="000235FE" w:rsidRPr="007114AF" w14:paraId="6EDD02DE"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D3"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E18</w:t>
            </w:r>
          </w:p>
        </w:tc>
        <w:tc>
          <w:tcPr>
            <w:tcW w:w="2022" w:type="dxa"/>
            <w:vAlign w:val="center"/>
            <w:hideMark/>
          </w:tcPr>
          <w:p w14:paraId="6EDD02D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Promovimi i Sistemeve Mbledhës Diellor për ngrohjen e ujit për higjienë </w:t>
            </w:r>
          </w:p>
        </w:tc>
        <w:tc>
          <w:tcPr>
            <w:tcW w:w="1134" w:type="dxa"/>
            <w:vAlign w:val="center"/>
            <w:hideMark/>
          </w:tcPr>
          <w:p w14:paraId="6EDD02D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2D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2D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2D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w:t>
            </w:r>
          </w:p>
        </w:tc>
        <w:tc>
          <w:tcPr>
            <w:tcW w:w="1276" w:type="dxa"/>
            <w:noWrap/>
            <w:vAlign w:val="center"/>
            <w:hideMark/>
          </w:tcPr>
          <w:p w14:paraId="6EDD02D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w:t>
            </w:r>
          </w:p>
        </w:tc>
        <w:tc>
          <w:tcPr>
            <w:tcW w:w="1134" w:type="dxa"/>
            <w:vAlign w:val="center"/>
            <w:hideMark/>
          </w:tcPr>
          <w:p w14:paraId="6EDD02D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D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2D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D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për fushatën e ndërgjegjësimit e bazuar në rezultate të njëjta</w:t>
            </w:r>
          </w:p>
        </w:tc>
      </w:tr>
      <w:tr w:rsidR="000235FE" w:rsidRPr="007114AF" w14:paraId="6EDD02EA"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DF"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E19</w:t>
            </w:r>
          </w:p>
        </w:tc>
        <w:tc>
          <w:tcPr>
            <w:tcW w:w="2022" w:type="dxa"/>
            <w:vAlign w:val="center"/>
            <w:hideMark/>
          </w:tcPr>
          <w:p w14:paraId="6EDD02E0" w14:textId="4579DAEE"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Kursimet </w:t>
            </w:r>
            <w:r w:rsidR="00FD5AD9" w:rsidRPr="007114AF">
              <w:rPr>
                <w:rFonts w:ascii="Garamond" w:eastAsia="Times New Roman" w:hAnsi="Garamond" w:cs="Times New Roman"/>
                <w:sz w:val="18"/>
                <w:szCs w:val="18"/>
              </w:rPr>
              <w:t>Energjetike</w:t>
            </w:r>
            <w:r w:rsidRPr="007114AF">
              <w:rPr>
                <w:rFonts w:ascii="Garamond" w:eastAsia="Times New Roman" w:hAnsi="Garamond" w:cs="Times New Roman"/>
                <w:sz w:val="18"/>
                <w:szCs w:val="18"/>
              </w:rPr>
              <w:t xml:space="preserve">: Paketa e instrumenteve promovuese për instalimin e ngrohjes së ujit me panele diellore terciare </w:t>
            </w:r>
          </w:p>
        </w:tc>
        <w:tc>
          <w:tcPr>
            <w:tcW w:w="1134" w:type="dxa"/>
            <w:vAlign w:val="center"/>
            <w:hideMark/>
          </w:tcPr>
          <w:p w14:paraId="6EDD02E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2E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2E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2E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46,400.00</w:t>
            </w:r>
          </w:p>
        </w:tc>
        <w:tc>
          <w:tcPr>
            <w:tcW w:w="1276" w:type="dxa"/>
            <w:noWrap/>
            <w:vAlign w:val="center"/>
            <w:hideMark/>
          </w:tcPr>
          <w:p w14:paraId="6EDD02E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46,400.00</w:t>
            </w:r>
          </w:p>
        </w:tc>
        <w:tc>
          <w:tcPr>
            <w:tcW w:w="1134" w:type="dxa"/>
            <w:noWrap/>
            <w:vAlign w:val="center"/>
            <w:hideMark/>
          </w:tcPr>
          <w:p w14:paraId="6EDD02E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2E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2E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E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Planëzuar në Planin Kombëtar për Burimet e Energjisë së rinovueshme, 2015-2020; Masa 12 </w:t>
            </w:r>
          </w:p>
        </w:tc>
      </w:tr>
      <w:tr w:rsidR="000235FE" w:rsidRPr="007114AF" w14:paraId="6EDD02F6"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EB"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E20</w:t>
            </w:r>
          </w:p>
        </w:tc>
        <w:tc>
          <w:tcPr>
            <w:tcW w:w="2022" w:type="dxa"/>
            <w:vAlign w:val="center"/>
            <w:hideMark/>
          </w:tcPr>
          <w:p w14:paraId="6EDD02EC" w14:textId="591C4C10"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Kursimet </w:t>
            </w:r>
            <w:r w:rsidR="00FD5AD9" w:rsidRPr="007114AF">
              <w:rPr>
                <w:rFonts w:ascii="Garamond" w:eastAsia="Times New Roman" w:hAnsi="Garamond" w:cs="Times New Roman"/>
                <w:sz w:val="18"/>
                <w:szCs w:val="18"/>
              </w:rPr>
              <w:t>Energjetike</w:t>
            </w:r>
            <w:r w:rsidRPr="007114AF">
              <w:rPr>
                <w:rFonts w:ascii="Garamond" w:eastAsia="Times New Roman" w:hAnsi="Garamond" w:cs="Times New Roman"/>
                <w:sz w:val="18"/>
                <w:szCs w:val="18"/>
              </w:rPr>
              <w:t xml:space="preserve">: Paketa e instrumenteve promovuese për instalimin e ngrohjes së ujit me panele diellore në shtëpi </w:t>
            </w:r>
          </w:p>
        </w:tc>
        <w:tc>
          <w:tcPr>
            <w:tcW w:w="1134" w:type="dxa"/>
            <w:vAlign w:val="center"/>
            <w:hideMark/>
          </w:tcPr>
          <w:p w14:paraId="6EDD02E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2E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2E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2F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69,600.00</w:t>
            </w:r>
          </w:p>
        </w:tc>
        <w:tc>
          <w:tcPr>
            <w:tcW w:w="1276" w:type="dxa"/>
            <w:noWrap/>
            <w:vAlign w:val="center"/>
            <w:hideMark/>
          </w:tcPr>
          <w:p w14:paraId="6EDD02F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69,600.00</w:t>
            </w:r>
          </w:p>
        </w:tc>
        <w:tc>
          <w:tcPr>
            <w:tcW w:w="1134" w:type="dxa"/>
            <w:noWrap/>
            <w:vAlign w:val="center"/>
            <w:hideMark/>
          </w:tcPr>
          <w:p w14:paraId="6EDD02F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2F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2F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2F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Planëzuar në Planin Kombëtar të Veprimit për Burimet e Energjisë së Rinovueshme, 2015-2020; Masa 12 </w:t>
            </w:r>
          </w:p>
        </w:tc>
      </w:tr>
      <w:tr w:rsidR="000235FE" w:rsidRPr="007114AF" w14:paraId="6EDD0302"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2F7"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E22</w:t>
            </w:r>
          </w:p>
        </w:tc>
        <w:tc>
          <w:tcPr>
            <w:tcW w:w="2022" w:type="dxa"/>
            <w:vAlign w:val="center"/>
            <w:hideMark/>
          </w:tcPr>
          <w:p w14:paraId="6EDD02F8" w14:textId="3E2553DF"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përdorimit të energjisë së rinovueshme për ngrohjen dhe ftohjen në sektorin bujqësor (</w:t>
            </w:r>
            <w:r w:rsidR="00DA60B5" w:rsidRPr="007114AF">
              <w:rPr>
                <w:rFonts w:ascii="Garamond" w:eastAsia="Times New Roman" w:hAnsi="Garamond" w:cs="Times New Roman"/>
                <w:sz w:val="18"/>
                <w:szCs w:val="18"/>
              </w:rPr>
              <w:t>neni</w:t>
            </w:r>
            <w:r w:rsidRPr="007114AF">
              <w:rPr>
                <w:rFonts w:ascii="Garamond" w:eastAsia="Times New Roman" w:hAnsi="Garamond" w:cs="Times New Roman"/>
                <w:sz w:val="18"/>
                <w:szCs w:val="18"/>
              </w:rPr>
              <w:t xml:space="preserve"> 34)</w:t>
            </w:r>
          </w:p>
        </w:tc>
        <w:tc>
          <w:tcPr>
            <w:tcW w:w="1134" w:type="dxa"/>
            <w:vAlign w:val="center"/>
            <w:hideMark/>
          </w:tcPr>
          <w:p w14:paraId="6EDD02F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2F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2F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2F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1,352,000.00</w:t>
            </w:r>
          </w:p>
        </w:tc>
        <w:tc>
          <w:tcPr>
            <w:tcW w:w="1276" w:type="dxa"/>
            <w:noWrap/>
            <w:vAlign w:val="center"/>
            <w:hideMark/>
          </w:tcPr>
          <w:p w14:paraId="6EDD02F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1,352,000.00</w:t>
            </w:r>
          </w:p>
        </w:tc>
        <w:tc>
          <w:tcPr>
            <w:tcW w:w="1134" w:type="dxa"/>
            <w:vAlign w:val="center"/>
            <w:hideMark/>
          </w:tcPr>
          <w:p w14:paraId="6EDD02F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2F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0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0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Fondet nëpërmjet granteve (Fondet BER) projektet e ngrohjes dhe të ftohjes në bujqësi duke përdorur biomasën; masa, Plani Kombëtar i Veprimit mbi BER, masa 13</w:t>
            </w:r>
          </w:p>
        </w:tc>
      </w:tr>
      <w:tr w:rsidR="000235FE" w:rsidRPr="007114AF" w14:paraId="6EDD030E"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03"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E23</w:t>
            </w:r>
          </w:p>
        </w:tc>
        <w:tc>
          <w:tcPr>
            <w:tcW w:w="2022" w:type="dxa"/>
            <w:vAlign w:val="center"/>
            <w:hideMark/>
          </w:tcPr>
          <w:p w14:paraId="6EDD030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Fondi i energjisë së rinovueshme (Kapitulli V)</w:t>
            </w:r>
          </w:p>
        </w:tc>
        <w:tc>
          <w:tcPr>
            <w:tcW w:w="1134" w:type="dxa"/>
            <w:vAlign w:val="center"/>
            <w:hideMark/>
          </w:tcPr>
          <w:p w14:paraId="6EDD030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30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30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noWrap/>
            <w:vAlign w:val="center"/>
            <w:hideMark/>
          </w:tcPr>
          <w:p w14:paraId="6EDD030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1,200,000</w:t>
            </w:r>
          </w:p>
        </w:tc>
        <w:tc>
          <w:tcPr>
            <w:tcW w:w="1276" w:type="dxa"/>
            <w:vAlign w:val="center"/>
            <w:hideMark/>
          </w:tcPr>
          <w:p w14:paraId="6EDD030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30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30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0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1,200,000</w:t>
            </w:r>
          </w:p>
        </w:tc>
        <w:tc>
          <w:tcPr>
            <w:tcW w:w="2360" w:type="dxa"/>
            <w:vAlign w:val="center"/>
            <w:hideMark/>
          </w:tcPr>
          <w:p w14:paraId="6EDD030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Fondet nuk janë të parashikuara në buxhetin afatmesëm. Shuma duhet të negociohet me Ministrinë e Financave; kostot janë të vlerësuara të bazuara në fonde të njëjta</w:t>
            </w:r>
          </w:p>
        </w:tc>
      </w:tr>
      <w:tr w:rsidR="000235FE" w:rsidRPr="007114AF" w14:paraId="6EDD031A"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0F"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E24</w:t>
            </w:r>
          </w:p>
        </w:tc>
        <w:tc>
          <w:tcPr>
            <w:tcW w:w="2022" w:type="dxa"/>
            <w:vAlign w:val="center"/>
            <w:hideMark/>
          </w:tcPr>
          <w:p w14:paraId="6EDD031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Aktet nënligjore për Ligjin e Eficiencës së Energjisë</w:t>
            </w:r>
          </w:p>
        </w:tc>
        <w:tc>
          <w:tcPr>
            <w:tcW w:w="1134" w:type="dxa"/>
            <w:vAlign w:val="center"/>
            <w:hideMark/>
          </w:tcPr>
          <w:p w14:paraId="6EDD031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w:t>
            </w:r>
          </w:p>
        </w:tc>
        <w:tc>
          <w:tcPr>
            <w:tcW w:w="992" w:type="dxa"/>
            <w:vAlign w:val="center"/>
            <w:hideMark/>
          </w:tcPr>
          <w:p w14:paraId="6EDD031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PKNKZ; Ligji 124/2015 Mbi Efikasitetin Energjetik</w:t>
            </w:r>
          </w:p>
        </w:tc>
        <w:tc>
          <w:tcPr>
            <w:tcW w:w="1014" w:type="dxa"/>
            <w:vAlign w:val="center"/>
          </w:tcPr>
          <w:p w14:paraId="6EDD031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noWrap/>
            <w:vAlign w:val="center"/>
            <w:hideMark/>
          </w:tcPr>
          <w:p w14:paraId="6EDD031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28,000.00</w:t>
            </w:r>
          </w:p>
        </w:tc>
        <w:tc>
          <w:tcPr>
            <w:tcW w:w="1276" w:type="dxa"/>
            <w:noWrap/>
            <w:vAlign w:val="center"/>
            <w:hideMark/>
          </w:tcPr>
          <w:p w14:paraId="6EDD031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28,000.00</w:t>
            </w:r>
          </w:p>
        </w:tc>
        <w:tc>
          <w:tcPr>
            <w:tcW w:w="1134" w:type="dxa"/>
            <w:vAlign w:val="center"/>
            <w:hideMark/>
          </w:tcPr>
          <w:p w14:paraId="6EDD031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31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31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19" w14:textId="236BB08B"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totale për aktet nënligjore është marrë nga Plani i dytë dhe i tretë i Veprimit Kombëtar mbi Eficiencën e Energjisë</w:t>
            </w:r>
            <w:r w:rsidR="00FD5AD9">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 xml:space="preserve">për Shqipërinë 2016-2020/R3; </w:t>
            </w:r>
          </w:p>
        </w:tc>
      </w:tr>
      <w:tr w:rsidR="000235FE" w:rsidRPr="007114AF" w14:paraId="6EDD0326"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1B"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E25</w:t>
            </w:r>
          </w:p>
        </w:tc>
        <w:tc>
          <w:tcPr>
            <w:tcW w:w="2022" w:type="dxa"/>
            <w:vAlign w:val="center"/>
            <w:hideMark/>
          </w:tcPr>
          <w:p w14:paraId="6EDD031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Zbatimi i auditit energjetik në godinat e shërbimit </w:t>
            </w:r>
          </w:p>
        </w:tc>
        <w:tc>
          <w:tcPr>
            <w:tcW w:w="1134" w:type="dxa"/>
            <w:vAlign w:val="center"/>
            <w:hideMark/>
          </w:tcPr>
          <w:p w14:paraId="6EDD031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Align w:val="center"/>
            <w:hideMark/>
          </w:tcPr>
          <w:p w14:paraId="6EDD031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1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32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13,700.00</w:t>
            </w:r>
          </w:p>
        </w:tc>
        <w:tc>
          <w:tcPr>
            <w:tcW w:w="1276" w:type="dxa"/>
            <w:vAlign w:val="center"/>
            <w:hideMark/>
          </w:tcPr>
          <w:p w14:paraId="6EDD032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13,700.00</w:t>
            </w:r>
          </w:p>
        </w:tc>
        <w:tc>
          <w:tcPr>
            <w:tcW w:w="1134" w:type="dxa"/>
            <w:vAlign w:val="center"/>
            <w:hideMark/>
          </w:tcPr>
          <w:p w14:paraId="6EDD032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32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32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2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afatmesëm</w:t>
            </w:r>
          </w:p>
        </w:tc>
      </w:tr>
      <w:tr w:rsidR="000235FE" w:rsidRPr="007114AF" w14:paraId="6EDD0332"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27"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E26</w:t>
            </w:r>
          </w:p>
        </w:tc>
        <w:tc>
          <w:tcPr>
            <w:tcW w:w="2022" w:type="dxa"/>
            <w:vAlign w:val="center"/>
            <w:hideMark/>
          </w:tcPr>
          <w:p w14:paraId="6EDD032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PEE masa mundësuese: Certifikimi i godinave </w:t>
            </w:r>
          </w:p>
        </w:tc>
        <w:tc>
          <w:tcPr>
            <w:tcW w:w="1134" w:type="dxa"/>
            <w:vAlign w:val="center"/>
            <w:hideMark/>
          </w:tcPr>
          <w:p w14:paraId="6EDD032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Align w:val="center"/>
            <w:hideMark/>
          </w:tcPr>
          <w:p w14:paraId="6EDD032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2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32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noWrap/>
            <w:vAlign w:val="center"/>
            <w:hideMark/>
          </w:tcPr>
          <w:p w14:paraId="6EDD032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noWrap/>
            <w:vAlign w:val="center"/>
            <w:hideMark/>
          </w:tcPr>
          <w:p w14:paraId="6EDD032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32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3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31" w14:textId="75607CB0"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është marrë nga Plani i dytë dhe i tretë i Veprimit Kombëtar mbi Eficiencën e Energjisë</w:t>
            </w:r>
            <w:r w:rsidR="00FD5AD9">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për Shqipërinë 2016-2020 /R 9</w:t>
            </w:r>
          </w:p>
        </w:tc>
      </w:tr>
      <w:tr w:rsidR="000235FE" w:rsidRPr="007114AF" w14:paraId="6EDD033E"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33"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E27</w:t>
            </w:r>
          </w:p>
        </w:tc>
        <w:tc>
          <w:tcPr>
            <w:tcW w:w="2022" w:type="dxa"/>
            <w:vAlign w:val="center"/>
            <w:hideMark/>
          </w:tcPr>
          <w:p w14:paraId="6EDD0334" w14:textId="1D4BD4EE"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Certifikimi dhe etiketimi i sistemeve të ngrohjes së ujit me panele diellore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32)</w:t>
            </w:r>
          </w:p>
        </w:tc>
        <w:tc>
          <w:tcPr>
            <w:tcW w:w="1134" w:type="dxa"/>
            <w:vAlign w:val="center"/>
            <w:hideMark/>
          </w:tcPr>
          <w:p w14:paraId="6EDD033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33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33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33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4,000.00</w:t>
            </w:r>
          </w:p>
        </w:tc>
        <w:tc>
          <w:tcPr>
            <w:tcW w:w="1276" w:type="dxa"/>
            <w:noWrap/>
            <w:vAlign w:val="center"/>
            <w:hideMark/>
          </w:tcPr>
          <w:p w14:paraId="6EDD033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4,000.00</w:t>
            </w:r>
          </w:p>
        </w:tc>
        <w:tc>
          <w:tcPr>
            <w:tcW w:w="1134" w:type="dxa"/>
            <w:vAlign w:val="center"/>
            <w:hideMark/>
          </w:tcPr>
          <w:p w14:paraId="6EDD033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33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33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3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është marrë nga Plani i dytë dhe i tretë i Veprimit Kombëtar mbi Eficiencën e Energjisë për Shqipërinë 2016-2020/R8; pjesë e sasisë totale</w:t>
            </w:r>
          </w:p>
        </w:tc>
      </w:tr>
      <w:tr w:rsidR="000235FE" w:rsidRPr="007114AF" w14:paraId="6EDD034A" w14:textId="77777777" w:rsidTr="000235FE">
        <w:trPr>
          <w:cantSplit/>
          <w:trHeight w:val="1099"/>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3F"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E28</w:t>
            </w:r>
          </w:p>
        </w:tc>
        <w:tc>
          <w:tcPr>
            <w:tcW w:w="2022" w:type="dxa"/>
            <w:vAlign w:val="center"/>
            <w:hideMark/>
          </w:tcPr>
          <w:p w14:paraId="6EDD0340" w14:textId="3D9E78B3"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Paraqitja e standardeve minimale për pajisjet elektro</w:t>
            </w:r>
            <w:r w:rsidR="00FD5AD9">
              <w:rPr>
                <w:rFonts w:ascii="Garamond" w:eastAsia="Times New Roman" w:hAnsi="Garamond" w:cs="Times New Roman"/>
                <w:sz w:val="18"/>
                <w:szCs w:val="18"/>
              </w:rPr>
              <w:t>-</w:t>
            </w:r>
            <w:r w:rsidRPr="007114AF">
              <w:rPr>
                <w:rFonts w:ascii="Garamond" w:eastAsia="Times New Roman" w:hAnsi="Garamond" w:cs="Times New Roman"/>
                <w:sz w:val="18"/>
                <w:szCs w:val="18"/>
              </w:rPr>
              <w:t>shtëpiake</w:t>
            </w:r>
            <w:r w:rsidR="000A2A01" w:rsidRPr="007114AF">
              <w:rPr>
                <w:rFonts w:ascii="Garamond" w:eastAsia="Times New Roman" w:hAnsi="Garamond" w:cs="Times New Roman"/>
                <w:sz w:val="18"/>
                <w:szCs w:val="18"/>
              </w:rPr>
              <w:t xml:space="preserve"> </w:t>
            </w:r>
          </w:p>
        </w:tc>
        <w:tc>
          <w:tcPr>
            <w:tcW w:w="1134" w:type="dxa"/>
            <w:vAlign w:val="center"/>
            <w:hideMark/>
          </w:tcPr>
          <w:p w14:paraId="6EDD034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Align w:val="center"/>
            <w:hideMark/>
          </w:tcPr>
          <w:p w14:paraId="6EDD034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4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34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36,700.00</w:t>
            </w:r>
          </w:p>
        </w:tc>
        <w:tc>
          <w:tcPr>
            <w:tcW w:w="1276" w:type="dxa"/>
            <w:noWrap/>
            <w:vAlign w:val="center"/>
            <w:hideMark/>
          </w:tcPr>
          <w:p w14:paraId="6EDD034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36,700.00</w:t>
            </w:r>
          </w:p>
        </w:tc>
        <w:tc>
          <w:tcPr>
            <w:tcW w:w="1134" w:type="dxa"/>
            <w:noWrap/>
            <w:vAlign w:val="center"/>
            <w:hideMark/>
          </w:tcPr>
          <w:p w14:paraId="6EDD034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34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4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4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është marrë nga Plani i dytë dhe i tretë i Veprimit Kombëtar mbi Eficiencën e Energjisë për Shqipërinë 2016-2020/I1</w:t>
            </w:r>
          </w:p>
        </w:tc>
      </w:tr>
      <w:tr w:rsidR="000235FE" w:rsidRPr="007114AF" w14:paraId="6EDD0356"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4B"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E29</w:t>
            </w:r>
          </w:p>
        </w:tc>
        <w:tc>
          <w:tcPr>
            <w:tcW w:w="2022" w:type="dxa"/>
            <w:vAlign w:val="center"/>
            <w:hideMark/>
          </w:tcPr>
          <w:p w14:paraId="6EDD034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Zbatimi i kuadrit ligjor për etiketimin e pajisjeve të zyrave </w:t>
            </w:r>
          </w:p>
        </w:tc>
        <w:tc>
          <w:tcPr>
            <w:tcW w:w="1134" w:type="dxa"/>
            <w:vAlign w:val="center"/>
            <w:hideMark/>
          </w:tcPr>
          <w:p w14:paraId="6EDD034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34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4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noWrap/>
            <w:vAlign w:val="center"/>
            <w:hideMark/>
          </w:tcPr>
          <w:p w14:paraId="6EDD035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w:t>
            </w:r>
          </w:p>
        </w:tc>
        <w:tc>
          <w:tcPr>
            <w:tcW w:w="1276" w:type="dxa"/>
            <w:noWrap/>
            <w:vAlign w:val="center"/>
            <w:hideMark/>
          </w:tcPr>
          <w:p w14:paraId="6EDD035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w:t>
            </w:r>
          </w:p>
        </w:tc>
        <w:tc>
          <w:tcPr>
            <w:tcW w:w="1134" w:type="dxa"/>
            <w:noWrap/>
            <w:vAlign w:val="center"/>
            <w:hideMark/>
          </w:tcPr>
          <w:p w14:paraId="6EDD035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35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5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55" w14:textId="728D9AD5"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Dokumenti vëren: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Kosto margjinale e aparateve më eficiente është rifinancuar shpejt nga kursimet (ripago brenda 1-3 vitesh)</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w:t>
            </w:r>
          </w:p>
        </w:tc>
      </w:tr>
      <w:tr w:rsidR="000235FE" w:rsidRPr="007114AF" w14:paraId="6EDD0367" w14:textId="77777777" w:rsidTr="000235FE">
        <w:trPr>
          <w:cantSplit/>
          <w:trHeight w:val="2856"/>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57"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E30</w:t>
            </w:r>
          </w:p>
        </w:tc>
        <w:tc>
          <w:tcPr>
            <w:tcW w:w="2022" w:type="dxa"/>
            <w:vAlign w:val="center"/>
            <w:hideMark/>
          </w:tcPr>
          <w:p w14:paraId="6EDD035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Legjislacioni dhe zbatimi i kuadrit ligjor për etiketimin e pajisjeve elektron shtëpiake </w:t>
            </w:r>
          </w:p>
        </w:tc>
        <w:tc>
          <w:tcPr>
            <w:tcW w:w="1134" w:type="dxa"/>
            <w:vAlign w:val="center"/>
            <w:hideMark/>
          </w:tcPr>
          <w:p w14:paraId="6EDD035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Align w:val="center"/>
            <w:hideMark/>
          </w:tcPr>
          <w:p w14:paraId="6EDD035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5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noWrap/>
            <w:vAlign w:val="center"/>
            <w:hideMark/>
          </w:tcPr>
          <w:p w14:paraId="6EDD035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10,000.00</w:t>
            </w:r>
          </w:p>
          <w:p w14:paraId="6EDD035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noWrap/>
            <w:vAlign w:val="center"/>
            <w:hideMark/>
          </w:tcPr>
          <w:p w14:paraId="6EDD035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10,000.00</w:t>
            </w:r>
          </w:p>
          <w:p w14:paraId="6EDD035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noWrap/>
            <w:vAlign w:val="center"/>
            <w:hideMark/>
          </w:tcPr>
          <w:p w14:paraId="6EDD036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36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36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36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6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36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66" w14:textId="28AB9D81"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Asnjë tregues i qartë rreth këtij përcaktimi. Dokumenti vëren se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Kostomargjinale e aparateve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më eficiente është rifinancuar shpejt nga kursimet (riparo brenda 1-3 vitesh)</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 Kostoja është marrë nga Plani i dytë dhe i tretë i Veprimit Kombëtar mbi Eficiencën e Energjisë për Shqipërinë 2016-2020/R8</w:t>
            </w:r>
          </w:p>
        </w:tc>
      </w:tr>
      <w:tr w:rsidR="000235FE" w:rsidRPr="007114AF" w14:paraId="6EDD0373"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68"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E31</w:t>
            </w:r>
          </w:p>
        </w:tc>
        <w:tc>
          <w:tcPr>
            <w:tcW w:w="2022" w:type="dxa"/>
            <w:vAlign w:val="center"/>
            <w:hideMark/>
          </w:tcPr>
          <w:p w14:paraId="6EDD0369" w14:textId="599616C8"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Monitorimi dhe raportimi i zbatimit të NREAP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7)</w:t>
            </w:r>
          </w:p>
        </w:tc>
        <w:tc>
          <w:tcPr>
            <w:tcW w:w="1134" w:type="dxa"/>
            <w:vAlign w:val="center"/>
            <w:hideMark/>
          </w:tcPr>
          <w:p w14:paraId="6EDD036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36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36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Mundësuese</w:t>
            </w:r>
          </w:p>
        </w:tc>
        <w:tc>
          <w:tcPr>
            <w:tcW w:w="1538" w:type="dxa"/>
            <w:noWrap/>
            <w:vAlign w:val="center"/>
            <w:hideMark/>
          </w:tcPr>
          <w:p w14:paraId="6EDD036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14,000.00</w:t>
            </w:r>
          </w:p>
        </w:tc>
        <w:tc>
          <w:tcPr>
            <w:tcW w:w="1276" w:type="dxa"/>
            <w:noWrap/>
            <w:vAlign w:val="center"/>
            <w:hideMark/>
          </w:tcPr>
          <w:p w14:paraId="6EDD036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14,000.00</w:t>
            </w:r>
          </w:p>
        </w:tc>
        <w:tc>
          <w:tcPr>
            <w:tcW w:w="1134" w:type="dxa"/>
            <w:noWrap/>
            <w:vAlign w:val="center"/>
            <w:hideMark/>
          </w:tcPr>
          <w:p w14:paraId="6EDD036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37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7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72" w14:textId="40C5B7E3" w:rsidR="000235FE" w:rsidRPr="007114AF" w:rsidRDefault="000235FE" w:rsidP="0000517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Kostot për një raport vjetor janë rreth 5 milion. Kostoja për njësi llogaritet bazuar në rezultate të njëjta të MIE. Kostoja totale për këtë masë është 14 </w:t>
            </w:r>
            <w:r w:rsidR="001C47F0" w:rsidRPr="007114AF">
              <w:rPr>
                <w:rFonts w:ascii="Garamond" w:eastAsia="Times New Roman" w:hAnsi="Garamond" w:cs="Times New Roman"/>
                <w:sz w:val="18"/>
                <w:szCs w:val="18"/>
              </w:rPr>
              <w:t xml:space="preserve">milionë </w:t>
            </w:r>
            <w:r w:rsidRPr="007114AF">
              <w:rPr>
                <w:rFonts w:ascii="Garamond" w:eastAsia="Times New Roman" w:hAnsi="Garamond" w:cs="Times New Roman"/>
                <w:sz w:val="18"/>
                <w:szCs w:val="18"/>
              </w:rPr>
              <w:t>dhe përfshihet n</w:t>
            </w:r>
            <w:r w:rsidR="0000517F">
              <w:rPr>
                <w:rFonts w:ascii="Garamond" w:eastAsia="Times New Roman" w:hAnsi="Garamond" w:cs="Times New Roman"/>
                <w:sz w:val="18"/>
                <w:szCs w:val="18"/>
              </w:rPr>
              <w:t>ë</w:t>
            </w:r>
            <w:r w:rsidRPr="007114AF">
              <w:rPr>
                <w:rFonts w:ascii="Garamond" w:eastAsia="Times New Roman" w:hAnsi="Garamond" w:cs="Times New Roman"/>
                <w:sz w:val="18"/>
                <w:szCs w:val="18"/>
              </w:rPr>
              <w:t xml:space="preserve"> buxhetin BER. </w:t>
            </w:r>
          </w:p>
        </w:tc>
      </w:tr>
      <w:tr w:rsidR="000235FE" w:rsidRPr="007114AF" w14:paraId="6EDD037F" w14:textId="77777777" w:rsidTr="000235FE">
        <w:trPr>
          <w:cantSplit/>
          <w:trHeight w:val="2197"/>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74"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E32</w:t>
            </w:r>
          </w:p>
        </w:tc>
        <w:tc>
          <w:tcPr>
            <w:tcW w:w="2022" w:type="dxa"/>
            <w:vAlign w:val="center"/>
            <w:hideMark/>
          </w:tcPr>
          <w:p w14:paraId="6EDD037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Skema audituese për industrinë </w:t>
            </w:r>
          </w:p>
        </w:tc>
        <w:tc>
          <w:tcPr>
            <w:tcW w:w="1134" w:type="dxa"/>
            <w:vAlign w:val="center"/>
            <w:hideMark/>
          </w:tcPr>
          <w:p w14:paraId="6EDD037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37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7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37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274,600.00</w:t>
            </w:r>
          </w:p>
        </w:tc>
        <w:tc>
          <w:tcPr>
            <w:tcW w:w="1276" w:type="dxa"/>
            <w:noWrap/>
            <w:vAlign w:val="center"/>
            <w:hideMark/>
          </w:tcPr>
          <w:p w14:paraId="6EDD037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274,600.00</w:t>
            </w:r>
          </w:p>
        </w:tc>
        <w:tc>
          <w:tcPr>
            <w:tcW w:w="1134" w:type="dxa"/>
            <w:noWrap/>
            <w:vAlign w:val="center"/>
            <w:hideMark/>
          </w:tcPr>
          <w:p w14:paraId="6EDD037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37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7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7E" w14:textId="61CF9ED8"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Në bazë të dokumentit, ky është një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buxhet për vendosjen së bashku të trajnimit, kontrollit të cilësisë dhe subvencioneve për kontroll të shpejtë</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 xml:space="preserve">,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për fazën fillestare duke krijuar kontroll cilësie dhe kontroll të shpejtë për të gjitha proceset e auditimit</w:t>
            </w:r>
            <w:r w:rsidR="000A2A01" w:rsidRPr="007114AF">
              <w:rPr>
                <w:rFonts w:ascii="Garamond" w:eastAsia="Times New Roman" w:hAnsi="Garamond" w:cs="Times New Roman"/>
                <w:sz w:val="18"/>
                <w:szCs w:val="18"/>
              </w:rPr>
              <w:t>”</w:t>
            </w:r>
          </w:p>
        </w:tc>
      </w:tr>
      <w:tr w:rsidR="000235FE" w:rsidRPr="007114AF" w14:paraId="6EDD038B"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80"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E33</w:t>
            </w:r>
          </w:p>
        </w:tc>
        <w:tc>
          <w:tcPr>
            <w:tcW w:w="2022" w:type="dxa"/>
            <w:vAlign w:val="center"/>
            <w:hideMark/>
          </w:tcPr>
          <w:p w14:paraId="6EDD0381" w14:textId="1674CEF6"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Menaxheri i Energjisë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10)</w:t>
            </w:r>
          </w:p>
        </w:tc>
        <w:tc>
          <w:tcPr>
            <w:tcW w:w="1134" w:type="dxa"/>
            <w:vAlign w:val="center"/>
            <w:hideMark/>
          </w:tcPr>
          <w:p w14:paraId="6EDD038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992" w:type="dxa"/>
            <w:noWrap/>
            <w:vAlign w:val="center"/>
            <w:hideMark/>
          </w:tcPr>
          <w:p w14:paraId="6EDD038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124/2015 Mbi Eficiencën e Energjisë</w:t>
            </w:r>
          </w:p>
        </w:tc>
        <w:tc>
          <w:tcPr>
            <w:tcW w:w="1014" w:type="dxa"/>
            <w:vAlign w:val="center"/>
          </w:tcPr>
          <w:p w14:paraId="6EDD038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38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9,000.00</w:t>
            </w:r>
          </w:p>
        </w:tc>
        <w:tc>
          <w:tcPr>
            <w:tcW w:w="1276" w:type="dxa"/>
            <w:noWrap/>
            <w:vAlign w:val="center"/>
            <w:hideMark/>
          </w:tcPr>
          <w:p w14:paraId="6EDD038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9,000.00</w:t>
            </w:r>
          </w:p>
        </w:tc>
        <w:tc>
          <w:tcPr>
            <w:tcW w:w="1134" w:type="dxa"/>
            <w:noWrap/>
            <w:vAlign w:val="center"/>
            <w:hideMark/>
          </w:tcPr>
          <w:p w14:paraId="6EDD038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38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8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8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e projektit mbi rregulloret dhe kushtet, kërkesat e cilësimit dhe eksperiencës profesionale për menaxherin e energjisë; Lista e projekteve 2017-2019</w:t>
            </w:r>
          </w:p>
        </w:tc>
      </w:tr>
      <w:tr w:rsidR="000235FE" w:rsidRPr="007114AF" w14:paraId="6EDD0397"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8C"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E34</w:t>
            </w:r>
          </w:p>
        </w:tc>
        <w:tc>
          <w:tcPr>
            <w:tcW w:w="2022" w:type="dxa"/>
            <w:vAlign w:val="center"/>
            <w:hideMark/>
          </w:tcPr>
          <w:p w14:paraId="6EDD038D" w14:textId="11F10C62"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Auditi i Energjisë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16-17)</w:t>
            </w:r>
          </w:p>
        </w:tc>
        <w:tc>
          <w:tcPr>
            <w:tcW w:w="1134" w:type="dxa"/>
            <w:vAlign w:val="center"/>
            <w:hideMark/>
          </w:tcPr>
          <w:p w14:paraId="6EDD038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992" w:type="dxa"/>
            <w:noWrap/>
            <w:vAlign w:val="center"/>
            <w:hideMark/>
          </w:tcPr>
          <w:p w14:paraId="6EDD038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124/2015 Mbi Eficiencën e Energjisë</w:t>
            </w:r>
          </w:p>
        </w:tc>
        <w:tc>
          <w:tcPr>
            <w:tcW w:w="1014" w:type="dxa"/>
            <w:vAlign w:val="center"/>
          </w:tcPr>
          <w:p w14:paraId="6EDD039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39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9,000.00</w:t>
            </w:r>
          </w:p>
        </w:tc>
        <w:tc>
          <w:tcPr>
            <w:tcW w:w="1276" w:type="dxa"/>
            <w:vAlign w:val="center"/>
            <w:hideMark/>
          </w:tcPr>
          <w:p w14:paraId="6EDD039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9,000.00</w:t>
            </w:r>
          </w:p>
        </w:tc>
        <w:tc>
          <w:tcPr>
            <w:tcW w:w="1134" w:type="dxa"/>
            <w:vAlign w:val="center"/>
            <w:hideMark/>
          </w:tcPr>
          <w:p w14:paraId="6EDD039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39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39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96" w14:textId="3A40A391"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Kostoja e projektit mbi rregulloret dhe </w:t>
            </w:r>
            <w:r w:rsidR="00FD5AD9" w:rsidRPr="007114AF">
              <w:rPr>
                <w:rFonts w:ascii="Garamond" w:eastAsia="Times New Roman" w:hAnsi="Garamond" w:cs="Times New Roman"/>
                <w:sz w:val="18"/>
                <w:szCs w:val="18"/>
              </w:rPr>
              <w:t>licencimet</w:t>
            </w:r>
            <w:r w:rsidRPr="007114AF">
              <w:rPr>
                <w:rFonts w:ascii="Garamond" w:eastAsia="Times New Roman" w:hAnsi="Garamond" w:cs="Times New Roman"/>
                <w:sz w:val="18"/>
                <w:szCs w:val="18"/>
              </w:rPr>
              <w:t xml:space="preserve"> si dhe kërkesat për akreditim ndaj auditorëve të energjisë dhe kompanive të shërbimit të Energjisë (ESCO) në godina, procedimi dhe transportimi; Lista e projekteve 2017-2019</w:t>
            </w:r>
          </w:p>
        </w:tc>
      </w:tr>
      <w:tr w:rsidR="000235FE" w:rsidRPr="007114AF" w14:paraId="6EDD03A3"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98"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E35</w:t>
            </w:r>
          </w:p>
        </w:tc>
        <w:tc>
          <w:tcPr>
            <w:tcW w:w="2022" w:type="dxa"/>
            <w:vAlign w:val="center"/>
            <w:hideMark/>
          </w:tcPr>
          <w:p w14:paraId="6EDD0399" w14:textId="11F3B63E"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Informacioni dhe trajnimi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12)</w:t>
            </w:r>
          </w:p>
        </w:tc>
        <w:tc>
          <w:tcPr>
            <w:tcW w:w="1134" w:type="dxa"/>
            <w:vAlign w:val="center"/>
            <w:hideMark/>
          </w:tcPr>
          <w:p w14:paraId="6EDD039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992" w:type="dxa"/>
            <w:noWrap/>
            <w:vAlign w:val="center"/>
            <w:hideMark/>
          </w:tcPr>
          <w:p w14:paraId="6EDD039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124/2015 Mbi Eficiencën e Energjisë</w:t>
            </w:r>
          </w:p>
        </w:tc>
        <w:tc>
          <w:tcPr>
            <w:tcW w:w="1014" w:type="dxa"/>
            <w:vAlign w:val="center"/>
          </w:tcPr>
          <w:p w14:paraId="6EDD039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39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56,000.00</w:t>
            </w:r>
          </w:p>
        </w:tc>
        <w:tc>
          <w:tcPr>
            <w:tcW w:w="1276" w:type="dxa"/>
            <w:vAlign w:val="center"/>
            <w:hideMark/>
          </w:tcPr>
          <w:p w14:paraId="6EDD039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39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3A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A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56,000.00</w:t>
            </w:r>
          </w:p>
        </w:tc>
        <w:tc>
          <w:tcPr>
            <w:tcW w:w="2360" w:type="dxa"/>
            <w:vAlign w:val="center"/>
            <w:hideMark/>
          </w:tcPr>
          <w:p w14:paraId="6EDD03A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e marrë nga Plani i dytë dhe i tretë kombëtar i Veprimit mbi Eficiencën e Energjisë për Shqipërinë 2016-2020/T2</w:t>
            </w:r>
          </w:p>
        </w:tc>
      </w:tr>
      <w:tr w:rsidR="000235FE" w:rsidRPr="007114AF" w14:paraId="6EDD03AF"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A4"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E36</w:t>
            </w:r>
          </w:p>
        </w:tc>
        <w:tc>
          <w:tcPr>
            <w:tcW w:w="2022" w:type="dxa"/>
            <w:vAlign w:val="center"/>
            <w:hideMark/>
          </w:tcPr>
          <w:p w14:paraId="6EDD03A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Nxitja e marrëveshjeve vullnetare </w:t>
            </w:r>
          </w:p>
        </w:tc>
        <w:tc>
          <w:tcPr>
            <w:tcW w:w="1134" w:type="dxa"/>
            <w:vAlign w:val="center"/>
            <w:hideMark/>
          </w:tcPr>
          <w:p w14:paraId="6EDD03A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3A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A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3A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noWrap/>
            <w:vAlign w:val="center"/>
            <w:hideMark/>
          </w:tcPr>
          <w:p w14:paraId="6EDD03A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noWrap/>
            <w:vAlign w:val="center"/>
            <w:hideMark/>
          </w:tcPr>
          <w:p w14:paraId="6EDD03A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3A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A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A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të dhënë mbi fondet e nevojshme për këtë masë</w:t>
            </w:r>
          </w:p>
        </w:tc>
      </w:tr>
      <w:tr w:rsidR="000235FE" w:rsidRPr="007114AF" w14:paraId="6EDD03BC" w14:textId="77777777" w:rsidTr="000235FE">
        <w:trPr>
          <w:cantSplit/>
          <w:trHeight w:val="2217"/>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B0"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E37</w:t>
            </w:r>
          </w:p>
        </w:tc>
        <w:tc>
          <w:tcPr>
            <w:tcW w:w="2022" w:type="dxa"/>
            <w:vAlign w:val="center"/>
            <w:hideMark/>
          </w:tcPr>
          <w:p w14:paraId="6EDD03B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Promovimi i NKE në shkallë të ulët për përdorim industrial </w:t>
            </w:r>
          </w:p>
        </w:tc>
        <w:tc>
          <w:tcPr>
            <w:tcW w:w="1134" w:type="dxa"/>
            <w:vAlign w:val="center"/>
            <w:hideMark/>
          </w:tcPr>
          <w:p w14:paraId="6EDD03B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3B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B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vAlign w:val="center"/>
            <w:hideMark/>
          </w:tcPr>
          <w:p w14:paraId="6EDD03B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w:t>
            </w:r>
          </w:p>
        </w:tc>
        <w:tc>
          <w:tcPr>
            <w:tcW w:w="1276" w:type="dxa"/>
            <w:vAlign w:val="center"/>
            <w:hideMark/>
          </w:tcPr>
          <w:p w14:paraId="6EDD03B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3B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3B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3B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w:t>
            </w:r>
          </w:p>
        </w:tc>
        <w:tc>
          <w:tcPr>
            <w:tcW w:w="2360" w:type="dxa"/>
            <w:vAlign w:val="center"/>
            <w:hideMark/>
          </w:tcPr>
          <w:p w14:paraId="6EDD03B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për vendosjen e një qendre kompetence, ndërtimi i ekspertizës për informacionin dhe aktivitetet trajnuese; mbase mund të mbulohet nga projekte e bashkëpunimit ndërkombëtar.</w:t>
            </w:r>
          </w:p>
          <w:p w14:paraId="6EDD03B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Mbase nga fondet EE dhe donatorët</w:t>
            </w:r>
          </w:p>
        </w:tc>
      </w:tr>
      <w:tr w:rsidR="000235FE" w:rsidRPr="007114AF" w14:paraId="6EDD03C8"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B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E38</w:t>
            </w:r>
          </w:p>
        </w:tc>
        <w:tc>
          <w:tcPr>
            <w:tcW w:w="2022" w:type="dxa"/>
            <w:vAlign w:val="center"/>
            <w:hideMark/>
          </w:tcPr>
          <w:p w14:paraId="6EDD03BE" w14:textId="10378964"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Kërkesat minimale për eficiencën e energjisë</w:t>
            </w:r>
            <w:r w:rsidR="00FD5AD9">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për motorët elektrik, sistemet e ndriçimit dhe furrat industriale</w:t>
            </w:r>
          </w:p>
        </w:tc>
        <w:tc>
          <w:tcPr>
            <w:tcW w:w="1134" w:type="dxa"/>
            <w:vAlign w:val="center"/>
            <w:hideMark/>
          </w:tcPr>
          <w:p w14:paraId="6EDD03B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Align w:val="center"/>
            <w:hideMark/>
          </w:tcPr>
          <w:p w14:paraId="6EDD03C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C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538" w:type="dxa"/>
            <w:vAlign w:val="center"/>
            <w:hideMark/>
          </w:tcPr>
          <w:p w14:paraId="6EDD03C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w:t>
            </w:r>
          </w:p>
        </w:tc>
        <w:tc>
          <w:tcPr>
            <w:tcW w:w="1276" w:type="dxa"/>
            <w:vAlign w:val="center"/>
            <w:hideMark/>
          </w:tcPr>
          <w:p w14:paraId="6EDD03C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w:t>
            </w:r>
          </w:p>
        </w:tc>
        <w:tc>
          <w:tcPr>
            <w:tcW w:w="1134" w:type="dxa"/>
            <w:noWrap/>
            <w:vAlign w:val="center"/>
            <w:hideMark/>
          </w:tcPr>
          <w:p w14:paraId="6EDD03C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3C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C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noWrap/>
            <w:vAlign w:val="center"/>
            <w:hideMark/>
          </w:tcPr>
          <w:p w14:paraId="6EDD03C7" w14:textId="6055B185"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 Nga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Fondi EE</w:t>
            </w:r>
            <w:r w:rsidR="000A2A01" w:rsidRPr="007114AF">
              <w:rPr>
                <w:rFonts w:ascii="Garamond" w:eastAsia="Times New Roman" w:hAnsi="Garamond" w:cs="Times New Roman"/>
                <w:sz w:val="18"/>
                <w:szCs w:val="18"/>
              </w:rPr>
              <w:t>”</w:t>
            </w:r>
          </w:p>
        </w:tc>
      </w:tr>
      <w:tr w:rsidR="000235FE" w:rsidRPr="007114AF" w14:paraId="6EDD03D4" w14:textId="77777777" w:rsidTr="000235FE">
        <w:trPr>
          <w:cantSplit/>
          <w:trHeight w:val="1318"/>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C9"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E39</w:t>
            </w:r>
          </w:p>
        </w:tc>
        <w:tc>
          <w:tcPr>
            <w:tcW w:w="2022" w:type="dxa"/>
            <w:vAlign w:val="center"/>
            <w:hideMark/>
          </w:tcPr>
          <w:p w14:paraId="6EDD03CA" w14:textId="46D26348"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Përfshirjen e Eficiencës së Energjisë</w:t>
            </w:r>
            <w:r w:rsidR="00FD5AD9">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 xml:space="preserve">në lejet mjedisore për fabrikat e reja në degët të cilat janë intensive në përdorimin energjetik </w:t>
            </w:r>
          </w:p>
        </w:tc>
        <w:tc>
          <w:tcPr>
            <w:tcW w:w="1134" w:type="dxa"/>
            <w:vAlign w:val="center"/>
            <w:hideMark/>
          </w:tcPr>
          <w:p w14:paraId="6EDD03C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Align w:val="center"/>
            <w:hideMark/>
          </w:tcPr>
          <w:p w14:paraId="6EDD03C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C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Direkte</w:t>
            </w:r>
          </w:p>
        </w:tc>
        <w:tc>
          <w:tcPr>
            <w:tcW w:w="1538" w:type="dxa"/>
            <w:noWrap/>
            <w:vAlign w:val="center"/>
            <w:hideMark/>
          </w:tcPr>
          <w:p w14:paraId="6EDD03C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36,700.00</w:t>
            </w:r>
          </w:p>
        </w:tc>
        <w:tc>
          <w:tcPr>
            <w:tcW w:w="1276" w:type="dxa"/>
            <w:noWrap/>
            <w:vAlign w:val="center"/>
            <w:hideMark/>
          </w:tcPr>
          <w:p w14:paraId="6EDD03C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36,700.00</w:t>
            </w:r>
          </w:p>
        </w:tc>
        <w:tc>
          <w:tcPr>
            <w:tcW w:w="1134" w:type="dxa"/>
            <w:vAlign w:val="center"/>
            <w:hideMark/>
          </w:tcPr>
          <w:p w14:paraId="6EDD03D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3D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3D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D3" w14:textId="711134F3"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e marra nga Plani i Dyte dhe i Tretë i Veprimit Kombëtar mbi Eficiencën e Energjisë</w:t>
            </w:r>
            <w:r w:rsidR="00ED4FAD">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Shqiptar 2016-2020/ I1</w:t>
            </w:r>
          </w:p>
        </w:tc>
      </w:tr>
      <w:tr w:rsidR="000235FE" w:rsidRPr="007114AF" w14:paraId="6EDD03E0"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D5"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E40</w:t>
            </w:r>
          </w:p>
        </w:tc>
        <w:tc>
          <w:tcPr>
            <w:tcW w:w="2022" w:type="dxa"/>
            <w:vAlign w:val="center"/>
            <w:hideMark/>
          </w:tcPr>
          <w:p w14:paraId="6EDD03D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Krijimi i një baze të dhënash të centralizuar e cila mbledh të gjithë informacionin e duhur për monitorim dhe vlerësim e progresit në bazë të planit</w:t>
            </w:r>
          </w:p>
        </w:tc>
        <w:tc>
          <w:tcPr>
            <w:tcW w:w="1134" w:type="dxa"/>
            <w:vAlign w:val="center"/>
            <w:hideMark/>
          </w:tcPr>
          <w:p w14:paraId="6EDD03D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992" w:type="dxa"/>
            <w:vAlign w:val="center"/>
            <w:hideMark/>
          </w:tcPr>
          <w:p w14:paraId="6EDD03D8" w14:textId="2D407F6A"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PKZNK propozim i bazuar në</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 xml:space="preserve">LOCSEE Plani Shqiptar për Proceset me karbon të ulët </w:t>
            </w:r>
          </w:p>
        </w:tc>
        <w:tc>
          <w:tcPr>
            <w:tcW w:w="1014" w:type="dxa"/>
            <w:vAlign w:val="center"/>
          </w:tcPr>
          <w:p w14:paraId="6EDD03D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3D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15,000.00</w:t>
            </w:r>
          </w:p>
        </w:tc>
        <w:tc>
          <w:tcPr>
            <w:tcW w:w="1276" w:type="dxa"/>
            <w:noWrap/>
            <w:vAlign w:val="center"/>
            <w:hideMark/>
          </w:tcPr>
          <w:p w14:paraId="6EDD03D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15,000.00</w:t>
            </w:r>
          </w:p>
        </w:tc>
        <w:tc>
          <w:tcPr>
            <w:tcW w:w="1134" w:type="dxa"/>
            <w:noWrap/>
            <w:vAlign w:val="center"/>
            <w:hideMark/>
          </w:tcPr>
          <w:p w14:paraId="6EDD03D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3D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3D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DF" w14:textId="4A9AC842"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Një pjesë e kostos për rezultatin E, programi</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Mbështetje për Energjinë</w:t>
            </w:r>
            <w:r w:rsidR="000A2A01" w:rsidRPr="007114AF">
              <w:rPr>
                <w:rFonts w:ascii="Garamond" w:eastAsia="Times New Roman" w:hAnsi="Garamond" w:cs="Times New Roman"/>
                <w:sz w:val="18"/>
                <w:szCs w:val="18"/>
              </w:rPr>
              <w:t>”</w:t>
            </w:r>
          </w:p>
        </w:tc>
      </w:tr>
      <w:tr w:rsidR="000235FE" w:rsidRPr="007114AF" w14:paraId="6EDD03EC"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E1"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E41</w:t>
            </w:r>
          </w:p>
        </w:tc>
        <w:tc>
          <w:tcPr>
            <w:tcW w:w="2022" w:type="dxa"/>
            <w:vAlign w:val="center"/>
            <w:hideMark/>
          </w:tcPr>
          <w:p w14:paraId="6EDD03E2" w14:textId="1BE9C36E"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Baza e të dhënave </w:t>
            </w:r>
            <w:r w:rsidR="006C054A" w:rsidRPr="007114AF">
              <w:rPr>
                <w:rFonts w:ascii="Garamond" w:eastAsia="Times New Roman" w:hAnsi="Garamond" w:cs="Times New Roman"/>
                <w:sz w:val="18"/>
                <w:szCs w:val="18"/>
              </w:rPr>
              <w:t>Energjetike</w:t>
            </w:r>
            <w:r w:rsidRPr="007114AF">
              <w:rPr>
                <w:rFonts w:ascii="Garamond" w:eastAsia="Times New Roman" w:hAnsi="Garamond" w:cs="Times New Roman"/>
                <w:sz w:val="18"/>
                <w:szCs w:val="18"/>
              </w:rPr>
              <w:t xml:space="preserve">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13)</w:t>
            </w:r>
          </w:p>
        </w:tc>
        <w:tc>
          <w:tcPr>
            <w:tcW w:w="1134" w:type="dxa"/>
            <w:vAlign w:val="center"/>
            <w:hideMark/>
          </w:tcPr>
          <w:p w14:paraId="6EDD03E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w:t>
            </w:r>
          </w:p>
        </w:tc>
        <w:tc>
          <w:tcPr>
            <w:tcW w:w="992" w:type="dxa"/>
            <w:noWrap/>
            <w:vAlign w:val="center"/>
            <w:hideMark/>
          </w:tcPr>
          <w:p w14:paraId="6EDD03E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124/2015 Mbi Eficiencën e Energjisë</w:t>
            </w:r>
          </w:p>
        </w:tc>
        <w:tc>
          <w:tcPr>
            <w:tcW w:w="1014" w:type="dxa"/>
            <w:vAlign w:val="center"/>
          </w:tcPr>
          <w:p w14:paraId="6EDD03E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3E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11,000</w:t>
            </w:r>
          </w:p>
        </w:tc>
        <w:tc>
          <w:tcPr>
            <w:tcW w:w="1276" w:type="dxa"/>
            <w:vAlign w:val="center"/>
            <w:hideMark/>
          </w:tcPr>
          <w:p w14:paraId="6EDD03E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11,000.00</w:t>
            </w:r>
          </w:p>
        </w:tc>
        <w:tc>
          <w:tcPr>
            <w:tcW w:w="1134" w:type="dxa"/>
            <w:vAlign w:val="center"/>
            <w:hideMark/>
          </w:tcPr>
          <w:p w14:paraId="6EDD03E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3E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3E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EB" w14:textId="082970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Një pjesë e kostos për rezultatin E, programi</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Mbështetje për Energjinë</w:t>
            </w:r>
            <w:r w:rsidR="000A2A01" w:rsidRPr="007114AF">
              <w:rPr>
                <w:rFonts w:ascii="Garamond" w:eastAsia="Times New Roman" w:hAnsi="Garamond" w:cs="Times New Roman"/>
                <w:sz w:val="18"/>
                <w:szCs w:val="18"/>
              </w:rPr>
              <w:t>”</w:t>
            </w:r>
          </w:p>
        </w:tc>
      </w:tr>
      <w:tr w:rsidR="000235FE" w:rsidRPr="007114AF" w14:paraId="6EDD03F8" w14:textId="77777777" w:rsidTr="000235FE">
        <w:trPr>
          <w:cantSplit/>
          <w:trHeight w:val="1978"/>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E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E42</w:t>
            </w:r>
          </w:p>
        </w:tc>
        <w:tc>
          <w:tcPr>
            <w:tcW w:w="2022" w:type="dxa"/>
            <w:vAlign w:val="center"/>
            <w:hideMark/>
          </w:tcPr>
          <w:p w14:paraId="6EDD03E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PEE masat mundësuese: Rrjeti i këshillimit Energjetik </w:t>
            </w:r>
          </w:p>
        </w:tc>
        <w:tc>
          <w:tcPr>
            <w:tcW w:w="1134" w:type="dxa"/>
            <w:vAlign w:val="center"/>
            <w:hideMark/>
          </w:tcPr>
          <w:p w14:paraId="6EDD03E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3F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F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3F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w:t>
            </w:r>
          </w:p>
        </w:tc>
        <w:tc>
          <w:tcPr>
            <w:tcW w:w="1276" w:type="dxa"/>
            <w:vAlign w:val="center"/>
            <w:hideMark/>
          </w:tcPr>
          <w:p w14:paraId="6EDD03F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3F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w:t>
            </w:r>
          </w:p>
        </w:tc>
        <w:tc>
          <w:tcPr>
            <w:tcW w:w="1276" w:type="dxa"/>
            <w:vAlign w:val="center"/>
            <w:hideMark/>
          </w:tcPr>
          <w:p w14:paraId="6EDD03F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3F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3F7" w14:textId="1012FCB5" w:rsidR="000235FE" w:rsidRPr="007114AF" w:rsidRDefault="000A2A01"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w:t>
            </w:r>
            <w:r w:rsidR="000235FE" w:rsidRPr="007114AF">
              <w:rPr>
                <w:rFonts w:ascii="Garamond" w:eastAsia="Times New Roman" w:hAnsi="Garamond" w:cs="Times New Roman"/>
                <w:sz w:val="18"/>
                <w:szCs w:val="18"/>
              </w:rPr>
              <w:t>(Kryesisht burime të shtuara njerëzore) Kostot mund të ulen me bashkëpunim të partnerëve të biznesit dhe mund të mbulohen pjesërisht nëpërmjet projekteve të bashkëpunimit ndërkombëtar.</w:t>
            </w:r>
            <w:r w:rsidRPr="007114AF">
              <w:rPr>
                <w:rFonts w:ascii="Garamond" w:eastAsia="Times New Roman" w:hAnsi="Garamond" w:cs="Times New Roman"/>
                <w:sz w:val="18"/>
                <w:szCs w:val="18"/>
              </w:rPr>
              <w:t>”</w:t>
            </w:r>
          </w:p>
        </w:tc>
      </w:tr>
      <w:tr w:rsidR="000235FE" w:rsidRPr="007114AF" w14:paraId="6EDD0404" w14:textId="77777777" w:rsidTr="000235FE">
        <w:trPr>
          <w:cantSplit/>
          <w:trHeight w:val="1099"/>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3F9"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E43</w:t>
            </w:r>
          </w:p>
        </w:tc>
        <w:tc>
          <w:tcPr>
            <w:tcW w:w="2022" w:type="dxa"/>
            <w:vAlign w:val="center"/>
            <w:hideMark/>
          </w:tcPr>
          <w:p w14:paraId="6EDD03FA" w14:textId="71FB00E4"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PEE masat mundësuese: fushata ndërgjegjësimi mbi Eficiencën e Energjisë</w:t>
            </w:r>
            <w:r w:rsidR="006C054A">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në sektorin e banesave</w:t>
            </w:r>
          </w:p>
        </w:tc>
        <w:tc>
          <w:tcPr>
            <w:tcW w:w="1134" w:type="dxa"/>
            <w:vAlign w:val="center"/>
            <w:hideMark/>
          </w:tcPr>
          <w:p w14:paraId="6EDD03F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3F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3F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3F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w:t>
            </w:r>
          </w:p>
        </w:tc>
        <w:tc>
          <w:tcPr>
            <w:tcW w:w="1276" w:type="dxa"/>
            <w:vAlign w:val="center"/>
            <w:hideMark/>
          </w:tcPr>
          <w:p w14:paraId="6EDD03F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40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0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w:t>
            </w:r>
          </w:p>
        </w:tc>
        <w:tc>
          <w:tcPr>
            <w:tcW w:w="1134" w:type="dxa"/>
            <w:vAlign w:val="center"/>
            <w:hideMark/>
          </w:tcPr>
          <w:p w14:paraId="6EDD040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03" w14:textId="5AF4942D" w:rsidR="000235FE" w:rsidRPr="007114AF" w:rsidRDefault="000A2A01"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w:t>
            </w:r>
            <w:r w:rsidR="000235FE" w:rsidRPr="007114AF">
              <w:rPr>
                <w:rFonts w:ascii="Garamond" w:eastAsia="Times New Roman" w:hAnsi="Garamond" w:cs="Times New Roman"/>
                <w:sz w:val="18"/>
                <w:szCs w:val="18"/>
              </w:rPr>
              <w:t>Kostot mund të ulen me bashkëpunim të partnerëve në biznes.</w:t>
            </w:r>
            <w:r w:rsidRPr="007114AF">
              <w:rPr>
                <w:rFonts w:ascii="Garamond" w:eastAsia="Times New Roman" w:hAnsi="Garamond" w:cs="Times New Roman"/>
                <w:sz w:val="18"/>
                <w:szCs w:val="18"/>
              </w:rPr>
              <w:t>”</w:t>
            </w:r>
          </w:p>
        </w:tc>
      </w:tr>
      <w:tr w:rsidR="000235FE" w:rsidRPr="007114AF" w14:paraId="6EDD0410"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05"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E44</w:t>
            </w:r>
          </w:p>
        </w:tc>
        <w:tc>
          <w:tcPr>
            <w:tcW w:w="2022" w:type="dxa"/>
            <w:vAlign w:val="center"/>
            <w:hideMark/>
          </w:tcPr>
          <w:p w14:paraId="6EDD040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Trajnim i personelit të menaxhimit të godinës mbi Eficiencën e Energjisë</w:t>
            </w:r>
          </w:p>
        </w:tc>
        <w:tc>
          <w:tcPr>
            <w:tcW w:w="1134" w:type="dxa"/>
            <w:vAlign w:val="center"/>
            <w:hideMark/>
          </w:tcPr>
          <w:p w14:paraId="6EDD040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40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40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40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2,060.00</w:t>
            </w:r>
          </w:p>
        </w:tc>
        <w:tc>
          <w:tcPr>
            <w:tcW w:w="1276" w:type="dxa"/>
            <w:vAlign w:val="center"/>
            <w:hideMark/>
          </w:tcPr>
          <w:p w14:paraId="6EDD040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40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0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2,060.00</w:t>
            </w:r>
          </w:p>
        </w:tc>
        <w:tc>
          <w:tcPr>
            <w:tcW w:w="1134" w:type="dxa"/>
            <w:vAlign w:val="center"/>
            <w:hideMark/>
          </w:tcPr>
          <w:p w14:paraId="6EDD040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0F" w14:textId="1076F8B0" w:rsidR="000235FE" w:rsidRPr="007114AF" w:rsidRDefault="000235FE" w:rsidP="0000517F">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i vetmi shënim është: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Kostot për edukimin janë të ulëta në krahasim me kursimet n</w:t>
            </w:r>
            <w:r w:rsidR="0000517F">
              <w:rPr>
                <w:rFonts w:ascii="Garamond" w:eastAsia="Times New Roman" w:hAnsi="Garamond" w:cs="Times New Roman"/>
                <w:sz w:val="18"/>
                <w:szCs w:val="18"/>
              </w:rPr>
              <w:t>ë</w:t>
            </w:r>
            <w:r w:rsidRPr="007114AF">
              <w:rPr>
                <w:rFonts w:ascii="Garamond" w:eastAsia="Times New Roman" w:hAnsi="Garamond" w:cs="Times New Roman"/>
                <w:sz w:val="18"/>
                <w:szCs w:val="18"/>
              </w:rPr>
              <w:t xml:space="preserve"> kosto energjetike të cilat mund të gjenerohen</w:t>
            </w:r>
            <w:r w:rsidR="000A2A01" w:rsidRPr="007114AF">
              <w:rPr>
                <w:rFonts w:ascii="Garamond" w:eastAsia="Times New Roman" w:hAnsi="Garamond" w:cs="Times New Roman"/>
                <w:sz w:val="18"/>
                <w:szCs w:val="18"/>
              </w:rPr>
              <w:t>”</w:t>
            </w:r>
          </w:p>
        </w:tc>
      </w:tr>
      <w:tr w:rsidR="000235FE" w:rsidRPr="007114AF" w14:paraId="6EDD041C"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11"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E45</w:t>
            </w:r>
          </w:p>
        </w:tc>
        <w:tc>
          <w:tcPr>
            <w:tcW w:w="2022" w:type="dxa"/>
            <w:vAlign w:val="center"/>
            <w:hideMark/>
          </w:tcPr>
          <w:p w14:paraId="6EDD041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Fushata ndërgjegjësimi dhe informimi për përdoruesit fundorë</w:t>
            </w:r>
          </w:p>
        </w:tc>
        <w:tc>
          <w:tcPr>
            <w:tcW w:w="1134" w:type="dxa"/>
            <w:vAlign w:val="center"/>
            <w:hideMark/>
          </w:tcPr>
          <w:p w14:paraId="6EDD041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 (e filluar tashmë në 2008)</w:t>
            </w:r>
          </w:p>
        </w:tc>
        <w:tc>
          <w:tcPr>
            <w:tcW w:w="992" w:type="dxa"/>
            <w:vAlign w:val="center"/>
            <w:hideMark/>
          </w:tcPr>
          <w:p w14:paraId="6EDD041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41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vAlign w:val="center"/>
            <w:hideMark/>
          </w:tcPr>
          <w:p w14:paraId="6EDD041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w:t>
            </w:r>
          </w:p>
        </w:tc>
        <w:tc>
          <w:tcPr>
            <w:tcW w:w="1276" w:type="dxa"/>
            <w:vAlign w:val="center"/>
            <w:hideMark/>
          </w:tcPr>
          <w:p w14:paraId="6EDD041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41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1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w:t>
            </w:r>
          </w:p>
        </w:tc>
        <w:tc>
          <w:tcPr>
            <w:tcW w:w="1134" w:type="dxa"/>
            <w:vAlign w:val="center"/>
            <w:hideMark/>
          </w:tcPr>
          <w:p w14:paraId="6EDD041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1B" w14:textId="02E014BC" w:rsidR="000235FE" w:rsidRPr="007114AF" w:rsidRDefault="000A2A01"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w:t>
            </w:r>
            <w:r w:rsidR="000235FE" w:rsidRPr="007114AF">
              <w:rPr>
                <w:rFonts w:ascii="Garamond" w:eastAsia="Times New Roman" w:hAnsi="Garamond" w:cs="Times New Roman"/>
                <w:sz w:val="18"/>
                <w:szCs w:val="18"/>
              </w:rPr>
              <w:t>Buxheti për fushatat</w:t>
            </w:r>
            <w:r w:rsidRPr="007114AF">
              <w:rPr>
                <w:rFonts w:ascii="Garamond" w:eastAsia="Times New Roman" w:hAnsi="Garamond" w:cs="Times New Roman"/>
                <w:sz w:val="18"/>
                <w:szCs w:val="18"/>
              </w:rPr>
              <w:t>”</w:t>
            </w:r>
            <w:r w:rsidR="000235FE" w:rsidRPr="007114AF">
              <w:rPr>
                <w:rFonts w:ascii="Garamond" w:eastAsia="Times New Roman" w:hAnsi="Garamond" w:cs="Times New Roman"/>
                <w:sz w:val="18"/>
                <w:szCs w:val="18"/>
              </w:rPr>
              <w:t>. Mbase për secilën fushatë dhe ende shumë e ulët</w:t>
            </w:r>
          </w:p>
        </w:tc>
      </w:tr>
      <w:tr w:rsidR="000235FE" w:rsidRPr="007114AF" w14:paraId="6EDD0428"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1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E46</w:t>
            </w:r>
          </w:p>
        </w:tc>
        <w:tc>
          <w:tcPr>
            <w:tcW w:w="2022" w:type="dxa"/>
            <w:vAlign w:val="center"/>
            <w:hideMark/>
          </w:tcPr>
          <w:p w14:paraId="6EDD041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PEE masat mundësuese: edukim i mëtejshëm dhe trajnim për profesionistët</w:t>
            </w:r>
          </w:p>
        </w:tc>
        <w:tc>
          <w:tcPr>
            <w:tcW w:w="1134" w:type="dxa"/>
            <w:vAlign w:val="center"/>
            <w:hideMark/>
          </w:tcPr>
          <w:p w14:paraId="6EDD041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Align w:val="center"/>
            <w:hideMark/>
          </w:tcPr>
          <w:p w14:paraId="6EDD042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42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42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w:t>
            </w:r>
          </w:p>
        </w:tc>
        <w:tc>
          <w:tcPr>
            <w:tcW w:w="1276" w:type="dxa"/>
            <w:vAlign w:val="center"/>
            <w:hideMark/>
          </w:tcPr>
          <w:p w14:paraId="6EDD042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42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2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w:t>
            </w:r>
          </w:p>
        </w:tc>
        <w:tc>
          <w:tcPr>
            <w:tcW w:w="1134" w:type="dxa"/>
            <w:vAlign w:val="center"/>
            <w:hideMark/>
          </w:tcPr>
          <w:p w14:paraId="6EDD042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2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për zhvillimin kurseve trajnuese</w:t>
            </w:r>
          </w:p>
        </w:tc>
      </w:tr>
      <w:tr w:rsidR="000235FE" w:rsidRPr="007114AF" w14:paraId="6EDD0434" w14:textId="77777777" w:rsidTr="000235FE">
        <w:trPr>
          <w:cantSplit/>
          <w:trHeight w:val="137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29"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E47</w:t>
            </w:r>
          </w:p>
        </w:tc>
        <w:tc>
          <w:tcPr>
            <w:tcW w:w="2022" w:type="dxa"/>
            <w:vAlign w:val="center"/>
            <w:hideMark/>
          </w:tcPr>
          <w:p w14:paraId="6EDD042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Promovim i Kontratave që performojnë në Energji për godinat publike dhe ndriçimin rrugor bashkiak </w:t>
            </w:r>
          </w:p>
        </w:tc>
        <w:tc>
          <w:tcPr>
            <w:tcW w:w="1134" w:type="dxa"/>
            <w:vAlign w:val="center"/>
            <w:hideMark/>
          </w:tcPr>
          <w:p w14:paraId="6EDD042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92" w:type="dxa"/>
            <w:vAlign w:val="center"/>
            <w:hideMark/>
          </w:tcPr>
          <w:p w14:paraId="6EDD042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42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vAlign w:val="center"/>
            <w:hideMark/>
          </w:tcPr>
          <w:p w14:paraId="6EDD042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w:t>
            </w:r>
          </w:p>
        </w:tc>
        <w:tc>
          <w:tcPr>
            <w:tcW w:w="1276" w:type="dxa"/>
            <w:vAlign w:val="center"/>
            <w:hideMark/>
          </w:tcPr>
          <w:p w14:paraId="6EDD042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43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w:t>
            </w:r>
          </w:p>
        </w:tc>
        <w:tc>
          <w:tcPr>
            <w:tcW w:w="1276" w:type="dxa"/>
            <w:vAlign w:val="center"/>
            <w:hideMark/>
          </w:tcPr>
          <w:p w14:paraId="6EDD043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43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3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tregues i qartë rreth natyrës së kësaj sasie. Supozohet se kosto e projekteve të financuara në këtë fushë</w:t>
            </w:r>
          </w:p>
        </w:tc>
      </w:tr>
      <w:tr w:rsidR="000235FE" w:rsidRPr="007114AF" w14:paraId="6EDD0440"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35"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E48</w:t>
            </w:r>
          </w:p>
        </w:tc>
        <w:tc>
          <w:tcPr>
            <w:tcW w:w="2022" w:type="dxa"/>
            <w:vAlign w:val="center"/>
            <w:hideMark/>
          </w:tcPr>
          <w:p w14:paraId="6EDD043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Studim i opsioneve teknologjike dhe fizibiliteti të përdorimit të mbetjeve bashkiake në karburantet alternative në industrinë e çimentos</w:t>
            </w:r>
          </w:p>
        </w:tc>
        <w:tc>
          <w:tcPr>
            <w:tcW w:w="1134" w:type="dxa"/>
            <w:noWrap/>
            <w:vAlign w:val="center"/>
            <w:hideMark/>
          </w:tcPr>
          <w:p w14:paraId="6EDD043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w:t>
            </w:r>
          </w:p>
        </w:tc>
        <w:tc>
          <w:tcPr>
            <w:tcW w:w="992" w:type="dxa"/>
            <w:vAlign w:val="center"/>
            <w:hideMark/>
          </w:tcPr>
          <w:p w14:paraId="6EDD0438" w14:textId="00729D39"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NAMA – zëvendësimi i hidrokarbureve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me mbetje të padëmshme në Industrinë Shqiptare të Çimentos</w:t>
            </w:r>
          </w:p>
        </w:tc>
        <w:tc>
          <w:tcPr>
            <w:tcW w:w="1014" w:type="dxa"/>
            <w:vAlign w:val="center"/>
          </w:tcPr>
          <w:p w14:paraId="6EDD043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538" w:type="dxa"/>
            <w:vAlign w:val="center"/>
            <w:hideMark/>
          </w:tcPr>
          <w:p w14:paraId="6EDD043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276" w:type="dxa"/>
            <w:noWrap/>
            <w:vAlign w:val="center"/>
            <w:hideMark/>
          </w:tcPr>
          <w:p w14:paraId="6EDD043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43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276" w:type="dxa"/>
            <w:noWrap/>
            <w:vAlign w:val="center"/>
            <w:hideMark/>
          </w:tcPr>
          <w:p w14:paraId="6EDD043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43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3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totale për të kryer studimin e fizibilitetit</w:t>
            </w:r>
          </w:p>
        </w:tc>
      </w:tr>
      <w:tr w:rsidR="000235FE" w:rsidRPr="007114AF" w14:paraId="6EDD044C" w14:textId="77777777" w:rsidTr="000235FE">
        <w:trPr>
          <w:cantSplit/>
          <w:trHeight w:val="2637"/>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41"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E49</w:t>
            </w:r>
          </w:p>
        </w:tc>
        <w:tc>
          <w:tcPr>
            <w:tcW w:w="2022" w:type="dxa"/>
            <w:vAlign w:val="center"/>
            <w:hideMark/>
          </w:tcPr>
          <w:p w14:paraId="6EDD044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Ndërtimi i kapaciteteve në sektorët e duhur të menaxhimit të mbetjeve</w:t>
            </w:r>
          </w:p>
        </w:tc>
        <w:tc>
          <w:tcPr>
            <w:tcW w:w="1134" w:type="dxa"/>
            <w:vAlign w:val="center"/>
            <w:hideMark/>
          </w:tcPr>
          <w:p w14:paraId="6EDD044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2017 në vazhdim</w:t>
            </w:r>
          </w:p>
        </w:tc>
        <w:tc>
          <w:tcPr>
            <w:tcW w:w="992" w:type="dxa"/>
            <w:vAlign w:val="center"/>
            <w:hideMark/>
          </w:tcPr>
          <w:p w14:paraId="6EDD0444" w14:textId="357AF583"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NAMA – zëvendësimi i hidrokarbureve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me mbetje të padëmshme në Industrinë Shqiptare të Çimentos</w:t>
            </w:r>
          </w:p>
        </w:tc>
        <w:tc>
          <w:tcPr>
            <w:tcW w:w="1014" w:type="dxa"/>
            <w:vAlign w:val="center"/>
          </w:tcPr>
          <w:p w14:paraId="6EDD044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538" w:type="dxa"/>
            <w:noWrap/>
            <w:vAlign w:val="center"/>
            <w:hideMark/>
          </w:tcPr>
          <w:p w14:paraId="6EDD044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205,290.00</w:t>
            </w:r>
          </w:p>
        </w:tc>
        <w:tc>
          <w:tcPr>
            <w:tcW w:w="1276" w:type="dxa"/>
            <w:noWrap/>
            <w:vAlign w:val="center"/>
            <w:hideMark/>
          </w:tcPr>
          <w:p w14:paraId="6EDD044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noWrap/>
            <w:vAlign w:val="center"/>
            <w:hideMark/>
          </w:tcPr>
          <w:p w14:paraId="6EDD044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205,290.00</w:t>
            </w:r>
          </w:p>
        </w:tc>
        <w:tc>
          <w:tcPr>
            <w:tcW w:w="1276" w:type="dxa"/>
            <w:noWrap/>
            <w:vAlign w:val="center"/>
            <w:hideMark/>
          </w:tcPr>
          <w:p w14:paraId="6EDD044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44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4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e ndërtimit të kapaciteteve (kosto e trajnimit)</w:t>
            </w:r>
          </w:p>
        </w:tc>
      </w:tr>
      <w:tr w:rsidR="000235FE" w:rsidRPr="007114AF" w14:paraId="6EDD0458" w14:textId="77777777" w:rsidTr="000235FE">
        <w:trPr>
          <w:cantSplit/>
          <w:trHeight w:val="220"/>
          <w:jc w:val="center"/>
        </w:trPr>
        <w:tc>
          <w:tcPr>
            <w:cnfStyle w:val="001000000000" w:firstRow="0" w:lastRow="0" w:firstColumn="1" w:lastColumn="0" w:oddVBand="0" w:evenVBand="0" w:oddHBand="0" w:evenHBand="0" w:firstRowFirstColumn="0" w:firstRowLastColumn="0" w:lastRowFirstColumn="0" w:lastRowLastColumn="0"/>
            <w:tcW w:w="496" w:type="dxa"/>
            <w:vMerge w:val="restart"/>
            <w:noWrap/>
            <w:vAlign w:val="center"/>
            <w:hideMark/>
          </w:tcPr>
          <w:p w14:paraId="6EDD044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E50</w:t>
            </w:r>
          </w:p>
        </w:tc>
        <w:tc>
          <w:tcPr>
            <w:tcW w:w="2022" w:type="dxa"/>
            <w:vMerge w:val="restart"/>
            <w:vAlign w:val="center"/>
            <w:hideMark/>
          </w:tcPr>
          <w:p w14:paraId="6EDD044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Rritja e ndërgjegjes, promovimi i avantazheve të Eficiencës së Energjisë dhe energjisë së rinovueshme, si dhe investimeve dhe promovimit të burimeve financiare të mundësuara nga vetë fondi </w:t>
            </w:r>
          </w:p>
        </w:tc>
        <w:tc>
          <w:tcPr>
            <w:tcW w:w="1134" w:type="dxa"/>
            <w:vMerge w:val="restart"/>
            <w:vAlign w:val="center"/>
            <w:hideMark/>
          </w:tcPr>
          <w:p w14:paraId="6EDD044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 me qëllim të vazhdimit pasi fondet të mundësohen</w:t>
            </w:r>
          </w:p>
        </w:tc>
        <w:tc>
          <w:tcPr>
            <w:tcW w:w="992" w:type="dxa"/>
            <w:vMerge w:val="restart"/>
            <w:vAlign w:val="center"/>
            <w:hideMark/>
          </w:tcPr>
          <w:p w14:paraId="6EDD0450" w14:textId="455E11EE"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NAMA – Mekanizmat Financues për Eficiencën e Energjisë</w:t>
            </w:r>
            <w:r w:rsidR="006C054A">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në Godina</w:t>
            </w:r>
          </w:p>
        </w:tc>
        <w:tc>
          <w:tcPr>
            <w:tcW w:w="1014" w:type="dxa"/>
            <w:vAlign w:val="center"/>
          </w:tcPr>
          <w:p w14:paraId="6EDD045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538" w:type="dxa"/>
            <w:vMerge w:val="restart"/>
            <w:noWrap/>
            <w:vAlign w:val="center"/>
            <w:hideMark/>
          </w:tcPr>
          <w:p w14:paraId="6EDD045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76" w:type="dxa"/>
            <w:vMerge w:val="restart"/>
            <w:noWrap/>
            <w:vAlign w:val="center"/>
            <w:hideMark/>
          </w:tcPr>
          <w:p w14:paraId="6EDD045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restart"/>
            <w:noWrap/>
            <w:vAlign w:val="center"/>
            <w:hideMark/>
          </w:tcPr>
          <w:p w14:paraId="6EDD045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76" w:type="dxa"/>
            <w:vMerge w:val="restart"/>
            <w:vAlign w:val="center"/>
            <w:hideMark/>
          </w:tcPr>
          <w:p w14:paraId="6EDD045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Merge w:val="restart"/>
            <w:vAlign w:val="center"/>
            <w:hideMark/>
          </w:tcPr>
          <w:p w14:paraId="6EDD045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Merge w:val="restart"/>
            <w:vAlign w:val="center"/>
            <w:hideMark/>
          </w:tcPr>
          <w:p w14:paraId="6EDD0457" w14:textId="58665052"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N.B pakti parashikon</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€ 0.5 M për administrim dhe MRV</w:t>
            </w:r>
          </w:p>
        </w:tc>
      </w:tr>
      <w:tr w:rsidR="000235FE" w:rsidRPr="007114AF" w14:paraId="6EDD0464" w14:textId="77777777" w:rsidTr="000235FE">
        <w:trPr>
          <w:cantSplit/>
          <w:trHeight w:val="910"/>
          <w:jc w:val="center"/>
        </w:trPr>
        <w:tc>
          <w:tcPr>
            <w:cnfStyle w:val="001000000000" w:firstRow="0" w:lastRow="0" w:firstColumn="1" w:lastColumn="0" w:oddVBand="0" w:evenVBand="0" w:oddHBand="0" w:evenHBand="0" w:firstRowFirstColumn="0" w:firstRowLastColumn="0" w:lastRowFirstColumn="0" w:lastRowLastColumn="0"/>
            <w:tcW w:w="496" w:type="dxa"/>
            <w:vMerge/>
            <w:vAlign w:val="center"/>
            <w:hideMark/>
          </w:tcPr>
          <w:p w14:paraId="6EDD0459" w14:textId="77777777" w:rsidR="000235FE" w:rsidRPr="007114AF" w:rsidRDefault="000235FE" w:rsidP="00C136A5">
            <w:pPr>
              <w:spacing w:after="0"/>
              <w:rPr>
                <w:rFonts w:ascii="Garamond" w:eastAsia="Times New Roman" w:hAnsi="Garamond" w:cs="Times New Roman"/>
                <w:b w:val="0"/>
                <w:bCs w:val="0"/>
                <w:sz w:val="18"/>
                <w:szCs w:val="18"/>
              </w:rPr>
            </w:pPr>
          </w:p>
        </w:tc>
        <w:tc>
          <w:tcPr>
            <w:tcW w:w="2022" w:type="dxa"/>
            <w:vMerge/>
            <w:vAlign w:val="center"/>
            <w:hideMark/>
          </w:tcPr>
          <w:p w14:paraId="6EDD045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ign w:val="center"/>
            <w:hideMark/>
          </w:tcPr>
          <w:p w14:paraId="6EDD045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992" w:type="dxa"/>
            <w:vMerge/>
            <w:vAlign w:val="center"/>
            <w:hideMark/>
          </w:tcPr>
          <w:p w14:paraId="6EDD045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14" w:type="dxa"/>
            <w:vAlign w:val="center"/>
          </w:tcPr>
          <w:p w14:paraId="6EDD045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vMerge/>
            <w:vAlign w:val="center"/>
            <w:hideMark/>
          </w:tcPr>
          <w:p w14:paraId="6EDD045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vMerge/>
            <w:vAlign w:val="center"/>
            <w:hideMark/>
          </w:tcPr>
          <w:p w14:paraId="6EDD045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ign w:val="center"/>
            <w:hideMark/>
          </w:tcPr>
          <w:p w14:paraId="6EDD046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vMerge/>
            <w:vAlign w:val="center"/>
            <w:hideMark/>
          </w:tcPr>
          <w:p w14:paraId="6EDD046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ign w:val="center"/>
            <w:hideMark/>
          </w:tcPr>
          <w:p w14:paraId="6EDD046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2360" w:type="dxa"/>
            <w:vMerge/>
            <w:vAlign w:val="center"/>
            <w:hideMark/>
          </w:tcPr>
          <w:p w14:paraId="6EDD046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r>
      <w:tr w:rsidR="000235FE" w:rsidRPr="007114AF" w14:paraId="6EDD0470"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65"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E51</w:t>
            </w:r>
          </w:p>
        </w:tc>
        <w:tc>
          <w:tcPr>
            <w:tcW w:w="2022" w:type="dxa"/>
            <w:vAlign w:val="center"/>
            <w:hideMark/>
          </w:tcPr>
          <w:p w14:paraId="6EDD046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Detyrimin e zbatimit të kërkesave minimale për godinat private të shërbimit</w:t>
            </w:r>
          </w:p>
        </w:tc>
        <w:tc>
          <w:tcPr>
            <w:tcW w:w="1134" w:type="dxa"/>
            <w:vAlign w:val="center"/>
            <w:hideMark/>
          </w:tcPr>
          <w:p w14:paraId="6EDD046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46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46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vAlign w:val="center"/>
            <w:hideMark/>
          </w:tcPr>
          <w:p w14:paraId="6EDD046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w:t>
            </w:r>
          </w:p>
        </w:tc>
        <w:tc>
          <w:tcPr>
            <w:tcW w:w="1276" w:type="dxa"/>
            <w:vAlign w:val="center"/>
            <w:hideMark/>
          </w:tcPr>
          <w:p w14:paraId="6EDD046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46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6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w:t>
            </w:r>
          </w:p>
        </w:tc>
        <w:tc>
          <w:tcPr>
            <w:tcW w:w="1134" w:type="dxa"/>
            <w:vAlign w:val="center"/>
            <w:hideMark/>
          </w:tcPr>
          <w:p w14:paraId="6EDD046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6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Personeli njerëz nga bashkitë për të kontrolluar mbi zbatimin e këtij procesi; kostot operacionale </w:t>
            </w:r>
          </w:p>
        </w:tc>
      </w:tr>
      <w:tr w:rsidR="000235FE" w:rsidRPr="007114AF" w14:paraId="6EDD047C"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71"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E52</w:t>
            </w:r>
          </w:p>
        </w:tc>
        <w:tc>
          <w:tcPr>
            <w:tcW w:w="2022" w:type="dxa"/>
            <w:vAlign w:val="center"/>
            <w:hideMark/>
          </w:tcPr>
          <w:p w14:paraId="6EDD047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Nxitja e koordinimit ndërmjet autoriteteve të duhura qeveritare</w:t>
            </w:r>
          </w:p>
        </w:tc>
        <w:tc>
          <w:tcPr>
            <w:tcW w:w="1134" w:type="dxa"/>
            <w:vAlign w:val="center"/>
            <w:hideMark/>
          </w:tcPr>
          <w:p w14:paraId="6EDD047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2017 në vazhdim</w:t>
            </w:r>
          </w:p>
        </w:tc>
        <w:tc>
          <w:tcPr>
            <w:tcW w:w="992" w:type="dxa"/>
            <w:vAlign w:val="center"/>
            <w:hideMark/>
          </w:tcPr>
          <w:p w14:paraId="6EDD047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PKZNK</w:t>
            </w:r>
          </w:p>
        </w:tc>
        <w:tc>
          <w:tcPr>
            <w:tcW w:w="1014" w:type="dxa"/>
            <w:vAlign w:val="center"/>
          </w:tcPr>
          <w:p w14:paraId="6EDD047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47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vAlign w:val="center"/>
            <w:hideMark/>
          </w:tcPr>
          <w:p w14:paraId="6EDD047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vAlign w:val="center"/>
            <w:hideMark/>
          </w:tcPr>
          <w:p w14:paraId="6EDD047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7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47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7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Zbatimi i kësaj mase nuk ka nevojë për dhënie të fondeve të mëtejshme</w:t>
            </w:r>
          </w:p>
        </w:tc>
      </w:tr>
      <w:tr w:rsidR="000235FE" w:rsidRPr="007114AF" w14:paraId="6EDD0488" w14:textId="77777777" w:rsidTr="000235FE">
        <w:trPr>
          <w:cantSplit/>
          <w:trHeight w:val="2637"/>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7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E53</w:t>
            </w:r>
          </w:p>
        </w:tc>
        <w:tc>
          <w:tcPr>
            <w:tcW w:w="2022" w:type="dxa"/>
            <w:vAlign w:val="center"/>
            <w:hideMark/>
          </w:tcPr>
          <w:p w14:paraId="6EDD047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Investimi në qendrat ricikluese në bashki</w:t>
            </w:r>
          </w:p>
        </w:tc>
        <w:tc>
          <w:tcPr>
            <w:tcW w:w="1134" w:type="dxa"/>
            <w:noWrap/>
            <w:vAlign w:val="center"/>
            <w:hideMark/>
          </w:tcPr>
          <w:p w14:paraId="6EDD047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2016-2017</w:t>
            </w:r>
          </w:p>
        </w:tc>
        <w:tc>
          <w:tcPr>
            <w:tcW w:w="992" w:type="dxa"/>
            <w:vAlign w:val="center"/>
            <w:hideMark/>
          </w:tcPr>
          <w:p w14:paraId="6EDD0480" w14:textId="51532859"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NAMA – zëvendësimi i hidrokarbureve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me mbetje të padëmshme në industrinë Shqiptare të Çimentos</w:t>
            </w:r>
          </w:p>
        </w:tc>
        <w:tc>
          <w:tcPr>
            <w:tcW w:w="1014" w:type="dxa"/>
            <w:vAlign w:val="center"/>
          </w:tcPr>
          <w:p w14:paraId="6EDD048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48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1,290,620.00</w:t>
            </w:r>
          </w:p>
        </w:tc>
        <w:tc>
          <w:tcPr>
            <w:tcW w:w="1276" w:type="dxa"/>
            <w:noWrap/>
            <w:vAlign w:val="center"/>
            <w:hideMark/>
          </w:tcPr>
          <w:p w14:paraId="6EDD048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1,290,620.00</w:t>
            </w:r>
          </w:p>
        </w:tc>
        <w:tc>
          <w:tcPr>
            <w:tcW w:w="1134" w:type="dxa"/>
            <w:noWrap/>
            <w:vAlign w:val="center"/>
            <w:hideMark/>
          </w:tcPr>
          <w:p w14:paraId="6EDD048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48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48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8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Fondet e dhëna për dy qendrat ricikluese (Bashkitë e Elbasanit dhe Fierit) </w:t>
            </w:r>
          </w:p>
        </w:tc>
      </w:tr>
      <w:tr w:rsidR="000235FE" w:rsidRPr="007114AF" w14:paraId="6EDD0494" w14:textId="77777777" w:rsidTr="000235FE">
        <w:trPr>
          <w:cantSplit/>
          <w:trHeight w:val="680"/>
          <w:jc w:val="center"/>
        </w:trPr>
        <w:tc>
          <w:tcPr>
            <w:cnfStyle w:val="001000000000" w:firstRow="0" w:lastRow="0" w:firstColumn="1" w:lastColumn="0" w:oddVBand="0" w:evenVBand="0" w:oddHBand="0" w:evenHBand="0" w:firstRowFirstColumn="0" w:firstRowLastColumn="0" w:lastRowFirstColumn="0" w:lastRowLastColumn="0"/>
            <w:tcW w:w="496" w:type="dxa"/>
            <w:vMerge w:val="restart"/>
            <w:noWrap/>
            <w:vAlign w:val="center"/>
            <w:hideMark/>
          </w:tcPr>
          <w:p w14:paraId="6EDD0489"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E54</w:t>
            </w:r>
          </w:p>
        </w:tc>
        <w:tc>
          <w:tcPr>
            <w:tcW w:w="2022" w:type="dxa"/>
            <w:vMerge w:val="restart"/>
            <w:vAlign w:val="center"/>
            <w:hideMark/>
          </w:tcPr>
          <w:p w14:paraId="6EDD048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Operimi i qendrave të riciklimit</w:t>
            </w:r>
          </w:p>
        </w:tc>
        <w:tc>
          <w:tcPr>
            <w:tcW w:w="1134" w:type="dxa"/>
            <w:vMerge w:val="restart"/>
            <w:vAlign w:val="center"/>
            <w:hideMark/>
          </w:tcPr>
          <w:p w14:paraId="6EDD048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2017 në vazhdim</w:t>
            </w:r>
          </w:p>
        </w:tc>
        <w:tc>
          <w:tcPr>
            <w:tcW w:w="992" w:type="dxa"/>
            <w:vMerge w:val="restart"/>
            <w:vAlign w:val="center"/>
            <w:hideMark/>
          </w:tcPr>
          <w:p w14:paraId="6EDD048C" w14:textId="6DABC01A"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NAMA – zëvendësimi i hidrokarbureve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me mbetje të padëmshme në industrinë Shqiptare të Çimentos</w:t>
            </w:r>
          </w:p>
        </w:tc>
        <w:tc>
          <w:tcPr>
            <w:tcW w:w="1014" w:type="dxa"/>
            <w:vAlign w:val="center"/>
          </w:tcPr>
          <w:p w14:paraId="6EDD048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vMerge w:val="restart"/>
            <w:vAlign w:val="center"/>
            <w:hideMark/>
          </w:tcPr>
          <w:p w14:paraId="6EDD048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75,515.00</w:t>
            </w:r>
          </w:p>
        </w:tc>
        <w:tc>
          <w:tcPr>
            <w:tcW w:w="1276" w:type="dxa"/>
            <w:vMerge w:val="restart"/>
            <w:vAlign w:val="center"/>
            <w:hideMark/>
          </w:tcPr>
          <w:p w14:paraId="6EDD048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restart"/>
            <w:vAlign w:val="center"/>
            <w:hideMark/>
          </w:tcPr>
          <w:p w14:paraId="6EDD049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Merge w:val="restart"/>
            <w:vAlign w:val="center"/>
            <w:hideMark/>
          </w:tcPr>
          <w:p w14:paraId="6EDD049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75,515.00</w:t>
            </w:r>
          </w:p>
        </w:tc>
        <w:tc>
          <w:tcPr>
            <w:tcW w:w="1134" w:type="dxa"/>
            <w:vMerge w:val="restart"/>
            <w:vAlign w:val="center"/>
            <w:hideMark/>
          </w:tcPr>
          <w:p w14:paraId="6EDD049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Merge w:val="restart"/>
            <w:vAlign w:val="center"/>
            <w:hideMark/>
          </w:tcPr>
          <w:p w14:paraId="6EDD049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Administrimi i MRV dhe kostot</w:t>
            </w:r>
          </w:p>
        </w:tc>
      </w:tr>
      <w:tr w:rsidR="000235FE" w:rsidRPr="007114AF" w14:paraId="6EDD04A0" w14:textId="77777777" w:rsidTr="000235FE">
        <w:trPr>
          <w:cantSplit/>
          <w:trHeight w:val="220"/>
          <w:jc w:val="center"/>
        </w:trPr>
        <w:tc>
          <w:tcPr>
            <w:cnfStyle w:val="001000000000" w:firstRow="0" w:lastRow="0" w:firstColumn="1" w:lastColumn="0" w:oddVBand="0" w:evenVBand="0" w:oddHBand="0" w:evenHBand="0" w:firstRowFirstColumn="0" w:firstRowLastColumn="0" w:lastRowFirstColumn="0" w:lastRowLastColumn="0"/>
            <w:tcW w:w="496" w:type="dxa"/>
            <w:vMerge/>
            <w:vAlign w:val="center"/>
            <w:hideMark/>
          </w:tcPr>
          <w:p w14:paraId="6EDD0495" w14:textId="77777777" w:rsidR="000235FE" w:rsidRPr="007114AF" w:rsidRDefault="000235FE" w:rsidP="00C136A5">
            <w:pPr>
              <w:spacing w:after="0"/>
              <w:rPr>
                <w:rFonts w:ascii="Garamond" w:eastAsia="Times New Roman" w:hAnsi="Garamond" w:cs="Times New Roman"/>
                <w:b w:val="0"/>
                <w:bCs w:val="0"/>
                <w:sz w:val="18"/>
                <w:szCs w:val="18"/>
              </w:rPr>
            </w:pPr>
          </w:p>
        </w:tc>
        <w:tc>
          <w:tcPr>
            <w:tcW w:w="2022" w:type="dxa"/>
            <w:vMerge/>
            <w:vAlign w:val="center"/>
            <w:hideMark/>
          </w:tcPr>
          <w:p w14:paraId="6EDD049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ign w:val="center"/>
            <w:hideMark/>
          </w:tcPr>
          <w:p w14:paraId="6EDD049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992" w:type="dxa"/>
            <w:vMerge/>
            <w:vAlign w:val="center"/>
            <w:hideMark/>
          </w:tcPr>
          <w:p w14:paraId="6EDD049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14" w:type="dxa"/>
            <w:vAlign w:val="center"/>
          </w:tcPr>
          <w:p w14:paraId="6EDD049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538" w:type="dxa"/>
            <w:vMerge/>
            <w:vAlign w:val="center"/>
            <w:hideMark/>
          </w:tcPr>
          <w:p w14:paraId="6EDD049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vMerge/>
            <w:vAlign w:val="center"/>
            <w:hideMark/>
          </w:tcPr>
          <w:p w14:paraId="6EDD049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ign w:val="center"/>
            <w:hideMark/>
          </w:tcPr>
          <w:p w14:paraId="6EDD049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vMerge/>
            <w:vAlign w:val="center"/>
            <w:hideMark/>
          </w:tcPr>
          <w:p w14:paraId="6EDD049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Merge/>
            <w:vAlign w:val="center"/>
            <w:hideMark/>
          </w:tcPr>
          <w:p w14:paraId="6EDD049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2360" w:type="dxa"/>
            <w:vMerge/>
            <w:vAlign w:val="center"/>
            <w:hideMark/>
          </w:tcPr>
          <w:p w14:paraId="6EDD049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r>
      <w:tr w:rsidR="000235FE" w:rsidRPr="007114AF" w14:paraId="6EDD04AC"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A1"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E55</w:t>
            </w:r>
          </w:p>
        </w:tc>
        <w:tc>
          <w:tcPr>
            <w:tcW w:w="2022" w:type="dxa"/>
            <w:vAlign w:val="center"/>
            <w:hideMark/>
          </w:tcPr>
          <w:p w14:paraId="6EDD04A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Mbështetje teknike për projektet e financuara nga fondi në të gjitha fazat e projektit nga dizenjo tek zbatimi dhe menaxhimi i godinave -MRV.</w:t>
            </w:r>
          </w:p>
        </w:tc>
        <w:tc>
          <w:tcPr>
            <w:tcW w:w="1134" w:type="dxa"/>
            <w:vAlign w:val="center"/>
            <w:hideMark/>
          </w:tcPr>
          <w:p w14:paraId="6EDD04A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 me qëllim të vazhdimit edhe më pas nëse fondet janë gjendje</w:t>
            </w:r>
          </w:p>
        </w:tc>
        <w:tc>
          <w:tcPr>
            <w:tcW w:w="992" w:type="dxa"/>
            <w:vAlign w:val="center"/>
            <w:hideMark/>
          </w:tcPr>
          <w:p w14:paraId="6EDD04A4" w14:textId="475CACC8"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NAMA – Mekanizmat Financues për Efic</w:t>
            </w:r>
            <w:r w:rsidR="006C054A">
              <w:rPr>
                <w:rFonts w:ascii="Garamond" w:eastAsia="Times New Roman" w:hAnsi="Garamond" w:cs="Times New Roman"/>
                <w:sz w:val="18"/>
                <w:szCs w:val="18"/>
              </w:rPr>
              <w:t>i</w:t>
            </w:r>
            <w:r w:rsidRPr="007114AF">
              <w:rPr>
                <w:rFonts w:ascii="Garamond" w:eastAsia="Times New Roman" w:hAnsi="Garamond" w:cs="Times New Roman"/>
                <w:sz w:val="18"/>
                <w:szCs w:val="18"/>
              </w:rPr>
              <w:t>encën e Energjisë</w:t>
            </w:r>
            <w:r w:rsidR="006C054A">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në Godina</w:t>
            </w:r>
          </w:p>
        </w:tc>
        <w:tc>
          <w:tcPr>
            <w:tcW w:w="1014" w:type="dxa"/>
            <w:vAlign w:val="center"/>
          </w:tcPr>
          <w:p w14:paraId="6EDD04A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4A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205,950.00</w:t>
            </w:r>
          </w:p>
        </w:tc>
        <w:tc>
          <w:tcPr>
            <w:tcW w:w="1276" w:type="dxa"/>
            <w:vAlign w:val="center"/>
            <w:hideMark/>
          </w:tcPr>
          <w:p w14:paraId="6EDD04A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4A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205,950.00</w:t>
            </w:r>
          </w:p>
        </w:tc>
        <w:tc>
          <w:tcPr>
            <w:tcW w:w="1276" w:type="dxa"/>
            <w:vAlign w:val="center"/>
            <w:hideMark/>
          </w:tcPr>
          <w:p w14:paraId="6EDD04A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4A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2360" w:type="dxa"/>
            <w:vAlign w:val="center"/>
            <w:hideMark/>
          </w:tcPr>
          <w:p w14:paraId="6EDD04AB" w14:textId="1925F6F8"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të cilat:</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€ 1 M Audite para fizibiliteti; € 0.5 M Programe Trajnimi dhe të tjera (duke përfshirë menaxhimin e godinave TA)</w:t>
            </w:r>
          </w:p>
        </w:tc>
      </w:tr>
      <w:tr w:rsidR="000235FE" w:rsidRPr="007114AF" w14:paraId="6EDD04B8" w14:textId="77777777" w:rsidTr="000235FE">
        <w:trPr>
          <w:cantSplit/>
          <w:trHeight w:val="1978"/>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A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E56</w:t>
            </w:r>
          </w:p>
        </w:tc>
        <w:tc>
          <w:tcPr>
            <w:tcW w:w="2022" w:type="dxa"/>
            <w:vAlign w:val="center"/>
            <w:hideMark/>
          </w:tcPr>
          <w:p w14:paraId="6EDD04A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Mbështetje për të përmirësuar menaxhimin e godinave </w:t>
            </w:r>
          </w:p>
        </w:tc>
        <w:tc>
          <w:tcPr>
            <w:tcW w:w="1134" w:type="dxa"/>
            <w:vAlign w:val="center"/>
            <w:hideMark/>
          </w:tcPr>
          <w:p w14:paraId="6EDD04A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 me qëllim të vazhdimit edhe më pas nëse fondet janë gjendje</w:t>
            </w:r>
          </w:p>
        </w:tc>
        <w:tc>
          <w:tcPr>
            <w:tcW w:w="992" w:type="dxa"/>
            <w:vAlign w:val="center"/>
            <w:hideMark/>
          </w:tcPr>
          <w:p w14:paraId="6EDD04B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NAMA – Mekanizmat Financues për Eficiencën e Energjisë në Godina</w:t>
            </w:r>
          </w:p>
        </w:tc>
        <w:tc>
          <w:tcPr>
            <w:tcW w:w="1014" w:type="dxa"/>
            <w:vAlign w:val="center"/>
          </w:tcPr>
          <w:p w14:paraId="6EDD04B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vAlign w:val="center"/>
            <w:hideMark/>
          </w:tcPr>
          <w:p w14:paraId="6EDD04B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76" w:type="dxa"/>
            <w:noWrap/>
            <w:vAlign w:val="center"/>
            <w:hideMark/>
          </w:tcPr>
          <w:p w14:paraId="6EDD04B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134" w:type="dxa"/>
            <w:noWrap/>
            <w:vAlign w:val="center"/>
            <w:hideMark/>
          </w:tcPr>
          <w:p w14:paraId="6EDD04B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4B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4B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B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Programi i Trajnimit me fonde nga grante. Kostot janë të marra nga dokumentet NAMA</w:t>
            </w:r>
          </w:p>
        </w:tc>
      </w:tr>
      <w:tr w:rsidR="000235FE" w:rsidRPr="007114AF" w14:paraId="6EDD04C4"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B9"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E57</w:t>
            </w:r>
          </w:p>
        </w:tc>
        <w:tc>
          <w:tcPr>
            <w:tcW w:w="2022" w:type="dxa"/>
            <w:vAlign w:val="center"/>
            <w:hideMark/>
          </w:tcPr>
          <w:p w14:paraId="6EDD04B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procesit të licensimit</w:t>
            </w:r>
          </w:p>
        </w:tc>
        <w:tc>
          <w:tcPr>
            <w:tcW w:w="1134" w:type="dxa"/>
            <w:noWrap/>
            <w:vAlign w:val="center"/>
            <w:hideMark/>
          </w:tcPr>
          <w:p w14:paraId="6EDD04B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992" w:type="dxa"/>
            <w:vAlign w:val="center"/>
            <w:hideMark/>
          </w:tcPr>
          <w:p w14:paraId="6EDD04B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BER Plani i Veprimit</w:t>
            </w:r>
          </w:p>
        </w:tc>
        <w:tc>
          <w:tcPr>
            <w:tcW w:w="1014" w:type="dxa"/>
            <w:vAlign w:val="center"/>
          </w:tcPr>
          <w:p w14:paraId="6EDD04B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4B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noWrap/>
            <w:vAlign w:val="center"/>
            <w:hideMark/>
          </w:tcPr>
          <w:p w14:paraId="6EDD04B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noWrap/>
            <w:vAlign w:val="center"/>
            <w:hideMark/>
          </w:tcPr>
          <w:p w14:paraId="6EDD04C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4C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4C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C3" w14:textId="70763D9E"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Ky buxhet për këtë masë mbulohet nga rezultati B-One stop shop QKB, programi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Mbështetje për Zhvillimin Ekonomik</w:t>
            </w:r>
            <w:r w:rsidR="000A2A01" w:rsidRPr="007114AF">
              <w:rPr>
                <w:rFonts w:ascii="Garamond" w:eastAsia="Times New Roman" w:hAnsi="Garamond" w:cs="Times New Roman"/>
                <w:sz w:val="18"/>
                <w:szCs w:val="18"/>
              </w:rPr>
              <w:t>”</w:t>
            </w:r>
          </w:p>
        </w:tc>
      </w:tr>
      <w:tr w:rsidR="000235FE" w:rsidRPr="007114AF" w14:paraId="6EDD04D0" w14:textId="77777777" w:rsidTr="000235FE">
        <w:trPr>
          <w:cantSplit/>
          <w:trHeight w:val="1007"/>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C5"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E58</w:t>
            </w:r>
          </w:p>
        </w:tc>
        <w:tc>
          <w:tcPr>
            <w:tcW w:w="2022" w:type="dxa"/>
            <w:vAlign w:val="center"/>
            <w:hideMark/>
          </w:tcPr>
          <w:p w14:paraId="6EDD04C6" w14:textId="2622A48E"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Plani i Veprimit të Përmirësimit të Eficiencës së Energjisë</w:t>
            </w:r>
            <w:r w:rsidR="00DA60B5">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w:t>
            </w:r>
            <w:r w:rsidR="00DA60B5" w:rsidRPr="007114AF">
              <w:rPr>
                <w:rFonts w:ascii="Garamond" w:eastAsia="Times New Roman" w:hAnsi="Garamond" w:cs="Times New Roman"/>
                <w:sz w:val="18"/>
                <w:szCs w:val="18"/>
              </w:rPr>
              <w:t>neni</w:t>
            </w:r>
            <w:r w:rsidR="00DA60B5">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7)</w:t>
            </w:r>
          </w:p>
        </w:tc>
        <w:tc>
          <w:tcPr>
            <w:tcW w:w="1134" w:type="dxa"/>
            <w:vAlign w:val="center"/>
            <w:hideMark/>
          </w:tcPr>
          <w:p w14:paraId="6EDD04C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2017 në vazhdim</w:t>
            </w:r>
          </w:p>
        </w:tc>
        <w:tc>
          <w:tcPr>
            <w:tcW w:w="992" w:type="dxa"/>
            <w:noWrap/>
            <w:vAlign w:val="center"/>
            <w:hideMark/>
          </w:tcPr>
          <w:p w14:paraId="6EDD04C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124/2015 Mbi Eficiencën e Energjisë</w:t>
            </w:r>
          </w:p>
        </w:tc>
        <w:tc>
          <w:tcPr>
            <w:tcW w:w="1014" w:type="dxa"/>
            <w:vAlign w:val="center"/>
          </w:tcPr>
          <w:p w14:paraId="6EDD04C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4C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2,000.00</w:t>
            </w:r>
          </w:p>
        </w:tc>
        <w:tc>
          <w:tcPr>
            <w:tcW w:w="1276" w:type="dxa"/>
            <w:vAlign w:val="center"/>
            <w:hideMark/>
          </w:tcPr>
          <w:p w14:paraId="6EDD04C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2,000.00</w:t>
            </w:r>
          </w:p>
        </w:tc>
        <w:tc>
          <w:tcPr>
            <w:tcW w:w="1134" w:type="dxa"/>
            <w:vAlign w:val="center"/>
            <w:hideMark/>
          </w:tcPr>
          <w:p w14:paraId="6EDD04C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C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4C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CF" w14:textId="152FC776"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Kosto e projektit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Strategjia për prodhimin energjetik nga burime të rinovueshme në Shqipëri në kontekstin e mbrojtjes së mjedisit për 2030</w:t>
            </w:r>
            <w:r w:rsidR="000A2A01" w:rsidRPr="007114AF">
              <w:rPr>
                <w:rFonts w:ascii="Garamond" w:eastAsia="Times New Roman" w:hAnsi="Garamond" w:cs="Times New Roman"/>
                <w:sz w:val="18"/>
                <w:szCs w:val="18"/>
              </w:rPr>
              <w:t>”</w:t>
            </w:r>
          </w:p>
        </w:tc>
      </w:tr>
      <w:tr w:rsidR="000235FE" w:rsidRPr="007114AF" w14:paraId="6EDD04DC"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D1"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E59</w:t>
            </w:r>
          </w:p>
        </w:tc>
        <w:tc>
          <w:tcPr>
            <w:tcW w:w="2022" w:type="dxa"/>
            <w:vAlign w:val="center"/>
            <w:hideMark/>
          </w:tcPr>
          <w:p w14:paraId="6EDD04D2" w14:textId="207B6DEA"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Matja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14)</w:t>
            </w:r>
          </w:p>
        </w:tc>
        <w:tc>
          <w:tcPr>
            <w:tcW w:w="1134" w:type="dxa"/>
            <w:vAlign w:val="center"/>
            <w:hideMark/>
          </w:tcPr>
          <w:p w14:paraId="6EDD04D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2017 në vazhdim</w:t>
            </w:r>
          </w:p>
        </w:tc>
        <w:tc>
          <w:tcPr>
            <w:tcW w:w="992" w:type="dxa"/>
            <w:noWrap/>
            <w:vAlign w:val="center"/>
            <w:hideMark/>
          </w:tcPr>
          <w:p w14:paraId="6EDD04D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124/2015 Mbi Eficiencën e Energjisë</w:t>
            </w:r>
          </w:p>
        </w:tc>
        <w:tc>
          <w:tcPr>
            <w:tcW w:w="1014" w:type="dxa"/>
            <w:vAlign w:val="center"/>
          </w:tcPr>
          <w:p w14:paraId="6EDD04D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vAlign w:val="center"/>
            <w:hideMark/>
          </w:tcPr>
          <w:p w14:paraId="6EDD04D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w:t>
            </w:r>
          </w:p>
        </w:tc>
        <w:tc>
          <w:tcPr>
            <w:tcW w:w="1276" w:type="dxa"/>
            <w:vAlign w:val="center"/>
            <w:hideMark/>
          </w:tcPr>
          <w:p w14:paraId="6EDD04D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w:t>
            </w:r>
          </w:p>
        </w:tc>
        <w:tc>
          <w:tcPr>
            <w:tcW w:w="1134" w:type="dxa"/>
            <w:vAlign w:val="center"/>
            <w:hideMark/>
          </w:tcPr>
          <w:p w14:paraId="6EDD04D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D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4D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D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për hartimin e akteve nënligjore. Kosto për njësi nga buxheti afat mesëm</w:t>
            </w:r>
          </w:p>
        </w:tc>
      </w:tr>
      <w:tr w:rsidR="000235FE" w:rsidRPr="007114AF" w14:paraId="6EDD04E8"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D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E60</w:t>
            </w:r>
          </w:p>
        </w:tc>
        <w:tc>
          <w:tcPr>
            <w:tcW w:w="2022" w:type="dxa"/>
            <w:vAlign w:val="center"/>
            <w:hideMark/>
          </w:tcPr>
          <w:p w14:paraId="6EDD04DE" w14:textId="652F31C5"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Llogaritja e përqindjes së energjisë nga burimet e rinovueshme (</w:t>
            </w:r>
            <w:r w:rsidR="00DA60B5" w:rsidRPr="007114AF">
              <w:rPr>
                <w:rFonts w:ascii="Garamond" w:eastAsia="Times New Roman" w:hAnsi="Garamond" w:cs="Times New Roman"/>
                <w:sz w:val="18"/>
                <w:szCs w:val="18"/>
              </w:rPr>
              <w:t>neni</w:t>
            </w:r>
            <w:r w:rsidR="00DA60B5">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6)</w:t>
            </w:r>
          </w:p>
        </w:tc>
        <w:tc>
          <w:tcPr>
            <w:tcW w:w="1134" w:type="dxa"/>
            <w:vAlign w:val="center"/>
            <w:hideMark/>
          </w:tcPr>
          <w:p w14:paraId="6EDD04D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4E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4E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4E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2,000.00</w:t>
            </w:r>
          </w:p>
        </w:tc>
        <w:tc>
          <w:tcPr>
            <w:tcW w:w="1276" w:type="dxa"/>
            <w:vAlign w:val="center"/>
            <w:hideMark/>
          </w:tcPr>
          <w:p w14:paraId="6EDD04E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2,000.00</w:t>
            </w:r>
          </w:p>
        </w:tc>
        <w:tc>
          <w:tcPr>
            <w:tcW w:w="1134" w:type="dxa"/>
            <w:vAlign w:val="center"/>
            <w:hideMark/>
          </w:tcPr>
          <w:p w14:paraId="6EDD04E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E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4E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E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e draftimit të një manuali; kryesisht kosto e punës</w:t>
            </w:r>
          </w:p>
        </w:tc>
      </w:tr>
      <w:tr w:rsidR="000235FE" w:rsidRPr="007114AF" w14:paraId="6EDD04F4"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E9"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E61</w:t>
            </w:r>
          </w:p>
        </w:tc>
        <w:tc>
          <w:tcPr>
            <w:tcW w:w="2022" w:type="dxa"/>
            <w:vAlign w:val="center"/>
            <w:hideMark/>
          </w:tcPr>
          <w:p w14:paraId="6EDD04EA" w14:textId="733FFC78"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Shërbimet Energjitike (</w:t>
            </w:r>
            <w:r w:rsidR="00DA60B5" w:rsidRPr="007114AF">
              <w:rPr>
                <w:rFonts w:ascii="Garamond" w:eastAsia="Times New Roman" w:hAnsi="Garamond" w:cs="Times New Roman"/>
                <w:sz w:val="18"/>
                <w:szCs w:val="18"/>
              </w:rPr>
              <w:t>neni</w:t>
            </w:r>
            <w:r w:rsidR="00DA60B5">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18)</w:t>
            </w:r>
          </w:p>
        </w:tc>
        <w:tc>
          <w:tcPr>
            <w:tcW w:w="1134" w:type="dxa"/>
            <w:vAlign w:val="center"/>
            <w:hideMark/>
          </w:tcPr>
          <w:p w14:paraId="6EDD04E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noWrap/>
            <w:vAlign w:val="center"/>
            <w:hideMark/>
          </w:tcPr>
          <w:p w14:paraId="6EDD04E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Ligji 124/2015 Mbi Eficiencën e Energjisë</w:t>
            </w:r>
          </w:p>
        </w:tc>
        <w:tc>
          <w:tcPr>
            <w:tcW w:w="1014" w:type="dxa"/>
            <w:vAlign w:val="center"/>
          </w:tcPr>
          <w:p w14:paraId="6EDD04E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4E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vAlign w:val="center"/>
            <w:hideMark/>
          </w:tcPr>
          <w:p w14:paraId="6EDD04E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vAlign w:val="center"/>
            <w:hideMark/>
          </w:tcPr>
          <w:p w14:paraId="6EDD04F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F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4F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F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Nuk ka impakt tek buxheti i shtetit</w:t>
            </w:r>
          </w:p>
        </w:tc>
      </w:tr>
      <w:tr w:rsidR="000235FE" w:rsidRPr="007114AF" w14:paraId="6EDD0500"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4F5"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E62</w:t>
            </w:r>
          </w:p>
        </w:tc>
        <w:tc>
          <w:tcPr>
            <w:tcW w:w="2022" w:type="dxa"/>
            <w:vAlign w:val="center"/>
            <w:hideMark/>
          </w:tcPr>
          <w:p w14:paraId="6EDD04F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Rregullat e buxhetimit dhe financimit</w:t>
            </w:r>
          </w:p>
        </w:tc>
        <w:tc>
          <w:tcPr>
            <w:tcW w:w="1134" w:type="dxa"/>
            <w:vAlign w:val="center"/>
            <w:hideMark/>
          </w:tcPr>
          <w:p w14:paraId="6EDD04F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2017 në vazhdim</w:t>
            </w:r>
          </w:p>
        </w:tc>
        <w:tc>
          <w:tcPr>
            <w:tcW w:w="992" w:type="dxa"/>
            <w:vAlign w:val="center"/>
            <w:hideMark/>
          </w:tcPr>
          <w:p w14:paraId="6EDD04F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PKZNK</w:t>
            </w:r>
          </w:p>
        </w:tc>
        <w:tc>
          <w:tcPr>
            <w:tcW w:w="1014" w:type="dxa"/>
            <w:vAlign w:val="center"/>
          </w:tcPr>
          <w:p w14:paraId="6EDD04F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4F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vAlign w:val="center"/>
            <w:hideMark/>
          </w:tcPr>
          <w:p w14:paraId="6EDD04F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vAlign w:val="center"/>
            <w:hideMark/>
          </w:tcPr>
          <w:p w14:paraId="6EDD04F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4F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4F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4F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Kjo masë është financiarisht neutrale. Plani i Veprimit BER, masa 8</w:t>
            </w:r>
          </w:p>
        </w:tc>
      </w:tr>
      <w:tr w:rsidR="000235FE" w:rsidRPr="007114AF" w14:paraId="6EDD050C" w14:textId="77777777" w:rsidTr="000235FE">
        <w:trPr>
          <w:cantSplit/>
          <w:trHeight w:val="1978"/>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01"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E63</w:t>
            </w:r>
          </w:p>
        </w:tc>
        <w:tc>
          <w:tcPr>
            <w:tcW w:w="2022" w:type="dxa"/>
            <w:vAlign w:val="center"/>
            <w:hideMark/>
          </w:tcPr>
          <w:p w14:paraId="6EDD050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Mbështetje teknike për projektet e financuara nga fondi në të gjitha fazat e projektit nga dizenjo tek zbatimi dhe menaxhimi i godinave</w:t>
            </w:r>
          </w:p>
        </w:tc>
        <w:tc>
          <w:tcPr>
            <w:tcW w:w="1134" w:type="dxa"/>
            <w:vAlign w:val="center"/>
            <w:hideMark/>
          </w:tcPr>
          <w:p w14:paraId="6EDD050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 me qëllim të vazhdimit edhe më pas nëse fondet janë gjendje</w:t>
            </w:r>
          </w:p>
        </w:tc>
        <w:tc>
          <w:tcPr>
            <w:tcW w:w="992" w:type="dxa"/>
            <w:vAlign w:val="center"/>
            <w:hideMark/>
          </w:tcPr>
          <w:p w14:paraId="6EDD050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NAMA – Mekanizmat Financues për Eficiencën e Energjisë në Godina</w:t>
            </w:r>
          </w:p>
        </w:tc>
        <w:tc>
          <w:tcPr>
            <w:tcW w:w="1014" w:type="dxa"/>
            <w:vAlign w:val="center"/>
          </w:tcPr>
          <w:p w14:paraId="6EDD050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50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205,950.00</w:t>
            </w:r>
          </w:p>
        </w:tc>
        <w:tc>
          <w:tcPr>
            <w:tcW w:w="1276" w:type="dxa"/>
            <w:vAlign w:val="center"/>
            <w:hideMark/>
          </w:tcPr>
          <w:p w14:paraId="6EDD050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noWrap/>
            <w:vAlign w:val="center"/>
            <w:hideMark/>
          </w:tcPr>
          <w:p w14:paraId="6EDD050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205,950.00</w:t>
            </w:r>
          </w:p>
        </w:tc>
        <w:tc>
          <w:tcPr>
            <w:tcW w:w="1276" w:type="dxa"/>
            <w:vAlign w:val="center"/>
            <w:hideMark/>
          </w:tcPr>
          <w:p w14:paraId="6EDD050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50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0B" w14:textId="36963261"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e cila:</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€ 1 M Audite të para fizibilitetit; € 0.5 M Programe Trajnimi dhe të tjera (duke përfshirë menaxhimin e godinave TA) Kosto e marrë nga treguesi buxhetor NAMA</w:t>
            </w:r>
          </w:p>
        </w:tc>
      </w:tr>
      <w:tr w:rsidR="000235FE" w:rsidRPr="007114AF" w14:paraId="6EDD0518"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0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E64</w:t>
            </w:r>
          </w:p>
        </w:tc>
        <w:tc>
          <w:tcPr>
            <w:tcW w:w="2022" w:type="dxa"/>
            <w:vAlign w:val="center"/>
            <w:hideMark/>
          </w:tcPr>
          <w:p w14:paraId="6EDD050E" w14:textId="5BC32A09"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Detyrim për të blerë korentin e prodhuar nga Prodhuesit Prioritar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20)</w:t>
            </w:r>
          </w:p>
        </w:tc>
        <w:tc>
          <w:tcPr>
            <w:tcW w:w="1134" w:type="dxa"/>
            <w:vAlign w:val="center"/>
            <w:hideMark/>
          </w:tcPr>
          <w:p w14:paraId="6EDD050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51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51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51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5,400,000.00</w:t>
            </w:r>
          </w:p>
        </w:tc>
        <w:tc>
          <w:tcPr>
            <w:tcW w:w="1276" w:type="dxa"/>
            <w:vAlign w:val="center"/>
            <w:hideMark/>
          </w:tcPr>
          <w:p w14:paraId="6EDD051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51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1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5,400,000.00</w:t>
            </w:r>
          </w:p>
        </w:tc>
        <w:tc>
          <w:tcPr>
            <w:tcW w:w="1134" w:type="dxa"/>
            <w:vAlign w:val="center"/>
            <w:hideMark/>
          </w:tcPr>
          <w:p w14:paraId="6EDD051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1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merren nga Plani Kombëtar i Veprimit mbi BER Masa 7</w:t>
            </w:r>
          </w:p>
        </w:tc>
      </w:tr>
      <w:tr w:rsidR="000235FE" w:rsidRPr="007114AF" w14:paraId="6EDD0524"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19"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E65</w:t>
            </w:r>
          </w:p>
        </w:tc>
        <w:tc>
          <w:tcPr>
            <w:tcW w:w="2022" w:type="dxa"/>
            <w:vAlign w:val="center"/>
            <w:hideMark/>
          </w:tcPr>
          <w:p w14:paraId="6EDD051A" w14:textId="703C15A6"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Neni 21 Marrëveshjet e blerjes së energjisë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21)</w:t>
            </w:r>
          </w:p>
        </w:tc>
        <w:tc>
          <w:tcPr>
            <w:tcW w:w="1134" w:type="dxa"/>
            <w:vAlign w:val="center"/>
            <w:hideMark/>
          </w:tcPr>
          <w:p w14:paraId="6EDD051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51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51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51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7,400,000.00</w:t>
            </w:r>
          </w:p>
        </w:tc>
        <w:tc>
          <w:tcPr>
            <w:tcW w:w="1276" w:type="dxa"/>
            <w:vAlign w:val="center"/>
            <w:hideMark/>
          </w:tcPr>
          <w:p w14:paraId="6EDD051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52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2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7,400,000.00</w:t>
            </w:r>
          </w:p>
        </w:tc>
        <w:tc>
          <w:tcPr>
            <w:tcW w:w="1134" w:type="dxa"/>
            <w:vAlign w:val="center"/>
            <w:hideMark/>
          </w:tcPr>
          <w:p w14:paraId="6EDD052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2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merren nga Plani Kombëtar i Veprimit mbi BER Masa 6</w:t>
            </w:r>
          </w:p>
        </w:tc>
      </w:tr>
      <w:tr w:rsidR="000235FE" w:rsidRPr="007114AF" w14:paraId="6EDD0530"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25"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E66</w:t>
            </w:r>
          </w:p>
        </w:tc>
        <w:tc>
          <w:tcPr>
            <w:tcW w:w="2022" w:type="dxa"/>
            <w:vAlign w:val="center"/>
            <w:hideMark/>
          </w:tcPr>
          <w:p w14:paraId="6EDD0526" w14:textId="509117FD"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Tarifat zëvendësuese (</w:t>
            </w:r>
            <w:r w:rsidR="00DA60B5" w:rsidRPr="007114AF">
              <w:rPr>
                <w:rFonts w:ascii="Garamond" w:eastAsia="Times New Roman" w:hAnsi="Garamond" w:cs="Times New Roman"/>
                <w:sz w:val="18"/>
                <w:szCs w:val="18"/>
              </w:rPr>
              <w:t>neni</w:t>
            </w:r>
            <w:r w:rsidR="00DA60B5">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23)</w:t>
            </w:r>
          </w:p>
        </w:tc>
        <w:tc>
          <w:tcPr>
            <w:tcW w:w="1134" w:type="dxa"/>
            <w:vAlign w:val="center"/>
            <w:hideMark/>
          </w:tcPr>
          <w:p w14:paraId="6EDD052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92" w:type="dxa"/>
            <w:vAlign w:val="center"/>
            <w:hideMark/>
          </w:tcPr>
          <w:p w14:paraId="6EDD052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52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vAlign w:val="center"/>
            <w:hideMark/>
          </w:tcPr>
          <w:p w14:paraId="6EDD052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w:t>
            </w:r>
          </w:p>
        </w:tc>
        <w:tc>
          <w:tcPr>
            <w:tcW w:w="1276" w:type="dxa"/>
            <w:vAlign w:val="center"/>
            <w:hideMark/>
          </w:tcPr>
          <w:p w14:paraId="6EDD052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w:t>
            </w:r>
          </w:p>
        </w:tc>
        <w:tc>
          <w:tcPr>
            <w:tcW w:w="1134" w:type="dxa"/>
            <w:vAlign w:val="center"/>
            <w:hideMark/>
          </w:tcPr>
          <w:p w14:paraId="6EDD052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2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52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2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Kostoja për hartimin e akteve nënligjore. Kosto për njësi e marrë nga buxheti afatmesëm </w:t>
            </w:r>
          </w:p>
        </w:tc>
      </w:tr>
      <w:tr w:rsidR="000235FE" w:rsidRPr="007114AF" w14:paraId="6EDD053C"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31"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E67</w:t>
            </w:r>
          </w:p>
        </w:tc>
        <w:tc>
          <w:tcPr>
            <w:tcW w:w="2022" w:type="dxa"/>
            <w:vAlign w:val="center"/>
            <w:hideMark/>
          </w:tcPr>
          <w:p w14:paraId="6EDD0532" w14:textId="4B76C44D"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Garancitë e origjinës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26 -28 )</w:t>
            </w:r>
          </w:p>
        </w:tc>
        <w:tc>
          <w:tcPr>
            <w:tcW w:w="1134" w:type="dxa"/>
            <w:vAlign w:val="center"/>
            <w:hideMark/>
          </w:tcPr>
          <w:p w14:paraId="6EDD053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53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53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53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400,000.00</w:t>
            </w:r>
          </w:p>
        </w:tc>
        <w:tc>
          <w:tcPr>
            <w:tcW w:w="1276" w:type="dxa"/>
            <w:vAlign w:val="center"/>
            <w:hideMark/>
          </w:tcPr>
          <w:p w14:paraId="6EDD053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53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53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400,000.00</w:t>
            </w:r>
          </w:p>
        </w:tc>
        <w:tc>
          <w:tcPr>
            <w:tcW w:w="1134" w:type="dxa"/>
            <w:vAlign w:val="center"/>
            <w:hideMark/>
          </w:tcPr>
          <w:p w14:paraId="6EDD053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3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Garancitë e origjinës për të tërë BER; masa 4 e Planit Kombëtar për Burimet e Energjisë së Rinovueshme</w:t>
            </w:r>
          </w:p>
        </w:tc>
      </w:tr>
      <w:tr w:rsidR="000235FE" w:rsidRPr="007114AF" w14:paraId="6EDD0548"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3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E68</w:t>
            </w:r>
          </w:p>
        </w:tc>
        <w:tc>
          <w:tcPr>
            <w:tcW w:w="2022" w:type="dxa"/>
            <w:vAlign w:val="center"/>
            <w:hideMark/>
          </w:tcPr>
          <w:p w14:paraId="6EDD053E" w14:textId="2A2ED8B1"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Shkeljet administrative dhe gjobat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 xml:space="preserve">26) </w:t>
            </w:r>
          </w:p>
        </w:tc>
        <w:tc>
          <w:tcPr>
            <w:tcW w:w="1134" w:type="dxa"/>
            <w:vAlign w:val="center"/>
            <w:hideMark/>
          </w:tcPr>
          <w:p w14:paraId="6EDD053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2017 në vazhdim</w:t>
            </w:r>
          </w:p>
        </w:tc>
        <w:tc>
          <w:tcPr>
            <w:tcW w:w="992" w:type="dxa"/>
            <w:noWrap/>
            <w:vAlign w:val="center"/>
            <w:hideMark/>
          </w:tcPr>
          <w:p w14:paraId="6EDD0540" w14:textId="0C5F808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Ligji 124/2015 </w:t>
            </w:r>
            <w:r w:rsidR="00FD5AD9" w:rsidRPr="007114AF">
              <w:rPr>
                <w:rFonts w:ascii="Garamond" w:eastAsia="Times New Roman" w:hAnsi="Garamond" w:cs="Times New Roman"/>
                <w:sz w:val="18"/>
                <w:szCs w:val="18"/>
              </w:rPr>
              <w:t>mbi eficiencën e energjisë</w:t>
            </w:r>
          </w:p>
        </w:tc>
        <w:tc>
          <w:tcPr>
            <w:tcW w:w="1014" w:type="dxa"/>
            <w:vAlign w:val="center"/>
          </w:tcPr>
          <w:p w14:paraId="6EDD054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54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vAlign w:val="center"/>
            <w:hideMark/>
          </w:tcPr>
          <w:p w14:paraId="6EDD054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vAlign w:val="center"/>
            <w:hideMark/>
          </w:tcPr>
          <w:p w14:paraId="6EDD054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4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54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4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Zbatimi i kësaj mase nuk ka impakt mbi buxhet</w:t>
            </w:r>
          </w:p>
        </w:tc>
      </w:tr>
      <w:tr w:rsidR="000235FE" w:rsidRPr="007114AF" w14:paraId="6EDD0554"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49"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E69</w:t>
            </w:r>
          </w:p>
        </w:tc>
        <w:tc>
          <w:tcPr>
            <w:tcW w:w="2022" w:type="dxa"/>
            <w:vAlign w:val="center"/>
            <w:hideMark/>
          </w:tcPr>
          <w:p w14:paraId="6EDD054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Fuqizimi i sistemit të detyrimit</w:t>
            </w:r>
          </w:p>
        </w:tc>
        <w:tc>
          <w:tcPr>
            <w:tcW w:w="1134" w:type="dxa"/>
            <w:vAlign w:val="center"/>
            <w:hideMark/>
          </w:tcPr>
          <w:p w14:paraId="6EDD054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2017 në vazhdim</w:t>
            </w:r>
          </w:p>
        </w:tc>
        <w:tc>
          <w:tcPr>
            <w:tcW w:w="992" w:type="dxa"/>
            <w:vAlign w:val="center"/>
            <w:hideMark/>
          </w:tcPr>
          <w:p w14:paraId="6EDD054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PKZNK</w:t>
            </w:r>
          </w:p>
        </w:tc>
        <w:tc>
          <w:tcPr>
            <w:tcW w:w="1014" w:type="dxa"/>
            <w:vAlign w:val="center"/>
          </w:tcPr>
          <w:p w14:paraId="6EDD054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54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7,000.00</w:t>
            </w:r>
          </w:p>
        </w:tc>
        <w:tc>
          <w:tcPr>
            <w:tcW w:w="1276" w:type="dxa"/>
            <w:vAlign w:val="center"/>
            <w:hideMark/>
          </w:tcPr>
          <w:p w14:paraId="6EDD054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55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5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55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7,000.00</w:t>
            </w:r>
          </w:p>
        </w:tc>
        <w:tc>
          <w:tcPr>
            <w:tcW w:w="2360" w:type="dxa"/>
            <w:vAlign w:val="center"/>
            <w:hideMark/>
          </w:tcPr>
          <w:p w14:paraId="6EDD055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Rregullimin e kuadrit ekzistues ligjor dhe përmirësimine draftakteve; sasia treguese e bazuar në koston për njësi të buxhetit afatmesëm</w:t>
            </w:r>
          </w:p>
        </w:tc>
      </w:tr>
      <w:tr w:rsidR="000235FE" w:rsidRPr="007114AF" w14:paraId="6EDD0560"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55"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E70</w:t>
            </w:r>
          </w:p>
        </w:tc>
        <w:tc>
          <w:tcPr>
            <w:tcW w:w="2022" w:type="dxa"/>
            <w:vAlign w:val="center"/>
            <w:hideMark/>
          </w:tcPr>
          <w:p w14:paraId="6EDD0556" w14:textId="7AA8E89E"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Objektivat </w:t>
            </w:r>
            <w:r w:rsidR="00DA60B5">
              <w:rPr>
                <w:rFonts w:ascii="Garamond" w:eastAsia="Times New Roman" w:hAnsi="Garamond" w:cs="Times New Roman"/>
                <w:sz w:val="18"/>
                <w:szCs w:val="18"/>
              </w:rPr>
              <w:t>k</w:t>
            </w:r>
            <w:r w:rsidRPr="007114AF">
              <w:rPr>
                <w:rFonts w:ascii="Garamond" w:eastAsia="Times New Roman" w:hAnsi="Garamond" w:cs="Times New Roman"/>
                <w:sz w:val="18"/>
                <w:szCs w:val="18"/>
              </w:rPr>
              <w:t>ombëtarë për përdorimin e burimeve të energjisë së rinovueshme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4)</w:t>
            </w:r>
          </w:p>
        </w:tc>
        <w:tc>
          <w:tcPr>
            <w:tcW w:w="1134" w:type="dxa"/>
            <w:vAlign w:val="center"/>
            <w:hideMark/>
          </w:tcPr>
          <w:p w14:paraId="6EDD055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55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 PKT</w:t>
            </w:r>
          </w:p>
        </w:tc>
        <w:tc>
          <w:tcPr>
            <w:tcW w:w="1014" w:type="dxa"/>
            <w:vAlign w:val="center"/>
          </w:tcPr>
          <w:p w14:paraId="6EDD055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55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noWrap/>
            <w:vAlign w:val="center"/>
            <w:hideMark/>
          </w:tcPr>
          <w:p w14:paraId="6EDD055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vAlign w:val="center"/>
            <w:hideMark/>
          </w:tcPr>
          <w:p w14:paraId="6EDD055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5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55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5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për hartimin dhe miratimin e akteve nënligjore; Kostoja ka marrë në konsideratë rezultatet të njëjta; asnjë impakt mbi buxhet</w:t>
            </w:r>
          </w:p>
        </w:tc>
      </w:tr>
      <w:tr w:rsidR="000235FE" w:rsidRPr="007114AF" w14:paraId="6EDD056C"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61"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E71</w:t>
            </w:r>
          </w:p>
        </w:tc>
        <w:tc>
          <w:tcPr>
            <w:tcW w:w="2022" w:type="dxa"/>
            <w:vAlign w:val="center"/>
            <w:hideMark/>
          </w:tcPr>
          <w:p w14:paraId="6EDD0562" w14:textId="7D118D2B"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Plani Kombëtar i Veprimit për Energjinë e Rinovueshme (</w:t>
            </w:r>
            <w:r w:rsidR="00DA60B5" w:rsidRPr="007114AF">
              <w:rPr>
                <w:rFonts w:ascii="Garamond" w:eastAsia="Times New Roman" w:hAnsi="Garamond" w:cs="Times New Roman"/>
                <w:sz w:val="18"/>
                <w:szCs w:val="18"/>
              </w:rPr>
              <w:t>neni</w:t>
            </w:r>
            <w:r w:rsidR="00DA60B5">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5)</w:t>
            </w:r>
          </w:p>
        </w:tc>
        <w:tc>
          <w:tcPr>
            <w:tcW w:w="1134" w:type="dxa"/>
            <w:vAlign w:val="center"/>
            <w:hideMark/>
          </w:tcPr>
          <w:p w14:paraId="6EDD056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56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56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56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2,000.00</w:t>
            </w:r>
          </w:p>
        </w:tc>
        <w:tc>
          <w:tcPr>
            <w:tcW w:w="1276" w:type="dxa"/>
            <w:vAlign w:val="center"/>
            <w:hideMark/>
          </w:tcPr>
          <w:p w14:paraId="6EDD056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2,000.00</w:t>
            </w:r>
          </w:p>
        </w:tc>
        <w:tc>
          <w:tcPr>
            <w:tcW w:w="1134" w:type="dxa"/>
            <w:vAlign w:val="center"/>
            <w:hideMark/>
          </w:tcPr>
          <w:p w14:paraId="6EDD056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6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56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6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Dokumenti është miratuar në 2016 nga Parlamenti Shqiptar në janar 2016; Kostoja e një studimi të kryer në 2016</w:t>
            </w:r>
          </w:p>
        </w:tc>
      </w:tr>
      <w:tr w:rsidR="000235FE" w:rsidRPr="007114AF" w14:paraId="6EDD0578"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6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E72</w:t>
            </w:r>
          </w:p>
        </w:tc>
        <w:tc>
          <w:tcPr>
            <w:tcW w:w="2022" w:type="dxa"/>
            <w:vAlign w:val="center"/>
            <w:hideMark/>
          </w:tcPr>
          <w:p w14:paraId="6EDD056E" w14:textId="0005A969" w:rsidR="000235FE" w:rsidRPr="007114AF" w:rsidRDefault="000235FE" w:rsidP="00DA60B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Projektet e </w:t>
            </w:r>
            <w:r w:rsidR="00DA60B5">
              <w:rPr>
                <w:rFonts w:ascii="Garamond" w:eastAsia="Times New Roman" w:hAnsi="Garamond" w:cs="Times New Roman"/>
                <w:sz w:val="18"/>
                <w:szCs w:val="18"/>
              </w:rPr>
              <w:t>p</w:t>
            </w:r>
            <w:r w:rsidRPr="007114AF">
              <w:rPr>
                <w:rFonts w:ascii="Garamond" w:eastAsia="Times New Roman" w:hAnsi="Garamond" w:cs="Times New Roman"/>
                <w:sz w:val="18"/>
                <w:szCs w:val="18"/>
              </w:rPr>
              <w:t>ërbashkëta (</w:t>
            </w:r>
            <w:r w:rsidR="00DA60B5"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8)</w:t>
            </w:r>
          </w:p>
        </w:tc>
        <w:tc>
          <w:tcPr>
            <w:tcW w:w="1134" w:type="dxa"/>
            <w:vAlign w:val="center"/>
            <w:hideMark/>
          </w:tcPr>
          <w:p w14:paraId="6EDD056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57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57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57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vAlign w:val="center"/>
            <w:hideMark/>
          </w:tcPr>
          <w:p w14:paraId="6EDD057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vAlign w:val="center"/>
            <w:hideMark/>
          </w:tcPr>
          <w:p w14:paraId="6EDD057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7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57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7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projekt i identifikuar</w:t>
            </w:r>
          </w:p>
        </w:tc>
      </w:tr>
      <w:tr w:rsidR="000235FE" w:rsidRPr="007114AF" w14:paraId="6EDD0584"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79"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E73</w:t>
            </w:r>
          </w:p>
        </w:tc>
        <w:tc>
          <w:tcPr>
            <w:tcW w:w="2022" w:type="dxa"/>
            <w:vAlign w:val="center"/>
            <w:hideMark/>
          </w:tcPr>
          <w:p w14:paraId="6EDD057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Konsiderimi i kapërcimit</w:t>
            </w:r>
          </w:p>
        </w:tc>
        <w:tc>
          <w:tcPr>
            <w:tcW w:w="1134" w:type="dxa"/>
            <w:vAlign w:val="center"/>
            <w:hideMark/>
          </w:tcPr>
          <w:p w14:paraId="6EDD057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Nga 2017 në vazhdim</w:t>
            </w:r>
          </w:p>
        </w:tc>
        <w:tc>
          <w:tcPr>
            <w:tcW w:w="992" w:type="dxa"/>
            <w:vAlign w:val="center"/>
            <w:hideMark/>
          </w:tcPr>
          <w:p w14:paraId="6EDD057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PKZNK</w:t>
            </w:r>
          </w:p>
        </w:tc>
        <w:tc>
          <w:tcPr>
            <w:tcW w:w="1014" w:type="dxa"/>
            <w:vAlign w:val="center"/>
          </w:tcPr>
          <w:p w14:paraId="6EDD057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57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20,000.00</w:t>
            </w:r>
          </w:p>
        </w:tc>
        <w:tc>
          <w:tcPr>
            <w:tcW w:w="1276" w:type="dxa"/>
            <w:vAlign w:val="center"/>
            <w:hideMark/>
          </w:tcPr>
          <w:p w14:paraId="6EDD057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vAlign w:val="center"/>
            <w:hideMark/>
          </w:tcPr>
          <w:p w14:paraId="6EDD058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8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58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20,000.00</w:t>
            </w:r>
          </w:p>
        </w:tc>
        <w:tc>
          <w:tcPr>
            <w:tcW w:w="2360" w:type="dxa"/>
            <w:vAlign w:val="center"/>
            <w:hideMark/>
          </w:tcPr>
          <w:p w14:paraId="6EDD058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Sasi treguese. Skemat e investimit specifik dhe planet e investimit duhet të zhvillohen më tej.</w:t>
            </w:r>
          </w:p>
        </w:tc>
      </w:tr>
      <w:tr w:rsidR="000235FE" w:rsidRPr="007114AF" w14:paraId="6EDD0590"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85"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E74</w:t>
            </w:r>
          </w:p>
        </w:tc>
        <w:tc>
          <w:tcPr>
            <w:tcW w:w="2022" w:type="dxa"/>
            <w:vAlign w:val="center"/>
            <w:hideMark/>
          </w:tcPr>
          <w:p w14:paraId="6EDD0586" w14:textId="75801110"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Akte nënligjore për </w:t>
            </w:r>
            <w:r w:rsidR="00DA60B5" w:rsidRPr="007114AF">
              <w:rPr>
                <w:rFonts w:ascii="Garamond" w:eastAsia="Times New Roman" w:hAnsi="Garamond" w:cs="Times New Roman"/>
                <w:sz w:val="18"/>
                <w:szCs w:val="18"/>
              </w:rPr>
              <w:t>ligjin e burimeve energjike të rinovueshme</w:t>
            </w:r>
          </w:p>
        </w:tc>
        <w:tc>
          <w:tcPr>
            <w:tcW w:w="1134" w:type="dxa"/>
            <w:vAlign w:val="center"/>
            <w:hideMark/>
          </w:tcPr>
          <w:p w14:paraId="6EDD058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 të Ligjit të Burimeve Energjitike të Rinovueshme</w:t>
            </w:r>
          </w:p>
        </w:tc>
        <w:tc>
          <w:tcPr>
            <w:tcW w:w="992" w:type="dxa"/>
            <w:vAlign w:val="center"/>
            <w:hideMark/>
          </w:tcPr>
          <w:p w14:paraId="6EDD058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PKZNK</w:t>
            </w:r>
          </w:p>
        </w:tc>
        <w:tc>
          <w:tcPr>
            <w:tcW w:w="1014" w:type="dxa"/>
            <w:vAlign w:val="center"/>
          </w:tcPr>
          <w:p w14:paraId="6EDD058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538" w:type="dxa"/>
            <w:noWrap/>
            <w:vAlign w:val="center"/>
            <w:hideMark/>
          </w:tcPr>
          <w:p w14:paraId="6EDD058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5,325,000.00</w:t>
            </w:r>
          </w:p>
        </w:tc>
        <w:tc>
          <w:tcPr>
            <w:tcW w:w="1276" w:type="dxa"/>
            <w:noWrap/>
            <w:vAlign w:val="center"/>
            <w:hideMark/>
          </w:tcPr>
          <w:p w14:paraId="6EDD058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125,000.00</w:t>
            </w:r>
          </w:p>
        </w:tc>
        <w:tc>
          <w:tcPr>
            <w:tcW w:w="1134" w:type="dxa"/>
            <w:vAlign w:val="center"/>
            <w:hideMark/>
          </w:tcPr>
          <w:p w14:paraId="6EDD058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8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5,200,000.00</w:t>
            </w:r>
          </w:p>
        </w:tc>
        <w:tc>
          <w:tcPr>
            <w:tcW w:w="1134" w:type="dxa"/>
            <w:vAlign w:val="center"/>
            <w:hideMark/>
          </w:tcPr>
          <w:p w14:paraId="6EDD058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8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për hartimin dhe miratimin e akteve nënligjore; kostoja e marrë nga Plani Kombëtar i Veprimit BER; masat 2, 3 dhe 5</w:t>
            </w:r>
          </w:p>
        </w:tc>
      </w:tr>
      <w:tr w:rsidR="000235FE" w:rsidRPr="007114AF" w14:paraId="6EDD059C"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91"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E75</w:t>
            </w:r>
          </w:p>
        </w:tc>
        <w:tc>
          <w:tcPr>
            <w:tcW w:w="2022" w:type="dxa"/>
            <w:vAlign w:val="center"/>
            <w:hideMark/>
          </w:tcPr>
          <w:p w14:paraId="6EDD0592" w14:textId="0E038B1A" w:rsidR="000235FE" w:rsidRPr="007114AF" w:rsidRDefault="000235FE" w:rsidP="002A539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Marrëveshjet </w:t>
            </w:r>
            <w:r w:rsidR="002A539C">
              <w:rPr>
                <w:rFonts w:ascii="Garamond" w:eastAsia="Times New Roman" w:hAnsi="Garamond" w:cs="Times New Roman"/>
                <w:sz w:val="18"/>
                <w:szCs w:val="18"/>
              </w:rPr>
              <w:t>v</w:t>
            </w:r>
            <w:r w:rsidRPr="007114AF">
              <w:rPr>
                <w:rFonts w:ascii="Garamond" w:eastAsia="Times New Roman" w:hAnsi="Garamond" w:cs="Times New Roman"/>
                <w:sz w:val="18"/>
                <w:szCs w:val="18"/>
              </w:rPr>
              <w:t>ullnetare (</w:t>
            </w:r>
            <w:r w:rsidR="002A539C" w:rsidRPr="007114AF">
              <w:rPr>
                <w:rFonts w:ascii="Garamond" w:eastAsia="Times New Roman" w:hAnsi="Garamond" w:cs="Times New Roman"/>
                <w:sz w:val="18"/>
                <w:szCs w:val="18"/>
              </w:rPr>
              <w:t xml:space="preserve">neni </w:t>
            </w:r>
            <w:r w:rsidRPr="007114AF">
              <w:rPr>
                <w:rFonts w:ascii="Garamond" w:eastAsia="Times New Roman" w:hAnsi="Garamond" w:cs="Times New Roman"/>
                <w:sz w:val="18"/>
                <w:szCs w:val="18"/>
              </w:rPr>
              <w:t>12)</w:t>
            </w:r>
          </w:p>
        </w:tc>
        <w:tc>
          <w:tcPr>
            <w:tcW w:w="1134" w:type="dxa"/>
            <w:vAlign w:val="center"/>
            <w:hideMark/>
          </w:tcPr>
          <w:p w14:paraId="6EDD059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92" w:type="dxa"/>
            <w:vAlign w:val="center"/>
            <w:hideMark/>
          </w:tcPr>
          <w:p w14:paraId="6EDD059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BER</w:t>
            </w:r>
          </w:p>
        </w:tc>
        <w:tc>
          <w:tcPr>
            <w:tcW w:w="1014" w:type="dxa"/>
            <w:vAlign w:val="center"/>
          </w:tcPr>
          <w:p w14:paraId="6EDD059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59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vAlign w:val="center"/>
            <w:hideMark/>
          </w:tcPr>
          <w:p w14:paraId="6EDD059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vAlign w:val="center"/>
            <w:hideMark/>
          </w:tcPr>
          <w:p w14:paraId="6EDD0598"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599"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vAlign w:val="center"/>
            <w:hideMark/>
          </w:tcPr>
          <w:p w14:paraId="6EDD059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9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fond shtesë nuk është i nevojshëm për zbatimin e kësaj mase; programi i transparencës është i detyrueshëm për të gjitha institucionet publike</w:t>
            </w:r>
          </w:p>
        </w:tc>
      </w:tr>
      <w:tr w:rsidR="000235FE" w:rsidRPr="007114AF" w14:paraId="6EDD05A8"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9D"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E76</w:t>
            </w:r>
          </w:p>
        </w:tc>
        <w:tc>
          <w:tcPr>
            <w:tcW w:w="2022" w:type="dxa"/>
            <w:vAlign w:val="center"/>
            <w:hideMark/>
          </w:tcPr>
          <w:p w14:paraId="6EDD059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Ulja e konsumit energjetik për vaditje: Përdorimi i skemave efikase vaditëse</w:t>
            </w:r>
          </w:p>
        </w:tc>
        <w:tc>
          <w:tcPr>
            <w:tcW w:w="1134" w:type="dxa"/>
            <w:vAlign w:val="center"/>
            <w:hideMark/>
          </w:tcPr>
          <w:p w14:paraId="6EDD059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92" w:type="dxa"/>
            <w:vAlign w:val="center"/>
            <w:hideMark/>
          </w:tcPr>
          <w:p w14:paraId="6EDD05A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5A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Direkte</w:t>
            </w:r>
          </w:p>
        </w:tc>
        <w:tc>
          <w:tcPr>
            <w:tcW w:w="1538" w:type="dxa"/>
            <w:noWrap/>
            <w:vAlign w:val="center"/>
            <w:hideMark/>
          </w:tcPr>
          <w:p w14:paraId="6EDD05A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noWrap/>
            <w:vAlign w:val="center"/>
            <w:hideMark/>
          </w:tcPr>
          <w:p w14:paraId="6EDD05A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noWrap/>
            <w:vAlign w:val="center"/>
            <w:hideMark/>
          </w:tcPr>
          <w:p w14:paraId="6EDD05A4"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5A5"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5A6"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A7"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IPARD ka përfshirë instalimin e teknologjive të energjisë së rinovueshme si një nga kriteret për vlerësim të aplikimit (20% e pikëve). Asnjë e dhënë mbi sasinë e fondeve</w:t>
            </w:r>
          </w:p>
        </w:tc>
      </w:tr>
      <w:tr w:rsidR="000235FE" w:rsidRPr="007114AF" w14:paraId="6EDD05B4" w14:textId="77777777" w:rsidTr="000235FE">
        <w:trPr>
          <w:cantSplit/>
          <w:trHeight w:val="20"/>
          <w:jc w:val="center"/>
        </w:trPr>
        <w:tc>
          <w:tcPr>
            <w:cnfStyle w:val="001000000000" w:firstRow="0" w:lastRow="0" w:firstColumn="1" w:lastColumn="0" w:oddVBand="0" w:evenVBand="0" w:oddHBand="0" w:evenHBand="0" w:firstRowFirstColumn="0" w:firstRowLastColumn="0" w:lastRowFirstColumn="0" w:lastRowLastColumn="0"/>
            <w:tcW w:w="496" w:type="dxa"/>
            <w:noWrap/>
            <w:vAlign w:val="center"/>
            <w:hideMark/>
          </w:tcPr>
          <w:p w14:paraId="6EDD05A9" w14:textId="77777777" w:rsidR="000235FE" w:rsidRPr="007114AF" w:rsidRDefault="000235FE" w:rsidP="00C136A5">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E77</w:t>
            </w:r>
          </w:p>
        </w:tc>
        <w:tc>
          <w:tcPr>
            <w:tcW w:w="2022" w:type="dxa"/>
            <w:vAlign w:val="center"/>
            <w:hideMark/>
          </w:tcPr>
          <w:p w14:paraId="6EDD05AA"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Kursimet energjetike: Aplikimin e biomasës dhe skemave të prodhimit të biogazit nga fabrikat dhe bujqësia si dhe mbetjet e kafshëve </w:t>
            </w:r>
          </w:p>
        </w:tc>
        <w:tc>
          <w:tcPr>
            <w:tcW w:w="1134" w:type="dxa"/>
            <w:vAlign w:val="center"/>
            <w:hideMark/>
          </w:tcPr>
          <w:p w14:paraId="6EDD05AB"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92" w:type="dxa"/>
            <w:vAlign w:val="center"/>
            <w:hideMark/>
          </w:tcPr>
          <w:p w14:paraId="6EDD05AC"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014" w:type="dxa"/>
            <w:vAlign w:val="center"/>
          </w:tcPr>
          <w:p w14:paraId="6EDD05AD"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Indirekte</w:t>
            </w:r>
          </w:p>
        </w:tc>
        <w:tc>
          <w:tcPr>
            <w:tcW w:w="1538" w:type="dxa"/>
            <w:noWrap/>
            <w:vAlign w:val="center"/>
            <w:hideMark/>
          </w:tcPr>
          <w:p w14:paraId="6EDD05AE"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1,352,000.00</w:t>
            </w:r>
          </w:p>
        </w:tc>
        <w:tc>
          <w:tcPr>
            <w:tcW w:w="1276" w:type="dxa"/>
            <w:noWrap/>
            <w:vAlign w:val="center"/>
            <w:hideMark/>
          </w:tcPr>
          <w:p w14:paraId="6EDD05AF"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1,352,000.00</w:t>
            </w:r>
          </w:p>
        </w:tc>
        <w:tc>
          <w:tcPr>
            <w:tcW w:w="1134" w:type="dxa"/>
            <w:noWrap/>
            <w:vAlign w:val="center"/>
            <w:hideMark/>
          </w:tcPr>
          <w:p w14:paraId="6EDD05B0"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5B1"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5B2"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360" w:type="dxa"/>
            <w:vAlign w:val="center"/>
            <w:hideMark/>
          </w:tcPr>
          <w:p w14:paraId="6EDD05B3" w14:textId="77777777" w:rsidR="000235FE" w:rsidRPr="007114AF" w:rsidRDefault="000235FE" w:rsidP="00C136A5">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Grante nga Fondi i Energjisë së Rinovueshme</w:t>
            </w:r>
          </w:p>
        </w:tc>
      </w:tr>
    </w:tbl>
    <w:p w14:paraId="6EDD05B5" w14:textId="77777777" w:rsidR="00AC399F" w:rsidRPr="007114AF" w:rsidRDefault="00AC399F" w:rsidP="00E47E70">
      <w:pPr>
        <w:pStyle w:val="TEKSTI"/>
      </w:pPr>
    </w:p>
    <w:p w14:paraId="6EDD05B6" w14:textId="77777777" w:rsidR="00FB584C" w:rsidRPr="007114AF" w:rsidRDefault="00FB584C" w:rsidP="00FB584C">
      <w:pPr>
        <w:pStyle w:val="TEKSTI"/>
        <w:rPr>
          <w:lang w:eastAsia="en-US"/>
        </w:rPr>
      </w:pPr>
      <w:bookmarkStart w:id="178" w:name="_Toc476580580"/>
      <w:bookmarkStart w:id="179" w:name="_Toc484424527"/>
      <w:r w:rsidRPr="007114AF">
        <w:rPr>
          <w:lang w:eastAsia="en-US"/>
        </w:rPr>
        <w:t>5.8.2 Transport</w:t>
      </w:r>
      <w:bookmarkEnd w:id="178"/>
      <w:r w:rsidRPr="007114AF">
        <w:rPr>
          <w:lang w:eastAsia="en-US"/>
        </w:rPr>
        <w:t>i</w:t>
      </w:r>
      <w:bookmarkEnd w:id="179"/>
    </w:p>
    <w:tbl>
      <w:tblPr>
        <w:tblStyle w:val="GridTable1Light-Accent11"/>
        <w:tblW w:w="14407" w:type="dxa"/>
        <w:jc w:val="center"/>
        <w:tblLayout w:type="fixed"/>
        <w:tblLook w:val="04A0" w:firstRow="1" w:lastRow="0" w:firstColumn="1" w:lastColumn="0" w:noHBand="0" w:noVBand="1"/>
      </w:tblPr>
      <w:tblGrid>
        <w:gridCol w:w="534"/>
        <w:gridCol w:w="1813"/>
        <w:gridCol w:w="900"/>
        <w:gridCol w:w="810"/>
        <w:gridCol w:w="1260"/>
        <w:gridCol w:w="1080"/>
        <w:gridCol w:w="1260"/>
        <w:gridCol w:w="1260"/>
        <w:gridCol w:w="1080"/>
        <w:gridCol w:w="1260"/>
        <w:gridCol w:w="3150"/>
      </w:tblGrid>
      <w:tr w:rsidR="00FB584C" w:rsidRPr="007114AF" w14:paraId="6EDD05C2" w14:textId="77777777" w:rsidTr="00FB584C">
        <w:trPr>
          <w:cnfStyle w:val="100000000000" w:firstRow="1" w:lastRow="0" w:firstColumn="0" w:lastColumn="0" w:oddVBand="0" w:evenVBand="0" w:oddHBand="0" w:evenHBand="0" w:firstRowFirstColumn="0" w:firstRowLastColumn="0" w:lastRowFirstColumn="0" w:lastRowLastColumn="0"/>
          <w:cantSplit/>
          <w:trHeight w:val="20"/>
          <w:tblHeader/>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5B7" w14:textId="77777777" w:rsidR="00FB584C" w:rsidRPr="007114AF" w:rsidRDefault="00FB584C" w:rsidP="00F05ACD">
            <w:pPr>
              <w:spacing w:after="0"/>
              <w:jc w:val="center"/>
              <w:rPr>
                <w:rFonts w:ascii="Garamond" w:eastAsia="Times New Roman" w:hAnsi="Garamond" w:cs="Times New Roman"/>
                <w:bCs w:val="0"/>
                <w:sz w:val="18"/>
                <w:szCs w:val="18"/>
              </w:rPr>
            </w:pPr>
            <w:r w:rsidRPr="007114AF">
              <w:rPr>
                <w:rFonts w:ascii="Garamond" w:eastAsia="Times New Roman" w:hAnsi="Garamond" w:cs="Times New Roman"/>
                <w:sz w:val="18"/>
                <w:szCs w:val="18"/>
              </w:rPr>
              <w:t>ID</w:t>
            </w:r>
          </w:p>
        </w:tc>
        <w:tc>
          <w:tcPr>
            <w:tcW w:w="1813" w:type="dxa"/>
            <w:vAlign w:val="center"/>
            <w:hideMark/>
          </w:tcPr>
          <w:p w14:paraId="6EDD05B8" w14:textId="77777777" w:rsidR="00FB584C" w:rsidRPr="007114AF" w:rsidRDefault="00FB584C" w:rsidP="00F05ACD">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Masa</w:t>
            </w:r>
          </w:p>
        </w:tc>
        <w:tc>
          <w:tcPr>
            <w:tcW w:w="900" w:type="dxa"/>
            <w:vAlign w:val="center"/>
            <w:hideMark/>
          </w:tcPr>
          <w:p w14:paraId="6EDD05B9" w14:textId="77777777" w:rsidR="00FB584C" w:rsidRPr="007114AF" w:rsidRDefault="00FB584C" w:rsidP="00F05ACD">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Viti/periudha</w:t>
            </w:r>
          </w:p>
        </w:tc>
        <w:tc>
          <w:tcPr>
            <w:tcW w:w="810" w:type="dxa"/>
            <w:vAlign w:val="center"/>
            <w:hideMark/>
          </w:tcPr>
          <w:p w14:paraId="6EDD05BA" w14:textId="77777777" w:rsidR="00FB584C" w:rsidRPr="007114AF" w:rsidRDefault="00FB584C" w:rsidP="00F05ACD">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Burimi</w:t>
            </w:r>
          </w:p>
        </w:tc>
        <w:tc>
          <w:tcPr>
            <w:tcW w:w="1260" w:type="dxa"/>
            <w:vAlign w:val="center"/>
          </w:tcPr>
          <w:p w14:paraId="6EDD05BB" w14:textId="77777777" w:rsidR="00FB584C" w:rsidRPr="007114AF" w:rsidRDefault="00FB584C" w:rsidP="00F05ACD">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bCs w:val="0"/>
                <w:sz w:val="18"/>
                <w:szCs w:val="18"/>
              </w:rPr>
            </w:pPr>
            <w:r w:rsidRPr="007114AF">
              <w:rPr>
                <w:rFonts w:ascii="Garamond" w:hAnsi="Garamond" w:cs="Calibri"/>
                <w:sz w:val="18"/>
                <w:szCs w:val="18"/>
              </w:rPr>
              <w:t>Lloji i efektit</w:t>
            </w:r>
          </w:p>
        </w:tc>
        <w:tc>
          <w:tcPr>
            <w:tcW w:w="1080" w:type="dxa"/>
            <w:vAlign w:val="center"/>
            <w:hideMark/>
          </w:tcPr>
          <w:p w14:paraId="6EDD05BC" w14:textId="0D783EE6" w:rsidR="00FB584C" w:rsidRPr="007114AF" w:rsidRDefault="00FB584C" w:rsidP="00F05ACD">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Kosto</w:t>
            </w:r>
            <w:r w:rsidR="00F05ACD">
              <w:rPr>
                <w:rFonts w:ascii="Garamond" w:eastAsia="Times New Roman" w:hAnsi="Garamond" w:cs="Times New Roman"/>
                <w:sz w:val="18"/>
                <w:szCs w:val="18"/>
              </w:rPr>
              <w:t>ja</w:t>
            </w:r>
            <w:r w:rsidRPr="007114AF">
              <w:rPr>
                <w:rFonts w:ascii="Garamond" w:eastAsia="Times New Roman" w:hAnsi="Garamond" w:cs="Times New Roman"/>
                <w:sz w:val="18"/>
                <w:szCs w:val="18"/>
              </w:rPr>
              <w:t xml:space="preserve"> </w:t>
            </w:r>
            <w:r w:rsidR="00F05ACD">
              <w:rPr>
                <w:rFonts w:ascii="Garamond" w:eastAsia="Times New Roman" w:hAnsi="Garamond" w:cs="Times New Roman"/>
                <w:sz w:val="18"/>
                <w:szCs w:val="18"/>
              </w:rPr>
              <w:t>t</w:t>
            </w:r>
            <w:r w:rsidRPr="007114AF">
              <w:rPr>
                <w:rFonts w:ascii="Garamond" w:eastAsia="Times New Roman" w:hAnsi="Garamond" w:cs="Times New Roman"/>
                <w:sz w:val="18"/>
                <w:szCs w:val="18"/>
              </w:rPr>
              <w:t>otale në mijëra ALL</w:t>
            </w:r>
          </w:p>
        </w:tc>
        <w:tc>
          <w:tcPr>
            <w:tcW w:w="1260" w:type="dxa"/>
            <w:vAlign w:val="center"/>
            <w:hideMark/>
          </w:tcPr>
          <w:p w14:paraId="6EDD05BD" w14:textId="77777777" w:rsidR="00FB584C" w:rsidRPr="007114AF" w:rsidRDefault="00FB584C" w:rsidP="00F05ACD">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Buxheti i Shtetit</w:t>
            </w:r>
          </w:p>
        </w:tc>
        <w:tc>
          <w:tcPr>
            <w:tcW w:w="1260" w:type="dxa"/>
            <w:vAlign w:val="center"/>
            <w:hideMark/>
          </w:tcPr>
          <w:p w14:paraId="6EDD05BE" w14:textId="77777777" w:rsidR="00FB584C" w:rsidRPr="007114AF" w:rsidRDefault="00FB584C" w:rsidP="00F05ACD">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Donatorët</w:t>
            </w:r>
          </w:p>
        </w:tc>
        <w:tc>
          <w:tcPr>
            <w:tcW w:w="1080" w:type="dxa"/>
            <w:vAlign w:val="center"/>
            <w:hideMark/>
          </w:tcPr>
          <w:p w14:paraId="6EDD05BF" w14:textId="77777777" w:rsidR="00FB584C" w:rsidRPr="007114AF" w:rsidRDefault="00FB584C" w:rsidP="00F05ACD">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Tjetër</w:t>
            </w:r>
          </w:p>
        </w:tc>
        <w:tc>
          <w:tcPr>
            <w:tcW w:w="1260" w:type="dxa"/>
            <w:vAlign w:val="center"/>
            <w:hideMark/>
          </w:tcPr>
          <w:p w14:paraId="6EDD05C0" w14:textId="6A1C1BD2" w:rsidR="00FB584C" w:rsidRPr="007114AF" w:rsidRDefault="00FB584C" w:rsidP="002A539C">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 xml:space="preserve">Hapësira </w:t>
            </w:r>
            <w:r w:rsidR="002A539C">
              <w:rPr>
                <w:rFonts w:ascii="Garamond" w:eastAsia="Times New Roman" w:hAnsi="Garamond" w:cs="Times New Roman"/>
                <w:sz w:val="18"/>
                <w:szCs w:val="18"/>
              </w:rPr>
              <w:t>f</w:t>
            </w:r>
            <w:r w:rsidRPr="007114AF">
              <w:rPr>
                <w:rFonts w:ascii="Garamond" w:eastAsia="Times New Roman" w:hAnsi="Garamond" w:cs="Times New Roman"/>
                <w:sz w:val="18"/>
                <w:szCs w:val="18"/>
              </w:rPr>
              <w:t>inanciare</w:t>
            </w:r>
          </w:p>
        </w:tc>
        <w:tc>
          <w:tcPr>
            <w:tcW w:w="3150" w:type="dxa"/>
            <w:vAlign w:val="center"/>
            <w:hideMark/>
          </w:tcPr>
          <w:p w14:paraId="6EDD05C1" w14:textId="77777777" w:rsidR="00FB584C" w:rsidRPr="007114AF" w:rsidRDefault="00FB584C" w:rsidP="00F05ACD">
            <w:pPr>
              <w:spacing w:after="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Shënim mbi kostot</w:t>
            </w:r>
          </w:p>
        </w:tc>
      </w:tr>
      <w:tr w:rsidR="00FB584C" w:rsidRPr="007114AF" w14:paraId="6EDD05CE"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5C3"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w:t>
            </w:r>
          </w:p>
        </w:tc>
        <w:tc>
          <w:tcPr>
            <w:tcW w:w="1813" w:type="dxa"/>
            <w:vAlign w:val="center"/>
            <w:hideMark/>
          </w:tcPr>
          <w:p w14:paraId="6EDD05C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Përafrimii Legjislacionit Evropian në fushën e cilësisë së ajrit</w:t>
            </w:r>
          </w:p>
        </w:tc>
        <w:tc>
          <w:tcPr>
            <w:tcW w:w="900" w:type="dxa"/>
            <w:vAlign w:val="center"/>
            <w:hideMark/>
          </w:tcPr>
          <w:p w14:paraId="6EDD05C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5C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260" w:type="dxa"/>
            <w:vAlign w:val="center"/>
          </w:tcPr>
          <w:p w14:paraId="6EDD05C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5C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153,930.89</w:t>
            </w:r>
          </w:p>
        </w:tc>
        <w:tc>
          <w:tcPr>
            <w:tcW w:w="1260" w:type="dxa"/>
            <w:vAlign w:val="center"/>
            <w:hideMark/>
          </w:tcPr>
          <w:p w14:paraId="6EDD05C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153,930.89</w:t>
            </w:r>
          </w:p>
        </w:tc>
        <w:tc>
          <w:tcPr>
            <w:tcW w:w="1260" w:type="dxa"/>
            <w:vAlign w:val="center"/>
            <w:hideMark/>
          </w:tcPr>
          <w:p w14:paraId="6EDD05C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5C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5C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5C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janë të llogaritura në bazë të kostos për njësi në bazë të ligjit siç parashikohet tek buxheti afatmesëm Programi i Mjedisit _05320/rezultati A</w:t>
            </w:r>
          </w:p>
        </w:tc>
      </w:tr>
      <w:tr w:rsidR="00FB584C" w:rsidRPr="007114AF" w14:paraId="6EDD05DA"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5CF"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T2</w:t>
            </w:r>
          </w:p>
        </w:tc>
        <w:tc>
          <w:tcPr>
            <w:tcW w:w="1813" w:type="dxa"/>
            <w:vAlign w:val="center"/>
            <w:hideMark/>
          </w:tcPr>
          <w:p w14:paraId="6EDD05D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Krijimi i kushteve të duhura ligjore dhe qeverisëse për një sistem efikas transporti - 1</w:t>
            </w:r>
          </w:p>
        </w:tc>
        <w:tc>
          <w:tcPr>
            <w:tcW w:w="900" w:type="dxa"/>
            <w:vAlign w:val="center"/>
            <w:hideMark/>
          </w:tcPr>
          <w:p w14:paraId="6EDD05D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5D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5D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5D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41,160.00</w:t>
            </w:r>
          </w:p>
        </w:tc>
        <w:tc>
          <w:tcPr>
            <w:tcW w:w="1260" w:type="dxa"/>
            <w:vAlign w:val="center"/>
            <w:hideMark/>
          </w:tcPr>
          <w:p w14:paraId="6EDD05D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5D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41,160.00</w:t>
            </w:r>
          </w:p>
        </w:tc>
        <w:tc>
          <w:tcPr>
            <w:tcW w:w="1080" w:type="dxa"/>
            <w:vAlign w:val="center"/>
            <w:hideMark/>
          </w:tcPr>
          <w:p w14:paraId="6EDD05D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5D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5D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IPA (kontrata e asistencës teknike)</w:t>
            </w:r>
          </w:p>
        </w:tc>
      </w:tr>
      <w:tr w:rsidR="00FB584C" w:rsidRPr="007114AF" w14:paraId="6EDD05E6"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5DB"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T3</w:t>
            </w:r>
          </w:p>
        </w:tc>
        <w:tc>
          <w:tcPr>
            <w:tcW w:w="1813" w:type="dxa"/>
            <w:vAlign w:val="center"/>
            <w:hideMark/>
          </w:tcPr>
          <w:p w14:paraId="6EDD05D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Krijimi i kushteve të duhura ligjore dhe qeverisëse për një sistem efikas transporti - 2</w:t>
            </w:r>
          </w:p>
        </w:tc>
        <w:tc>
          <w:tcPr>
            <w:tcW w:w="900" w:type="dxa"/>
            <w:vAlign w:val="center"/>
            <w:hideMark/>
          </w:tcPr>
          <w:p w14:paraId="6EDD05D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5D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5D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5E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164,760.00</w:t>
            </w:r>
          </w:p>
        </w:tc>
        <w:tc>
          <w:tcPr>
            <w:tcW w:w="1260" w:type="dxa"/>
            <w:vAlign w:val="center"/>
            <w:hideMark/>
          </w:tcPr>
          <w:p w14:paraId="6EDD05E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137,300.00</w:t>
            </w:r>
          </w:p>
        </w:tc>
        <w:tc>
          <w:tcPr>
            <w:tcW w:w="1260" w:type="dxa"/>
            <w:vAlign w:val="center"/>
            <w:hideMark/>
          </w:tcPr>
          <w:p w14:paraId="6EDD05E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080" w:type="dxa"/>
            <w:vAlign w:val="center"/>
            <w:hideMark/>
          </w:tcPr>
          <w:p w14:paraId="6EDD05E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5E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5E5" w14:textId="16F2F44E" w:rsidR="00FB584C" w:rsidRPr="007114AF" w:rsidRDefault="00FB584C" w:rsidP="001C47F0">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Buxheti IPA (kontrata e asistencës teknike) marrja në punë e personelit shtesë: EUR 1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 xml:space="preserve">(EUR 0.2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për vit)</w:t>
            </w:r>
            <w:r w:rsidRPr="007114AF">
              <w:rPr>
                <w:rFonts w:ascii="Garamond" w:eastAsia="Times New Roman" w:hAnsi="Garamond" w:cs="Times New Roman"/>
                <w:sz w:val="18"/>
                <w:szCs w:val="18"/>
              </w:rPr>
              <w:br/>
              <w:t xml:space="preserve">Programet e trajnimit: EUR 0.2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në total</w:t>
            </w:r>
          </w:p>
        </w:tc>
      </w:tr>
      <w:tr w:rsidR="00FB584C" w:rsidRPr="007114AF" w14:paraId="6EDD05F2"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5E7"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w:t>
            </w:r>
          </w:p>
        </w:tc>
        <w:tc>
          <w:tcPr>
            <w:tcW w:w="1813" w:type="dxa"/>
            <w:vAlign w:val="center"/>
            <w:hideMark/>
          </w:tcPr>
          <w:p w14:paraId="6EDD05E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Shto kapacitetin e Inspektoratit Kombëtar të Mjedisit për të kryer matjen e ndotjes nga burime të përmirësuara e të palëvizshme;</w:t>
            </w:r>
          </w:p>
        </w:tc>
        <w:tc>
          <w:tcPr>
            <w:tcW w:w="900" w:type="dxa"/>
            <w:vAlign w:val="center"/>
            <w:hideMark/>
          </w:tcPr>
          <w:p w14:paraId="6EDD05E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2017-2018</w:t>
            </w:r>
          </w:p>
        </w:tc>
        <w:tc>
          <w:tcPr>
            <w:tcW w:w="810" w:type="dxa"/>
            <w:vAlign w:val="center"/>
            <w:hideMark/>
          </w:tcPr>
          <w:p w14:paraId="6EDD05E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260" w:type="dxa"/>
            <w:vAlign w:val="center"/>
          </w:tcPr>
          <w:p w14:paraId="6EDD05E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5E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10,400.00</w:t>
            </w:r>
          </w:p>
        </w:tc>
        <w:tc>
          <w:tcPr>
            <w:tcW w:w="1260" w:type="dxa"/>
            <w:vAlign w:val="center"/>
            <w:hideMark/>
          </w:tcPr>
          <w:p w14:paraId="6EDD05E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5E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10,400.00</w:t>
            </w:r>
          </w:p>
        </w:tc>
        <w:tc>
          <w:tcPr>
            <w:tcW w:w="1080" w:type="dxa"/>
            <w:vAlign w:val="center"/>
            <w:hideMark/>
          </w:tcPr>
          <w:p w14:paraId="6EDD05E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5F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5F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janë të përllogaritura bazuar në projektet e njëjta</w:t>
            </w:r>
          </w:p>
        </w:tc>
      </w:tr>
      <w:tr w:rsidR="00FB584C" w:rsidRPr="007114AF" w14:paraId="6EDD05FE"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5F3"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w:t>
            </w:r>
          </w:p>
        </w:tc>
        <w:tc>
          <w:tcPr>
            <w:tcW w:w="1813" w:type="dxa"/>
            <w:vAlign w:val="center"/>
            <w:hideMark/>
          </w:tcPr>
          <w:p w14:paraId="6EDD05F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Vendos një Mekanizëm për Grupin e Menaxhimit të Politikës së Integruar </w:t>
            </w:r>
          </w:p>
        </w:tc>
        <w:tc>
          <w:tcPr>
            <w:tcW w:w="900" w:type="dxa"/>
            <w:noWrap/>
            <w:vAlign w:val="center"/>
            <w:hideMark/>
          </w:tcPr>
          <w:p w14:paraId="6EDD05F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810" w:type="dxa"/>
            <w:vAlign w:val="center"/>
            <w:hideMark/>
          </w:tcPr>
          <w:p w14:paraId="6EDD05F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NSDI-II</w:t>
            </w:r>
          </w:p>
        </w:tc>
        <w:tc>
          <w:tcPr>
            <w:tcW w:w="1260" w:type="dxa"/>
            <w:vAlign w:val="center"/>
          </w:tcPr>
          <w:p w14:paraId="6EDD05F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noWrap/>
            <w:vAlign w:val="center"/>
            <w:hideMark/>
          </w:tcPr>
          <w:p w14:paraId="6EDD05F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noWrap/>
            <w:vAlign w:val="center"/>
            <w:hideMark/>
          </w:tcPr>
          <w:p w14:paraId="6EDD05F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noWrap/>
            <w:vAlign w:val="center"/>
            <w:hideMark/>
          </w:tcPr>
          <w:p w14:paraId="6EDD05F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5F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5F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5F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Nuk ka nevojë për fonde shtesë për të zbatuar këtë masë</w:t>
            </w:r>
          </w:p>
        </w:tc>
      </w:tr>
      <w:tr w:rsidR="00FB584C" w:rsidRPr="007114AF" w14:paraId="6EDD060A"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5FF"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w:t>
            </w:r>
          </w:p>
        </w:tc>
        <w:tc>
          <w:tcPr>
            <w:tcW w:w="1813" w:type="dxa"/>
            <w:vAlign w:val="center"/>
            <w:hideMark/>
          </w:tcPr>
          <w:p w14:paraId="6EDD060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Bazë të dhënash për mbledhjen dhe monitorimin e të dhënave</w:t>
            </w:r>
          </w:p>
        </w:tc>
        <w:tc>
          <w:tcPr>
            <w:tcW w:w="900" w:type="dxa"/>
            <w:vAlign w:val="center"/>
            <w:hideMark/>
          </w:tcPr>
          <w:p w14:paraId="6EDD060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w:t>
            </w:r>
          </w:p>
        </w:tc>
        <w:tc>
          <w:tcPr>
            <w:tcW w:w="810" w:type="dxa"/>
            <w:vAlign w:val="center"/>
            <w:hideMark/>
          </w:tcPr>
          <w:p w14:paraId="6EDD060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260" w:type="dxa"/>
            <w:vAlign w:val="center"/>
          </w:tcPr>
          <w:p w14:paraId="6EDD060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60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10,000.00</w:t>
            </w:r>
          </w:p>
        </w:tc>
        <w:tc>
          <w:tcPr>
            <w:tcW w:w="1260" w:type="dxa"/>
            <w:vAlign w:val="center"/>
            <w:hideMark/>
          </w:tcPr>
          <w:p w14:paraId="6EDD060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10,000.00</w:t>
            </w:r>
          </w:p>
        </w:tc>
        <w:tc>
          <w:tcPr>
            <w:tcW w:w="1260" w:type="dxa"/>
            <w:vAlign w:val="center"/>
            <w:hideMark/>
          </w:tcPr>
          <w:p w14:paraId="6EDD060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60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0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09" w14:textId="2B5D0D5D"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Rezultati H, Programi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Mbështetja për Industrinë</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 MIE</w:t>
            </w:r>
          </w:p>
        </w:tc>
      </w:tr>
      <w:tr w:rsidR="00FB584C" w:rsidRPr="007114AF" w14:paraId="6EDD0616"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0B"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T7</w:t>
            </w:r>
          </w:p>
        </w:tc>
        <w:tc>
          <w:tcPr>
            <w:tcW w:w="1813" w:type="dxa"/>
            <w:vAlign w:val="center"/>
            <w:hideMark/>
          </w:tcPr>
          <w:p w14:paraId="6EDD060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Stacionet e monitorimit të cilësisë së ajrit dhe trafikut: Planëzo të përmirësosh qëndrueshmërinë në transport, kërko një monitorim efektiv të evolucionit të cilësisë së ajrit në bazë të kushteve të trafikut gjatë rrjetit. </w:t>
            </w:r>
          </w:p>
        </w:tc>
        <w:tc>
          <w:tcPr>
            <w:tcW w:w="900" w:type="dxa"/>
            <w:vAlign w:val="center"/>
            <w:hideMark/>
          </w:tcPr>
          <w:p w14:paraId="6EDD060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0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TECTQ</w:t>
            </w:r>
          </w:p>
        </w:tc>
        <w:tc>
          <w:tcPr>
            <w:tcW w:w="1260" w:type="dxa"/>
            <w:vAlign w:val="center"/>
          </w:tcPr>
          <w:p w14:paraId="6EDD060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61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826,000.00</w:t>
            </w:r>
          </w:p>
        </w:tc>
        <w:tc>
          <w:tcPr>
            <w:tcW w:w="1260" w:type="dxa"/>
            <w:vAlign w:val="center"/>
            <w:hideMark/>
          </w:tcPr>
          <w:p w14:paraId="6EDD061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280,000.00</w:t>
            </w:r>
          </w:p>
        </w:tc>
        <w:tc>
          <w:tcPr>
            <w:tcW w:w="1260" w:type="dxa"/>
            <w:vAlign w:val="center"/>
            <w:hideMark/>
          </w:tcPr>
          <w:p w14:paraId="6EDD061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61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1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546,000.00</w:t>
            </w:r>
          </w:p>
        </w:tc>
        <w:tc>
          <w:tcPr>
            <w:tcW w:w="3150" w:type="dxa"/>
            <w:vAlign w:val="center"/>
            <w:hideMark/>
          </w:tcPr>
          <w:p w14:paraId="6EDD0615" w14:textId="0FA91FAB"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546 mln Lek (investim)</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+ 56 mln Lek për vit (menaxhim). Kostot e investimit nga drafti përfundimtar i TECTQ</w:t>
            </w:r>
          </w:p>
        </w:tc>
      </w:tr>
      <w:tr w:rsidR="00FB584C" w:rsidRPr="007114AF" w14:paraId="6EDD0622"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17"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T8</w:t>
            </w:r>
          </w:p>
        </w:tc>
        <w:tc>
          <w:tcPr>
            <w:tcW w:w="1813" w:type="dxa"/>
            <w:vAlign w:val="center"/>
            <w:hideMark/>
          </w:tcPr>
          <w:p w14:paraId="6EDD061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Monitorim dhe mbledhje të dhënash</w:t>
            </w:r>
          </w:p>
        </w:tc>
        <w:tc>
          <w:tcPr>
            <w:tcW w:w="900" w:type="dxa"/>
            <w:noWrap/>
            <w:vAlign w:val="center"/>
            <w:hideMark/>
          </w:tcPr>
          <w:p w14:paraId="6EDD061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1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NSDI-II</w:t>
            </w:r>
          </w:p>
        </w:tc>
        <w:tc>
          <w:tcPr>
            <w:tcW w:w="1260" w:type="dxa"/>
            <w:vAlign w:val="center"/>
          </w:tcPr>
          <w:p w14:paraId="6EDD061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noWrap/>
            <w:vAlign w:val="center"/>
            <w:hideMark/>
          </w:tcPr>
          <w:p w14:paraId="6EDD061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94,174.00</w:t>
            </w:r>
          </w:p>
        </w:tc>
        <w:tc>
          <w:tcPr>
            <w:tcW w:w="1260" w:type="dxa"/>
            <w:noWrap/>
            <w:vAlign w:val="center"/>
            <w:hideMark/>
          </w:tcPr>
          <w:p w14:paraId="6EDD061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94,174.00</w:t>
            </w:r>
          </w:p>
        </w:tc>
        <w:tc>
          <w:tcPr>
            <w:tcW w:w="1260" w:type="dxa"/>
            <w:noWrap/>
            <w:vAlign w:val="center"/>
            <w:hideMark/>
          </w:tcPr>
          <w:p w14:paraId="6EDD061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61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62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21" w14:textId="0FF043CA"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Kosto totale e projektit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Zbatimi i sistemit të menaxhimit të trafikut</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 xml:space="preserve"> I+II</w:t>
            </w:r>
          </w:p>
        </w:tc>
      </w:tr>
      <w:tr w:rsidR="00FB584C" w:rsidRPr="007114AF" w14:paraId="6EDD062E"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23"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T9</w:t>
            </w:r>
          </w:p>
        </w:tc>
        <w:tc>
          <w:tcPr>
            <w:tcW w:w="1813" w:type="dxa"/>
            <w:vAlign w:val="center"/>
            <w:hideMark/>
          </w:tcPr>
          <w:p w14:paraId="6EDD062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Përfundim dhe modernizim i rrjetit primar dhe sekondar rrugor Shqiptar- 1</w:t>
            </w:r>
          </w:p>
        </w:tc>
        <w:tc>
          <w:tcPr>
            <w:tcW w:w="900" w:type="dxa"/>
            <w:vAlign w:val="center"/>
            <w:hideMark/>
          </w:tcPr>
          <w:p w14:paraId="6EDD062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2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NSDI-II; PKT</w:t>
            </w:r>
          </w:p>
        </w:tc>
        <w:tc>
          <w:tcPr>
            <w:tcW w:w="1260" w:type="dxa"/>
            <w:vAlign w:val="center"/>
          </w:tcPr>
          <w:p w14:paraId="6EDD062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noWrap/>
            <w:vAlign w:val="center"/>
            <w:hideMark/>
          </w:tcPr>
          <w:p w14:paraId="6EDD062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117,867,931.00</w:t>
            </w:r>
          </w:p>
        </w:tc>
        <w:tc>
          <w:tcPr>
            <w:tcW w:w="1260" w:type="dxa"/>
            <w:vAlign w:val="center"/>
            <w:hideMark/>
          </w:tcPr>
          <w:p w14:paraId="6EDD062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14,082,861.00</w:t>
            </w:r>
          </w:p>
        </w:tc>
        <w:tc>
          <w:tcPr>
            <w:tcW w:w="1260" w:type="dxa"/>
            <w:vAlign w:val="center"/>
            <w:hideMark/>
          </w:tcPr>
          <w:p w14:paraId="6EDD062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14,540,070.00</w:t>
            </w:r>
          </w:p>
        </w:tc>
        <w:tc>
          <w:tcPr>
            <w:tcW w:w="1080" w:type="dxa"/>
            <w:vAlign w:val="center"/>
            <w:hideMark/>
          </w:tcPr>
          <w:p w14:paraId="6EDD062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2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89,245,000.00</w:t>
            </w:r>
          </w:p>
        </w:tc>
        <w:tc>
          <w:tcPr>
            <w:tcW w:w="3150" w:type="dxa"/>
            <w:vAlign w:val="center"/>
            <w:hideMark/>
          </w:tcPr>
          <w:p w14:paraId="6EDD062D" w14:textId="13010214"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Projekti me bazë rezultatesh për mirëmbajtjen e rrugëve dhe sigurisë (RRMSP) (EUR 128.47 milion): Buxheti Kombëtar (EUR 62.57 milion), BB (EUR 65.90 milion)</w:t>
            </w:r>
            <w:r w:rsidRPr="007114AF">
              <w:rPr>
                <w:rFonts w:ascii="Garamond" w:eastAsia="Times New Roman" w:hAnsi="Garamond" w:cs="Times New Roman"/>
                <w:sz w:val="18"/>
                <w:szCs w:val="18"/>
              </w:rPr>
              <w:br/>
              <w:t>Programi i mirëmbajtjes shtesë të rrugëve (EUR 50 milion): Buxheti Kombëtar (EUR 30 milion), Buxheti IPA</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(EUR 20 milion)</w:t>
            </w:r>
            <w:r w:rsidRPr="007114AF">
              <w:rPr>
                <w:rFonts w:ascii="Garamond" w:eastAsia="Times New Roman" w:hAnsi="Garamond" w:cs="Times New Roman"/>
                <w:sz w:val="18"/>
                <w:szCs w:val="18"/>
              </w:rPr>
              <w:br/>
              <w:t>12 projekte rrugore prioritare - Punimet (EUR 650 milion): Buxheti Kombëtar (% për t</w:t>
            </w:r>
            <w:r w:rsidR="00D10DAB"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u përcaktuar), donatorët ndërkombëtarë (% për t</w:t>
            </w:r>
            <w:r w:rsidR="00D10DAB"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u përcaktuar)</w:t>
            </w:r>
            <w:r w:rsidRPr="007114AF">
              <w:rPr>
                <w:rFonts w:ascii="Garamond" w:eastAsia="Times New Roman" w:hAnsi="Garamond" w:cs="Times New Roman"/>
                <w:sz w:val="18"/>
                <w:szCs w:val="18"/>
              </w:rPr>
              <w:br/>
              <w:t>12 projekte rrugore prioritare – Fizibiliteti, Dizenjo paraprake dhe Studimet e Detajuara të Dizenjove (EUR 30 milion): Buxheti Kombëtar (EUR 10 milion), buxheti IPA (EUR 20 milion)</w:t>
            </w:r>
          </w:p>
        </w:tc>
      </w:tr>
      <w:tr w:rsidR="00FB584C" w:rsidRPr="007114AF" w14:paraId="6EDD063A"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2F"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T10</w:t>
            </w:r>
          </w:p>
        </w:tc>
        <w:tc>
          <w:tcPr>
            <w:tcW w:w="1813" w:type="dxa"/>
            <w:vAlign w:val="center"/>
            <w:hideMark/>
          </w:tcPr>
          <w:p w14:paraId="6EDD063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Përfundim dhe modernizim i rrjetit primar dhe sekondar rrugor shqiptar - 2</w:t>
            </w:r>
          </w:p>
        </w:tc>
        <w:tc>
          <w:tcPr>
            <w:tcW w:w="900" w:type="dxa"/>
            <w:vAlign w:val="center"/>
            <w:hideMark/>
          </w:tcPr>
          <w:p w14:paraId="6EDD063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3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PKT</w:t>
            </w:r>
          </w:p>
        </w:tc>
        <w:tc>
          <w:tcPr>
            <w:tcW w:w="1260" w:type="dxa"/>
            <w:vAlign w:val="center"/>
          </w:tcPr>
          <w:p w14:paraId="6EDD063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63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1,485,586.00</w:t>
            </w:r>
          </w:p>
        </w:tc>
        <w:tc>
          <w:tcPr>
            <w:tcW w:w="1260" w:type="dxa"/>
            <w:noWrap/>
            <w:vAlign w:val="center"/>
            <w:hideMark/>
          </w:tcPr>
          <w:p w14:paraId="6EDD063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521,740.00</w:t>
            </w:r>
          </w:p>
        </w:tc>
        <w:tc>
          <w:tcPr>
            <w:tcW w:w="1260" w:type="dxa"/>
            <w:vAlign w:val="center"/>
            <w:hideMark/>
          </w:tcPr>
          <w:p w14:paraId="6EDD063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963,846.00</w:t>
            </w:r>
          </w:p>
        </w:tc>
        <w:tc>
          <w:tcPr>
            <w:tcW w:w="1080" w:type="dxa"/>
            <w:vAlign w:val="center"/>
            <w:hideMark/>
          </w:tcPr>
          <w:p w14:paraId="6EDD063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3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3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Kombëtar (sistemi i menaxhimit të aseteve të rrugëve, Menaxhimi Financiar Publik - PFM) asistencë teknike: EUR 3.80 milion), BB (sistemi i menaxhimit të aseteve rrugore, PFM asistencë teknike: EUR 6.87 milion)</w:t>
            </w:r>
            <w:r w:rsidRPr="007114AF">
              <w:rPr>
                <w:rFonts w:ascii="Garamond" w:eastAsia="Times New Roman" w:hAnsi="Garamond" w:cs="Times New Roman"/>
                <w:sz w:val="18"/>
                <w:szCs w:val="18"/>
              </w:rPr>
              <w:br/>
              <w:t>buxheti IPA (2 edicione të programit të ndërtimit të kapaciteteve, programi dhe studimi mbi mundësinë e shënimit të taksave për përdorimin e rrugëve: EUR 0.15 milion)</w:t>
            </w:r>
          </w:p>
        </w:tc>
      </w:tr>
      <w:tr w:rsidR="00FB584C" w:rsidRPr="007114AF" w14:paraId="6EDD0646"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3B"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T11</w:t>
            </w:r>
          </w:p>
        </w:tc>
        <w:tc>
          <w:tcPr>
            <w:tcW w:w="1813" w:type="dxa"/>
            <w:vAlign w:val="center"/>
            <w:hideMark/>
          </w:tcPr>
          <w:p w14:paraId="6EDD063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Përfundim dhe modernizim i rrjetit primar dhe sekondar rrugor shqiptar - 3</w:t>
            </w:r>
          </w:p>
        </w:tc>
        <w:tc>
          <w:tcPr>
            <w:tcW w:w="900" w:type="dxa"/>
            <w:vAlign w:val="center"/>
            <w:hideMark/>
          </w:tcPr>
          <w:p w14:paraId="6EDD063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3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PKT</w:t>
            </w:r>
          </w:p>
        </w:tc>
        <w:tc>
          <w:tcPr>
            <w:tcW w:w="1260" w:type="dxa"/>
            <w:vAlign w:val="center"/>
          </w:tcPr>
          <w:p w14:paraId="6EDD063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64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260" w:type="dxa"/>
            <w:vAlign w:val="center"/>
            <w:hideMark/>
          </w:tcPr>
          <w:p w14:paraId="6EDD064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64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080" w:type="dxa"/>
            <w:vAlign w:val="center"/>
            <w:hideMark/>
          </w:tcPr>
          <w:p w14:paraId="6EDD064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4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4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IPA</w:t>
            </w:r>
          </w:p>
        </w:tc>
      </w:tr>
      <w:tr w:rsidR="00FB584C" w:rsidRPr="007114AF" w14:paraId="6EDD0656" w14:textId="77777777" w:rsidTr="00FB584C">
        <w:trPr>
          <w:cantSplit/>
          <w:trHeight w:val="1318"/>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47"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T12</w:t>
            </w:r>
          </w:p>
        </w:tc>
        <w:tc>
          <w:tcPr>
            <w:tcW w:w="1813" w:type="dxa"/>
            <w:vAlign w:val="center"/>
            <w:hideMark/>
          </w:tcPr>
          <w:p w14:paraId="6EDD064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Fuqizim i bashkëpunimit rajonal nëpërmjet lidhjeve rrugore- 1</w:t>
            </w:r>
          </w:p>
        </w:tc>
        <w:tc>
          <w:tcPr>
            <w:tcW w:w="900" w:type="dxa"/>
            <w:vAlign w:val="center"/>
            <w:hideMark/>
          </w:tcPr>
          <w:p w14:paraId="6EDD064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4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NSDI-II</w:t>
            </w:r>
          </w:p>
        </w:tc>
        <w:tc>
          <w:tcPr>
            <w:tcW w:w="1260" w:type="dxa"/>
            <w:vAlign w:val="center"/>
          </w:tcPr>
          <w:p w14:paraId="6EDD064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64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64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4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64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5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65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5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5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5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5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Të përcaktohet rast pas rasti (në vartësi të nevojave të përshtatjes të secilës BCP). Asnjë kosto nuk është llogaritur për këtë masë. Buxheti shtetëror duhet të mbulojë këtë masë</w:t>
            </w:r>
          </w:p>
        </w:tc>
      </w:tr>
      <w:tr w:rsidR="00FB584C" w:rsidRPr="007114AF" w14:paraId="6EDD0662"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57"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T13</w:t>
            </w:r>
          </w:p>
        </w:tc>
        <w:tc>
          <w:tcPr>
            <w:tcW w:w="1813" w:type="dxa"/>
            <w:vAlign w:val="center"/>
            <w:hideMark/>
          </w:tcPr>
          <w:p w14:paraId="6EDD065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Fuqizim i bashkëpunimit rajonal nëpërmjet lidhjeve rrugore - 2</w:t>
            </w:r>
          </w:p>
        </w:tc>
        <w:tc>
          <w:tcPr>
            <w:tcW w:w="900" w:type="dxa"/>
            <w:vAlign w:val="center"/>
            <w:hideMark/>
          </w:tcPr>
          <w:p w14:paraId="6EDD065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5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NSDI-II</w:t>
            </w:r>
          </w:p>
        </w:tc>
        <w:tc>
          <w:tcPr>
            <w:tcW w:w="1260" w:type="dxa"/>
            <w:vAlign w:val="center"/>
          </w:tcPr>
          <w:p w14:paraId="6EDD065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65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343,250.00</w:t>
            </w:r>
          </w:p>
        </w:tc>
        <w:tc>
          <w:tcPr>
            <w:tcW w:w="1260" w:type="dxa"/>
            <w:noWrap/>
            <w:vAlign w:val="center"/>
            <w:hideMark/>
          </w:tcPr>
          <w:p w14:paraId="6EDD065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205,950.00</w:t>
            </w:r>
          </w:p>
        </w:tc>
        <w:tc>
          <w:tcPr>
            <w:tcW w:w="1260" w:type="dxa"/>
            <w:noWrap/>
            <w:vAlign w:val="center"/>
            <w:hideMark/>
          </w:tcPr>
          <w:p w14:paraId="6EDD065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137,300.00</w:t>
            </w:r>
          </w:p>
        </w:tc>
        <w:tc>
          <w:tcPr>
            <w:tcW w:w="1080" w:type="dxa"/>
            <w:vAlign w:val="center"/>
            <w:hideMark/>
          </w:tcPr>
          <w:p w14:paraId="6EDD065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6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6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EUR 2.5 milion</w:t>
            </w:r>
            <w:r w:rsidRPr="007114AF">
              <w:rPr>
                <w:rFonts w:ascii="Garamond" w:eastAsia="Times New Roman" w:hAnsi="Garamond" w:cs="Times New Roman"/>
                <w:sz w:val="18"/>
                <w:szCs w:val="18"/>
              </w:rPr>
              <w:br/>
              <w:t>(100 EUR/m2 të hapësirës së parkimit të kërkuar). Buxheti Shtetëror (EUR 1.5 milion), Buxheti IPA (EUR 1 milion)</w:t>
            </w:r>
          </w:p>
        </w:tc>
      </w:tr>
      <w:tr w:rsidR="00FB584C" w:rsidRPr="007114AF" w14:paraId="6EDD066E"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63"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T14</w:t>
            </w:r>
          </w:p>
        </w:tc>
        <w:tc>
          <w:tcPr>
            <w:tcW w:w="1813" w:type="dxa"/>
            <w:vAlign w:val="center"/>
            <w:hideMark/>
          </w:tcPr>
          <w:p w14:paraId="6EDD066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Fuqizim i bashkëpunimit rajonal nëpërmjet lidhjeve rrugore – shmang diskriminimin mbi operatorët shqiptarë të transportit</w:t>
            </w:r>
          </w:p>
        </w:tc>
        <w:tc>
          <w:tcPr>
            <w:tcW w:w="900" w:type="dxa"/>
            <w:vAlign w:val="center"/>
            <w:hideMark/>
          </w:tcPr>
          <w:p w14:paraId="6EDD066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6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PKT</w:t>
            </w:r>
          </w:p>
        </w:tc>
        <w:tc>
          <w:tcPr>
            <w:tcW w:w="1260" w:type="dxa"/>
            <w:vAlign w:val="center"/>
          </w:tcPr>
          <w:p w14:paraId="6EDD066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66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66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66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66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6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6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Nuk është ndarë kosto për këtë masë. Buxheti i shtetit duhet të mbulojë këtë masë</w:t>
            </w:r>
          </w:p>
        </w:tc>
      </w:tr>
      <w:tr w:rsidR="00FB584C" w:rsidRPr="007114AF" w14:paraId="6EDD067A"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6F"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T15</w:t>
            </w:r>
          </w:p>
        </w:tc>
        <w:tc>
          <w:tcPr>
            <w:tcW w:w="1813" w:type="dxa"/>
            <w:vAlign w:val="center"/>
            <w:hideMark/>
          </w:tcPr>
          <w:p w14:paraId="6EDD067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Siguro funksionimin e tregut të transportit rrugor në linjë me standardet evropiane - 1</w:t>
            </w:r>
          </w:p>
        </w:tc>
        <w:tc>
          <w:tcPr>
            <w:tcW w:w="900" w:type="dxa"/>
            <w:vAlign w:val="center"/>
            <w:hideMark/>
          </w:tcPr>
          <w:p w14:paraId="6EDD067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7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NSDI-II</w:t>
            </w:r>
          </w:p>
        </w:tc>
        <w:tc>
          <w:tcPr>
            <w:tcW w:w="1260" w:type="dxa"/>
            <w:vAlign w:val="center"/>
          </w:tcPr>
          <w:p w14:paraId="6EDD067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67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67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67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67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7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7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Nuk është ndarë kosto për këtë masë. Buxheti i shtetit duhet të mbulojë këtë masë</w:t>
            </w:r>
          </w:p>
        </w:tc>
      </w:tr>
      <w:tr w:rsidR="00FB584C" w:rsidRPr="007114AF" w14:paraId="6EDD0686"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7B"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T16</w:t>
            </w:r>
          </w:p>
        </w:tc>
        <w:tc>
          <w:tcPr>
            <w:tcW w:w="1813" w:type="dxa"/>
            <w:vAlign w:val="center"/>
            <w:hideMark/>
          </w:tcPr>
          <w:p w14:paraId="6EDD067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Siguro funksionimin e tregut të transportit rrugor në linjë me standardet evropiane - 2</w:t>
            </w:r>
          </w:p>
        </w:tc>
        <w:tc>
          <w:tcPr>
            <w:tcW w:w="900" w:type="dxa"/>
            <w:vAlign w:val="center"/>
            <w:hideMark/>
          </w:tcPr>
          <w:p w14:paraId="6EDD067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7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NSDI-II</w:t>
            </w:r>
          </w:p>
        </w:tc>
        <w:tc>
          <w:tcPr>
            <w:tcW w:w="1260" w:type="dxa"/>
            <w:vAlign w:val="center"/>
          </w:tcPr>
          <w:p w14:paraId="6EDD067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68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60" w:type="dxa"/>
            <w:noWrap/>
            <w:vAlign w:val="center"/>
            <w:hideMark/>
          </w:tcPr>
          <w:p w14:paraId="6EDD068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60" w:type="dxa"/>
            <w:vAlign w:val="center"/>
            <w:hideMark/>
          </w:tcPr>
          <w:p w14:paraId="6EDD068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68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8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85" w14:textId="044D577E" w:rsidR="00FB584C" w:rsidRPr="007114AF" w:rsidRDefault="00FB584C" w:rsidP="001C47F0">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EUR 0.5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 xml:space="preserve">(EUR 0.1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për vit). Buxheti kombëtar</w:t>
            </w:r>
          </w:p>
        </w:tc>
      </w:tr>
      <w:tr w:rsidR="00FB584C" w:rsidRPr="007114AF" w14:paraId="6EDD0692"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87"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T17</w:t>
            </w:r>
          </w:p>
        </w:tc>
        <w:tc>
          <w:tcPr>
            <w:tcW w:w="1813" w:type="dxa"/>
            <w:vAlign w:val="center"/>
            <w:hideMark/>
          </w:tcPr>
          <w:p w14:paraId="6EDD068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Siguro funksionimin e tregut të transportit rrugor në linjë me standardet evropiane - 3</w:t>
            </w:r>
          </w:p>
        </w:tc>
        <w:tc>
          <w:tcPr>
            <w:tcW w:w="900" w:type="dxa"/>
            <w:vAlign w:val="center"/>
            <w:hideMark/>
          </w:tcPr>
          <w:p w14:paraId="6EDD068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810" w:type="dxa"/>
            <w:vAlign w:val="center"/>
            <w:hideMark/>
          </w:tcPr>
          <w:p w14:paraId="6EDD068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NSDI-II</w:t>
            </w:r>
          </w:p>
        </w:tc>
        <w:tc>
          <w:tcPr>
            <w:tcW w:w="1260" w:type="dxa"/>
            <w:vAlign w:val="center"/>
          </w:tcPr>
          <w:p w14:paraId="6EDD068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noWrap/>
            <w:vAlign w:val="center"/>
            <w:hideMark/>
          </w:tcPr>
          <w:p w14:paraId="6EDD068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171,625.00</w:t>
            </w:r>
          </w:p>
        </w:tc>
        <w:tc>
          <w:tcPr>
            <w:tcW w:w="1260" w:type="dxa"/>
            <w:noWrap/>
            <w:vAlign w:val="center"/>
            <w:hideMark/>
          </w:tcPr>
          <w:p w14:paraId="6EDD068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260" w:type="dxa"/>
            <w:vAlign w:val="center"/>
            <w:hideMark/>
          </w:tcPr>
          <w:p w14:paraId="6EDD068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137,300.00</w:t>
            </w:r>
          </w:p>
        </w:tc>
        <w:tc>
          <w:tcPr>
            <w:tcW w:w="1080" w:type="dxa"/>
            <w:vAlign w:val="center"/>
            <w:hideMark/>
          </w:tcPr>
          <w:p w14:paraId="6EDD068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9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9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kombëtar (EUR 0.25 milion), Buxheti IPA (EUR 1 milion)</w:t>
            </w:r>
          </w:p>
        </w:tc>
      </w:tr>
      <w:tr w:rsidR="00FB584C" w:rsidRPr="007114AF" w14:paraId="6EDD069E"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93"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T18</w:t>
            </w:r>
          </w:p>
        </w:tc>
        <w:tc>
          <w:tcPr>
            <w:tcW w:w="1813" w:type="dxa"/>
            <w:vAlign w:val="center"/>
            <w:hideMark/>
          </w:tcPr>
          <w:p w14:paraId="6EDD069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Zgjerimi i kapacitetit rrugor - faza 1</w:t>
            </w:r>
          </w:p>
        </w:tc>
        <w:tc>
          <w:tcPr>
            <w:tcW w:w="900" w:type="dxa"/>
            <w:vAlign w:val="center"/>
            <w:hideMark/>
          </w:tcPr>
          <w:p w14:paraId="6EDD069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2016-2030</w:t>
            </w:r>
          </w:p>
        </w:tc>
        <w:tc>
          <w:tcPr>
            <w:tcW w:w="810" w:type="dxa"/>
            <w:vAlign w:val="center"/>
            <w:hideMark/>
          </w:tcPr>
          <w:p w14:paraId="6EDD069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TECTQ</w:t>
            </w:r>
          </w:p>
        </w:tc>
        <w:tc>
          <w:tcPr>
            <w:tcW w:w="1260" w:type="dxa"/>
            <w:vAlign w:val="center"/>
          </w:tcPr>
          <w:p w14:paraId="6EDD069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69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27,580,000.00</w:t>
            </w:r>
          </w:p>
        </w:tc>
        <w:tc>
          <w:tcPr>
            <w:tcW w:w="1260" w:type="dxa"/>
            <w:vAlign w:val="center"/>
            <w:hideMark/>
          </w:tcPr>
          <w:p w14:paraId="6EDD069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151,030.00</w:t>
            </w:r>
          </w:p>
        </w:tc>
        <w:tc>
          <w:tcPr>
            <w:tcW w:w="1260" w:type="dxa"/>
            <w:vAlign w:val="center"/>
            <w:hideMark/>
          </w:tcPr>
          <w:p w14:paraId="6EDD069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137,300.00</w:t>
            </w:r>
          </w:p>
        </w:tc>
        <w:tc>
          <w:tcPr>
            <w:tcW w:w="1080" w:type="dxa"/>
            <w:vAlign w:val="center"/>
            <w:hideMark/>
          </w:tcPr>
          <w:p w14:paraId="6EDD069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9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27,291,670.00</w:t>
            </w:r>
          </w:p>
        </w:tc>
        <w:tc>
          <w:tcPr>
            <w:tcW w:w="3150" w:type="dxa"/>
            <w:vAlign w:val="center"/>
            <w:hideMark/>
          </w:tcPr>
          <w:p w14:paraId="6EDD069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27,580 mln Lek; Kosto e marrë nga drafti përfundimtar i TECTQ. Fondet e nxjerra nga MoTI &amp;ËBIF</w:t>
            </w:r>
          </w:p>
        </w:tc>
      </w:tr>
      <w:tr w:rsidR="00FB584C" w:rsidRPr="007114AF" w14:paraId="6EDD06AA"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9F"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T19</w:t>
            </w:r>
          </w:p>
        </w:tc>
        <w:tc>
          <w:tcPr>
            <w:tcW w:w="1813" w:type="dxa"/>
            <w:vAlign w:val="center"/>
            <w:hideMark/>
          </w:tcPr>
          <w:p w14:paraId="6EDD06A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Zgjerimi i kapacitetit rrugor - faza 2</w:t>
            </w:r>
          </w:p>
        </w:tc>
        <w:tc>
          <w:tcPr>
            <w:tcW w:w="900" w:type="dxa"/>
            <w:vAlign w:val="center"/>
            <w:hideMark/>
          </w:tcPr>
          <w:p w14:paraId="6EDD06A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2016-2030</w:t>
            </w:r>
          </w:p>
        </w:tc>
        <w:tc>
          <w:tcPr>
            <w:tcW w:w="810" w:type="dxa"/>
            <w:vAlign w:val="center"/>
            <w:hideMark/>
          </w:tcPr>
          <w:p w14:paraId="6EDD06A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TECTQ; PKVEE</w:t>
            </w:r>
          </w:p>
        </w:tc>
        <w:tc>
          <w:tcPr>
            <w:tcW w:w="1260" w:type="dxa"/>
            <w:vAlign w:val="center"/>
          </w:tcPr>
          <w:p w14:paraId="6EDD06A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6A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68,114,000.00</w:t>
            </w:r>
          </w:p>
        </w:tc>
        <w:tc>
          <w:tcPr>
            <w:tcW w:w="1260" w:type="dxa"/>
            <w:noWrap/>
            <w:vAlign w:val="center"/>
            <w:hideMark/>
          </w:tcPr>
          <w:p w14:paraId="6EDD06A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8,417,241.00</w:t>
            </w:r>
          </w:p>
        </w:tc>
        <w:tc>
          <w:tcPr>
            <w:tcW w:w="1260" w:type="dxa"/>
            <w:vAlign w:val="center"/>
            <w:hideMark/>
          </w:tcPr>
          <w:p w14:paraId="6EDD06A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1,260,000.00</w:t>
            </w:r>
          </w:p>
        </w:tc>
        <w:tc>
          <w:tcPr>
            <w:tcW w:w="1080" w:type="dxa"/>
            <w:vAlign w:val="center"/>
            <w:hideMark/>
          </w:tcPr>
          <w:p w14:paraId="6EDD06A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A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58,436,759.00</w:t>
            </w:r>
          </w:p>
        </w:tc>
        <w:tc>
          <w:tcPr>
            <w:tcW w:w="3150" w:type="dxa"/>
            <w:vAlign w:val="center"/>
            <w:hideMark/>
          </w:tcPr>
          <w:p w14:paraId="6EDD06A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68,114 mln Lek Kosto e marrë nga drafti përfundimtar i TECTQ. Fondet e nxjerra nga BEI&amp;EBRD</w:t>
            </w:r>
          </w:p>
        </w:tc>
      </w:tr>
      <w:tr w:rsidR="00FB584C" w:rsidRPr="007114AF" w14:paraId="6EDD06B6"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AB"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T20</w:t>
            </w:r>
          </w:p>
        </w:tc>
        <w:tc>
          <w:tcPr>
            <w:tcW w:w="1813" w:type="dxa"/>
            <w:vAlign w:val="center"/>
            <w:hideMark/>
          </w:tcPr>
          <w:p w14:paraId="6EDD06A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Përmirësimi i kushteve të shtrimit </w:t>
            </w:r>
          </w:p>
        </w:tc>
        <w:tc>
          <w:tcPr>
            <w:tcW w:w="900" w:type="dxa"/>
            <w:vAlign w:val="center"/>
            <w:hideMark/>
          </w:tcPr>
          <w:p w14:paraId="6EDD06A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6A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TECTQ; AKMAP</w:t>
            </w:r>
          </w:p>
        </w:tc>
        <w:tc>
          <w:tcPr>
            <w:tcW w:w="1260" w:type="dxa"/>
            <w:vAlign w:val="center"/>
          </w:tcPr>
          <w:p w14:paraId="6EDD06A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Direkte</w:t>
            </w:r>
          </w:p>
        </w:tc>
        <w:tc>
          <w:tcPr>
            <w:tcW w:w="1080" w:type="dxa"/>
            <w:vAlign w:val="center"/>
            <w:hideMark/>
          </w:tcPr>
          <w:p w14:paraId="6EDD06B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15,712,000.00</w:t>
            </w:r>
          </w:p>
        </w:tc>
        <w:tc>
          <w:tcPr>
            <w:tcW w:w="1260" w:type="dxa"/>
            <w:vAlign w:val="center"/>
            <w:hideMark/>
          </w:tcPr>
          <w:p w14:paraId="6EDD06B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B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15,712,000.00</w:t>
            </w:r>
          </w:p>
        </w:tc>
        <w:tc>
          <w:tcPr>
            <w:tcW w:w="1080" w:type="dxa"/>
            <w:vAlign w:val="center"/>
            <w:hideMark/>
          </w:tcPr>
          <w:p w14:paraId="6EDD06B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B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B5" w14:textId="64069AAC"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Rezultati BY, Programi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Projekti siguria rrugore dhe mirëmbajtja</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 xml:space="preserve"> me fondet e nxjerra nga ËB</w:t>
            </w:r>
          </w:p>
        </w:tc>
      </w:tr>
      <w:tr w:rsidR="00FB584C" w:rsidRPr="007114AF" w14:paraId="6EDD06CA" w14:textId="77777777" w:rsidTr="00FB584C">
        <w:trPr>
          <w:cantSplit/>
          <w:trHeight w:val="2365"/>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B7"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T21</w:t>
            </w:r>
          </w:p>
        </w:tc>
        <w:tc>
          <w:tcPr>
            <w:tcW w:w="1813" w:type="dxa"/>
            <w:vAlign w:val="center"/>
            <w:hideMark/>
          </w:tcPr>
          <w:p w14:paraId="6EDD06B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Zbatimi i teknologjive inovative në shtrim duke ulur impaktin mjedisor të mirëmbajtjes së rrugëve dhe trafikut në to (Udhëzime)</w:t>
            </w:r>
          </w:p>
        </w:tc>
        <w:tc>
          <w:tcPr>
            <w:tcW w:w="900" w:type="dxa"/>
            <w:vAlign w:val="center"/>
            <w:hideMark/>
          </w:tcPr>
          <w:p w14:paraId="6EDD06B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 – 2022</w:t>
            </w:r>
          </w:p>
        </w:tc>
        <w:tc>
          <w:tcPr>
            <w:tcW w:w="810" w:type="dxa"/>
            <w:vAlign w:val="center"/>
            <w:hideMark/>
          </w:tcPr>
          <w:p w14:paraId="6EDD06B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TECTQ; PKT</w:t>
            </w:r>
          </w:p>
        </w:tc>
        <w:tc>
          <w:tcPr>
            <w:tcW w:w="1260" w:type="dxa"/>
            <w:vAlign w:val="center"/>
          </w:tcPr>
          <w:p w14:paraId="6EDD06B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Direkte</w:t>
            </w:r>
          </w:p>
        </w:tc>
        <w:tc>
          <w:tcPr>
            <w:tcW w:w="1080" w:type="dxa"/>
            <w:noWrap/>
            <w:vAlign w:val="center"/>
            <w:hideMark/>
          </w:tcPr>
          <w:p w14:paraId="6EDD06B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6B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p w14:paraId="6EDD06B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B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C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C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C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6C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C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C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C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C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C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C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Përreth -25% e shtresës bituminoze (mirëmbajtja rrugore). Asnjë kostot e llogaritur për këtë masë në TECTQ (Zbatimi i aktiviteteve përgatitore në mundësimin e një shkalle më të gjerë të zbatimit në Shqipëri nga 2022)</w:t>
            </w:r>
          </w:p>
        </w:tc>
      </w:tr>
      <w:tr w:rsidR="00FB584C" w:rsidRPr="007114AF" w14:paraId="6EDD06E6"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CB"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T23</w:t>
            </w:r>
          </w:p>
        </w:tc>
        <w:tc>
          <w:tcPr>
            <w:tcW w:w="1813" w:type="dxa"/>
            <w:vAlign w:val="center"/>
            <w:hideMark/>
          </w:tcPr>
          <w:p w14:paraId="6EDD06C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Paraqitja e standardeve evropiane për mjetet</w:t>
            </w:r>
          </w:p>
        </w:tc>
        <w:tc>
          <w:tcPr>
            <w:tcW w:w="900" w:type="dxa"/>
            <w:vAlign w:val="center"/>
            <w:hideMark/>
          </w:tcPr>
          <w:p w14:paraId="6EDD06C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w:t>
            </w:r>
          </w:p>
        </w:tc>
        <w:tc>
          <w:tcPr>
            <w:tcW w:w="810" w:type="dxa"/>
            <w:vAlign w:val="center"/>
            <w:hideMark/>
          </w:tcPr>
          <w:p w14:paraId="6EDD06C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260" w:type="dxa"/>
            <w:vAlign w:val="center"/>
          </w:tcPr>
          <w:p w14:paraId="6EDD06C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noWrap/>
            <w:vAlign w:val="center"/>
            <w:hideMark/>
          </w:tcPr>
          <w:p w14:paraId="6EDD06D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noWrap/>
            <w:vAlign w:val="center"/>
            <w:hideMark/>
          </w:tcPr>
          <w:p w14:paraId="6EDD06D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6D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6D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D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6E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E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E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E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E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E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Masa nuk ka efekt tek buxheti i shtetit</w:t>
            </w:r>
          </w:p>
        </w:tc>
      </w:tr>
      <w:tr w:rsidR="00FB584C" w:rsidRPr="007114AF" w14:paraId="6EDD06F2"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E7"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T24</w:t>
            </w:r>
          </w:p>
        </w:tc>
        <w:tc>
          <w:tcPr>
            <w:tcW w:w="1813" w:type="dxa"/>
            <w:vAlign w:val="center"/>
            <w:hideMark/>
          </w:tcPr>
          <w:p w14:paraId="6EDD06E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Paraqitja e mjeteve të furnizuara me karburante alternative (RREH, PRREH, MBE, GNL, NG) </w:t>
            </w:r>
          </w:p>
        </w:tc>
        <w:tc>
          <w:tcPr>
            <w:tcW w:w="900" w:type="dxa"/>
            <w:vAlign w:val="center"/>
            <w:hideMark/>
          </w:tcPr>
          <w:p w14:paraId="6EDD06E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2020 dhe deri në 2030</w:t>
            </w:r>
          </w:p>
        </w:tc>
        <w:tc>
          <w:tcPr>
            <w:tcW w:w="810" w:type="dxa"/>
            <w:vAlign w:val="center"/>
            <w:hideMark/>
          </w:tcPr>
          <w:p w14:paraId="6EDD06E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TECTQ; INDC; PKT</w:t>
            </w:r>
          </w:p>
        </w:tc>
        <w:tc>
          <w:tcPr>
            <w:tcW w:w="1260" w:type="dxa"/>
            <w:vAlign w:val="center"/>
          </w:tcPr>
          <w:p w14:paraId="6EDD06E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Direkte</w:t>
            </w:r>
          </w:p>
        </w:tc>
        <w:tc>
          <w:tcPr>
            <w:tcW w:w="1080" w:type="dxa"/>
            <w:vAlign w:val="center"/>
            <w:hideMark/>
          </w:tcPr>
          <w:p w14:paraId="6EDD06E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6E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6E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6E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F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6F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indikim financiar mbi buxhetin deri në 2020</w:t>
            </w:r>
          </w:p>
        </w:tc>
      </w:tr>
      <w:tr w:rsidR="00FB584C" w:rsidRPr="007114AF" w14:paraId="6EDD0702" w14:textId="77777777" w:rsidTr="00FB584C">
        <w:trPr>
          <w:cantSplit/>
          <w:trHeight w:val="2856"/>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6F3"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T26</w:t>
            </w:r>
          </w:p>
        </w:tc>
        <w:tc>
          <w:tcPr>
            <w:tcW w:w="1813" w:type="dxa"/>
            <w:vAlign w:val="center"/>
            <w:hideMark/>
          </w:tcPr>
          <w:p w14:paraId="6EDD06F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Udhëzimet planëzuese të integruara për përdorimin e tokës: masa ka si qëllim të ulë nevojën për udhëtim dhe kohëzgjatjen mesatare të udhëtimeve falë përdorimit të strategjive të përziera të transportit dhe vlerësimit të impaktit mbi zhvillimet e reja </w:t>
            </w:r>
          </w:p>
        </w:tc>
        <w:tc>
          <w:tcPr>
            <w:tcW w:w="900" w:type="dxa"/>
            <w:vAlign w:val="center"/>
            <w:hideMark/>
          </w:tcPr>
          <w:p w14:paraId="6EDD06F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2016-2022 aktivitete përgatitore; nga 2030 zbatim në shkallë të gjerë</w:t>
            </w:r>
          </w:p>
        </w:tc>
        <w:tc>
          <w:tcPr>
            <w:tcW w:w="810" w:type="dxa"/>
            <w:vAlign w:val="center"/>
            <w:hideMark/>
          </w:tcPr>
          <w:p w14:paraId="6EDD06F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TECTQ; PKT</w:t>
            </w:r>
          </w:p>
        </w:tc>
        <w:tc>
          <w:tcPr>
            <w:tcW w:w="1260" w:type="dxa"/>
            <w:vAlign w:val="center"/>
          </w:tcPr>
          <w:p w14:paraId="6EDD06F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Direkte</w:t>
            </w:r>
          </w:p>
        </w:tc>
        <w:tc>
          <w:tcPr>
            <w:tcW w:w="1080" w:type="dxa"/>
            <w:vAlign w:val="center"/>
            <w:hideMark/>
          </w:tcPr>
          <w:p w14:paraId="6EDD06F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6F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p w14:paraId="6EDD06F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F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F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6F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6F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6F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0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0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Rreth 25-30% për energjinë e konsumuar nga rrjedhat e duhura. Asnjë kosto e llogaritur për këtë në TECTQ </w:t>
            </w:r>
          </w:p>
        </w:tc>
      </w:tr>
      <w:tr w:rsidR="00FB584C" w:rsidRPr="007114AF" w14:paraId="6EDD070E"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03"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T27</w:t>
            </w:r>
          </w:p>
        </w:tc>
        <w:tc>
          <w:tcPr>
            <w:tcW w:w="1813" w:type="dxa"/>
            <w:vAlign w:val="center"/>
            <w:hideMark/>
          </w:tcPr>
          <w:p w14:paraId="6EDD070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Programi i lëvizshmërisë urbane</w:t>
            </w:r>
          </w:p>
        </w:tc>
        <w:tc>
          <w:tcPr>
            <w:tcW w:w="900" w:type="dxa"/>
            <w:noWrap/>
            <w:vAlign w:val="center"/>
            <w:hideMark/>
          </w:tcPr>
          <w:p w14:paraId="6EDD070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70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PKZNK</w:t>
            </w:r>
          </w:p>
        </w:tc>
        <w:tc>
          <w:tcPr>
            <w:tcW w:w="1260" w:type="dxa"/>
            <w:vAlign w:val="center"/>
          </w:tcPr>
          <w:p w14:paraId="6EDD070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noWrap/>
            <w:vAlign w:val="center"/>
            <w:hideMark/>
          </w:tcPr>
          <w:p w14:paraId="6EDD070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noWrap/>
            <w:vAlign w:val="center"/>
            <w:hideMark/>
          </w:tcPr>
          <w:p w14:paraId="6EDD070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noWrap/>
            <w:vAlign w:val="center"/>
            <w:hideMark/>
          </w:tcPr>
          <w:p w14:paraId="6EDD070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70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70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0D" w14:textId="66BFBA20"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Nuk ka nevojë për kostot shtesë për këtë masë. MZHU dhe donatorët kanë vënë në dispozicion fonde për planëzimin e ri urban. Në 2017 do të jetë gati Planëzimi Urban në 43 </w:t>
            </w:r>
            <w:r w:rsidR="00242009" w:rsidRPr="007114AF">
              <w:rPr>
                <w:rFonts w:ascii="Garamond" w:eastAsia="Times New Roman" w:hAnsi="Garamond" w:cs="Times New Roman"/>
                <w:sz w:val="18"/>
                <w:szCs w:val="18"/>
              </w:rPr>
              <w:t xml:space="preserve">bashki </w:t>
            </w:r>
          </w:p>
        </w:tc>
      </w:tr>
      <w:tr w:rsidR="00FB584C" w:rsidRPr="007114AF" w14:paraId="6EDD071A"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0F"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T28</w:t>
            </w:r>
          </w:p>
        </w:tc>
        <w:tc>
          <w:tcPr>
            <w:tcW w:w="1813" w:type="dxa"/>
            <w:vAlign w:val="center"/>
            <w:hideMark/>
          </w:tcPr>
          <w:p w14:paraId="6EDD071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Përmirësimet e Transportit Publik</w:t>
            </w:r>
          </w:p>
        </w:tc>
        <w:tc>
          <w:tcPr>
            <w:tcW w:w="900" w:type="dxa"/>
            <w:vAlign w:val="center"/>
            <w:hideMark/>
          </w:tcPr>
          <w:p w14:paraId="6EDD071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Përgatitja nga 2016; shërbimi i aktivizuar nga 2020</w:t>
            </w:r>
          </w:p>
        </w:tc>
        <w:tc>
          <w:tcPr>
            <w:tcW w:w="810" w:type="dxa"/>
            <w:vAlign w:val="center"/>
            <w:hideMark/>
          </w:tcPr>
          <w:p w14:paraId="6EDD071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TECTQ; PKT</w:t>
            </w:r>
          </w:p>
        </w:tc>
        <w:tc>
          <w:tcPr>
            <w:tcW w:w="1260" w:type="dxa"/>
            <w:vAlign w:val="center"/>
          </w:tcPr>
          <w:p w14:paraId="6EDD071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Direkte</w:t>
            </w:r>
          </w:p>
        </w:tc>
        <w:tc>
          <w:tcPr>
            <w:tcW w:w="1080" w:type="dxa"/>
            <w:vAlign w:val="center"/>
            <w:hideMark/>
          </w:tcPr>
          <w:p w14:paraId="6EDD071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11,000,000.00</w:t>
            </w:r>
          </w:p>
        </w:tc>
        <w:tc>
          <w:tcPr>
            <w:tcW w:w="1260" w:type="dxa"/>
            <w:vAlign w:val="center"/>
            <w:hideMark/>
          </w:tcPr>
          <w:p w14:paraId="6EDD071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1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71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11,000,000.00</w:t>
            </w:r>
          </w:p>
        </w:tc>
        <w:tc>
          <w:tcPr>
            <w:tcW w:w="1260" w:type="dxa"/>
            <w:vAlign w:val="center"/>
            <w:hideMark/>
          </w:tcPr>
          <w:p w14:paraId="6EDD071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19" w14:textId="3F97966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Zbatimi i skemës; duke mos konsideruar kostot vjetore të shërbimit të autobusëve; investimi përreth 11 miliard</w:t>
            </w:r>
            <w:r w:rsidR="00242009" w:rsidRPr="007114AF">
              <w:rPr>
                <w:rFonts w:ascii="Garamond" w:eastAsia="Times New Roman" w:hAnsi="Garamond" w:cs="Times New Roman"/>
                <w:sz w:val="18"/>
                <w:szCs w:val="18"/>
              </w:rPr>
              <w:t>ë</w:t>
            </w:r>
            <w:r w:rsidRPr="007114AF">
              <w:rPr>
                <w:rFonts w:ascii="Garamond" w:eastAsia="Times New Roman" w:hAnsi="Garamond" w:cs="Times New Roman"/>
                <w:sz w:val="18"/>
                <w:szCs w:val="18"/>
              </w:rPr>
              <w:t xml:space="preserve"> lekë</w:t>
            </w:r>
          </w:p>
        </w:tc>
      </w:tr>
      <w:tr w:rsidR="00FB584C" w:rsidRPr="007114AF" w14:paraId="6EDD0726"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1B"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T29</w:t>
            </w:r>
          </w:p>
        </w:tc>
        <w:tc>
          <w:tcPr>
            <w:tcW w:w="1813" w:type="dxa"/>
            <w:vAlign w:val="center"/>
            <w:hideMark/>
          </w:tcPr>
          <w:p w14:paraId="6EDD071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Përmirësimi i transportit publik në bashki </w:t>
            </w:r>
          </w:p>
        </w:tc>
        <w:tc>
          <w:tcPr>
            <w:tcW w:w="900" w:type="dxa"/>
            <w:vAlign w:val="center"/>
            <w:hideMark/>
          </w:tcPr>
          <w:p w14:paraId="6EDD071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810" w:type="dxa"/>
            <w:vAlign w:val="center"/>
            <w:hideMark/>
          </w:tcPr>
          <w:p w14:paraId="6EDD071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260" w:type="dxa"/>
            <w:vAlign w:val="center"/>
          </w:tcPr>
          <w:p w14:paraId="6EDD071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Direkte</w:t>
            </w:r>
          </w:p>
        </w:tc>
        <w:tc>
          <w:tcPr>
            <w:tcW w:w="1080" w:type="dxa"/>
            <w:vAlign w:val="center"/>
            <w:hideMark/>
          </w:tcPr>
          <w:p w14:paraId="6EDD072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137,300.00</w:t>
            </w:r>
          </w:p>
        </w:tc>
        <w:tc>
          <w:tcPr>
            <w:tcW w:w="1260" w:type="dxa"/>
            <w:vAlign w:val="center"/>
            <w:hideMark/>
          </w:tcPr>
          <w:p w14:paraId="6EDD072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2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72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137,300.00</w:t>
            </w:r>
          </w:p>
        </w:tc>
        <w:tc>
          <w:tcPr>
            <w:tcW w:w="1260" w:type="dxa"/>
            <w:vAlign w:val="center"/>
            <w:hideMark/>
          </w:tcPr>
          <w:p w14:paraId="6EDD072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25" w14:textId="15FE949B"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Dokumenti vëren: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shumica e këtyre masave kërkojnë investime të mëdha në projektet e infrastrukturës. Përveç vullnetit politik, këto investime kërkojnë planëzim afat gjatë dhe kohë në ndërtim, kështu që ka mundësi që asnjë nga këto masa të mos kenë efekt brenda periudhës VPB (2010-2018)</w:t>
            </w:r>
            <w:r w:rsidR="000A2A01" w:rsidRPr="007114AF">
              <w:rPr>
                <w:rFonts w:ascii="Garamond" w:eastAsia="Times New Roman" w:hAnsi="Garamond" w:cs="Times New Roman"/>
                <w:sz w:val="18"/>
                <w:szCs w:val="18"/>
              </w:rPr>
              <w:t>”</w:t>
            </w:r>
          </w:p>
        </w:tc>
      </w:tr>
      <w:tr w:rsidR="00FB584C" w:rsidRPr="007114AF" w14:paraId="6EDD0738" w14:textId="77777777" w:rsidTr="00FB584C">
        <w:trPr>
          <w:cantSplit/>
          <w:trHeight w:val="47"/>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27"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T30</w:t>
            </w:r>
          </w:p>
        </w:tc>
        <w:tc>
          <w:tcPr>
            <w:tcW w:w="1813" w:type="dxa"/>
            <w:vAlign w:val="center"/>
            <w:hideMark/>
          </w:tcPr>
          <w:p w14:paraId="6EDD072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Përmirësimi i transportit publik në bashki dhe në nivel kombëtar (pasagjerë dhe ngarkesa) </w:t>
            </w:r>
          </w:p>
        </w:tc>
        <w:tc>
          <w:tcPr>
            <w:tcW w:w="900" w:type="dxa"/>
            <w:vAlign w:val="center"/>
            <w:hideMark/>
          </w:tcPr>
          <w:p w14:paraId="6EDD072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72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260" w:type="dxa"/>
            <w:vAlign w:val="center"/>
          </w:tcPr>
          <w:p w14:paraId="6EDD072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Direkte</w:t>
            </w:r>
          </w:p>
        </w:tc>
        <w:tc>
          <w:tcPr>
            <w:tcW w:w="1080" w:type="dxa"/>
            <w:noWrap/>
            <w:vAlign w:val="center"/>
            <w:hideMark/>
          </w:tcPr>
          <w:p w14:paraId="6EDD072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2,300,000.00</w:t>
            </w:r>
          </w:p>
        </w:tc>
        <w:tc>
          <w:tcPr>
            <w:tcW w:w="1260" w:type="dxa"/>
            <w:noWrap/>
            <w:vAlign w:val="center"/>
            <w:hideMark/>
          </w:tcPr>
          <w:p w14:paraId="6EDD072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2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2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73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3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3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73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2,300,000.00</w:t>
            </w:r>
          </w:p>
        </w:tc>
        <w:tc>
          <w:tcPr>
            <w:tcW w:w="1260" w:type="dxa"/>
            <w:noWrap/>
            <w:vAlign w:val="center"/>
            <w:hideMark/>
          </w:tcPr>
          <w:p w14:paraId="6EDD073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3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3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3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Bashkitë kanë një buxhet të veçantë shtetëror për transportin publik. Sasia është treguese</w:t>
            </w:r>
          </w:p>
        </w:tc>
      </w:tr>
      <w:tr w:rsidR="00FB584C" w:rsidRPr="007114AF" w14:paraId="6EDD0744"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39"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T31</w:t>
            </w:r>
          </w:p>
        </w:tc>
        <w:tc>
          <w:tcPr>
            <w:tcW w:w="1813" w:type="dxa"/>
            <w:vAlign w:val="center"/>
            <w:hideMark/>
          </w:tcPr>
          <w:p w14:paraId="6EDD073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ecjes dhe përdorimit të biçikletave në bashki të caktuara</w:t>
            </w:r>
          </w:p>
        </w:tc>
        <w:tc>
          <w:tcPr>
            <w:tcW w:w="900" w:type="dxa"/>
            <w:vAlign w:val="center"/>
            <w:hideMark/>
          </w:tcPr>
          <w:p w14:paraId="6EDD073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810" w:type="dxa"/>
            <w:vAlign w:val="center"/>
            <w:hideMark/>
          </w:tcPr>
          <w:p w14:paraId="6EDD073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 PKT</w:t>
            </w:r>
          </w:p>
        </w:tc>
        <w:tc>
          <w:tcPr>
            <w:tcW w:w="1260" w:type="dxa"/>
            <w:vAlign w:val="center"/>
          </w:tcPr>
          <w:p w14:paraId="6EDD073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Direkte</w:t>
            </w:r>
          </w:p>
        </w:tc>
        <w:tc>
          <w:tcPr>
            <w:tcW w:w="1080" w:type="dxa"/>
            <w:vAlign w:val="center"/>
            <w:hideMark/>
          </w:tcPr>
          <w:p w14:paraId="6EDD073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4,119,000.00</w:t>
            </w:r>
          </w:p>
        </w:tc>
        <w:tc>
          <w:tcPr>
            <w:tcW w:w="1260" w:type="dxa"/>
            <w:vAlign w:val="center"/>
            <w:hideMark/>
          </w:tcPr>
          <w:p w14:paraId="6EDD073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4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74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2,029,750.00</w:t>
            </w:r>
          </w:p>
        </w:tc>
        <w:tc>
          <w:tcPr>
            <w:tcW w:w="1260" w:type="dxa"/>
            <w:noWrap/>
            <w:vAlign w:val="center"/>
            <w:hideMark/>
          </w:tcPr>
          <w:p w14:paraId="6EDD074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2,089,250.00</w:t>
            </w:r>
          </w:p>
        </w:tc>
        <w:tc>
          <w:tcPr>
            <w:tcW w:w="3150" w:type="dxa"/>
            <w:vAlign w:val="center"/>
            <w:hideMark/>
          </w:tcPr>
          <w:p w14:paraId="6EDD0743" w14:textId="2A0A203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Kostot për njësi 245,000 Euro/km bazuar në përllogaritjet e bëra nga bashkitë në bazë të eksperiencës RDF. Përreth 30 km në vit. Totali 30 </w:t>
            </w:r>
            <w:r w:rsidR="001C47F0" w:rsidRPr="007114AF">
              <w:rPr>
                <w:rFonts w:ascii="Garamond" w:eastAsia="Times New Roman" w:hAnsi="Garamond" w:cs="Times New Roman"/>
                <w:sz w:val="18"/>
                <w:szCs w:val="18"/>
              </w:rPr>
              <w:t xml:space="preserve">milionë </w:t>
            </w:r>
            <w:r w:rsidRPr="007114AF">
              <w:rPr>
                <w:rFonts w:ascii="Garamond" w:eastAsia="Times New Roman" w:hAnsi="Garamond" w:cs="Times New Roman"/>
                <w:sz w:val="18"/>
                <w:szCs w:val="18"/>
              </w:rPr>
              <w:t>Euro. 25% me fondet e buxhetit bashkiak</w:t>
            </w:r>
          </w:p>
        </w:tc>
      </w:tr>
      <w:tr w:rsidR="00FB584C" w:rsidRPr="007114AF" w14:paraId="6EDD0750"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45"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T32</w:t>
            </w:r>
          </w:p>
        </w:tc>
        <w:tc>
          <w:tcPr>
            <w:tcW w:w="1813" w:type="dxa"/>
            <w:vAlign w:val="center"/>
            <w:hideMark/>
          </w:tcPr>
          <w:p w14:paraId="6EDD074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Rrjeti Kombëtar i biçikletave</w:t>
            </w:r>
          </w:p>
        </w:tc>
        <w:tc>
          <w:tcPr>
            <w:tcW w:w="900" w:type="dxa"/>
            <w:vAlign w:val="center"/>
            <w:hideMark/>
          </w:tcPr>
          <w:p w14:paraId="6EDD074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810" w:type="dxa"/>
            <w:vAlign w:val="center"/>
            <w:hideMark/>
          </w:tcPr>
          <w:p w14:paraId="6EDD074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PKT</w:t>
            </w:r>
          </w:p>
        </w:tc>
        <w:tc>
          <w:tcPr>
            <w:tcW w:w="1260" w:type="dxa"/>
            <w:vAlign w:val="center"/>
          </w:tcPr>
          <w:p w14:paraId="6EDD074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74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20,595,000.00</w:t>
            </w:r>
          </w:p>
        </w:tc>
        <w:tc>
          <w:tcPr>
            <w:tcW w:w="1260" w:type="dxa"/>
            <w:vAlign w:val="center"/>
            <w:hideMark/>
          </w:tcPr>
          <w:p w14:paraId="6EDD074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4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74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10,300,000.00</w:t>
            </w:r>
          </w:p>
        </w:tc>
        <w:tc>
          <w:tcPr>
            <w:tcW w:w="1260" w:type="dxa"/>
            <w:noWrap/>
            <w:vAlign w:val="center"/>
            <w:hideMark/>
          </w:tcPr>
          <w:p w14:paraId="6EDD074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10,295,000.00</w:t>
            </w:r>
          </w:p>
        </w:tc>
        <w:tc>
          <w:tcPr>
            <w:tcW w:w="3150" w:type="dxa"/>
            <w:vAlign w:val="center"/>
            <w:hideMark/>
          </w:tcPr>
          <w:p w14:paraId="6EDD074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tregues specifik ekonomik për këtë masë raportohet në PPK. Kostot llogariten duke konsideruar rreth 600 km në katër vjet</w:t>
            </w:r>
          </w:p>
        </w:tc>
      </w:tr>
      <w:tr w:rsidR="00FB584C" w:rsidRPr="007114AF" w14:paraId="6EDD0763" w14:textId="77777777" w:rsidTr="00FB584C">
        <w:trPr>
          <w:cantSplit/>
          <w:trHeight w:val="2946"/>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51"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T33</w:t>
            </w:r>
          </w:p>
        </w:tc>
        <w:tc>
          <w:tcPr>
            <w:tcW w:w="1813" w:type="dxa"/>
            <w:vAlign w:val="center"/>
            <w:hideMark/>
          </w:tcPr>
          <w:p w14:paraId="6EDD075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Menaxhimi i integruar i ngarkesave (Përmirësimi i faktorëve të ngarkesës së kamionëve falë veprimeve të konsolidimit të ngarkesës). </w:t>
            </w:r>
          </w:p>
        </w:tc>
        <w:tc>
          <w:tcPr>
            <w:tcW w:w="900" w:type="dxa"/>
            <w:vAlign w:val="center"/>
            <w:hideMark/>
          </w:tcPr>
          <w:p w14:paraId="6EDD0753" w14:textId="52405850"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Aktivitet përgatitore nga 2016 (realizimi i qendrave të konsolidimit dhe platformave të menaxhimit) deri në 2020</w:t>
            </w:r>
          </w:p>
        </w:tc>
        <w:tc>
          <w:tcPr>
            <w:tcW w:w="810" w:type="dxa"/>
            <w:vAlign w:val="center"/>
            <w:hideMark/>
          </w:tcPr>
          <w:p w14:paraId="6EDD075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TECTQ</w:t>
            </w:r>
          </w:p>
        </w:tc>
        <w:tc>
          <w:tcPr>
            <w:tcW w:w="1260" w:type="dxa"/>
            <w:vAlign w:val="center"/>
          </w:tcPr>
          <w:p w14:paraId="6EDD075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Direkte</w:t>
            </w:r>
          </w:p>
        </w:tc>
        <w:tc>
          <w:tcPr>
            <w:tcW w:w="1080" w:type="dxa"/>
            <w:vAlign w:val="center"/>
            <w:hideMark/>
          </w:tcPr>
          <w:p w14:paraId="6EDD075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1,122,000.00</w:t>
            </w:r>
          </w:p>
          <w:p w14:paraId="6EDD075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5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5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5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5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5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75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5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5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1,122,000.00</w:t>
            </w:r>
          </w:p>
          <w:p w14:paraId="6EDD076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76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62" w14:textId="77777777" w:rsidR="00FB584C" w:rsidRPr="007114AF" w:rsidRDefault="00FB584C" w:rsidP="00FB584C">
            <w:pPr>
              <w:spacing w:after="0"/>
              <w:jc w:val="left"/>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1,100 (studime,</w:t>
            </w:r>
            <w:r w:rsidRPr="007114AF">
              <w:rPr>
                <w:rFonts w:ascii="Garamond" w:eastAsia="Times New Roman" w:hAnsi="Garamond" w:cs="Times New Roman"/>
                <w:sz w:val="18"/>
                <w:szCs w:val="18"/>
              </w:rPr>
              <w:br/>
              <w:t>IT, trajnime)</w:t>
            </w:r>
            <w:r w:rsidRPr="007114AF">
              <w:rPr>
                <w:rFonts w:ascii="Garamond" w:eastAsia="Times New Roman" w:hAnsi="Garamond" w:cs="Times New Roman"/>
                <w:sz w:val="18"/>
                <w:szCs w:val="18"/>
              </w:rPr>
              <w:br/>
              <w:t>+ 0.021 / m2</w:t>
            </w:r>
            <w:r w:rsidRPr="007114AF">
              <w:rPr>
                <w:rFonts w:ascii="Garamond" w:eastAsia="Times New Roman" w:hAnsi="Garamond" w:cs="Times New Roman"/>
                <w:sz w:val="18"/>
                <w:szCs w:val="18"/>
              </w:rPr>
              <w:br/>
              <w:t>për ndërtimin e nyjave të ngarkesave; kosto vjetore të menaxhimit 20% e kostos së investimit</w:t>
            </w:r>
          </w:p>
        </w:tc>
      </w:tr>
      <w:tr w:rsidR="00FB584C" w:rsidRPr="007114AF" w14:paraId="6EDD076F"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64" w14:textId="77777777" w:rsidR="00FB584C" w:rsidRPr="007114AF" w:rsidRDefault="00FB584C" w:rsidP="00FB584C">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T34</w:t>
            </w:r>
          </w:p>
        </w:tc>
        <w:tc>
          <w:tcPr>
            <w:tcW w:w="1813" w:type="dxa"/>
            <w:vAlign w:val="center"/>
            <w:hideMark/>
          </w:tcPr>
          <w:p w14:paraId="6EDD076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Zhvillimi i një kuadri ligjor gjithëpërfshirës për transportin hekurudhor, duke përfshirë një kod të ri hekurudhor</w:t>
            </w:r>
          </w:p>
        </w:tc>
        <w:tc>
          <w:tcPr>
            <w:tcW w:w="900" w:type="dxa"/>
            <w:noWrap/>
            <w:vAlign w:val="center"/>
            <w:hideMark/>
          </w:tcPr>
          <w:p w14:paraId="6EDD076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2017-2019</w:t>
            </w:r>
          </w:p>
        </w:tc>
        <w:tc>
          <w:tcPr>
            <w:tcW w:w="810" w:type="dxa"/>
            <w:vAlign w:val="center"/>
            <w:hideMark/>
          </w:tcPr>
          <w:p w14:paraId="6EDD076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NSDI-II</w:t>
            </w:r>
          </w:p>
        </w:tc>
        <w:tc>
          <w:tcPr>
            <w:tcW w:w="1260" w:type="dxa"/>
            <w:vAlign w:val="center"/>
          </w:tcPr>
          <w:p w14:paraId="6EDD076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noWrap/>
            <w:vAlign w:val="center"/>
            <w:hideMark/>
          </w:tcPr>
          <w:p w14:paraId="6EDD076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1,560,000.00</w:t>
            </w:r>
          </w:p>
        </w:tc>
        <w:tc>
          <w:tcPr>
            <w:tcW w:w="1260" w:type="dxa"/>
            <w:noWrap/>
            <w:vAlign w:val="center"/>
            <w:hideMark/>
          </w:tcPr>
          <w:p w14:paraId="6EDD076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1,560,000.00</w:t>
            </w:r>
          </w:p>
        </w:tc>
        <w:tc>
          <w:tcPr>
            <w:tcW w:w="1260" w:type="dxa"/>
            <w:noWrap/>
            <w:vAlign w:val="center"/>
            <w:hideMark/>
          </w:tcPr>
          <w:p w14:paraId="6EDD076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76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76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6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llogariten në bazë të njësive në bazë të ligjit siç parashikohet në buxhetin afatmesëm</w:t>
            </w:r>
          </w:p>
        </w:tc>
      </w:tr>
      <w:tr w:rsidR="00FB584C" w:rsidRPr="007114AF" w14:paraId="6EDD077B"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70" w14:textId="77777777" w:rsidR="00FB584C" w:rsidRPr="007114AF" w:rsidRDefault="00FB584C" w:rsidP="00FB584C">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T35</w:t>
            </w:r>
          </w:p>
        </w:tc>
        <w:tc>
          <w:tcPr>
            <w:tcW w:w="1813" w:type="dxa"/>
            <w:vAlign w:val="center"/>
            <w:hideMark/>
          </w:tcPr>
          <w:p w14:paraId="6EDD077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18"/>
                <w:szCs w:val="18"/>
              </w:rPr>
            </w:pPr>
            <w:r w:rsidRPr="007114AF">
              <w:rPr>
                <w:rFonts w:ascii="Garamond" w:eastAsia="Times New Roman" w:hAnsi="Garamond" w:cs="Times New Roman"/>
                <w:color w:val="000000"/>
                <w:sz w:val="18"/>
                <w:szCs w:val="18"/>
              </w:rPr>
              <w:t>Arritja e shtimit të volumit të pasagjerëve dhe i transportit të mallrave në hekurudhë</w:t>
            </w:r>
          </w:p>
        </w:tc>
        <w:tc>
          <w:tcPr>
            <w:tcW w:w="900" w:type="dxa"/>
            <w:noWrap/>
            <w:vAlign w:val="center"/>
            <w:hideMark/>
          </w:tcPr>
          <w:p w14:paraId="6EDD077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77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NSDI-II</w:t>
            </w:r>
          </w:p>
        </w:tc>
        <w:tc>
          <w:tcPr>
            <w:tcW w:w="1260" w:type="dxa"/>
            <w:vAlign w:val="center"/>
          </w:tcPr>
          <w:p w14:paraId="6EDD077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Direkte</w:t>
            </w:r>
          </w:p>
        </w:tc>
        <w:tc>
          <w:tcPr>
            <w:tcW w:w="1080" w:type="dxa"/>
            <w:noWrap/>
            <w:vAlign w:val="center"/>
            <w:hideMark/>
          </w:tcPr>
          <w:p w14:paraId="6EDD077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9,784,600.00</w:t>
            </w:r>
          </w:p>
        </w:tc>
        <w:tc>
          <w:tcPr>
            <w:tcW w:w="1260" w:type="dxa"/>
            <w:noWrap/>
            <w:vAlign w:val="center"/>
            <w:hideMark/>
          </w:tcPr>
          <w:p w14:paraId="6EDD077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77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9,784,600.00</w:t>
            </w:r>
          </w:p>
        </w:tc>
        <w:tc>
          <w:tcPr>
            <w:tcW w:w="1080" w:type="dxa"/>
            <w:noWrap/>
            <w:vAlign w:val="center"/>
            <w:hideMark/>
          </w:tcPr>
          <w:p w14:paraId="6EDD077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77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7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Vlera e projektit merret nga lista e projekteve të financuara nga Fondet e Huaja 2017-2019</w:t>
            </w:r>
          </w:p>
        </w:tc>
      </w:tr>
      <w:tr w:rsidR="00FB584C" w:rsidRPr="007114AF" w14:paraId="6EDD0787"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7C"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T36</w:t>
            </w:r>
          </w:p>
        </w:tc>
        <w:tc>
          <w:tcPr>
            <w:tcW w:w="1813" w:type="dxa"/>
            <w:vAlign w:val="center"/>
            <w:hideMark/>
          </w:tcPr>
          <w:p w14:paraId="6EDD077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Strategjia e rrjetit hekurudhor</w:t>
            </w:r>
          </w:p>
        </w:tc>
        <w:tc>
          <w:tcPr>
            <w:tcW w:w="900" w:type="dxa"/>
            <w:noWrap/>
            <w:vAlign w:val="center"/>
            <w:hideMark/>
          </w:tcPr>
          <w:p w14:paraId="6EDD077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810" w:type="dxa"/>
            <w:vAlign w:val="center"/>
            <w:hideMark/>
          </w:tcPr>
          <w:p w14:paraId="6EDD077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PKZNK</w:t>
            </w:r>
          </w:p>
        </w:tc>
        <w:tc>
          <w:tcPr>
            <w:tcW w:w="1260" w:type="dxa"/>
            <w:vAlign w:val="center"/>
          </w:tcPr>
          <w:p w14:paraId="6EDD078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noWrap/>
            <w:vAlign w:val="center"/>
            <w:hideMark/>
          </w:tcPr>
          <w:p w14:paraId="6EDD078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3,520.00</w:t>
            </w:r>
          </w:p>
        </w:tc>
        <w:tc>
          <w:tcPr>
            <w:tcW w:w="1260" w:type="dxa"/>
            <w:noWrap/>
            <w:vAlign w:val="center"/>
            <w:hideMark/>
          </w:tcPr>
          <w:p w14:paraId="6EDD078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3,520.00</w:t>
            </w:r>
          </w:p>
        </w:tc>
        <w:tc>
          <w:tcPr>
            <w:tcW w:w="1260" w:type="dxa"/>
            <w:noWrap/>
            <w:vAlign w:val="center"/>
            <w:hideMark/>
          </w:tcPr>
          <w:p w14:paraId="6EDD078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78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78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8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Vlera është marrë nga buxheti afatmesëm 2017-2019</w:t>
            </w:r>
          </w:p>
        </w:tc>
      </w:tr>
      <w:tr w:rsidR="00FB584C" w:rsidRPr="007114AF" w14:paraId="6EDD0793" w14:textId="77777777" w:rsidTr="00FB584C">
        <w:trPr>
          <w:cantSplit/>
          <w:trHeight w:val="47"/>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88"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T37</w:t>
            </w:r>
          </w:p>
        </w:tc>
        <w:tc>
          <w:tcPr>
            <w:tcW w:w="1813" w:type="dxa"/>
            <w:vAlign w:val="center"/>
            <w:hideMark/>
          </w:tcPr>
          <w:p w14:paraId="6EDD078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shërbimeve hekurudhore ndërmjet qendrave kryesore</w:t>
            </w:r>
          </w:p>
        </w:tc>
        <w:tc>
          <w:tcPr>
            <w:tcW w:w="900" w:type="dxa"/>
            <w:vAlign w:val="center"/>
            <w:hideMark/>
          </w:tcPr>
          <w:p w14:paraId="6EDD078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78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 PKT</w:t>
            </w:r>
          </w:p>
        </w:tc>
        <w:tc>
          <w:tcPr>
            <w:tcW w:w="1260" w:type="dxa"/>
            <w:vAlign w:val="center"/>
          </w:tcPr>
          <w:p w14:paraId="6EDD078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78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670,900.00</w:t>
            </w:r>
          </w:p>
        </w:tc>
        <w:tc>
          <w:tcPr>
            <w:tcW w:w="1260" w:type="dxa"/>
            <w:vAlign w:val="center"/>
            <w:hideMark/>
          </w:tcPr>
          <w:p w14:paraId="6EDD078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670,900.00</w:t>
            </w:r>
          </w:p>
        </w:tc>
        <w:tc>
          <w:tcPr>
            <w:tcW w:w="1260" w:type="dxa"/>
            <w:vAlign w:val="center"/>
            <w:hideMark/>
          </w:tcPr>
          <w:p w14:paraId="6EDD078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79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9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9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Vlera e projektit merret nga lista e projekteve të financuara nga buxheti qeveritar 2017-2019</w:t>
            </w:r>
          </w:p>
        </w:tc>
      </w:tr>
      <w:tr w:rsidR="00FB584C" w:rsidRPr="007114AF" w14:paraId="6EDD079F"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94"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T38</w:t>
            </w:r>
          </w:p>
        </w:tc>
        <w:tc>
          <w:tcPr>
            <w:tcW w:w="1813" w:type="dxa"/>
            <w:vAlign w:val="center"/>
            <w:hideMark/>
          </w:tcPr>
          <w:p w14:paraId="6EDD079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Përmirësimi i transportit të ngarkesave hekurudhore në rajonet me transportin më të madh hekurudhor </w:t>
            </w:r>
          </w:p>
        </w:tc>
        <w:tc>
          <w:tcPr>
            <w:tcW w:w="900" w:type="dxa"/>
            <w:vAlign w:val="center"/>
            <w:hideMark/>
          </w:tcPr>
          <w:p w14:paraId="6EDD079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2017-2018</w:t>
            </w:r>
          </w:p>
        </w:tc>
        <w:tc>
          <w:tcPr>
            <w:tcW w:w="810" w:type="dxa"/>
            <w:vAlign w:val="center"/>
            <w:hideMark/>
          </w:tcPr>
          <w:p w14:paraId="6EDD079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260" w:type="dxa"/>
            <w:vAlign w:val="center"/>
          </w:tcPr>
          <w:p w14:paraId="6EDD079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79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212,800.00</w:t>
            </w:r>
          </w:p>
        </w:tc>
        <w:tc>
          <w:tcPr>
            <w:tcW w:w="1260" w:type="dxa"/>
            <w:noWrap/>
            <w:vAlign w:val="center"/>
            <w:hideMark/>
          </w:tcPr>
          <w:p w14:paraId="6EDD079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9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212,800.00</w:t>
            </w:r>
          </w:p>
        </w:tc>
        <w:tc>
          <w:tcPr>
            <w:tcW w:w="1080" w:type="dxa"/>
            <w:noWrap/>
            <w:vAlign w:val="center"/>
            <w:hideMark/>
          </w:tcPr>
          <w:p w14:paraId="6EDD079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79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9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Studimi i fizibilitetit dhe zhvillimi i projektit me fondet e BE (ËBIF) (Durrës-Pogradec-Lin – Kufi me Republiken e Maqedonise se Veriut; Vorë - Hani i Hotit)</w:t>
            </w:r>
          </w:p>
        </w:tc>
      </w:tr>
      <w:tr w:rsidR="00FB584C" w:rsidRPr="007114AF" w14:paraId="6EDD07AB"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A0"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T39</w:t>
            </w:r>
          </w:p>
        </w:tc>
        <w:tc>
          <w:tcPr>
            <w:tcW w:w="1813" w:type="dxa"/>
            <w:vAlign w:val="center"/>
            <w:hideMark/>
          </w:tcPr>
          <w:p w14:paraId="6EDD07A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Reformimi i sektorit hekurudhor për të vendosur një treg të hapur për investitorët e ndryshëm - 1</w:t>
            </w:r>
          </w:p>
        </w:tc>
        <w:tc>
          <w:tcPr>
            <w:tcW w:w="900" w:type="dxa"/>
            <w:vAlign w:val="center"/>
            <w:hideMark/>
          </w:tcPr>
          <w:p w14:paraId="6EDD07A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2016-2017</w:t>
            </w:r>
          </w:p>
        </w:tc>
        <w:tc>
          <w:tcPr>
            <w:tcW w:w="810" w:type="dxa"/>
            <w:vAlign w:val="center"/>
            <w:hideMark/>
          </w:tcPr>
          <w:p w14:paraId="6EDD07A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7A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Mundesuese</w:t>
            </w:r>
          </w:p>
        </w:tc>
        <w:tc>
          <w:tcPr>
            <w:tcW w:w="1080" w:type="dxa"/>
            <w:vAlign w:val="center"/>
            <w:hideMark/>
          </w:tcPr>
          <w:p w14:paraId="6EDD07A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549,200.00</w:t>
            </w:r>
          </w:p>
        </w:tc>
        <w:tc>
          <w:tcPr>
            <w:tcW w:w="1260" w:type="dxa"/>
            <w:vAlign w:val="center"/>
            <w:hideMark/>
          </w:tcPr>
          <w:p w14:paraId="6EDD07A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274,600.00</w:t>
            </w:r>
          </w:p>
        </w:tc>
        <w:tc>
          <w:tcPr>
            <w:tcW w:w="1260" w:type="dxa"/>
            <w:vAlign w:val="center"/>
            <w:hideMark/>
          </w:tcPr>
          <w:p w14:paraId="6EDD07A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274,600.00</w:t>
            </w:r>
          </w:p>
        </w:tc>
        <w:tc>
          <w:tcPr>
            <w:tcW w:w="1080" w:type="dxa"/>
            <w:vAlign w:val="center"/>
            <w:hideMark/>
          </w:tcPr>
          <w:p w14:paraId="6EDD07A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A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A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€ 4 mln (për zbatimin e legjislacionit hekurudhor). Buxheti kombëtar (EUR 2 milion), Buxheti IPA (EUR 2 milion)</w:t>
            </w:r>
          </w:p>
        </w:tc>
      </w:tr>
      <w:tr w:rsidR="00FB584C" w:rsidRPr="007114AF" w14:paraId="6EDD07B7"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AC"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T40</w:t>
            </w:r>
          </w:p>
        </w:tc>
        <w:tc>
          <w:tcPr>
            <w:tcW w:w="1813" w:type="dxa"/>
            <w:vAlign w:val="center"/>
            <w:hideMark/>
          </w:tcPr>
          <w:p w14:paraId="6EDD07A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Reformimi i sektorit hekurudhor për të vendosur një treg të hapur për investitorët e ndryshëm - 2</w:t>
            </w:r>
          </w:p>
        </w:tc>
        <w:tc>
          <w:tcPr>
            <w:tcW w:w="900" w:type="dxa"/>
            <w:vAlign w:val="center"/>
            <w:hideMark/>
          </w:tcPr>
          <w:p w14:paraId="6EDD07A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810" w:type="dxa"/>
            <w:vAlign w:val="center"/>
            <w:hideMark/>
          </w:tcPr>
          <w:p w14:paraId="6EDD07A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7B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Mundesuese</w:t>
            </w:r>
          </w:p>
        </w:tc>
        <w:tc>
          <w:tcPr>
            <w:tcW w:w="1080" w:type="dxa"/>
            <w:vAlign w:val="center"/>
            <w:hideMark/>
          </w:tcPr>
          <w:p w14:paraId="6EDD07B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60" w:type="dxa"/>
            <w:noWrap/>
            <w:vAlign w:val="center"/>
            <w:hideMark/>
          </w:tcPr>
          <w:p w14:paraId="6EDD07B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260" w:type="dxa"/>
            <w:noWrap/>
            <w:vAlign w:val="center"/>
            <w:hideMark/>
          </w:tcPr>
          <w:p w14:paraId="6EDD07B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080" w:type="dxa"/>
            <w:vAlign w:val="center"/>
            <w:hideMark/>
          </w:tcPr>
          <w:p w14:paraId="6EDD07B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B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B6" w14:textId="262237AB" w:rsidR="00FB584C" w:rsidRPr="007114AF" w:rsidRDefault="00FB584C" w:rsidP="001C47F0">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EUR 0.5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(vendosja e trupave të duhur: personelit, qerasë për vendndodhje, trajnimin e personelit, kostot administrative). Buxheti kombëtar (EUR 0.25 milion), Buxheti IPA (EUR 0.25 milion).</w:t>
            </w:r>
          </w:p>
        </w:tc>
      </w:tr>
      <w:tr w:rsidR="00FB584C" w:rsidRPr="007114AF" w14:paraId="6EDD07C3"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B8"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T41</w:t>
            </w:r>
          </w:p>
        </w:tc>
        <w:tc>
          <w:tcPr>
            <w:tcW w:w="1813" w:type="dxa"/>
            <w:vAlign w:val="center"/>
            <w:hideMark/>
          </w:tcPr>
          <w:p w14:paraId="6EDD07B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Reformimi i sektorit hekurudhor për të vendosur një treg të hapur për investitorët e ndryshëm - 3</w:t>
            </w:r>
          </w:p>
        </w:tc>
        <w:tc>
          <w:tcPr>
            <w:tcW w:w="900" w:type="dxa"/>
            <w:vAlign w:val="center"/>
            <w:hideMark/>
          </w:tcPr>
          <w:p w14:paraId="6EDD07B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810" w:type="dxa"/>
            <w:vAlign w:val="center"/>
            <w:hideMark/>
          </w:tcPr>
          <w:p w14:paraId="6EDD07B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7B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Mundesuese</w:t>
            </w:r>
          </w:p>
        </w:tc>
        <w:tc>
          <w:tcPr>
            <w:tcW w:w="1080" w:type="dxa"/>
            <w:vAlign w:val="center"/>
            <w:hideMark/>
          </w:tcPr>
          <w:p w14:paraId="6EDD07B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60" w:type="dxa"/>
            <w:noWrap/>
            <w:vAlign w:val="center"/>
            <w:hideMark/>
          </w:tcPr>
          <w:p w14:paraId="6EDD07B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260" w:type="dxa"/>
            <w:noWrap/>
            <w:vAlign w:val="center"/>
            <w:hideMark/>
          </w:tcPr>
          <w:p w14:paraId="6EDD07B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080" w:type="dxa"/>
            <w:vAlign w:val="center"/>
            <w:hideMark/>
          </w:tcPr>
          <w:p w14:paraId="6EDD07C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C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C2" w14:textId="09BE6C1F" w:rsidR="00FB584C" w:rsidRPr="007114AF" w:rsidRDefault="00FB584C" w:rsidP="001C47F0">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EUR 0.5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(vendosja e trupave të duhur: personelit, qerasë për vendndodhje, trajnimin e personelit, kostot administrative). Buxheti kombëtar (EUR 0.25 milion), Buxheti IPA (EUR 0.25 milion).</w:t>
            </w:r>
          </w:p>
        </w:tc>
      </w:tr>
      <w:tr w:rsidR="00FB584C" w:rsidRPr="007114AF" w14:paraId="6EDD07CF"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C4"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T42</w:t>
            </w:r>
          </w:p>
        </w:tc>
        <w:tc>
          <w:tcPr>
            <w:tcW w:w="1813" w:type="dxa"/>
            <w:vAlign w:val="center"/>
            <w:hideMark/>
          </w:tcPr>
          <w:p w14:paraId="6EDD07C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Reformimi i sektorit hekurudhor për të vendosur një treg të hapur për investitorët e ndryshëm - 4</w:t>
            </w:r>
          </w:p>
        </w:tc>
        <w:tc>
          <w:tcPr>
            <w:tcW w:w="900" w:type="dxa"/>
            <w:vAlign w:val="center"/>
            <w:hideMark/>
          </w:tcPr>
          <w:p w14:paraId="6EDD07C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810" w:type="dxa"/>
            <w:vAlign w:val="center"/>
            <w:hideMark/>
          </w:tcPr>
          <w:p w14:paraId="6EDD07C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7C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Mundesuese</w:t>
            </w:r>
          </w:p>
        </w:tc>
        <w:tc>
          <w:tcPr>
            <w:tcW w:w="1080" w:type="dxa"/>
            <w:vAlign w:val="center"/>
            <w:hideMark/>
          </w:tcPr>
          <w:p w14:paraId="6EDD07C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82,380.00</w:t>
            </w:r>
          </w:p>
        </w:tc>
        <w:tc>
          <w:tcPr>
            <w:tcW w:w="1260" w:type="dxa"/>
            <w:noWrap/>
            <w:vAlign w:val="center"/>
            <w:hideMark/>
          </w:tcPr>
          <w:p w14:paraId="6EDD07C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82,380.00</w:t>
            </w:r>
          </w:p>
        </w:tc>
        <w:tc>
          <w:tcPr>
            <w:tcW w:w="1260" w:type="dxa"/>
            <w:vAlign w:val="center"/>
            <w:hideMark/>
          </w:tcPr>
          <w:p w14:paraId="6EDD07C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7C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C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C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EUR 0.2 milion: rregullimi i ligjit të portit/hekurudhës</w:t>
            </w:r>
            <w:r w:rsidRPr="007114AF">
              <w:rPr>
                <w:rFonts w:ascii="Garamond" w:eastAsia="Times New Roman" w:hAnsi="Garamond" w:cs="Times New Roman"/>
                <w:sz w:val="18"/>
                <w:szCs w:val="18"/>
              </w:rPr>
              <w:br/>
              <w:t>EUR 0.2 milion: mundësitë e tregut + përmirësimi i eficiencës</w:t>
            </w:r>
            <w:r w:rsidRPr="007114AF">
              <w:rPr>
                <w:rFonts w:ascii="Garamond" w:eastAsia="Times New Roman" w:hAnsi="Garamond" w:cs="Times New Roman"/>
                <w:sz w:val="18"/>
                <w:szCs w:val="18"/>
              </w:rPr>
              <w:br/>
              <w:t>EUR 0.2 milion: studimi i fizibilitetit për sistemin e portit komunitar; Buxheti i Shtetit</w:t>
            </w:r>
          </w:p>
        </w:tc>
      </w:tr>
      <w:tr w:rsidR="00FB584C" w:rsidRPr="007114AF" w14:paraId="6EDD07DB"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D0"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T43</w:t>
            </w:r>
          </w:p>
        </w:tc>
        <w:tc>
          <w:tcPr>
            <w:tcW w:w="1813" w:type="dxa"/>
            <w:vAlign w:val="center"/>
            <w:hideMark/>
          </w:tcPr>
          <w:p w14:paraId="6EDD07D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Pozicionimi i Shqipërisë brenda tregut hekurudhor evropian si një lojtar në korridorin e transportit Juglindor Evropian - 1</w:t>
            </w:r>
          </w:p>
        </w:tc>
        <w:tc>
          <w:tcPr>
            <w:tcW w:w="900" w:type="dxa"/>
            <w:vAlign w:val="center"/>
            <w:hideMark/>
          </w:tcPr>
          <w:p w14:paraId="6EDD07D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810" w:type="dxa"/>
            <w:vAlign w:val="center"/>
            <w:hideMark/>
          </w:tcPr>
          <w:p w14:paraId="6EDD07D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7D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7D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7D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7D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7D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D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D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vlerësim mbi kostot për këtë projekt. Do të financohet nga buxheti i shtetit</w:t>
            </w:r>
          </w:p>
        </w:tc>
      </w:tr>
      <w:tr w:rsidR="00FB584C" w:rsidRPr="007114AF" w14:paraId="6EDD07E7"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DC"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T44</w:t>
            </w:r>
          </w:p>
        </w:tc>
        <w:tc>
          <w:tcPr>
            <w:tcW w:w="1813" w:type="dxa"/>
            <w:vAlign w:val="center"/>
            <w:hideMark/>
          </w:tcPr>
          <w:p w14:paraId="6EDD07D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Pozicionimi i Shqipërisë brenda tregut hekurudhor Evropian si një lojtar në korridorin e transportit Juglindor Evropian - 2</w:t>
            </w:r>
          </w:p>
        </w:tc>
        <w:tc>
          <w:tcPr>
            <w:tcW w:w="900" w:type="dxa"/>
            <w:vAlign w:val="center"/>
            <w:hideMark/>
          </w:tcPr>
          <w:p w14:paraId="6EDD07D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810" w:type="dxa"/>
            <w:vAlign w:val="center"/>
            <w:hideMark/>
          </w:tcPr>
          <w:p w14:paraId="6EDD07D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7E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7E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50,198,253.00</w:t>
            </w:r>
          </w:p>
        </w:tc>
        <w:tc>
          <w:tcPr>
            <w:tcW w:w="1260" w:type="dxa"/>
            <w:vAlign w:val="center"/>
            <w:hideMark/>
          </w:tcPr>
          <w:p w14:paraId="6EDD07E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7E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453,090.00</w:t>
            </w:r>
          </w:p>
        </w:tc>
        <w:tc>
          <w:tcPr>
            <w:tcW w:w="1080" w:type="dxa"/>
            <w:vAlign w:val="center"/>
            <w:hideMark/>
          </w:tcPr>
          <w:p w14:paraId="6EDD07E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7E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49,745,163.00</w:t>
            </w:r>
          </w:p>
        </w:tc>
        <w:tc>
          <w:tcPr>
            <w:tcW w:w="3150" w:type="dxa"/>
            <w:vAlign w:val="center"/>
            <w:hideMark/>
          </w:tcPr>
          <w:p w14:paraId="6EDD07E6" w14:textId="4287817A"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EUR 365.61 milion; Buxheti kombëtar (% për t</w:t>
            </w:r>
            <w:r w:rsidR="00D10DAB"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u caktuar);</w:t>
            </w:r>
            <w:r w:rsidRPr="007114AF">
              <w:rPr>
                <w:rFonts w:ascii="Garamond" w:eastAsia="Times New Roman" w:hAnsi="Garamond" w:cs="Times New Roman"/>
                <w:sz w:val="18"/>
                <w:szCs w:val="18"/>
              </w:rPr>
              <w:br/>
              <w:t xml:space="preserve">Grantet: EUR 2.2 </w:t>
            </w:r>
            <w:r w:rsidR="001C47F0" w:rsidRPr="007114AF">
              <w:rPr>
                <w:rFonts w:ascii="Garamond" w:eastAsia="Times New Roman" w:hAnsi="Garamond" w:cs="Times New Roman"/>
                <w:sz w:val="18"/>
                <w:szCs w:val="18"/>
              </w:rPr>
              <w:t xml:space="preserve">milionë </w:t>
            </w:r>
            <w:r w:rsidRPr="007114AF">
              <w:rPr>
                <w:rFonts w:ascii="Garamond" w:eastAsia="Times New Roman" w:hAnsi="Garamond" w:cs="Times New Roman"/>
                <w:sz w:val="18"/>
                <w:szCs w:val="18"/>
              </w:rPr>
              <w:t xml:space="preserve">nga </w:t>
            </w:r>
            <w:r w:rsidRPr="007114AF">
              <w:rPr>
                <w:rFonts w:ascii="Garamond" w:eastAsia="Times New Roman" w:hAnsi="Garamond" w:cs="Times New Roman"/>
                <w:sz w:val="18"/>
                <w:szCs w:val="18"/>
                <w:highlight w:val="yellow"/>
              </w:rPr>
              <w:t>ËBIF</w:t>
            </w:r>
            <w:r w:rsidRPr="007114AF">
              <w:rPr>
                <w:rFonts w:ascii="Garamond" w:eastAsia="Times New Roman" w:hAnsi="Garamond" w:cs="Times New Roman"/>
                <w:sz w:val="18"/>
                <w:szCs w:val="18"/>
              </w:rPr>
              <w:t xml:space="preserve"> dhe EUR 1.1 </w:t>
            </w:r>
            <w:r w:rsidR="001C47F0" w:rsidRPr="007114AF">
              <w:rPr>
                <w:rFonts w:ascii="Garamond" w:eastAsia="Times New Roman" w:hAnsi="Garamond" w:cs="Times New Roman"/>
                <w:sz w:val="18"/>
                <w:szCs w:val="18"/>
              </w:rPr>
              <w:t xml:space="preserve">milionë </w:t>
            </w:r>
            <w:r w:rsidRPr="007114AF">
              <w:rPr>
                <w:rFonts w:ascii="Garamond" w:eastAsia="Times New Roman" w:hAnsi="Garamond" w:cs="Times New Roman"/>
                <w:sz w:val="18"/>
                <w:szCs w:val="18"/>
              </w:rPr>
              <w:t>nga EBRD;</w:t>
            </w:r>
            <w:r w:rsidRPr="007114AF">
              <w:rPr>
                <w:rFonts w:ascii="Garamond" w:eastAsia="Times New Roman" w:hAnsi="Garamond" w:cs="Times New Roman"/>
                <w:sz w:val="18"/>
                <w:szCs w:val="18"/>
              </w:rPr>
              <w:br/>
              <w:t>donatorët e tjerë (% për t</w:t>
            </w:r>
            <w:r w:rsidR="00D10DAB"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u caktuar).</w:t>
            </w:r>
          </w:p>
        </w:tc>
      </w:tr>
      <w:tr w:rsidR="00FB584C" w:rsidRPr="007114AF" w14:paraId="6EDD07F3"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E8"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T45</w:t>
            </w:r>
          </w:p>
        </w:tc>
        <w:tc>
          <w:tcPr>
            <w:tcW w:w="1813" w:type="dxa"/>
            <w:vAlign w:val="center"/>
            <w:hideMark/>
          </w:tcPr>
          <w:p w14:paraId="6EDD07E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Sisteme efikase dhe të përgjegjshme detare dhe portuale - 1</w:t>
            </w:r>
          </w:p>
        </w:tc>
        <w:tc>
          <w:tcPr>
            <w:tcW w:w="900" w:type="dxa"/>
            <w:vAlign w:val="center"/>
            <w:hideMark/>
          </w:tcPr>
          <w:p w14:paraId="6EDD07E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810" w:type="dxa"/>
            <w:vAlign w:val="center"/>
            <w:hideMark/>
          </w:tcPr>
          <w:p w14:paraId="6EDD07E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7E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7E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12,500.00</w:t>
            </w:r>
          </w:p>
        </w:tc>
        <w:tc>
          <w:tcPr>
            <w:tcW w:w="1260" w:type="dxa"/>
            <w:vAlign w:val="center"/>
            <w:hideMark/>
          </w:tcPr>
          <w:p w14:paraId="6EDD07E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7E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7F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F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12,500.00</w:t>
            </w:r>
          </w:p>
        </w:tc>
        <w:tc>
          <w:tcPr>
            <w:tcW w:w="3150" w:type="dxa"/>
            <w:vAlign w:val="center"/>
            <w:hideMark/>
          </w:tcPr>
          <w:p w14:paraId="6EDD07F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për njësi bazuar në masa të njëjta</w:t>
            </w:r>
          </w:p>
        </w:tc>
      </w:tr>
      <w:tr w:rsidR="00FB584C" w:rsidRPr="007114AF" w14:paraId="6EDD07FF"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7F4"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T46</w:t>
            </w:r>
          </w:p>
        </w:tc>
        <w:tc>
          <w:tcPr>
            <w:tcW w:w="1813" w:type="dxa"/>
            <w:vAlign w:val="center"/>
            <w:hideMark/>
          </w:tcPr>
          <w:p w14:paraId="6EDD07F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Sisteme efikase dhe të përgjegjshme detare dhe portuale - 2</w:t>
            </w:r>
          </w:p>
        </w:tc>
        <w:tc>
          <w:tcPr>
            <w:tcW w:w="900" w:type="dxa"/>
            <w:vAlign w:val="center"/>
            <w:hideMark/>
          </w:tcPr>
          <w:p w14:paraId="6EDD07F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7F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7F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7F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60" w:type="dxa"/>
            <w:vAlign w:val="center"/>
            <w:hideMark/>
          </w:tcPr>
          <w:p w14:paraId="6EDD07F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260" w:type="dxa"/>
            <w:vAlign w:val="center"/>
            <w:hideMark/>
          </w:tcPr>
          <w:p w14:paraId="6EDD07F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41,190.00</w:t>
            </w:r>
          </w:p>
        </w:tc>
        <w:tc>
          <w:tcPr>
            <w:tcW w:w="1080" w:type="dxa"/>
            <w:vAlign w:val="center"/>
            <w:hideMark/>
          </w:tcPr>
          <w:p w14:paraId="6EDD07F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7F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7F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EUR 0.5 milion; Buxheti Kombëtar (EUR 200,000), buxheti IPA (EUR 300,000)</w:t>
            </w:r>
          </w:p>
        </w:tc>
      </w:tr>
      <w:tr w:rsidR="00FB584C" w:rsidRPr="007114AF" w14:paraId="6EDD080B"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00"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T47</w:t>
            </w:r>
          </w:p>
        </w:tc>
        <w:tc>
          <w:tcPr>
            <w:tcW w:w="1813" w:type="dxa"/>
            <w:vAlign w:val="center"/>
            <w:hideMark/>
          </w:tcPr>
          <w:p w14:paraId="6EDD080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Sisteme efikase dhe të përgjegjshme detare dhe portuale - 3</w:t>
            </w:r>
          </w:p>
        </w:tc>
        <w:tc>
          <w:tcPr>
            <w:tcW w:w="900" w:type="dxa"/>
            <w:vAlign w:val="center"/>
            <w:hideMark/>
          </w:tcPr>
          <w:p w14:paraId="6EDD080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80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0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0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60" w:type="dxa"/>
            <w:vAlign w:val="center"/>
            <w:hideMark/>
          </w:tcPr>
          <w:p w14:paraId="6EDD080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60" w:type="dxa"/>
            <w:vAlign w:val="center"/>
            <w:hideMark/>
          </w:tcPr>
          <w:p w14:paraId="6EDD080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80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0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0A" w14:textId="6946A24C" w:rsidR="00FB584C" w:rsidRPr="007114AF" w:rsidRDefault="00FB584C" w:rsidP="001C47F0">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EUR 0.5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për Asistencën Teknike buxheti i GMD nga ristrukturimi; GMD / Buxhet Kombëtar, Buxheti IPA (EUR 0.5 milion)</w:t>
            </w:r>
          </w:p>
        </w:tc>
      </w:tr>
      <w:tr w:rsidR="00FB584C" w:rsidRPr="007114AF" w14:paraId="6EDD0817"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0C"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T48</w:t>
            </w:r>
          </w:p>
        </w:tc>
        <w:tc>
          <w:tcPr>
            <w:tcW w:w="1813" w:type="dxa"/>
            <w:vAlign w:val="center"/>
            <w:hideMark/>
          </w:tcPr>
          <w:p w14:paraId="6EDD080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Sisteme efikase dhe të përgjegjshme detare dhe portuale - 4</w:t>
            </w:r>
          </w:p>
        </w:tc>
        <w:tc>
          <w:tcPr>
            <w:tcW w:w="900" w:type="dxa"/>
            <w:vAlign w:val="center"/>
            <w:hideMark/>
          </w:tcPr>
          <w:p w14:paraId="6EDD080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 – 2018</w:t>
            </w:r>
          </w:p>
        </w:tc>
        <w:tc>
          <w:tcPr>
            <w:tcW w:w="810" w:type="dxa"/>
            <w:vAlign w:val="center"/>
            <w:hideMark/>
          </w:tcPr>
          <w:p w14:paraId="6EDD080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1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81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81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81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81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1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1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vlerësim i kostove për këtë projekt, do të financohet nga buxheti i shtetit</w:t>
            </w:r>
          </w:p>
        </w:tc>
      </w:tr>
      <w:tr w:rsidR="00FB584C" w:rsidRPr="007114AF" w14:paraId="6EDD0823"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18"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T49</w:t>
            </w:r>
          </w:p>
        </w:tc>
        <w:tc>
          <w:tcPr>
            <w:tcW w:w="1813" w:type="dxa"/>
            <w:vAlign w:val="center"/>
            <w:hideMark/>
          </w:tcPr>
          <w:p w14:paraId="6EDD081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Sisteme efikase dhe të përgjegjshme detare dhe portuale - 5</w:t>
            </w:r>
          </w:p>
        </w:tc>
        <w:tc>
          <w:tcPr>
            <w:tcW w:w="900" w:type="dxa"/>
            <w:vAlign w:val="center"/>
            <w:hideMark/>
          </w:tcPr>
          <w:p w14:paraId="6EDD081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 – 2020</w:t>
            </w:r>
          </w:p>
        </w:tc>
        <w:tc>
          <w:tcPr>
            <w:tcW w:w="810" w:type="dxa"/>
            <w:vAlign w:val="center"/>
            <w:hideMark/>
          </w:tcPr>
          <w:p w14:paraId="6EDD081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1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1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686,500.00</w:t>
            </w:r>
          </w:p>
        </w:tc>
        <w:tc>
          <w:tcPr>
            <w:tcW w:w="1260" w:type="dxa"/>
            <w:noWrap/>
            <w:vAlign w:val="center"/>
            <w:hideMark/>
          </w:tcPr>
          <w:p w14:paraId="6EDD081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137,300.00</w:t>
            </w:r>
          </w:p>
        </w:tc>
        <w:tc>
          <w:tcPr>
            <w:tcW w:w="1260" w:type="dxa"/>
            <w:noWrap/>
            <w:vAlign w:val="center"/>
            <w:hideMark/>
          </w:tcPr>
          <w:p w14:paraId="6EDD081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549,200.00</w:t>
            </w:r>
          </w:p>
        </w:tc>
        <w:tc>
          <w:tcPr>
            <w:tcW w:w="1080" w:type="dxa"/>
            <w:vAlign w:val="center"/>
            <w:hideMark/>
          </w:tcPr>
          <w:p w14:paraId="6EDD082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2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2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Kombëtar (EUR 1 milion), Buxheti IPA (EUR 1.5 milion), donatorë të tjerë (EUR 2.5 milion)</w:t>
            </w:r>
          </w:p>
        </w:tc>
      </w:tr>
      <w:tr w:rsidR="00FB584C" w:rsidRPr="007114AF" w14:paraId="6EDD082F"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24"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T50</w:t>
            </w:r>
          </w:p>
        </w:tc>
        <w:tc>
          <w:tcPr>
            <w:tcW w:w="1813" w:type="dxa"/>
            <w:vAlign w:val="center"/>
            <w:hideMark/>
          </w:tcPr>
          <w:p w14:paraId="6EDD082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Rritje të qëndrueshme për tregjet detare – Rehabilitimin dhe modernizimin e shërbimeve dhe infrastrukturës portuale - 1</w:t>
            </w:r>
          </w:p>
        </w:tc>
        <w:tc>
          <w:tcPr>
            <w:tcW w:w="900" w:type="dxa"/>
            <w:vAlign w:val="center"/>
            <w:hideMark/>
          </w:tcPr>
          <w:p w14:paraId="6EDD082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2016-2017</w:t>
            </w:r>
          </w:p>
        </w:tc>
        <w:tc>
          <w:tcPr>
            <w:tcW w:w="810" w:type="dxa"/>
            <w:vAlign w:val="center"/>
            <w:hideMark/>
          </w:tcPr>
          <w:p w14:paraId="6EDD082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2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2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260" w:type="dxa"/>
            <w:vAlign w:val="center"/>
            <w:hideMark/>
          </w:tcPr>
          <w:p w14:paraId="6EDD082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w:t>
            </w:r>
          </w:p>
        </w:tc>
        <w:tc>
          <w:tcPr>
            <w:tcW w:w="1260" w:type="dxa"/>
            <w:vAlign w:val="center"/>
            <w:hideMark/>
          </w:tcPr>
          <w:p w14:paraId="6EDD082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080" w:type="dxa"/>
            <w:vAlign w:val="center"/>
            <w:hideMark/>
          </w:tcPr>
          <w:p w14:paraId="6EDD082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2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2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Kombëtar (EUR 0.05 milion), Buxheti IPA (EUR 0.2 milion)</w:t>
            </w:r>
          </w:p>
        </w:tc>
      </w:tr>
      <w:tr w:rsidR="00FB584C" w:rsidRPr="007114AF" w14:paraId="6EDD083B"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30"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T51</w:t>
            </w:r>
          </w:p>
        </w:tc>
        <w:tc>
          <w:tcPr>
            <w:tcW w:w="1813" w:type="dxa"/>
            <w:vAlign w:val="center"/>
            <w:hideMark/>
          </w:tcPr>
          <w:p w14:paraId="6EDD083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Rritje të qëndrueshme për tregjet detare – Rehabilitimin dhe modernizimin e shërbimeve dhe infrastrukturës portuale - 2</w:t>
            </w:r>
          </w:p>
        </w:tc>
        <w:tc>
          <w:tcPr>
            <w:tcW w:w="900" w:type="dxa"/>
            <w:vAlign w:val="center"/>
            <w:hideMark/>
          </w:tcPr>
          <w:p w14:paraId="6EDD083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810" w:type="dxa"/>
            <w:vAlign w:val="center"/>
            <w:hideMark/>
          </w:tcPr>
          <w:p w14:paraId="6EDD083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3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3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60" w:type="dxa"/>
            <w:vAlign w:val="center"/>
            <w:hideMark/>
          </w:tcPr>
          <w:p w14:paraId="6EDD083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20,595.00</w:t>
            </w:r>
          </w:p>
        </w:tc>
        <w:tc>
          <w:tcPr>
            <w:tcW w:w="1260" w:type="dxa"/>
            <w:noWrap/>
            <w:vAlign w:val="center"/>
            <w:hideMark/>
          </w:tcPr>
          <w:p w14:paraId="6EDD083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48,055.00</w:t>
            </w:r>
          </w:p>
        </w:tc>
        <w:tc>
          <w:tcPr>
            <w:tcW w:w="1080" w:type="dxa"/>
            <w:vAlign w:val="center"/>
            <w:hideMark/>
          </w:tcPr>
          <w:p w14:paraId="6EDD083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3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3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Kombëtar (EUR 150,000), Buxheti IPA (EUR 0.35 milion)</w:t>
            </w:r>
          </w:p>
        </w:tc>
      </w:tr>
      <w:tr w:rsidR="00FB584C" w:rsidRPr="007114AF" w14:paraId="6EDD0847"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3C"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T52</w:t>
            </w:r>
          </w:p>
        </w:tc>
        <w:tc>
          <w:tcPr>
            <w:tcW w:w="1813" w:type="dxa"/>
            <w:vAlign w:val="center"/>
            <w:hideMark/>
          </w:tcPr>
          <w:p w14:paraId="6EDD083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Rritje të qëndrueshme për tregjet detare. Mbështetje dhe promovim i turizmit detar - 1</w:t>
            </w:r>
          </w:p>
        </w:tc>
        <w:tc>
          <w:tcPr>
            <w:tcW w:w="900" w:type="dxa"/>
            <w:vAlign w:val="center"/>
            <w:hideMark/>
          </w:tcPr>
          <w:p w14:paraId="6EDD083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810" w:type="dxa"/>
            <w:vAlign w:val="center"/>
            <w:hideMark/>
          </w:tcPr>
          <w:p w14:paraId="6EDD083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4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4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260" w:type="dxa"/>
            <w:vAlign w:val="center"/>
            <w:hideMark/>
          </w:tcPr>
          <w:p w14:paraId="6EDD084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260" w:type="dxa"/>
            <w:noWrap/>
            <w:vAlign w:val="center"/>
            <w:hideMark/>
          </w:tcPr>
          <w:p w14:paraId="6EDD084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080" w:type="dxa"/>
            <w:vAlign w:val="center"/>
            <w:hideMark/>
          </w:tcPr>
          <w:p w14:paraId="6EDD084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4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46" w14:textId="55CD30EC" w:rsidR="00FB584C" w:rsidRPr="007114AF" w:rsidRDefault="00FB584C" w:rsidP="001C47F0">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EUR 0.5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(kontrata e asistencës teknike). Buxheti Kombëtar (EUR 0.25 milion), Buxheti IPA (EUR 0.25 milion)</w:t>
            </w:r>
          </w:p>
        </w:tc>
      </w:tr>
      <w:tr w:rsidR="00FB584C" w:rsidRPr="007114AF" w14:paraId="6EDD0853"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48"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T53</w:t>
            </w:r>
          </w:p>
        </w:tc>
        <w:tc>
          <w:tcPr>
            <w:tcW w:w="1813" w:type="dxa"/>
            <w:vAlign w:val="center"/>
            <w:hideMark/>
          </w:tcPr>
          <w:p w14:paraId="6EDD084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Rritje të qëndrueshme për tregjet detare. Mbështetje dhe promovim i turizmit detar - 2</w:t>
            </w:r>
          </w:p>
        </w:tc>
        <w:tc>
          <w:tcPr>
            <w:tcW w:w="900" w:type="dxa"/>
            <w:vAlign w:val="center"/>
            <w:hideMark/>
          </w:tcPr>
          <w:p w14:paraId="6EDD084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2019-2020</w:t>
            </w:r>
          </w:p>
        </w:tc>
        <w:tc>
          <w:tcPr>
            <w:tcW w:w="810" w:type="dxa"/>
            <w:vAlign w:val="center"/>
            <w:hideMark/>
          </w:tcPr>
          <w:p w14:paraId="6EDD084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4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4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84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84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85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5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5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vlerësim i kostos për këtë projekt. Do të financohet nga buxheti i shtetit.</w:t>
            </w:r>
          </w:p>
        </w:tc>
      </w:tr>
      <w:tr w:rsidR="00FB584C" w:rsidRPr="007114AF" w14:paraId="6EDD085F"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54"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T54</w:t>
            </w:r>
          </w:p>
        </w:tc>
        <w:tc>
          <w:tcPr>
            <w:tcW w:w="1813" w:type="dxa"/>
            <w:vAlign w:val="center"/>
            <w:hideMark/>
          </w:tcPr>
          <w:p w14:paraId="6EDD085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Rritje të qëndrueshme për tregjet detare. Mbështetje dhe promovim i tregut dera të punës - 1</w:t>
            </w:r>
          </w:p>
        </w:tc>
        <w:tc>
          <w:tcPr>
            <w:tcW w:w="900" w:type="dxa"/>
            <w:vAlign w:val="center"/>
            <w:hideMark/>
          </w:tcPr>
          <w:p w14:paraId="6EDD085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810" w:type="dxa"/>
            <w:vAlign w:val="center"/>
            <w:hideMark/>
          </w:tcPr>
          <w:p w14:paraId="6EDD085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5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5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260" w:type="dxa"/>
            <w:vAlign w:val="center"/>
            <w:hideMark/>
          </w:tcPr>
          <w:p w14:paraId="6EDD085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85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080" w:type="dxa"/>
            <w:vAlign w:val="center"/>
            <w:hideMark/>
          </w:tcPr>
          <w:p w14:paraId="6EDD085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5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5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IPA (EUR 0.25 milion)</w:t>
            </w:r>
          </w:p>
        </w:tc>
      </w:tr>
      <w:tr w:rsidR="00FB584C" w:rsidRPr="007114AF" w14:paraId="6EDD086B"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60"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T55</w:t>
            </w:r>
          </w:p>
        </w:tc>
        <w:tc>
          <w:tcPr>
            <w:tcW w:w="1813" w:type="dxa"/>
            <w:vAlign w:val="center"/>
            <w:hideMark/>
          </w:tcPr>
          <w:p w14:paraId="6EDD086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Rritje të qëndrueshme për tregjet detare. Mbështetje dhe promovim i tregut dera të punës - 2</w:t>
            </w:r>
          </w:p>
        </w:tc>
        <w:tc>
          <w:tcPr>
            <w:tcW w:w="900" w:type="dxa"/>
            <w:vAlign w:val="center"/>
            <w:hideMark/>
          </w:tcPr>
          <w:p w14:paraId="6EDD086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2018-2019</w:t>
            </w:r>
          </w:p>
        </w:tc>
        <w:tc>
          <w:tcPr>
            <w:tcW w:w="810" w:type="dxa"/>
            <w:vAlign w:val="center"/>
            <w:hideMark/>
          </w:tcPr>
          <w:p w14:paraId="6EDD086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6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6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260" w:type="dxa"/>
            <w:vAlign w:val="center"/>
            <w:hideMark/>
          </w:tcPr>
          <w:p w14:paraId="6EDD086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86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w:t>
            </w:r>
          </w:p>
        </w:tc>
        <w:tc>
          <w:tcPr>
            <w:tcW w:w="1080" w:type="dxa"/>
            <w:vAlign w:val="center"/>
            <w:hideMark/>
          </w:tcPr>
          <w:p w14:paraId="6EDD086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6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6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IPA (EUR 0.25 milion)</w:t>
            </w:r>
          </w:p>
        </w:tc>
      </w:tr>
      <w:tr w:rsidR="00FB584C" w:rsidRPr="007114AF" w14:paraId="6EDD0877"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6C"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T56</w:t>
            </w:r>
          </w:p>
        </w:tc>
        <w:tc>
          <w:tcPr>
            <w:tcW w:w="1813" w:type="dxa"/>
            <w:vAlign w:val="center"/>
            <w:hideMark/>
          </w:tcPr>
          <w:p w14:paraId="6EDD086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Krijimi i një tregu më konkurrent me shërbime ajrore të liberalizuara - 1</w:t>
            </w:r>
          </w:p>
        </w:tc>
        <w:tc>
          <w:tcPr>
            <w:tcW w:w="900" w:type="dxa"/>
            <w:vAlign w:val="center"/>
            <w:hideMark/>
          </w:tcPr>
          <w:p w14:paraId="6EDD086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86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7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noWrap/>
            <w:vAlign w:val="center"/>
            <w:hideMark/>
          </w:tcPr>
          <w:p w14:paraId="6EDD087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41,190.00</w:t>
            </w:r>
          </w:p>
        </w:tc>
        <w:tc>
          <w:tcPr>
            <w:tcW w:w="1260" w:type="dxa"/>
            <w:vAlign w:val="center"/>
            <w:hideMark/>
          </w:tcPr>
          <w:p w14:paraId="6EDD087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87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41,190.00</w:t>
            </w:r>
          </w:p>
        </w:tc>
        <w:tc>
          <w:tcPr>
            <w:tcW w:w="1080" w:type="dxa"/>
            <w:vAlign w:val="center"/>
            <w:hideMark/>
          </w:tcPr>
          <w:p w14:paraId="6EDD087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7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7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IPA (kontrata e asistencës teknike)</w:t>
            </w:r>
          </w:p>
        </w:tc>
      </w:tr>
      <w:tr w:rsidR="00FB584C" w:rsidRPr="007114AF" w14:paraId="6EDD0883"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78"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T57</w:t>
            </w:r>
          </w:p>
        </w:tc>
        <w:tc>
          <w:tcPr>
            <w:tcW w:w="1813" w:type="dxa"/>
            <w:vAlign w:val="center"/>
            <w:hideMark/>
          </w:tcPr>
          <w:p w14:paraId="6EDD087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Krijimi i një tregu më konkurrent me shërbime ajrore të liberalizuara - 2</w:t>
            </w:r>
          </w:p>
        </w:tc>
        <w:tc>
          <w:tcPr>
            <w:tcW w:w="900" w:type="dxa"/>
            <w:vAlign w:val="center"/>
            <w:hideMark/>
          </w:tcPr>
          <w:p w14:paraId="6EDD087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2016-2019</w:t>
            </w:r>
          </w:p>
        </w:tc>
        <w:tc>
          <w:tcPr>
            <w:tcW w:w="810" w:type="dxa"/>
            <w:vAlign w:val="center"/>
            <w:hideMark/>
          </w:tcPr>
          <w:p w14:paraId="6EDD087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7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7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41,190.00</w:t>
            </w:r>
          </w:p>
        </w:tc>
        <w:tc>
          <w:tcPr>
            <w:tcW w:w="1260" w:type="dxa"/>
            <w:noWrap/>
            <w:vAlign w:val="center"/>
            <w:hideMark/>
          </w:tcPr>
          <w:p w14:paraId="6EDD087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w:t>
            </w:r>
          </w:p>
        </w:tc>
        <w:tc>
          <w:tcPr>
            <w:tcW w:w="1260" w:type="dxa"/>
            <w:vAlign w:val="center"/>
            <w:hideMark/>
          </w:tcPr>
          <w:p w14:paraId="6EDD087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080" w:type="dxa"/>
            <w:vAlign w:val="center"/>
            <w:hideMark/>
          </w:tcPr>
          <w:p w14:paraId="6EDD088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8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8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Kombëtar (EUR 100,000), Buxheti IPA (EUR 200,000 në trajnim dhe ndërtim kapacitetesh)</w:t>
            </w:r>
          </w:p>
        </w:tc>
      </w:tr>
      <w:tr w:rsidR="00FB584C" w:rsidRPr="007114AF" w14:paraId="6EDD088F"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84"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T58</w:t>
            </w:r>
          </w:p>
        </w:tc>
        <w:tc>
          <w:tcPr>
            <w:tcW w:w="1813" w:type="dxa"/>
            <w:vAlign w:val="center"/>
            <w:hideMark/>
          </w:tcPr>
          <w:p w14:paraId="6EDD088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Zbatimidhe unifikimi i standardeve ndërkombëtare të sigurisë ajrore - 1</w:t>
            </w:r>
          </w:p>
        </w:tc>
        <w:tc>
          <w:tcPr>
            <w:tcW w:w="900" w:type="dxa"/>
            <w:vAlign w:val="center"/>
            <w:hideMark/>
          </w:tcPr>
          <w:p w14:paraId="6EDD088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88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8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8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260" w:type="dxa"/>
            <w:vAlign w:val="center"/>
            <w:hideMark/>
          </w:tcPr>
          <w:p w14:paraId="6EDD088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8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080" w:type="dxa"/>
            <w:vAlign w:val="center"/>
            <w:hideMark/>
          </w:tcPr>
          <w:p w14:paraId="6EDD088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8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8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IPA (kontrata e asistencës teknike)</w:t>
            </w:r>
          </w:p>
        </w:tc>
      </w:tr>
      <w:tr w:rsidR="00FB584C" w:rsidRPr="007114AF" w14:paraId="6EDD089B"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90"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T59</w:t>
            </w:r>
          </w:p>
        </w:tc>
        <w:tc>
          <w:tcPr>
            <w:tcW w:w="1813" w:type="dxa"/>
            <w:vAlign w:val="center"/>
            <w:hideMark/>
          </w:tcPr>
          <w:p w14:paraId="6EDD089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Zbatimidhe unifikimi i standardeve ndërkombëtare të sigurisë ajrore - 2</w:t>
            </w:r>
          </w:p>
        </w:tc>
        <w:tc>
          <w:tcPr>
            <w:tcW w:w="900" w:type="dxa"/>
            <w:vAlign w:val="center"/>
            <w:hideMark/>
          </w:tcPr>
          <w:p w14:paraId="6EDD089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89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9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9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260" w:type="dxa"/>
            <w:vAlign w:val="center"/>
            <w:hideMark/>
          </w:tcPr>
          <w:p w14:paraId="6EDD089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9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080" w:type="dxa"/>
            <w:vAlign w:val="center"/>
            <w:hideMark/>
          </w:tcPr>
          <w:p w14:paraId="6EDD089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9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9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IPA (kontrata e asistencës teknike)</w:t>
            </w:r>
          </w:p>
        </w:tc>
      </w:tr>
      <w:tr w:rsidR="00FB584C" w:rsidRPr="007114AF" w14:paraId="6EDD08A7"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9C"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T60</w:t>
            </w:r>
          </w:p>
        </w:tc>
        <w:tc>
          <w:tcPr>
            <w:tcW w:w="1813" w:type="dxa"/>
            <w:vAlign w:val="center"/>
            <w:hideMark/>
          </w:tcPr>
          <w:p w14:paraId="6EDD089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Uljen e pagesave të udhëtimit për pasagjerët</w:t>
            </w:r>
          </w:p>
        </w:tc>
        <w:tc>
          <w:tcPr>
            <w:tcW w:w="900" w:type="dxa"/>
            <w:vAlign w:val="center"/>
            <w:hideMark/>
          </w:tcPr>
          <w:p w14:paraId="6EDD089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w:t>
            </w:r>
          </w:p>
        </w:tc>
        <w:tc>
          <w:tcPr>
            <w:tcW w:w="810" w:type="dxa"/>
            <w:vAlign w:val="center"/>
            <w:hideMark/>
          </w:tcPr>
          <w:p w14:paraId="6EDD089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w:t>
            </w:r>
          </w:p>
        </w:tc>
        <w:tc>
          <w:tcPr>
            <w:tcW w:w="1260" w:type="dxa"/>
            <w:vAlign w:val="center"/>
          </w:tcPr>
          <w:p w14:paraId="6EDD08A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8A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8A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8A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8A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A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A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vlerësim i kostos për këtë projekt. Do të financohet nga buxheti i shtetit</w:t>
            </w:r>
          </w:p>
        </w:tc>
      </w:tr>
      <w:tr w:rsidR="00FB584C" w:rsidRPr="007114AF" w14:paraId="6EDD08B3"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A8"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T61</w:t>
            </w:r>
          </w:p>
        </w:tc>
        <w:tc>
          <w:tcPr>
            <w:tcW w:w="1813" w:type="dxa"/>
            <w:vAlign w:val="center"/>
            <w:hideMark/>
          </w:tcPr>
          <w:p w14:paraId="6EDD08A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transportit të kombinuar dhe intermodal - 1</w:t>
            </w:r>
          </w:p>
        </w:tc>
        <w:tc>
          <w:tcPr>
            <w:tcW w:w="900" w:type="dxa"/>
            <w:vAlign w:val="center"/>
            <w:hideMark/>
          </w:tcPr>
          <w:p w14:paraId="6EDD08A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810" w:type="dxa"/>
            <w:vAlign w:val="center"/>
            <w:hideMark/>
          </w:tcPr>
          <w:p w14:paraId="6EDD08A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PKT</w:t>
            </w:r>
          </w:p>
        </w:tc>
        <w:tc>
          <w:tcPr>
            <w:tcW w:w="1260" w:type="dxa"/>
            <w:vAlign w:val="center"/>
          </w:tcPr>
          <w:p w14:paraId="6EDD08A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8A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82,380.00</w:t>
            </w:r>
          </w:p>
        </w:tc>
        <w:tc>
          <w:tcPr>
            <w:tcW w:w="1260" w:type="dxa"/>
            <w:vAlign w:val="center"/>
            <w:hideMark/>
          </w:tcPr>
          <w:p w14:paraId="6EDD08A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54,920.00</w:t>
            </w:r>
          </w:p>
        </w:tc>
        <w:tc>
          <w:tcPr>
            <w:tcW w:w="1260" w:type="dxa"/>
            <w:vAlign w:val="center"/>
            <w:hideMark/>
          </w:tcPr>
          <w:p w14:paraId="6EDD08A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27,460.00</w:t>
            </w:r>
          </w:p>
        </w:tc>
        <w:tc>
          <w:tcPr>
            <w:tcW w:w="1080" w:type="dxa"/>
            <w:vAlign w:val="center"/>
            <w:hideMark/>
          </w:tcPr>
          <w:p w14:paraId="6EDD08B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B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B2" w14:textId="53E14628" w:rsidR="00FB584C" w:rsidRPr="007114AF" w:rsidRDefault="00FB584C" w:rsidP="001C47F0">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EUR 0.4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 xml:space="preserve">(EUR 0.08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për vit për IoT)</w:t>
            </w:r>
            <w:r w:rsidRPr="007114AF">
              <w:rPr>
                <w:rFonts w:ascii="Garamond" w:eastAsia="Times New Roman" w:hAnsi="Garamond" w:cs="Times New Roman"/>
                <w:sz w:val="18"/>
                <w:szCs w:val="18"/>
              </w:rPr>
              <w:br/>
              <w:t xml:space="preserve">EUR 0.2 </w:t>
            </w:r>
            <w:r w:rsidR="001C47F0" w:rsidRPr="007114AF">
              <w:rPr>
                <w:rFonts w:ascii="Garamond" w:eastAsia="Times New Roman" w:hAnsi="Garamond" w:cs="Times New Roman"/>
                <w:sz w:val="18"/>
                <w:szCs w:val="18"/>
              </w:rPr>
              <w:t xml:space="preserve">milion </w:t>
            </w:r>
            <w:r w:rsidRPr="007114AF">
              <w:rPr>
                <w:rFonts w:ascii="Garamond" w:eastAsia="Times New Roman" w:hAnsi="Garamond" w:cs="Times New Roman"/>
                <w:sz w:val="18"/>
                <w:szCs w:val="18"/>
              </w:rPr>
              <w:t>(studim) Buxheti Kombëtar (IoT), Buxheti IPA (Strategjia Kombëtare)</w:t>
            </w:r>
          </w:p>
        </w:tc>
      </w:tr>
      <w:tr w:rsidR="00FB584C" w:rsidRPr="007114AF" w14:paraId="6EDD08BF" w14:textId="77777777" w:rsidTr="00FB584C">
        <w:trPr>
          <w:cantSplit/>
          <w:trHeight w:val="2197"/>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B4"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T62</w:t>
            </w:r>
          </w:p>
        </w:tc>
        <w:tc>
          <w:tcPr>
            <w:tcW w:w="1813" w:type="dxa"/>
            <w:vAlign w:val="center"/>
            <w:hideMark/>
          </w:tcPr>
          <w:p w14:paraId="6EDD08B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transportit të kombinuar dhe intermodal - 2</w:t>
            </w:r>
          </w:p>
        </w:tc>
        <w:tc>
          <w:tcPr>
            <w:tcW w:w="900" w:type="dxa"/>
            <w:vAlign w:val="center"/>
            <w:hideMark/>
          </w:tcPr>
          <w:p w14:paraId="6EDD08B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2016-2019</w:t>
            </w:r>
          </w:p>
        </w:tc>
        <w:tc>
          <w:tcPr>
            <w:tcW w:w="810" w:type="dxa"/>
            <w:vAlign w:val="center"/>
            <w:hideMark/>
          </w:tcPr>
          <w:p w14:paraId="6EDD08B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PKT</w:t>
            </w:r>
          </w:p>
        </w:tc>
        <w:tc>
          <w:tcPr>
            <w:tcW w:w="1260" w:type="dxa"/>
            <w:vAlign w:val="center"/>
          </w:tcPr>
          <w:p w14:paraId="6EDD08B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Indirekte</w:t>
            </w:r>
          </w:p>
        </w:tc>
        <w:tc>
          <w:tcPr>
            <w:tcW w:w="1080" w:type="dxa"/>
            <w:vAlign w:val="center"/>
            <w:hideMark/>
          </w:tcPr>
          <w:p w14:paraId="6EDD08B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3,157,900.00</w:t>
            </w:r>
          </w:p>
        </w:tc>
        <w:tc>
          <w:tcPr>
            <w:tcW w:w="1260" w:type="dxa"/>
            <w:vAlign w:val="center"/>
            <w:hideMark/>
          </w:tcPr>
          <w:p w14:paraId="6EDD08B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B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68,650.00</w:t>
            </w:r>
          </w:p>
        </w:tc>
        <w:tc>
          <w:tcPr>
            <w:tcW w:w="1080" w:type="dxa"/>
            <w:vAlign w:val="center"/>
            <w:hideMark/>
          </w:tcPr>
          <w:p w14:paraId="6EDD08B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2,000,000.00</w:t>
            </w:r>
          </w:p>
        </w:tc>
        <w:tc>
          <w:tcPr>
            <w:tcW w:w="1260" w:type="dxa"/>
            <w:vAlign w:val="center"/>
            <w:hideMark/>
          </w:tcPr>
          <w:p w14:paraId="6EDD08B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1,089,250.00</w:t>
            </w:r>
          </w:p>
        </w:tc>
        <w:tc>
          <w:tcPr>
            <w:tcW w:w="3150" w:type="dxa"/>
            <w:vAlign w:val="center"/>
            <w:hideMark/>
          </w:tcPr>
          <w:p w14:paraId="6EDD08BE" w14:textId="42D0F739"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Studim Fizibiliteti për qendrën logjistike: € 0,5 mln.</w:t>
            </w:r>
            <w:r w:rsidR="008D30FC"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Kosto e ndërtimit për qendrën logjistike: € 20-25 mln. Buxheti IPA (studime fizibiliteti)</w:t>
            </w:r>
            <w:r w:rsidRPr="007114AF">
              <w:rPr>
                <w:rFonts w:ascii="Garamond" w:eastAsia="Times New Roman" w:hAnsi="Garamond" w:cs="Times New Roman"/>
                <w:sz w:val="18"/>
                <w:szCs w:val="18"/>
              </w:rPr>
              <w:br/>
              <w:t>Buxheti Kombëtar (% për t</w:t>
            </w:r>
            <w:r w:rsidR="00D10DAB"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u caktuar), donatorët ndërkombëtar (% për t</w:t>
            </w:r>
            <w:r w:rsidR="00D10DAB"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u caktuar)</w:t>
            </w:r>
          </w:p>
        </w:tc>
      </w:tr>
      <w:tr w:rsidR="00FB584C" w:rsidRPr="007114AF" w14:paraId="6EDD08CB"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C0"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T63</w:t>
            </w:r>
          </w:p>
        </w:tc>
        <w:tc>
          <w:tcPr>
            <w:tcW w:w="1813" w:type="dxa"/>
            <w:vAlign w:val="center"/>
            <w:hideMark/>
          </w:tcPr>
          <w:p w14:paraId="6EDD08C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transportit të kombinuar dhe intermodal - 3</w:t>
            </w:r>
          </w:p>
        </w:tc>
        <w:tc>
          <w:tcPr>
            <w:tcW w:w="900" w:type="dxa"/>
            <w:vAlign w:val="center"/>
            <w:hideMark/>
          </w:tcPr>
          <w:p w14:paraId="6EDD08C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2016-2017</w:t>
            </w:r>
          </w:p>
        </w:tc>
        <w:tc>
          <w:tcPr>
            <w:tcW w:w="810" w:type="dxa"/>
            <w:vAlign w:val="center"/>
            <w:hideMark/>
          </w:tcPr>
          <w:p w14:paraId="6EDD08C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SSTPV; PKT</w:t>
            </w:r>
          </w:p>
        </w:tc>
        <w:tc>
          <w:tcPr>
            <w:tcW w:w="1260" w:type="dxa"/>
            <w:vAlign w:val="center"/>
          </w:tcPr>
          <w:p w14:paraId="6EDD08C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8C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205,950.00</w:t>
            </w:r>
          </w:p>
        </w:tc>
        <w:tc>
          <w:tcPr>
            <w:tcW w:w="1260" w:type="dxa"/>
            <w:noWrap/>
            <w:vAlign w:val="center"/>
            <w:hideMark/>
          </w:tcPr>
          <w:p w14:paraId="6EDD08C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205,950.00</w:t>
            </w:r>
          </w:p>
        </w:tc>
        <w:tc>
          <w:tcPr>
            <w:tcW w:w="1260" w:type="dxa"/>
            <w:vAlign w:val="center"/>
            <w:hideMark/>
          </w:tcPr>
          <w:p w14:paraId="6EDD08C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8C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C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8CA" w14:textId="161F48FB"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EUR 1.5 </w:t>
            </w:r>
            <w:r w:rsidR="001C47F0" w:rsidRPr="007114AF">
              <w:rPr>
                <w:rFonts w:ascii="Garamond" w:eastAsia="Times New Roman" w:hAnsi="Garamond" w:cs="Times New Roman"/>
                <w:sz w:val="18"/>
                <w:szCs w:val="18"/>
              </w:rPr>
              <w:t xml:space="preserve">milionë </w:t>
            </w:r>
            <w:r w:rsidRPr="007114AF">
              <w:rPr>
                <w:rFonts w:ascii="Garamond" w:eastAsia="Times New Roman" w:hAnsi="Garamond" w:cs="Times New Roman"/>
                <w:sz w:val="18"/>
                <w:szCs w:val="18"/>
              </w:rPr>
              <w:t>(vlerësim i Autoritetit Portual Durrës)</w:t>
            </w:r>
          </w:p>
        </w:tc>
      </w:tr>
      <w:tr w:rsidR="00FB584C" w:rsidRPr="007114AF" w14:paraId="6EDD08D9" w14:textId="77777777" w:rsidTr="00FB584C">
        <w:trPr>
          <w:cantSplit/>
          <w:trHeight w:val="2417"/>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CC"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T64</w:t>
            </w:r>
          </w:p>
        </w:tc>
        <w:tc>
          <w:tcPr>
            <w:tcW w:w="1813" w:type="dxa"/>
            <w:vAlign w:val="center"/>
            <w:hideMark/>
          </w:tcPr>
          <w:p w14:paraId="6EDD08C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Masa të Buta dhe të zgjuara: iniciativa të lëvizjes së ndërgjegjshme: mbështetje e zbatimit nëpërmjet informacionit të duhur në fushata, me qëllim të influencojë sjelljen drejt zgjedhjeve të qëndrueshme</w:t>
            </w:r>
          </w:p>
        </w:tc>
        <w:tc>
          <w:tcPr>
            <w:tcW w:w="900" w:type="dxa"/>
            <w:vAlign w:val="center"/>
            <w:hideMark/>
          </w:tcPr>
          <w:p w14:paraId="6EDD08C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810" w:type="dxa"/>
            <w:vAlign w:val="center"/>
            <w:hideMark/>
          </w:tcPr>
          <w:p w14:paraId="6EDD08C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TECTQ</w:t>
            </w:r>
          </w:p>
        </w:tc>
        <w:tc>
          <w:tcPr>
            <w:tcW w:w="1260" w:type="dxa"/>
            <w:vAlign w:val="center"/>
          </w:tcPr>
          <w:p w14:paraId="6EDD08D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8D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100,000.00</w:t>
            </w:r>
          </w:p>
        </w:tc>
        <w:tc>
          <w:tcPr>
            <w:tcW w:w="1260" w:type="dxa"/>
            <w:vAlign w:val="center"/>
            <w:hideMark/>
          </w:tcPr>
          <w:p w14:paraId="6EDD08D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8D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D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8D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D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8D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100,000.00</w:t>
            </w:r>
          </w:p>
        </w:tc>
        <w:tc>
          <w:tcPr>
            <w:tcW w:w="3150" w:type="dxa"/>
            <w:vAlign w:val="center"/>
            <w:hideMark/>
          </w:tcPr>
          <w:p w14:paraId="6EDD08D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e marra nga Drafti Përfundimtar i TECTQ; përreth 15-22 mln LEK çdo vit (për gazetat vetëm 7,18 mln LEK /vit)</w:t>
            </w:r>
          </w:p>
        </w:tc>
      </w:tr>
      <w:tr w:rsidR="00FB584C" w:rsidRPr="007114AF" w14:paraId="6EDD08EA" w14:textId="77777777" w:rsidTr="00FB584C">
        <w:trPr>
          <w:cantSplit/>
          <w:trHeight w:val="1988"/>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DA"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T65</w:t>
            </w:r>
          </w:p>
        </w:tc>
        <w:tc>
          <w:tcPr>
            <w:tcW w:w="1813" w:type="dxa"/>
            <w:vAlign w:val="center"/>
            <w:hideMark/>
          </w:tcPr>
          <w:p w14:paraId="6EDD08DB" w14:textId="6A21B5F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Fushata informuese mbi eficiencën e energjisëdhe sjelljen në drejtimin e mjeteve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(ecodriving)</w:t>
            </w:r>
          </w:p>
        </w:tc>
        <w:tc>
          <w:tcPr>
            <w:tcW w:w="900" w:type="dxa"/>
            <w:vAlign w:val="center"/>
            <w:hideMark/>
          </w:tcPr>
          <w:p w14:paraId="6EDD08D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2017-2018</w:t>
            </w:r>
          </w:p>
        </w:tc>
        <w:tc>
          <w:tcPr>
            <w:tcW w:w="810" w:type="dxa"/>
            <w:vAlign w:val="center"/>
            <w:hideMark/>
          </w:tcPr>
          <w:p w14:paraId="6EDD08D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260" w:type="dxa"/>
            <w:vAlign w:val="center"/>
          </w:tcPr>
          <w:p w14:paraId="6EDD08D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vAlign w:val="center"/>
            <w:hideMark/>
          </w:tcPr>
          <w:p w14:paraId="6EDD08D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w:t>
            </w:r>
          </w:p>
        </w:tc>
        <w:tc>
          <w:tcPr>
            <w:tcW w:w="1260" w:type="dxa"/>
            <w:vAlign w:val="center"/>
            <w:hideMark/>
          </w:tcPr>
          <w:p w14:paraId="6EDD08E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8E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E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8E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8E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8E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8E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8E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w:t>
            </w:r>
          </w:p>
        </w:tc>
        <w:tc>
          <w:tcPr>
            <w:tcW w:w="3150" w:type="dxa"/>
            <w:vAlign w:val="center"/>
            <w:hideMark/>
          </w:tcPr>
          <w:p w14:paraId="6EDD08E8" w14:textId="74C50D10"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Dokumenti vëren: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pasi mësuesit janë edukuar, integrimi në autoshkolla nuk ka nevojë për mbështetje të mëtejshme;</w:t>
            </w:r>
          </w:p>
          <w:p w14:paraId="6EDD08E9" w14:textId="12C988D8"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Kurset e ekodrejtimitpër shoferët me eksperiencë mund të mbështeten nga subvencionet publike.</w:t>
            </w:r>
            <w:r w:rsidR="000A2A01" w:rsidRPr="007114AF">
              <w:rPr>
                <w:rFonts w:ascii="Garamond" w:eastAsia="Times New Roman" w:hAnsi="Garamond" w:cs="Times New Roman"/>
                <w:sz w:val="18"/>
                <w:szCs w:val="18"/>
              </w:rPr>
              <w:t>”</w:t>
            </w:r>
          </w:p>
        </w:tc>
      </w:tr>
      <w:tr w:rsidR="00FB584C" w:rsidRPr="007114AF" w14:paraId="6EDD08F6"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EB"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T66</w:t>
            </w:r>
          </w:p>
        </w:tc>
        <w:tc>
          <w:tcPr>
            <w:tcW w:w="1813" w:type="dxa"/>
            <w:vAlign w:val="center"/>
            <w:hideMark/>
          </w:tcPr>
          <w:p w14:paraId="6EDD08E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Kurse për drejtimin ekonomik për shoferët profesionistë të kamionëve </w:t>
            </w:r>
          </w:p>
        </w:tc>
        <w:tc>
          <w:tcPr>
            <w:tcW w:w="900" w:type="dxa"/>
            <w:vAlign w:val="center"/>
            <w:hideMark/>
          </w:tcPr>
          <w:p w14:paraId="6EDD08E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2017-2018</w:t>
            </w:r>
          </w:p>
        </w:tc>
        <w:tc>
          <w:tcPr>
            <w:tcW w:w="810" w:type="dxa"/>
            <w:vAlign w:val="center"/>
            <w:hideMark/>
          </w:tcPr>
          <w:p w14:paraId="6EDD08E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260" w:type="dxa"/>
            <w:vAlign w:val="center"/>
          </w:tcPr>
          <w:p w14:paraId="6EDD08E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hAnsi="Garamond" w:cs="Calibri"/>
                <w:sz w:val="18"/>
                <w:szCs w:val="18"/>
              </w:rPr>
              <w:t>Indirekte</w:t>
            </w:r>
          </w:p>
        </w:tc>
        <w:tc>
          <w:tcPr>
            <w:tcW w:w="1080" w:type="dxa"/>
            <w:noWrap/>
            <w:vAlign w:val="center"/>
            <w:hideMark/>
          </w:tcPr>
          <w:p w14:paraId="6EDD08F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3,500.00</w:t>
            </w:r>
          </w:p>
        </w:tc>
        <w:tc>
          <w:tcPr>
            <w:tcW w:w="1260" w:type="dxa"/>
            <w:noWrap/>
            <w:vAlign w:val="center"/>
            <w:hideMark/>
          </w:tcPr>
          <w:p w14:paraId="6EDD08F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8F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8F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8F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3,500.00</w:t>
            </w:r>
          </w:p>
        </w:tc>
        <w:tc>
          <w:tcPr>
            <w:tcW w:w="3150" w:type="dxa"/>
            <w:vAlign w:val="center"/>
            <w:hideMark/>
          </w:tcPr>
          <w:p w14:paraId="6EDD08F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e marrë nga Planin i Veprimit të Dytë dhe të Tretë Kombëtar të Eficencën e Energjisë për Shqipërinë 2016-2020/ T1</w:t>
            </w:r>
          </w:p>
        </w:tc>
      </w:tr>
      <w:tr w:rsidR="00FB584C" w:rsidRPr="007114AF" w14:paraId="6EDD0904" w14:textId="77777777" w:rsidTr="00FB584C">
        <w:trPr>
          <w:cantSplit/>
          <w:trHeight w:val="1318"/>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8F7"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T67</w:t>
            </w:r>
          </w:p>
        </w:tc>
        <w:tc>
          <w:tcPr>
            <w:tcW w:w="1813" w:type="dxa"/>
            <w:vAlign w:val="center"/>
            <w:hideMark/>
          </w:tcPr>
          <w:p w14:paraId="6EDD08F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Sjelljen në drejtim: fushata informuese mbi sjelljen në drejtimin efikas (eco-driving) </w:t>
            </w:r>
          </w:p>
        </w:tc>
        <w:tc>
          <w:tcPr>
            <w:tcW w:w="900" w:type="dxa"/>
            <w:vAlign w:val="center"/>
            <w:hideMark/>
          </w:tcPr>
          <w:p w14:paraId="6EDD08F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2017-2018</w:t>
            </w:r>
          </w:p>
        </w:tc>
        <w:tc>
          <w:tcPr>
            <w:tcW w:w="810" w:type="dxa"/>
            <w:vAlign w:val="center"/>
            <w:hideMark/>
          </w:tcPr>
          <w:p w14:paraId="6EDD08F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1260" w:type="dxa"/>
            <w:vAlign w:val="center"/>
          </w:tcPr>
          <w:p w14:paraId="6EDD08F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noWrap/>
            <w:vAlign w:val="center"/>
            <w:hideMark/>
          </w:tcPr>
          <w:p w14:paraId="6EDD08F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40,000.00</w:t>
            </w:r>
          </w:p>
        </w:tc>
        <w:tc>
          <w:tcPr>
            <w:tcW w:w="1260" w:type="dxa"/>
            <w:noWrap/>
            <w:vAlign w:val="center"/>
            <w:hideMark/>
          </w:tcPr>
          <w:p w14:paraId="6EDD08F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8F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8F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noWrap/>
            <w:vAlign w:val="center"/>
            <w:hideMark/>
          </w:tcPr>
          <w:p w14:paraId="6EDD0900"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901"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noWrap/>
            <w:vAlign w:val="center"/>
            <w:hideMark/>
          </w:tcPr>
          <w:p w14:paraId="6EDD090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40,000.00</w:t>
            </w:r>
          </w:p>
        </w:tc>
        <w:tc>
          <w:tcPr>
            <w:tcW w:w="3150" w:type="dxa"/>
            <w:vAlign w:val="center"/>
            <w:hideMark/>
          </w:tcPr>
          <w:p w14:paraId="6EDD090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vetëm për 2 vite. Bazuar në rezultate të ngjashme</w:t>
            </w:r>
          </w:p>
        </w:tc>
      </w:tr>
      <w:tr w:rsidR="00FB584C" w:rsidRPr="007114AF" w14:paraId="6EDD0910"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905"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T68</w:t>
            </w:r>
          </w:p>
        </w:tc>
        <w:tc>
          <w:tcPr>
            <w:tcW w:w="1813" w:type="dxa"/>
            <w:vAlign w:val="center"/>
            <w:hideMark/>
          </w:tcPr>
          <w:p w14:paraId="6EDD090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Monitorimi i ndotjes GES për transportin dhe aviacionin</w:t>
            </w:r>
          </w:p>
        </w:tc>
        <w:tc>
          <w:tcPr>
            <w:tcW w:w="900" w:type="dxa"/>
            <w:vAlign w:val="center"/>
            <w:hideMark/>
          </w:tcPr>
          <w:p w14:paraId="6EDD090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810" w:type="dxa"/>
            <w:vAlign w:val="center"/>
            <w:hideMark/>
          </w:tcPr>
          <w:p w14:paraId="6EDD090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Ndryshimet Klimatike</w:t>
            </w:r>
          </w:p>
        </w:tc>
        <w:tc>
          <w:tcPr>
            <w:tcW w:w="1260" w:type="dxa"/>
            <w:vAlign w:val="center"/>
          </w:tcPr>
          <w:p w14:paraId="6EDD090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r w:rsidRPr="007114AF">
              <w:rPr>
                <w:rFonts w:ascii="Garamond" w:eastAsia="Times New Roman" w:hAnsi="Garamond" w:cs="Calibri"/>
                <w:sz w:val="18"/>
                <w:szCs w:val="18"/>
              </w:rPr>
              <w:t>Mundësuese</w:t>
            </w:r>
          </w:p>
        </w:tc>
        <w:tc>
          <w:tcPr>
            <w:tcW w:w="1080" w:type="dxa"/>
            <w:vAlign w:val="center"/>
            <w:hideMark/>
          </w:tcPr>
          <w:p w14:paraId="6EDD090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90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90C"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90D"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90E"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90F"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impakt i drejtpërdrejtë mbi buxhetin qeveritar</w:t>
            </w:r>
          </w:p>
        </w:tc>
      </w:tr>
      <w:tr w:rsidR="00FB584C" w:rsidRPr="007114AF" w14:paraId="6EDD091C" w14:textId="77777777" w:rsidTr="00FB584C">
        <w:trPr>
          <w:cantSplit/>
          <w:trHeight w:val="20"/>
          <w:jc w:val="center"/>
        </w:trPr>
        <w:tc>
          <w:tcPr>
            <w:cnfStyle w:val="001000000000" w:firstRow="0" w:lastRow="0" w:firstColumn="1" w:lastColumn="0" w:oddVBand="0" w:evenVBand="0" w:oddHBand="0" w:evenHBand="0" w:firstRowFirstColumn="0" w:firstRowLastColumn="0" w:lastRowFirstColumn="0" w:lastRowLastColumn="0"/>
            <w:tcW w:w="534" w:type="dxa"/>
            <w:noWrap/>
            <w:vAlign w:val="center"/>
            <w:hideMark/>
          </w:tcPr>
          <w:p w14:paraId="6EDD0911" w14:textId="77777777" w:rsidR="00FB584C" w:rsidRPr="007114AF" w:rsidRDefault="00FB584C" w:rsidP="00FB584C">
            <w:pPr>
              <w:spacing w:after="0"/>
              <w:rPr>
                <w:rFonts w:ascii="Garamond" w:eastAsia="Times New Roman" w:hAnsi="Garamond" w:cs="Times New Roman"/>
                <w:b w:val="0"/>
                <w:bCs w:val="0"/>
                <w:sz w:val="18"/>
                <w:szCs w:val="18"/>
              </w:rPr>
            </w:pPr>
            <w:r w:rsidRPr="007114AF">
              <w:rPr>
                <w:rFonts w:ascii="Garamond" w:eastAsia="Times New Roman" w:hAnsi="Garamond" w:cs="Times New Roman"/>
                <w:sz w:val="18"/>
                <w:szCs w:val="18"/>
              </w:rPr>
              <w:t>T69</w:t>
            </w:r>
          </w:p>
        </w:tc>
        <w:tc>
          <w:tcPr>
            <w:tcW w:w="1813" w:type="dxa"/>
            <w:vAlign w:val="center"/>
            <w:hideMark/>
          </w:tcPr>
          <w:p w14:paraId="6EDD0912"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Monitorimi i ndotjes GES për transportin rrugor </w:t>
            </w:r>
          </w:p>
        </w:tc>
        <w:tc>
          <w:tcPr>
            <w:tcW w:w="900" w:type="dxa"/>
            <w:vAlign w:val="center"/>
            <w:hideMark/>
          </w:tcPr>
          <w:p w14:paraId="6EDD0913"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810" w:type="dxa"/>
            <w:vAlign w:val="center"/>
            <w:hideMark/>
          </w:tcPr>
          <w:p w14:paraId="6EDD0914"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Draftligji mbi Ndryshimet Klimatike</w:t>
            </w:r>
          </w:p>
        </w:tc>
        <w:tc>
          <w:tcPr>
            <w:tcW w:w="1260" w:type="dxa"/>
            <w:vAlign w:val="center"/>
          </w:tcPr>
          <w:p w14:paraId="6EDD0915"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sz w:val="18"/>
                <w:szCs w:val="18"/>
              </w:rPr>
            </w:pPr>
          </w:p>
        </w:tc>
        <w:tc>
          <w:tcPr>
            <w:tcW w:w="1080" w:type="dxa"/>
            <w:vAlign w:val="center"/>
            <w:hideMark/>
          </w:tcPr>
          <w:p w14:paraId="6EDD0916"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60" w:type="dxa"/>
            <w:vAlign w:val="center"/>
            <w:hideMark/>
          </w:tcPr>
          <w:p w14:paraId="6EDD0917"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918"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080" w:type="dxa"/>
            <w:vAlign w:val="center"/>
            <w:hideMark/>
          </w:tcPr>
          <w:p w14:paraId="6EDD0919"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60" w:type="dxa"/>
            <w:vAlign w:val="center"/>
            <w:hideMark/>
          </w:tcPr>
          <w:p w14:paraId="6EDD091A"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3150" w:type="dxa"/>
            <w:vAlign w:val="center"/>
            <w:hideMark/>
          </w:tcPr>
          <w:p w14:paraId="6EDD091B" w14:textId="77777777" w:rsidR="00FB584C" w:rsidRPr="007114AF" w:rsidRDefault="00FB584C" w:rsidP="00FB584C">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impakt i drejtpërdrejtë në buxhetin shtetëror. Drejtoria e Përgjithshme e Rrugëve dhe Shërbimeve të Transportit mund të prodhojë raporte periodike</w:t>
            </w:r>
          </w:p>
        </w:tc>
      </w:tr>
    </w:tbl>
    <w:p w14:paraId="6EDD091D" w14:textId="77777777" w:rsidR="005F61FA" w:rsidRPr="007114AF" w:rsidRDefault="005F61FA" w:rsidP="00524E98">
      <w:pPr>
        <w:pStyle w:val="TEKSTI"/>
      </w:pPr>
    </w:p>
    <w:p w14:paraId="6EDD091E" w14:textId="77777777" w:rsidR="00D61ADB" w:rsidRPr="007114AF" w:rsidRDefault="00D61ADB" w:rsidP="00D61ADB">
      <w:pPr>
        <w:pStyle w:val="TEKSTI"/>
        <w:rPr>
          <w:b/>
          <w:lang w:eastAsia="en-US"/>
        </w:rPr>
      </w:pPr>
      <w:bookmarkStart w:id="180" w:name="_Toc484424528"/>
      <w:r w:rsidRPr="007114AF">
        <w:rPr>
          <w:b/>
          <w:lang w:eastAsia="en-US"/>
        </w:rPr>
        <w:t>5.8.3 Bujqësi</w:t>
      </w:r>
      <w:bookmarkEnd w:id="180"/>
    </w:p>
    <w:tbl>
      <w:tblPr>
        <w:tblStyle w:val="GridTable1Light-Accent11"/>
        <w:tblW w:w="14443" w:type="dxa"/>
        <w:jc w:val="center"/>
        <w:tblLook w:val="04A0" w:firstRow="1" w:lastRow="0" w:firstColumn="1" w:lastColumn="0" w:noHBand="0" w:noVBand="1"/>
      </w:tblPr>
      <w:tblGrid>
        <w:gridCol w:w="491"/>
        <w:gridCol w:w="2007"/>
        <w:gridCol w:w="1274"/>
        <w:gridCol w:w="1109"/>
        <w:gridCol w:w="1094"/>
        <w:gridCol w:w="1237"/>
        <w:gridCol w:w="1135"/>
        <w:gridCol w:w="1094"/>
        <w:gridCol w:w="1094"/>
        <w:gridCol w:w="1172"/>
        <w:gridCol w:w="2736"/>
      </w:tblGrid>
      <w:tr w:rsidR="00D61ADB" w:rsidRPr="007114AF" w14:paraId="6EDD092A" w14:textId="77777777" w:rsidTr="00D61ADB">
        <w:trPr>
          <w:cnfStyle w:val="100000000000" w:firstRow="1" w:lastRow="0" w:firstColumn="0" w:lastColumn="0" w:oddVBand="0" w:evenVBand="0" w:oddHBand="0" w:evenHBand="0" w:firstRowFirstColumn="0" w:firstRowLastColumn="0" w:lastRowFirstColumn="0" w:lastRowLastColumn="0"/>
          <w:cantSplit/>
          <w:trHeight w:val="20"/>
          <w:tblHeade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1F"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ID</w:t>
            </w:r>
          </w:p>
        </w:tc>
        <w:tc>
          <w:tcPr>
            <w:tcW w:w="0" w:type="auto"/>
            <w:vAlign w:val="center"/>
            <w:hideMark/>
          </w:tcPr>
          <w:p w14:paraId="6EDD0920" w14:textId="77777777" w:rsidR="00D61ADB" w:rsidRPr="007114AF" w:rsidRDefault="00D61ADB" w:rsidP="00D61AD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Masa</w:t>
            </w:r>
          </w:p>
        </w:tc>
        <w:tc>
          <w:tcPr>
            <w:tcW w:w="0" w:type="auto"/>
            <w:vAlign w:val="center"/>
            <w:hideMark/>
          </w:tcPr>
          <w:p w14:paraId="6EDD0921" w14:textId="77777777" w:rsidR="00D61ADB" w:rsidRPr="007114AF" w:rsidRDefault="00D61ADB" w:rsidP="00D61AD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Viti/periudha</w:t>
            </w:r>
          </w:p>
        </w:tc>
        <w:tc>
          <w:tcPr>
            <w:tcW w:w="0" w:type="auto"/>
            <w:vAlign w:val="center"/>
            <w:hideMark/>
          </w:tcPr>
          <w:p w14:paraId="6EDD0922" w14:textId="77777777" w:rsidR="00D61ADB" w:rsidRPr="007114AF" w:rsidRDefault="00D61ADB" w:rsidP="00D61AD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Burimi</w:t>
            </w:r>
          </w:p>
        </w:tc>
        <w:tc>
          <w:tcPr>
            <w:tcW w:w="0" w:type="auto"/>
            <w:vAlign w:val="center"/>
          </w:tcPr>
          <w:p w14:paraId="6EDD0923" w14:textId="77777777" w:rsidR="00D61ADB" w:rsidRPr="007114AF" w:rsidRDefault="00D61ADB" w:rsidP="00D61AD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hAnsi="Garamond"/>
                <w:sz w:val="18"/>
                <w:szCs w:val="18"/>
              </w:rPr>
              <w:t>Lloji i efektit</w:t>
            </w:r>
          </w:p>
        </w:tc>
        <w:tc>
          <w:tcPr>
            <w:tcW w:w="0" w:type="auto"/>
            <w:vAlign w:val="center"/>
            <w:hideMark/>
          </w:tcPr>
          <w:p w14:paraId="6EDD0924" w14:textId="77777777" w:rsidR="00D61ADB" w:rsidRPr="007114AF" w:rsidRDefault="00D61ADB" w:rsidP="00D61AD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Kosto Totale në mijëra ALL</w:t>
            </w:r>
          </w:p>
        </w:tc>
        <w:tc>
          <w:tcPr>
            <w:tcW w:w="0" w:type="auto"/>
            <w:vAlign w:val="center"/>
            <w:hideMark/>
          </w:tcPr>
          <w:p w14:paraId="6EDD0925" w14:textId="77777777" w:rsidR="00D61ADB" w:rsidRPr="007114AF" w:rsidRDefault="00D61ADB" w:rsidP="00D61AD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Buxheti i Shtetit</w:t>
            </w:r>
          </w:p>
        </w:tc>
        <w:tc>
          <w:tcPr>
            <w:tcW w:w="0" w:type="auto"/>
            <w:vAlign w:val="center"/>
            <w:hideMark/>
          </w:tcPr>
          <w:p w14:paraId="6EDD0926" w14:textId="77777777" w:rsidR="00D61ADB" w:rsidRPr="007114AF" w:rsidRDefault="00D61ADB" w:rsidP="00D61AD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Donatorët</w:t>
            </w:r>
          </w:p>
        </w:tc>
        <w:tc>
          <w:tcPr>
            <w:tcW w:w="0" w:type="auto"/>
            <w:vAlign w:val="center"/>
            <w:hideMark/>
          </w:tcPr>
          <w:p w14:paraId="6EDD0927" w14:textId="77777777" w:rsidR="00D61ADB" w:rsidRPr="007114AF" w:rsidRDefault="00D61ADB" w:rsidP="00D61AD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Tjetër</w:t>
            </w:r>
          </w:p>
        </w:tc>
        <w:tc>
          <w:tcPr>
            <w:tcW w:w="0" w:type="auto"/>
            <w:vAlign w:val="center"/>
            <w:hideMark/>
          </w:tcPr>
          <w:p w14:paraId="6EDD0928" w14:textId="77777777" w:rsidR="00D61ADB" w:rsidRPr="007114AF" w:rsidRDefault="00D61ADB" w:rsidP="00D61AD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Hapësira Financiare</w:t>
            </w:r>
          </w:p>
        </w:tc>
        <w:tc>
          <w:tcPr>
            <w:tcW w:w="0" w:type="auto"/>
            <w:vAlign w:val="center"/>
            <w:hideMark/>
          </w:tcPr>
          <w:p w14:paraId="6EDD0929" w14:textId="77777777" w:rsidR="00D61ADB" w:rsidRPr="007114AF" w:rsidRDefault="00D61ADB" w:rsidP="00D61ADB">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Shënim mbi kostot</w:t>
            </w:r>
          </w:p>
        </w:tc>
      </w:tr>
      <w:tr w:rsidR="00D61ADB" w:rsidRPr="007114AF" w14:paraId="6EDD0936" w14:textId="77777777" w:rsidTr="00D61ADB">
        <w:trPr>
          <w:trHeight w:val="69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2B"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A1</w:t>
            </w:r>
          </w:p>
        </w:tc>
        <w:tc>
          <w:tcPr>
            <w:tcW w:w="0" w:type="auto"/>
            <w:vAlign w:val="center"/>
            <w:hideMark/>
          </w:tcPr>
          <w:p w14:paraId="6EDD092C"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Paraqitja, ruajtja dhe rritja e elementeve agro-pyjorë</w:t>
            </w:r>
          </w:p>
        </w:tc>
        <w:tc>
          <w:tcPr>
            <w:tcW w:w="0" w:type="auto"/>
            <w:vAlign w:val="center"/>
            <w:hideMark/>
          </w:tcPr>
          <w:p w14:paraId="6EDD092D"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0" w:type="auto"/>
            <w:vAlign w:val="center"/>
            <w:hideMark/>
          </w:tcPr>
          <w:p w14:paraId="6EDD092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 KTK; PKT</w:t>
            </w:r>
          </w:p>
        </w:tc>
        <w:tc>
          <w:tcPr>
            <w:tcW w:w="0" w:type="auto"/>
            <w:vAlign w:val="center"/>
          </w:tcPr>
          <w:p w14:paraId="6EDD092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hideMark/>
          </w:tcPr>
          <w:p w14:paraId="6EDD0930"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419.900,00</w:t>
            </w:r>
          </w:p>
        </w:tc>
        <w:tc>
          <w:tcPr>
            <w:tcW w:w="0" w:type="auto"/>
            <w:noWrap/>
            <w:hideMark/>
          </w:tcPr>
          <w:p w14:paraId="6EDD0931"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341.863,00</w:t>
            </w:r>
          </w:p>
        </w:tc>
        <w:tc>
          <w:tcPr>
            <w:tcW w:w="0" w:type="auto"/>
            <w:noWrap/>
            <w:hideMark/>
          </w:tcPr>
          <w:p w14:paraId="6EDD093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 </w:t>
            </w:r>
          </w:p>
        </w:tc>
        <w:tc>
          <w:tcPr>
            <w:tcW w:w="0" w:type="auto"/>
            <w:noWrap/>
            <w:hideMark/>
          </w:tcPr>
          <w:p w14:paraId="6EDD093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78.037,00</w:t>
            </w:r>
          </w:p>
        </w:tc>
        <w:tc>
          <w:tcPr>
            <w:tcW w:w="0" w:type="auto"/>
            <w:noWrap/>
            <w:hideMark/>
          </w:tcPr>
          <w:p w14:paraId="6EDD0934"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color w:val="FF0000"/>
                <w:sz w:val="18"/>
                <w:szCs w:val="18"/>
              </w:rPr>
              <w:t> </w:t>
            </w:r>
          </w:p>
        </w:tc>
        <w:tc>
          <w:tcPr>
            <w:tcW w:w="0" w:type="auto"/>
            <w:hideMark/>
          </w:tcPr>
          <w:p w14:paraId="6EDD0935" w14:textId="25E3D02D"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Kostoja mund të jetë 3,000 euro/ha.Fondi Rajonal I zhvillimit 338,137) MoE (3,726), LGU</w:t>
            </w:r>
            <w:r w:rsidR="000A2A01" w:rsidRPr="007114AF">
              <w:rPr>
                <w:rFonts w:ascii="Garamond" w:hAnsi="Garamond"/>
                <w:sz w:val="18"/>
                <w:szCs w:val="18"/>
              </w:rPr>
              <w:t xml:space="preserve"> </w:t>
            </w:r>
            <w:r w:rsidRPr="007114AF">
              <w:rPr>
                <w:rFonts w:ascii="Garamond" w:hAnsi="Garamond"/>
                <w:sz w:val="18"/>
                <w:szCs w:val="18"/>
              </w:rPr>
              <w:t>(78,037)</w:t>
            </w:r>
          </w:p>
        </w:tc>
      </w:tr>
      <w:tr w:rsidR="00D61ADB" w:rsidRPr="007114AF" w14:paraId="6EDD094C" w14:textId="77777777" w:rsidTr="00D61ADB">
        <w:trPr>
          <w:trHeight w:val="98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37"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A2</w:t>
            </w:r>
          </w:p>
        </w:tc>
        <w:tc>
          <w:tcPr>
            <w:tcW w:w="0" w:type="auto"/>
            <w:vAlign w:val="center"/>
            <w:hideMark/>
          </w:tcPr>
          <w:p w14:paraId="6EDD0938"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Përmirësimi i menaxhimit të blektorisë me qëllim uljen e shkarkimittë metanit </w:t>
            </w:r>
          </w:p>
        </w:tc>
        <w:tc>
          <w:tcPr>
            <w:tcW w:w="0" w:type="auto"/>
            <w:vAlign w:val="center"/>
            <w:hideMark/>
          </w:tcPr>
          <w:p w14:paraId="6EDD0939"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0" w:type="auto"/>
            <w:vAlign w:val="center"/>
            <w:hideMark/>
          </w:tcPr>
          <w:p w14:paraId="6EDD093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KTK</w:t>
            </w:r>
          </w:p>
        </w:tc>
        <w:tc>
          <w:tcPr>
            <w:tcW w:w="0" w:type="auto"/>
            <w:vAlign w:val="center"/>
          </w:tcPr>
          <w:p w14:paraId="6EDD093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noWrap/>
            <w:vAlign w:val="center"/>
            <w:hideMark/>
          </w:tcPr>
          <w:p w14:paraId="6EDD093C"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343,250.00</w:t>
            </w:r>
          </w:p>
          <w:p w14:paraId="6EDD093D"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93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3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940"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941"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4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94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944"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45"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94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94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48"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343,250.00</w:t>
            </w:r>
          </w:p>
          <w:p w14:paraId="6EDD0949"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p w14:paraId="6EDD094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4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Nuk ka rezultat të planëzuar për këtë masë në buxhetin afat mesëm. Nuk ka një impakt të parashikuar në buxhetin shtetëror </w:t>
            </w:r>
          </w:p>
        </w:tc>
      </w:tr>
      <w:tr w:rsidR="00D61ADB" w:rsidRPr="007114AF" w14:paraId="6EDD0958"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4D"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A3</w:t>
            </w:r>
          </w:p>
        </w:tc>
        <w:tc>
          <w:tcPr>
            <w:tcW w:w="0" w:type="auto"/>
            <w:vAlign w:val="center"/>
            <w:hideMark/>
          </w:tcPr>
          <w:p w14:paraId="6EDD094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Mobilimi i tokës bujqësore</w:t>
            </w:r>
          </w:p>
        </w:tc>
        <w:tc>
          <w:tcPr>
            <w:tcW w:w="0" w:type="auto"/>
            <w:vAlign w:val="center"/>
            <w:hideMark/>
          </w:tcPr>
          <w:p w14:paraId="6EDD094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0" w:type="auto"/>
            <w:vAlign w:val="center"/>
            <w:hideMark/>
          </w:tcPr>
          <w:p w14:paraId="6EDD0950"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KTK</w:t>
            </w:r>
          </w:p>
        </w:tc>
        <w:tc>
          <w:tcPr>
            <w:tcW w:w="0" w:type="auto"/>
            <w:vAlign w:val="center"/>
          </w:tcPr>
          <w:p w14:paraId="6EDD0951"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vAlign w:val="center"/>
            <w:hideMark/>
          </w:tcPr>
          <w:p w14:paraId="6EDD095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186,728.00</w:t>
            </w:r>
          </w:p>
        </w:tc>
        <w:tc>
          <w:tcPr>
            <w:tcW w:w="0" w:type="auto"/>
            <w:noWrap/>
            <w:vAlign w:val="center"/>
            <w:hideMark/>
          </w:tcPr>
          <w:p w14:paraId="6EDD095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54"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186,728.00</w:t>
            </w:r>
          </w:p>
        </w:tc>
        <w:tc>
          <w:tcPr>
            <w:tcW w:w="0" w:type="auto"/>
            <w:noWrap/>
            <w:vAlign w:val="center"/>
            <w:hideMark/>
          </w:tcPr>
          <w:p w14:paraId="6EDD0955"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5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5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Përbërësi 2 i WB-ës borxhit Planëzimit dhe dhënies së granteve si IPARD-20% e totalit (Pjesë e buxhetit shtetëror e parashikuar nga SMNS për periudhën 2015-2020)</w:t>
            </w:r>
            <w:r w:rsidRPr="007114AF">
              <w:rPr>
                <w:rFonts w:ascii="Garamond" w:eastAsia="Times New Roman" w:hAnsi="Garamond" w:cs="Times New Roman"/>
                <w:sz w:val="18"/>
                <w:szCs w:val="18"/>
              </w:rPr>
              <w:br/>
              <w:t>për të përmirësuar menaxhimin e kohës</w:t>
            </w:r>
          </w:p>
        </w:tc>
      </w:tr>
      <w:tr w:rsidR="00D61ADB" w:rsidRPr="007114AF" w14:paraId="6EDD0964"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59"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A4</w:t>
            </w:r>
          </w:p>
        </w:tc>
        <w:tc>
          <w:tcPr>
            <w:tcW w:w="0" w:type="auto"/>
            <w:vAlign w:val="center"/>
            <w:hideMark/>
          </w:tcPr>
          <w:p w14:paraId="6EDD095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Ndotje të ulëta dhe kultivim i qëndrueshëm ibimëve aromatike mjekësore</w:t>
            </w:r>
          </w:p>
        </w:tc>
        <w:tc>
          <w:tcPr>
            <w:tcW w:w="0" w:type="auto"/>
            <w:vAlign w:val="center"/>
            <w:hideMark/>
          </w:tcPr>
          <w:p w14:paraId="6EDD095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0" w:type="auto"/>
            <w:vAlign w:val="center"/>
            <w:hideMark/>
          </w:tcPr>
          <w:p w14:paraId="6EDD095C"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PKT; SNBZHR</w:t>
            </w:r>
          </w:p>
        </w:tc>
        <w:tc>
          <w:tcPr>
            <w:tcW w:w="0" w:type="auto"/>
            <w:vAlign w:val="center"/>
          </w:tcPr>
          <w:p w14:paraId="6EDD095D"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vAlign w:val="center"/>
            <w:hideMark/>
          </w:tcPr>
          <w:p w14:paraId="6EDD095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970,253</w:t>
            </w:r>
          </w:p>
        </w:tc>
        <w:tc>
          <w:tcPr>
            <w:tcW w:w="0" w:type="auto"/>
            <w:noWrap/>
            <w:vAlign w:val="center"/>
            <w:hideMark/>
          </w:tcPr>
          <w:p w14:paraId="6EDD095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60"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970,253.00</w:t>
            </w:r>
          </w:p>
        </w:tc>
        <w:tc>
          <w:tcPr>
            <w:tcW w:w="0" w:type="auto"/>
            <w:noWrap/>
            <w:vAlign w:val="center"/>
            <w:hideMark/>
          </w:tcPr>
          <w:p w14:paraId="6EDD0961"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6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6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dhënë për IPARD (70.666.667 € total investim deri në 2020)(10% e totalit të fondeve)</w:t>
            </w:r>
          </w:p>
        </w:tc>
      </w:tr>
      <w:tr w:rsidR="00D61ADB" w:rsidRPr="007114AF" w14:paraId="6EDD0970"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65"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A5</w:t>
            </w:r>
          </w:p>
        </w:tc>
        <w:tc>
          <w:tcPr>
            <w:tcW w:w="0" w:type="auto"/>
            <w:vAlign w:val="center"/>
            <w:hideMark/>
          </w:tcPr>
          <w:p w14:paraId="6EDD096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Përdorim i qëndrueshëm i mbetjeve bujqësore për prodhimin e bioenergjisë nga përdorimi dytësor i biomasës bujqësore</w:t>
            </w:r>
          </w:p>
        </w:tc>
        <w:tc>
          <w:tcPr>
            <w:tcW w:w="0" w:type="auto"/>
            <w:vAlign w:val="center"/>
            <w:hideMark/>
          </w:tcPr>
          <w:p w14:paraId="6EDD096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0" w:type="auto"/>
            <w:vAlign w:val="center"/>
            <w:hideMark/>
          </w:tcPr>
          <w:p w14:paraId="6EDD0968"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 KTK</w:t>
            </w:r>
          </w:p>
        </w:tc>
        <w:tc>
          <w:tcPr>
            <w:tcW w:w="0" w:type="auto"/>
            <w:vAlign w:val="center"/>
          </w:tcPr>
          <w:p w14:paraId="6EDD0969"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vAlign w:val="center"/>
            <w:hideMark/>
          </w:tcPr>
          <w:p w14:paraId="6EDD096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5,460,584.00</w:t>
            </w:r>
          </w:p>
        </w:tc>
        <w:tc>
          <w:tcPr>
            <w:tcW w:w="0" w:type="auto"/>
            <w:noWrap/>
            <w:vAlign w:val="center"/>
            <w:hideMark/>
          </w:tcPr>
          <w:p w14:paraId="6EDD096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6C"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6D"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6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5,460,584.00</w:t>
            </w:r>
          </w:p>
        </w:tc>
        <w:tc>
          <w:tcPr>
            <w:tcW w:w="0" w:type="auto"/>
            <w:vAlign w:val="center"/>
            <w:hideMark/>
          </w:tcPr>
          <w:p w14:paraId="6EDD096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për njësi është mesatarja 100 €/KËh. Duke parashikuar investimin 400 GWh</w:t>
            </w:r>
          </w:p>
        </w:tc>
      </w:tr>
      <w:tr w:rsidR="00D61ADB" w:rsidRPr="007114AF" w14:paraId="6EDD097C"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71"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A6</w:t>
            </w:r>
          </w:p>
        </w:tc>
        <w:tc>
          <w:tcPr>
            <w:tcW w:w="0" w:type="auto"/>
            <w:vAlign w:val="center"/>
            <w:hideMark/>
          </w:tcPr>
          <w:p w14:paraId="6EDD097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menaxhimit të mbetjeve bujqësore</w:t>
            </w:r>
          </w:p>
        </w:tc>
        <w:tc>
          <w:tcPr>
            <w:tcW w:w="0" w:type="auto"/>
            <w:vAlign w:val="center"/>
            <w:hideMark/>
          </w:tcPr>
          <w:p w14:paraId="6EDD097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0" w:type="auto"/>
            <w:vAlign w:val="center"/>
            <w:hideMark/>
          </w:tcPr>
          <w:p w14:paraId="6EDD0974"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KTK</w:t>
            </w:r>
          </w:p>
        </w:tc>
        <w:tc>
          <w:tcPr>
            <w:tcW w:w="0" w:type="auto"/>
            <w:vAlign w:val="center"/>
          </w:tcPr>
          <w:p w14:paraId="6EDD0975"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vAlign w:val="center"/>
            <w:hideMark/>
          </w:tcPr>
          <w:p w14:paraId="6EDD097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7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78"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79"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7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7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Nuk parashikohet një impakt i drejtpërdrejtë në buxhetin e shtetit deri në 2019.</w:t>
            </w:r>
          </w:p>
        </w:tc>
      </w:tr>
      <w:tr w:rsidR="00D61ADB" w:rsidRPr="007114AF" w14:paraId="6EDD0988"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7D"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A7</w:t>
            </w:r>
          </w:p>
        </w:tc>
        <w:tc>
          <w:tcPr>
            <w:tcW w:w="0" w:type="auto"/>
            <w:vAlign w:val="center"/>
            <w:hideMark/>
          </w:tcPr>
          <w:p w14:paraId="6EDD097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Ulja e inputeve kimike në bujqësi</w:t>
            </w:r>
          </w:p>
        </w:tc>
        <w:tc>
          <w:tcPr>
            <w:tcW w:w="0" w:type="auto"/>
            <w:vAlign w:val="center"/>
            <w:hideMark/>
          </w:tcPr>
          <w:p w14:paraId="6EDD097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0" w:type="auto"/>
            <w:vAlign w:val="center"/>
            <w:hideMark/>
          </w:tcPr>
          <w:p w14:paraId="6EDD0980"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0" w:type="auto"/>
            <w:vAlign w:val="center"/>
          </w:tcPr>
          <w:p w14:paraId="6EDD0981"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0" w:type="auto"/>
            <w:vAlign w:val="center"/>
            <w:hideMark/>
          </w:tcPr>
          <w:p w14:paraId="6EDD098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23,740.00</w:t>
            </w:r>
          </w:p>
        </w:tc>
        <w:tc>
          <w:tcPr>
            <w:tcW w:w="0" w:type="auto"/>
            <w:noWrap/>
            <w:vAlign w:val="center"/>
            <w:hideMark/>
          </w:tcPr>
          <w:p w14:paraId="6EDD098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84"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85"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8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23,740.00</w:t>
            </w:r>
          </w:p>
        </w:tc>
        <w:tc>
          <w:tcPr>
            <w:tcW w:w="0" w:type="auto"/>
            <w:vAlign w:val="center"/>
            <w:hideMark/>
          </w:tcPr>
          <w:p w14:paraId="6EDD098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e parashikuar nga SMNS për periudhën 2016-2020 (Pjesë e rezultatit A-Program i ruajtjes së Mjedisit)</w:t>
            </w:r>
          </w:p>
        </w:tc>
      </w:tr>
      <w:tr w:rsidR="00D61ADB" w:rsidRPr="007114AF" w14:paraId="6EDD0994" w14:textId="77777777" w:rsidTr="00D61ADB">
        <w:trPr>
          <w:trHeight w:val="819"/>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89"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A8</w:t>
            </w:r>
          </w:p>
        </w:tc>
        <w:tc>
          <w:tcPr>
            <w:tcW w:w="0" w:type="auto"/>
            <w:vAlign w:val="center"/>
            <w:hideMark/>
          </w:tcPr>
          <w:p w14:paraId="6EDD098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Uljae ndotjeve N</w:t>
            </w:r>
            <w:r w:rsidRPr="007114AF">
              <w:rPr>
                <w:rFonts w:ascii="Garamond" w:eastAsia="Times New Roman" w:hAnsi="Garamond" w:cs="Times New Roman"/>
                <w:sz w:val="18"/>
                <w:szCs w:val="18"/>
                <w:vertAlign w:val="subscript"/>
              </w:rPr>
              <w:t>2</w:t>
            </w:r>
            <w:r w:rsidRPr="007114AF">
              <w:rPr>
                <w:rFonts w:ascii="Garamond" w:eastAsia="Times New Roman" w:hAnsi="Garamond" w:cs="Times New Roman"/>
                <w:sz w:val="18"/>
                <w:szCs w:val="18"/>
              </w:rPr>
              <w:t>O nga fertilizuesit</w:t>
            </w:r>
          </w:p>
        </w:tc>
        <w:tc>
          <w:tcPr>
            <w:tcW w:w="0" w:type="auto"/>
            <w:vAlign w:val="center"/>
            <w:hideMark/>
          </w:tcPr>
          <w:p w14:paraId="6EDD098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0" w:type="auto"/>
            <w:vAlign w:val="center"/>
            <w:hideMark/>
          </w:tcPr>
          <w:p w14:paraId="6EDD098C"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KTK</w:t>
            </w:r>
          </w:p>
        </w:tc>
        <w:tc>
          <w:tcPr>
            <w:tcW w:w="0" w:type="auto"/>
            <w:vAlign w:val="center"/>
          </w:tcPr>
          <w:p w14:paraId="6EDD098D"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vAlign w:val="center"/>
            <w:hideMark/>
          </w:tcPr>
          <w:p w14:paraId="6EDD098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254,000.00</w:t>
            </w:r>
          </w:p>
        </w:tc>
        <w:tc>
          <w:tcPr>
            <w:tcW w:w="0" w:type="auto"/>
            <w:noWrap/>
            <w:vAlign w:val="center"/>
            <w:hideMark/>
          </w:tcPr>
          <w:p w14:paraId="6EDD098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90"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91"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9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254,000.00</w:t>
            </w:r>
          </w:p>
        </w:tc>
        <w:tc>
          <w:tcPr>
            <w:tcW w:w="0" w:type="auto"/>
            <w:vAlign w:val="center"/>
            <w:hideMark/>
          </w:tcPr>
          <w:p w14:paraId="6EDD099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Fondet për projektet pilote. Nuk ka rezultate të identifikuara në buxhetin afatmesëm.</w:t>
            </w:r>
          </w:p>
        </w:tc>
      </w:tr>
      <w:tr w:rsidR="00D61ADB" w:rsidRPr="007114AF" w14:paraId="6EDD09A0" w14:textId="77777777" w:rsidTr="00D61ADB">
        <w:trPr>
          <w:trHeight w:val="53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95"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A9</w:t>
            </w:r>
          </w:p>
        </w:tc>
        <w:tc>
          <w:tcPr>
            <w:tcW w:w="0" w:type="auto"/>
            <w:vAlign w:val="center"/>
            <w:hideMark/>
          </w:tcPr>
          <w:p w14:paraId="6EDD099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bujqësisë organike</w:t>
            </w:r>
          </w:p>
        </w:tc>
        <w:tc>
          <w:tcPr>
            <w:tcW w:w="0" w:type="auto"/>
            <w:vAlign w:val="center"/>
            <w:hideMark/>
          </w:tcPr>
          <w:p w14:paraId="6EDD099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0" w:type="auto"/>
            <w:vAlign w:val="center"/>
            <w:hideMark/>
          </w:tcPr>
          <w:p w14:paraId="6EDD0998"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NSDI-II; SNBZHR; PKT</w:t>
            </w:r>
          </w:p>
        </w:tc>
        <w:tc>
          <w:tcPr>
            <w:tcW w:w="0" w:type="auto"/>
            <w:vAlign w:val="center"/>
          </w:tcPr>
          <w:p w14:paraId="6EDD0999"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vAlign w:val="center"/>
            <w:hideMark/>
          </w:tcPr>
          <w:p w14:paraId="6EDD099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1,455,380.01</w:t>
            </w:r>
          </w:p>
        </w:tc>
        <w:tc>
          <w:tcPr>
            <w:tcW w:w="0" w:type="auto"/>
            <w:noWrap/>
            <w:vAlign w:val="center"/>
            <w:hideMark/>
          </w:tcPr>
          <w:p w14:paraId="6EDD099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9C"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1,455,380.01</w:t>
            </w:r>
          </w:p>
        </w:tc>
        <w:tc>
          <w:tcPr>
            <w:tcW w:w="0" w:type="auto"/>
            <w:noWrap/>
            <w:vAlign w:val="center"/>
            <w:hideMark/>
          </w:tcPr>
          <w:p w14:paraId="6EDD099D"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9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9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alokuar në IPARD (15%)</w:t>
            </w:r>
          </w:p>
        </w:tc>
      </w:tr>
      <w:tr w:rsidR="00D61ADB" w:rsidRPr="007114AF" w14:paraId="6EDD09AC"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A1"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A10</w:t>
            </w:r>
          </w:p>
        </w:tc>
        <w:tc>
          <w:tcPr>
            <w:tcW w:w="0" w:type="auto"/>
            <w:vAlign w:val="center"/>
            <w:hideMark/>
          </w:tcPr>
          <w:p w14:paraId="6EDD09A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Përmirësimii eficiencës së energjisë dhe përdorimi i energjisë së rinovueshme në fermat bujqësore</w:t>
            </w:r>
          </w:p>
        </w:tc>
        <w:tc>
          <w:tcPr>
            <w:tcW w:w="0" w:type="auto"/>
            <w:vAlign w:val="center"/>
            <w:hideMark/>
          </w:tcPr>
          <w:p w14:paraId="6EDD09A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0" w:type="auto"/>
            <w:vAlign w:val="center"/>
            <w:hideMark/>
          </w:tcPr>
          <w:p w14:paraId="6EDD09A4"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SNBZHR</w:t>
            </w:r>
          </w:p>
        </w:tc>
        <w:tc>
          <w:tcPr>
            <w:tcW w:w="0" w:type="auto"/>
            <w:vAlign w:val="center"/>
          </w:tcPr>
          <w:p w14:paraId="6EDD09A5"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noWrap/>
            <w:vAlign w:val="center"/>
            <w:hideMark/>
          </w:tcPr>
          <w:p w14:paraId="6EDD09A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8,981,708.38</w:t>
            </w:r>
          </w:p>
        </w:tc>
        <w:tc>
          <w:tcPr>
            <w:tcW w:w="0" w:type="auto"/>
            <w:noWrap/>
            <w:vAlign w:val="center"/>
            <w:hideMark/>
          </w:tcPr>
          <w:p w14:paraId="6EDD09A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1,437,073.38</w:t>
            </w:r>
          </w:p>
        </w:tc>
        <w:tc>
          <w:tcPr>
            <w:tcW w:w="0" w:type="auto"/>
            <w:noWrap/>
            <w:vAlign w:val="center"/>
            <w:hideMark/>
          </w:tcPr>
          <w:p w14:paraId="6EDD09A8"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4,311,220.00</w:t>
            </w:r>
          </w:p>
        </w:tc>
        <w:tc>
          <w:tcPr>
            <w:tcW w:w="0" w:type="auto"/>
            <w:noWrap/>
            <w:vAlign w:val="center"/>
            <w:hideMark/>
          </w:tcPr>
          <w:p w14:paraId="6EDD09A9"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3,233,415.00</w:t>
            </w:r>
          </w:p>
        </w:tc>
        <w:tc>
          <w:tcPr>
            <w:tcW w:w="0" w:type="auto"/>
            <w:noWrap/>
            <w:vAlign w:val="center"/>
            <w:hideMark/>
          </w:tcPr>
          <w:p w14:paraId="6EDD09A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A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€ 65.416.667,00 është totali i buxhetit për periudhën 2016-2020, nga e cila ndihmë publike është: 31.400.000 € EU kontribut dhe 10.466.667 € Kontribut Kombëtar, Kontributi Privat është: 23.550.000 €</w:t>
            </w:r>
          </w:p>
        </w:tc>
      </w:tr>
      <w:tr w:rsidR="00D61ADB" w:rsidRPr="007114AF" w14:paraId="6EDD09B8"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AD"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A11</w:t>
            </w:r>
          </w:p>
        </w:tc>
        <w:tc>
          <w:tcPr>
            <w:tcW w:w="0" w:type="auto"/>
            <w:vAlign w:val="center"/>
            <w:hideMark/>
          </w:tcPr>
          <w:p w14:paraId="6EDD09A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Ndërtimi strukturave bujqësore me karakteristika të larta të eficiencës së energjisë</w:t>
            </w:r>
          </w:p>
        </w:tc>
        <w:tc>
          <w:tcPr>
            <w:tcW w:w="0" w:type="auto"/>
            <w:vAlign w:val="center"/>
            <w:hideMark/>
          </w:tcPr>
          <w:p w14:paraId="6EDD09A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2030</w:t>
            </w:r>
          </w:p>
        </w:tc>
        <w:tc>
          <w:tcPr>
            <w:tcW w:w="0" w:type="auto"/>
            <w:vAlign w:val="center"/>
            <w:hideMark/>
          </w:tcPr>
          <w:p w14:paraId="6EDD09B0"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PKT; SNBZHR</w:t>
            </w:r>
          </w:p>
        </w:tc>
        <w:tc>
          <w:tcPr>
            <w:tcW w:w="0" w:type="auto"/>
            <w:vAlign w:val="center"/>
          </w:tcPr>
          <w:p w14:paraId="6EDD09B1"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vAlign w:val="center"/>
            <w:hideMark/>
          </w:tcPr>
          <w:p w14:paraId="6EDD09B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1,940,508.68</w:t>
            </w:r>
          </w:p>
        </w:tc>
        <w:tc>
          <w:tcPr>
            <w:tcW w:w="0" w:type="auto"/>
            <w:noWrap/>
            <w:vAlign w:val="center"/>
            <w:hideMark/>
          </w:tcPr>
          <w:p w14:paraId="6EDD09B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B4"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1,940,508.68</w:t>
            </w:r>
          </w:p>
        </w:tc>
        <w:tc>
          <w:tcPr>
            <w:tcW w:w="0" w:type="auto"/>
            <w:noWrap/>
            <w:vAlign w:val="center"/>
            <w:hideMark/>
          </w:tcPr>
          <w:p w14:paraId="6EDD09B5"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B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B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alokuar në IPARD (70.666.667 € investim total deri në 2020) 20%</w:t>
            </w:r>
          </w:p>
        </w:tc>
      </w:tr>
      <w:tr w:rsidR="00D61ADB" w:rsidRPr="007114AF" w14:paraId="6EDD09C4"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B9"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A12</w:t>
            </w:r>
          </w:p>
        </w:tc>
        <w:tc>
          <w:tcPr>
            <w:tcW w:w="0" w:type="auto"/>
            <w:vAlign w:val="center"/>
            <w:hideMark/>
          </w:tcPr>
          <w:p w14:paraId="6EDD09B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Uljen e konsumit energjetik për vaditje duke përmirësuar eficiencëne përdorimit të ujit</w:t>
            </w:r>
          </w:p>
        </w:tc>
        <w:tc>
          <w:tcPr>
            <w:tcW w:w="0" w:type="auto"/>
            <w:vAlign w:val="center"/>
            <w:hideMark/>
          </w:tcPr>
          <w:p w14:paraId="6EDD09B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0" w:type="auto"/>
            <w:vAlign w:val="center"/>
            <w:hideMark/>
          </w:tcPr>
          <w:p w14:paraId="6EDD09BC"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PKVEE</w:t>
            </w:r>
          </w:p>
        </w:tc>
        <w:tc>
          <w:tcPr>
            <w:tcW w:w="0" w:type="auto"/>
            <w:vAlign w:val="center"/>
          </w:tcPr>
          <w:p w14:paraId="6EDD09BD"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vAlign w:val="center"/>
            <w:hideMark/>
          </w:tcPr>
          <w:p w14:paraId="6EDD09B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5,000,000</w:t>
            </w:r>
          </w:p>
        </w:tc>
        <w:tc>
          <w:tcPr>
            <w:tcW w:w="0" w:type="auto"/>
            <w:noWrap/>
            <w:vAlign w:val="center"/>
            <w:hideMark/>
          </w:tcPr>
          <w:p w14:paraId="6EDD09B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C0"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C1"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C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5,000,000</w:t>
            </w:r>
          </w:p>
        </w:tc>
        <w:tc>
          <w:tcPr>
            <w:tcW w:w="0" w:type="auto"/>
            <w:vAlign w:val="center"/>
            <w:hideMark/>
          </w:tcPr>
          <w:p w14:paraId="6EDD09C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Asnjë e dhënë financiare rreth kësaj mase. Kryesisht ka investime private. </w:t>
            </w:r>
          </w:p>
        </w:tc>
      </w:tr>
      <w:tr w:rsidR="00D61ADB" w:rsidRPr="007114AF" w14:paraId="6EDD09D0"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C5"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A13</w:t>
            </w:r>
          </w:p>
        </w:tc>
        <w:tc>
          <w:tcPr>
            <w:tcW w:w="0" w:type="auto"/>
            <w:vAlign w:val="center"/>
            <w:hideMark/>
          </w:tcPr>
          <w:p w14:paraId="6EDD09C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menaxhimit të ujit për të rritur prodhimi, ulur erozionin e tokës dhe rritjen e mbrojtjes nga përmbytja</w:t>
            </w:r>
          </w:p>
        </w:tc>
        <w:tc>
          <w:tcPr>
            <w:tcW w:w="0" w:type="auto"/>
            <w:vAlign w:val="center"/>
            <w:hideMark/>
          </w:tcPr>
          <w:p w14:paraId="6EDD09C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2015-2020</w:t>
            </w:r>
          </w:p>
        </w:tc>
        <w:tc>
          <w:tcPr>
            <w:tcW w:w="0" w:type="auto"/>
            <w:vAlign w:val="center"/>
            <w:hideMark/>
          </w:tcPr>
          <w:p w14:paraId="6EDD09C8"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NSDI-II; SMNS; Draft KTK</w:t>
            </w:r>
          </w:p>
        </w:tc>
        <w:tc>
          <w:tcPr>
            <w:tcW w:w="0" w:type="auto"/>
            <w:vAlign w:val="center"/>
          </w:tcPr>
          <w:p w14:paraId="6EDD09C9"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0" w:type="auto"/>
            <w:vAlign w:val="center"/>
            <w:hideMark/>
          </w:tcPr>
          <w:p w14:paraId="6EDD09C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7,915,238.00</w:t>
            </w:r>
          </w:p>
        </w:tc>
        <w:tc>
          <w:tcPr>
            <w:tcW w:w="0" w:type="auto"/>
            <w:noWrap/>
            <w:vAlign w:val="center"/>
            <w:hideMark/>
          </w:tcPr>
          <w:p w14:paraId="6EDD09C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7,566,231.00</w:t>
            </w:r>
          </w:p>
        </w:tc>
        <w:tc>
          <w:tcPr>
            <w:tcW w:w="0" w:type="auto"/>
            <w:noWrap/>
            <w:vAlign w:val="center"/>
            <w:hideMark/>
          </w:tcPr>
          <w:p w14:paraId="6EDD09CC"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349,007.00</w:t>
            </w:r>
          </w:p>
        </w:tc>
        <w:tc>
          <w:tcPr>
            <w:tcW w:w="0" w:type="auto"/>
            <w:noWrap/>
            <w:vAlign w:val="center"/>
            <w:hideMark/>
          </w:tcPr>
          <w:p w14:paraId="6EDD09CD"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C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C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rezultati O kadastra elektronike e ujit (117,091), Granit Sida (349,007), Vaditje dhe drenazhim-NjQV Grant i pakushtëzuar</w:t>
            </w:r>
          </w:p>
        </w:tc>
      </w:tr>
      <w:tr w:rsidR="00D61ADB" w:rsidRPr="007114AF" w14:paraId="6EDD09DC"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D1"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A14</w:t>
            </w:r>
          </w:p>
        </w:tc>
        <w:tc>
          <w:tcPr>
            <w:tcW w:w="0" w:type="auto"/>
            <w:vAlign w:val="center"/>
            <w:hideMark/>
          </w:tcPr>
          <w:p w14:paraId="6EDD09D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Zhvillimi i Strategjisë Kombëtare për Menaxhimin e Integruar të Ujit </w:t>
            </w:r>
          </w:p>
        </w:tc>
        <w:tc>
          <w:tcPr>
            <w:tcW w:w="0" w:type="auto"/>
            <w:vAlign w:val="center"/>
            <w:hideMark/>
          </w:tcPr>
          <w:p w14:paraId="6EDD09D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2016-2017</w:t>
            </w:r>
          </w:p>
        </w:tc>
        <w:tc>
          <w:tcPr>
            <w:tcW w:w="0" w:type="auto"/>
            <w:vAlign w:val="center"/>
            <w:hideMark/>
          </w:tcPr>
          <w:p w14:paraId="6EDD09D4"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0" w:type="auto"/>
            <w:vAlign w:val="center"/>
          </w:tcPr>
          <w:p w14:paraId="6EDD09D5"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0" w:type="auto"/>
            <w:vAlign w:val="center"/>
            <w:hideMark/>
          </w:tcPr>
          <w:p w14:paraId="6EDD09D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96,171.00</w:t>
            </w:r>
          </w:p>
        </w:tc>
        <w:tc>
          <w:tcPr>
            <w:tcW w:w="0" w:type="auto"/>
            <w:vAlign w:val="center"/>
            <w:hideMark/>
          </w:tcPr>
          <w:p w14:paraId="6EDD09D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96,171.00</w:t>
            </w:r>
          </w:p>
        </w:tc>
        <w:tc>
          <w:tcPr>
            <w:tcW w:w="0" w:type="auto"/>
            <w:noWrap/>
            <w:vAlign w:val="center"/>
            <w:hideMark/>
          </w:tcPr>
          <w:p w14:paraId="6EDD09D8"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D9"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D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DB" w14:textId="1B659C5A"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SMNS: rezultati N, Programi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Menaxhimi i Ujit</w:t>
            </w:r>
            <w:r w:rsidR="000A2A01" w:rsidRPr="007114AF">
              <w:rPr>
                <w:rFonts w:ascii="Garamond" w:eastAsia="Times New Roman" w:hAnsi="Garamond" w:cs="Times New Roman"/>
                <w:sz w:val="18"/>
                <w:szCs w:val="18"/>
              </w:rPr>
              <w:t>”</w:t>
            </w:r>
          </w:p>
        </w:tc>
      </w:tr>
      <w:tr w:rsidR="00D61ADB" w:rsidRPr="007114AF" w14:paraId="6EDD09E8" w14:textId="77777777" w:rsidTr="00D61ADB">
        <w:trPr>
          <w:trHeight w:val="62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DD"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A15</w:t>
            </w:r>
          </w:p>
        </w:tc>
        <w:tc>
          <w:tcPr>
            <w:tcW w:w="0" w:type="auto"/>
            <w:vAlign w:val="center"/>
            <w:hideMark/>
          </w:tcPr>
          <w:p w14:paraId="6EDD09D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Mbledhja e të dhënave mbi tokën bujqësore dhe praktikat</w:t>
            </w:r>
          </w:p>
        </w:tc>
        <w:tc>
          <w:tcPr>
            <w:tcW w:w="0" w:type="auto"/>
            <w:vAlign w:val="center"/>
            <w:hideMark/>
          </w:tcPr>
          <w:p w14:paraId="6EDD09D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0" w:type="auto"/>
            <w:vAlign w:val="center"/>
            <w:hideMark/>
          </w:tcPr>
          <w:p w14:paraId="6EDD09E0"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PKZNK</w:t>
            </w:r>
          </w:p>
        </w:tc>
        <w:tc>
          <w:tcPr>
            <w:tcW w:w="0" w:type="auto"/>
            <w:vAlign w:val="center"/>
          </w:tcPr>
          <w:p w14:paraId="6EDD09E1"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0" w:type="auto"/>
            <w:vAlign w:val="center"/>
            <w:hideMark/>
          </w:tcPr>
          <w:p w14:paraId="6EDD09E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117,500.00</w:t>
            </w:r>
          </w:p>
        </w:tc>
        <w:tc>
          <w:tcPr>
            <w:tcW w:w="0" w:type="auto"/>
            <w:vAlign w:val="center"/>
            <w:hideMark/>
          </w:tcPr>
          <w:p w14:paraId="6EDD09E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117,500.00</w:t>
            </w:r>
          </w:p>
        </w:tc>
        <w:tc>
          <w:tcPr>
            <w:tcW w:w="0" w:type="auto"/>
            <w:noWrap/>
            <w:vAlign w:val="center"/>
            <w:hideMark/>
          </w:tcPr>
          <w:p w14:paraId="6EDD09E4"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E5"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E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E7" w14:textId="3809357E"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SMNS: rezultati A, Programi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Menaxhimi i qëndrueshëm i tokës</w:t>
            </w:r>
            <w:r w:rsidR="000A2A01" w:rsidRPr="007114AF">
              <w:rPr>
                <w:rFonts w:ascii="Garamond" w:eastAsia="Times New Roman" w:hAnsi="Garamond" w:cs="Times New Roman"/>
                <w:sz w:val="18"/>
                <w:szCs w:val="18"/>
              </w:rPr>
              <w:t>”</w:t>
            </w:r>
          </w:p>
        </w:tc>
      </w:tr>
      <w:tr w:rsidR="00D61ADB" w:rsidRPr="007114AF" w14:paraId="6EDD09F4"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E9"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A16</w:t>
            </w:r>
          </w:p>
        </w:tc>
        <w:tc>
          <w:tcPr>
            <w:tcW w:w="0" w:type="auto"/>
            <w:vAlign w:val="center"/>
            <w:hideMark/>
          </w:tcPr>
          <w:p w14:paraId="6EDD09E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Fuqizimi i sistemit të kërkimit, zhvillimin teknologjik dhe risive në bujqësi </w:t>
            </w:r>
          </w:p>
        </w:tc>
        <w:tc>
          <w:tcPr>
            <w:tcW w:w="0" w:type="auto"/>
            <w:vAlign w:val="center"/>
            <w:hideMark/>
          </w:tcPr>
          <w:p w14:paraId="6EDD09E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0" w:type="auto"/>
            <w:vAlign w:val="center"/>
            <w:hideMark/>
          </w:tcPr>
          <w:p w14:paraId="6EDD09EC"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PKT</w:t>
            </w:r>
          </w:p>
        </w:tc>
        <w:tc>
          <w:tcPr>
            <w:tcW w:w="0" w:type="auto"/>
            <w:vAlign w:val="center"/>
          </w:tcPr>
          <w:p w14:paraId="6EDD09ED"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0" w:type="auto"/>
            <w:vAlign w:val="center"/>
            <w:hideMark/>
          </w:tcPr>
          <w:p w14:paraId="6EDD09E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600,000.00</w:t>
            </w:r>
          </w:p>
        </w:tc>
        <w:tc>
          <w:tcPr>
            <w:tcW w:w="0" w:type="auto"/>
            <w:noWrap/>
            <w:vAlign w:val="center"/>
            <w:hideMark/>
          </w:tcPr>
          <w:p w14:paraId="6EDD09E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F0"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F1"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F2"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600,000.00</w:t>
            </w:r>
          </w:p>
        </w:tc>
        <w:tc>
          <w:tcPr>
            <w:tcW w:w="0" w:type="auto"/>
            <w:vAlign w:val="center"/>
            <w:hideMark/>
          </w:tcPr>
          <w:p w14:paraId="6EDD09F3"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Nuk ka impakt të drejtpërdrejtë në buxhetin qeveritar deri në 2019. Kostot llogaritet bazuar në shpenzimet e institucioneve të ngjashme</w:t>
            </w:r>
          </w:p>
        </w:tc>
      </w:tr>
      <w:tr w:rsidR="00D61ADB" w:rsidRPr="007114AF" w14:paraId="6EDD0A00" w14:textId="77777777" w:rsidTr="00D61ADB">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DD09F5" w14:textId="77777777" w:rsidR="00D61ADB" w:rsidRPr="007114AF" w:rsidRDefault="00D61ADB" w:rsidP="00D61ADB">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A17</w:t>
            </w:r>
          </w:p>
        </w:tc>
        <w:tc>
          <w:tcPr>
            <w:tcW w:w="0" w:type="auto"/>
            <w:vAlign w:val="center"/>
            <w:hideMark/>
          </w:tcPr>
          <w:p w14:paraId="6EDD09F6"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Fuqizimi i sistemit të kërkimit, zhvillimin teknologjik dhe risive në bujqësi</w:t>
            </w:r>
          </w:p>
        </w:tc>
        <w:tc>
          <w:tcPr>
            <w:tcW w:w="0" w:type="auto"/>
            <w:vAlign w:val="center"/>
            <w:hideMark/>
          </w:tcPr>
          <w:p w14:paraId="6EDD09F7"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2030</w:t>
            </w:r>
          </w:p>
        </w:tc>
        <w:tc>
          <w:tcPr>
            <w:tcW w:w="0" w:type="auto"/>
            <w:vAlign w:val="center"/>
            <w:hideMark/>
          </w:tcPr>
          <w:p w14:paraId="6EDD09F8"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PKT; SNBZHR</w:t>
            </w:r>
          </w:p>
        </w:tc>
        <w:tc>
          <w:tcPr>
            <w:tcW w:w="0" w:type="auto"/>
            <w:vAlign w:val="center"/>
          </w:tcPr>
          <w:p w14:paraId="6EDD09F9"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0" w:type="auto"/>
            <w:vAlign w:val="center"/>
            <w:hideMark/>
          </w:tcPr>
          <w:p w14:paraId="6EDD09FA"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485,126.67</w:t>
            </w:r>
          </w:p>
        </w:tc>
        <w:tc>
          <w:tcPr>
            <w:tcW w:w="0" w:type="auto"/>
            <w:noWrap/>
            <w:vAlign w:val="center"/>
            <w:hideMark/>
          </w:tcPr>
          <w:p w14:paraId="6EDD09FB"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FC"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485,126.67</w:t>
            </w:r>
          </w:p>
        </w:tc>
        <w:tc>
          <w:tcPr>
            <w:tcW w:w="0" w:type="auto"/>
            <w:noWrap/>
            <w:vAlign w:val="center"/>
            <w:hideMark/>
          </w:tcPr>
          <w:p w14:paraId="6EDD09FD"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noWrap/>
            <w:vAlign w:val="center"/>
            <w:hideMark/>
          </w:tcPr>
          <w:p w14:paraId="6EDD09FE"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0" w:type="auto"/>
            <w:vAlign w:val="center"/>
            <w:hideMark/>
          </w:tcPr>
          <w:p w14:paraId="6EDD09FF" w14:textId="77777777" w:rsidR="00D61ADB" w:rsidRPr="007114AF" w:rsidRDefault="00D61ADB" w:rsidP="00D61ADB">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Pjesë e buxhetit vjetor të alokuar në IPARD (5%) </w:t>
            </w:r>
          </w:p>
        </w:tc>
      </w:tr>
    </w:tbl>
    <w:p w14:paraId="6EDD0A01" w14:textId="77777777" w:rsidR="00C136A5" w:rsidRPr="007114AF" w:rsidRDefault="00C136A5" w:rsidP="00524E98">
      <w:pPr>
        <w:pStyle w:val="TEKSTI"/>
      </w:pPr>
    </w:p>
    <w:p w14:paraId="6EDD0A02" w14:textId="77777777" w:rsidR="00FB11EA" w:rsidRPr="007114AF" w:rsidRDefault="00FB11EA" w:rsidP="00FB11EA">
      <w:pPr>
        <w:pStyle w:val="TEKSTI"/>
        <w:rPr>
          <w:b/>
          <w:lang w:eastAsia="en-US"/>
        </w:rPr>
      </w:pPr>
      <w:bookmarkStart w:id="181" w:name="_Toc484424529"/>
      <w:r w:rsidRPr="007114AF">
        <w:rPr>
          <w:b/>
          <w:lang w:eastAsia="en-US"/>
        </w:rPr>
        <w:t>5.8.4 Ndryshimi i Përdorimit të Tokës dhe Pyjeve</w:t>
      </w:r>
      <w:bookmarkEnd w:id="181"/>
    </w:p>
    <w:tbl>
      <w:tblPr>
        <w:tblStyle w:val="GridTable1Light-Accent11"/>
        <w:tblW w:w="14574" w:type="dxa"/>
        <w:jc w:val="center"/>
        <w:tblLayout w:type="fixed"/>
        <w:tblLook w:val="04A0" w:firstRow="1" w:lastRow="0" w:firstColumn="1" w:lastColumn="0" w:noHBand="0" w:noVBand="1"/>
      </w:tblPr>
      <w:tblGrid>
        <w:gridCol w:w="534"/>
        <w:gridCol w:w="2126"/>
        <w:gridCol w:w="773"/>
        <w:gridCol w:w="928"/>
        <w:gridCol w:w="1134"/>
        <w:gridCol w:w="1134"/>
        <w:gridCol w:w="1276"/>
        <w:gridCol w:w="1134"/>
        <w:gridCol w:w="1275"/>
        <w:gridCol w:w="1276"/>
        <w:gridCol w:w="2984"/>
      </w:tblGrid>
      <w:tr w:rsidR="00D774C2" w:rsidRPr="007114AF" w14:paraId="6EDD0A0E" w14:textId="77777777" w:rsidTr="00D774C2">
        <w:trPr>
          <w:cnfStyle w:val="100000000000" w:firstRow="1" w:lastRow="0" w:firstColumn="0" w:lastColumn="0" w:oddVBand="0" w:evenVBand="0" w:oddHBand="0" w:evenHBand="0" w:firstRowFirstColumn="0" w:firstRowLastColumn="0" w:lastRowFirstColumn="0" w:lastRowLastColumn="0"/>
          <w:cantSplit/>
          <w:trHeight w:val="20"/>
          <w:tblHeader/>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03"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ID</w:t>
            </w:r>
          </w:p>
        </w:tc>
        <w:tc>
          <w:tcPr>
            <w:tcW w:w="2126" w:type="dxa"/>
            <w:vAlign w:val="center"/>
            <w:hideMark/>
          </w:tcPr>
          <w:p w14:paraId="6EDD0A04" w14:textId="77777777" w:rsidR="00D774C2" w:rsidRPr="007114AF" w:rsidRDefault="00D774C2" w:rsidP="00D774C2">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Masa</w:t>
            </w:r>
          </w:p>
        </w:tc>
        <w:tc>
          <w:tcPr>
            <w:tcW w:w="773" w:type="dxa"/>
            <w:vAlign w:val="center"/>
            <w:hideMark/>
          </w:tcPr>
          <w:p w14:paraId="6EDD0A05" w14:textId="77777777" w:rsidR="00D774C2" w:rsidRPr="007114AF" w:rsidRDefault="00D774C2" w:rsidP="00D774C2">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Viti/periudha</w:t>
            </w:r>
          </w:p>
        </w:tc>
        <w:tc>
          <w:tcPr>
            <w:tcW w:w="928" w:type="dxa"/>
            <w:vAlign w:val="center"/>
            <w:hideMark/>
          </w:tcPr>
          <w:p w14:paraId="6EDD0A06" w14:textId="77777777" w:rsidR="00D774C2" w:rsidRPr="007114AF" w:rsidRDefault="00D774C2" w:rsidP="00D774C2">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Burimi</w:t>
            </w:r>
          </w:p>
        </w:tc>
        <w:tc>
          <w:tcPr>
            <w:tcW w:w="1134" w:type="dxa"/>
            <w:vAlign w:val="center"/>
          </w:tcPr>
          <w:p w14:paraId="6EDD0A07" w14:textId="77777777" w:rsidR="00D774C2" w:rsidRPr="007114AF" w:rsidRDefault="00D774C2" w:rsidP="00D774C2">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hAnsi="Garamond"/>
                <w:sz w:val="18"/>
                <w:szCs w:val="18"/>
              </w:rPr>
              <w:t>Lloji i efektit</w:t>
            </w:r>
          </w:p>
        </w:tc>
        <w:tc>
          <w:tcPr>
            <w:tcW w:w="1134" w:type="dxa"/>
            <w:vAlign w:val="center"/>
            <w:hideMark/>
          </w:tcPr>
          <w:p w14:paraId="6EDD0A08" w14:textId="77777777" w:rsidR="00D774C2" w:rsidRPr="007114AF" w:rsidRDefault="00D774C2" w:rsidP="00D774C2">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Kosto Totale në mijëra ALL</w:t>
            </w:r>
          </w:p>
        </w:tc>
        <w:tc>
          <w:tcPr>
            <w:tcW w:w="1276" w:type="dxa"/>
            <w:vAlign w:val="center"/>
            <w:hideMark/>
          </w:tcPr>
          <w:p w14:paraId="6EDD0A09" w14:textId="77777777" w:rsidR="00D774C2" w:rsidRPr="007114AF" w:rsidRDefault="00D774C2" w:rsidP="00D774C2">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Buxheti i Shtetit</w:t>
            </w:r>
          </w:p>
        </w:tc>
        <w:tc>
          <w:tcPr>
            <w:tcW w:w="1134" w:type="dxa"/>
            <w:vAlign w:val="center"/>
            <w:hideMark/>
          </w:tcPr>
          <w:p w14:paraId="6EDD0A0A" w14:textId="77777777" w:rsidR="00D774C2" w:rsidRPr="007114AF" w:rsidRDefault="00D774C2" w:rsidP="00D774C2">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Donatorët</w:t>
            </w:r>
          </w:p>
        </w:tc>
        <w:tc>
          <w:tcPr>
            <w:tcW w:w="1275" w:type="dxa"/>
            <w:vAlign w:val="center"/>
            <w:hideMark/>
          </w:tcPr>
          <w:p w14:paraId="6EDD0A0B" w14:textId="77777777" w:rsidR="00D774C2" w:rsidRPr="007114AF" w:rsidRDefault="00D774C2" w:rsidP="00D774C2">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Tjetër</w:t>
            </w:r>
          </w:p>
        </w:tc>
        <w:tc>
          <w:tcPr>
            <w:tcW w:w="1276" w:type="dxa"/>
            <w:vAlign w:val="center"/>
            <w:hideMark/>
          </w:tcPr>
          <w:p w14:paraId="6EDD0A0C" w14:textId="77777777" w:rsidR="00D774C2" w:rsidRPr="007114AF" w:rsidRDefault="00D774C2" w:rsidP="00D774C2">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Hapësira Financiare</w:t>
            </w:r>
          </w:p>
        </w:tc>
        <w:tc>
          <w:tcPr>
            <w:tcW w:w="2984" w:type="dxa"/>
            <w:noWrap/>
            <w:vAlign w:val="center"/>
            <w:hideMark/>
          </w:tcPr>
          <w:p w14:paraId="6EDD0A0D" w14:textId="77777777" w:rsidR="00D774C2" w:rsidRPr="007114AF" w:rsidRDefault="00D774C2" w:rsidP="00D774C2">
            <w:pPr>
              <w:spacing w:after="0"/>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sz w:val="18"/>
                <w:szCs w:val="18"/>
              </w:rPr>
            </w:pPr>
            <w:r w:rsidRPr="007114AF">
              <w:rPr>
                <w:rFonts w:ascii="Garamond" w:eastAsia="Times New Roman" w:hAnsi="Garamond" w:cs="Times New Roman"/>
                <w:sz w:val="18"/>
                <w:szCs w:val="18"/>
              </w:rPr>
              <w:t>Shënim mbi kostot</w:t>
            </w:r>
          </w:p>
        </w:tc>
      </w:tr>
      <w:tr w:rsidR="00D774C2" w:rsidRPr="007114AF" w14:paraId="6EDD0A1A"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0F"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w:t>
            </w:r>
          </w:p>
        </w:tc>
        <w:tc>
          <w:tcPr>
            <w:tcW w:w="2126" w:type="dxa"/>
            <w:vAlign w:val="center"/>
            <w:hideMark/>
          </w:tcPr>
          <w:p w14:paraId="6EDD0A1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Përfundimi i kuadrit ligjor kombëtar për natyrën dhe biodiversitetin</w:t>
            </w:r>
          </w:p>
        </w:tc>
        <w:tc>
          <w:tcPr>
            <w:tcW w:w="773" w:type="dxa"/>
            <w:vAlign w:val="center"/>
            <w:hideMark/>
          </w:tcPr>
          <w:p w14:paraId="6EDD0A1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2016-2018</w:t>
            </w:r>
          </w:p>
        </w:tc>
        <w:tc>
          <w:tcPr>
            <w:tcW w:w="928" w:type="dxa"/>
            <w:vAlign w:val="center"/>
            <w:hideMark/>
          </w:tcPr>
          <w:p w14:paraId="6EDD0A1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w:t>
            </w:r>
          </w:p>
        </w:tc>
        <w:tc>
          <w:tcPr>
            <w:tcW w:w="1134" w:type="dxa"/>
            <w:vAlign w:val="center"/>
          </w:tcPr>
          <w:p w14:paraId="6EDD0A1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134" w:type="dxa"/>
            <w:noWrap/>
            <w:vAlign w:val="center"/>
            <w:hideMark/>
          </w:tcPr>
          <w:p w14:paraId="6EDD0A1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6,115.00</w:t>
            </w:r>
          </w:p>
        </w:tc>
        <w:tc>
          <w:tcPr>
            <w:tcW w:w="1276" w:type="dxa"/>
            <w:noWrap/>
            <w:vAlign w:val="center"/>
            <w:hideMark/>
          </w:tcPr>
          <w:p w14:paraId="6EDD0A1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6,115.00</w:t>
            </w:r>
          </w:p>
        </w:tc>
        <w:tc>
          <w:tcPr>
            <w:tcW w:w="1134" w:type="dxa"/>
            <w:noWrap/>
            <w:vAlign w:val="center"/>
            <w:hideMark/>
          </w:tcPr>
          <w:p w14:paraId="6EDD0A1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1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1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1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të alokuarpër përfundimin total të kuadrit ligjor kombëtar për natyrën dhe biodiversitetin. Kostoja e identifikuar në Masën 1 të DPSMB.</w:t>
            </w:r>
          </w:p>
        </w:tc>
      </w:tr>
      <w:tr w:rsidR="00D774C2" w:rsidRPr="007114AF" w14:paraId="6EDD0A26"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1B"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w:t>
            </w:r>
          </w:p>
        </w:tc>
        <w:tc>
          <w:tcPr>
            <w:tcW w:w="2126" w:type="dxa"/>
            <w:vAlign w:val="center"/>
            <w:hideMark/>
          </w:tcPr>
          <w:p w14:paraId="6EDD0A1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Zgjerimi i zonave të mbrojtura dhe përmirësimi i menaxhimit të tyre</w:t>
            </w:r>
          </w:p>
        </w:tc>
        <w:tc>
          <w:tcPr>
            <w:tcW w:w="773" w:type="dxa"/>
            <w:vAlign w:val="center"/>
            <w:hideMark/>
          </w:tcPr>
          <w:p w14:paraId="6EDD0A1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1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NSDI-II; DPSMB; PKT</w:t>
            </w:r>
          </w:p>
        </w:tc>
        <w:tc>
          <w:tcPr>
            <w:tcW w:w="1134" w:type="dxa"/>
            <w:vAlign w:val="center"/>
          </w:tcPr>
          <w:p w14:paraId="6EDD0A1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A2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76,504.00</w:t>
            </w:r>
          </w:p>
        </w:tc>
        <w:tc>
          <w:tcPr>
            <w:tcW w:w="1276" w:type="dxa"/>
            <w:noWrap/>
            <w:vAlign w:val="center"/>
            <w:hideMark/>
          </w:tcPr>
          <w:p w14:paraId="6EDD0A2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A2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76,504.00</w:t>
            </w:r>
          </w:p>
        </w:tc>
        <w:tc>
          <w:tcPr>
            <w:tcW w:w="1275" w:type="dxa"/>
            <w:noWrap/>
            <w:vAlign w:val="center"/>
            <w:hideMark/>
          </w:tcPr>
          <w:p w14:paraId="6EDD0A2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2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2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Projekti IPA 2013 Natyra 2000 (Lista e FI 2017-2020)</w:t>
            </w:r>
          </w:p>
        </w:tc>
      </w:tr>
      <w:tr w:rsidR="00D774C2" w:rsidRPr="007114AF" w14:paraId="6EDD0A32"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27"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w:t>
            </w:r>
          </w:p>
        </w:tc>
        <w:tc>
          <w:tcPr>
            <w:tcW w:w="2126" w:type="dxa"/>
            <w:vAlign w:val="center"/>
            <w:hideMark/>
          </w:tcPr>
          <w:p w14:paraId="6EDD0A28" w14:textId="799B11D5"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Zgjerimi i sistemit të zonave të mbrojtura duke shtuar sipërfaqen e zonave të mbrojtura tokësore e zonave ujore në brendësi, si zona të një rëndësie të veçantë për biodiversitetin dhe shërbimet e ekosistemit në 17% dhe shtimin 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zonave të mbrojtura detare dhe bregdetare me 6%</w:t>
            </w:r>
          </w:p>
        </w:tc>
        <w:tc>
          <w:tcPr>
            <w:tcW w:w="773" w:type="dxa"/>
            <w:vAlign w:val="center"/>
            <w:hideMark/>
          </w:tcPr>
          <w:p w14:paraId="6EDD0A2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2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 NSDI-II</w:t>
            </w:r>
          </w:p>
        </w:tc>
        <w:tc>
          <w:tcPr>
            <w:tcW w:w="1134" w:type="dxa"/>
            <w:vAlign w:val="center"/>
          </w:tcPr>
          <w:p w14:paraId="6EDD0A2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A2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279,400.00</w:t>
            </w:r>
          </w:p>
        </w:tc>
        <w:tc>
          <w:tcPr>
            <w:tcW w:w="1276" w:type="dxa"/>
            <w:noWrap/>
            <w:vAlign w:val="center"/>
            <w:hideMark/>
          </w:tcPr>
          <w:p w14:paraId="6EDD0A2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279,400.00</w:t>
            </w:r>
          </w:p>
        </w:tc>
        <w:tc>
          <w:tcPr>
            <w:tcW w:w="1134" w:type="dxa"/>
            <w:noWrap/>
            <w:vAlign w:val="center"/>
            <w:hideMark/>
          </w:tcPr>
          <w:p w14:paraId="6EDD0A2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2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3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31" w14:textId="48313A12"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e identifikuar në masën 2 të</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DPSMB-ës</w:t>
            </w:r>
          </w:p>
        </w:tc>
      </w:tr>
      <w:tr w:rsidR="00D774C2" w:rsidRPr="007114AF" w14:paraId="6EDD0A3E"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33"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w:t>
            </w:r>
          </w:p>
        </w:tc>
        <w:tc>
          <w:tcPr>
            <w:tcW w:w="2126" w:type="dxa"/>
            <w:vAlign w:val="center"/>
            <w:hideMark/>
          </w:tcPr>
          <w:p w14:paraId="6EDD0A3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menaxhimit të zonave të mbrojtura</w:t>
            </w:r>
          </w:p>
        </w:tc>
        <w:tc>
          <w:tcPr>
            <w:tcW w:w="773" w:type="dxa"/>
            <w:vAlign w:val="center"/>
            <w:hideMark/>
          </w:tcPr>
          <w:p w14:paraId="6EDD0A3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3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w:t>
            </w:r>
          </w:p>
        </w:tc>
        <w:tc>
          <w:tcPr>
            <w:tcW w:w="1134" w:type="dxa"/>
            <w:vAlign w:val="center"/>
          </w:tcPr>
          <w:p w14:paraId="6EDD0A3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134" w:type="dxa"/>
            <w:noWrap/>
            <w:vAlign w:val="center"/>
            <w:hideMark/>
          </w:tcPr>
          <w:p w14:paraId="6EDD0A3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122,300.00</w:t>
            </w:r>
          </w:p>
        </w:tc>
        <w:tc>
          <w:tcPr>
            <w:tcW w:w="1276" w:type="dxa"/>
            <w:noWrap/>
            <w:vAlign w:val="center"/>
            <w:hideMark/>
          </w:tcPr>
          <w:p w14:paraId="6EDD0A3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122,300.00</w:t>
            </w:r>
          </w:p>
        </w:tc>
        <w:tc>
          <w:tcPr>
            <w:tcW w:w="1134" w:type="dxa"/>
            <w:noWrap/>
            <w:vAlign w:val="center"/>
            <w:hideMark/>
          </w:tcPr>
          <w:p w14:paraId="6EDD0A3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3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3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3D" w14:textId="08A33C34"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e identifikuar në masën 3 të</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DPSMB-ës</w:t>
            </w:r>
          </w:p>
        </w:tc>
      </w:tr>
      <w:tr w:rsidR="00D774C2" w:rsidRPr="007114AF" w14:paraId="6EDD0A4A" w14:textId="77777777" w:rsidTr="00D774C2">
        <w:trPr>
          <w:trHeight w:val="1376"/>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3F"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L5</w:t>
            </w:r>
          </w:p>
        </w:tc>
        <w:tc>
          <w:tcPr>
            <w:tcW w:w="2126" w:type="dxa"/>
            <w:vAlign w:val="center"/>
            <w:hideMark/>
          </w:tcPr>
          <w:p w14:paraId="6EDD0A4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Njohja e tre parqeve kombëtare</w:t>
            </w:r>
          </w:p>
        </w:tc>
        <w:tc>
          <w:tcPr>
            <w:tcW w:w="773" w:type="dxa"/>
            <w:vAlign w:val="center"/>
            <w:hideMark/>
          </w:tcPr>
          <w:p w14:paraId="6EDD0A4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4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PKT</w:t>
            </w:r>
          </w:p>
        </w:tc>
        <w:tc>
          <w:tcPr>
            <w:tcW w:w="1134" w:type="dxa"/>
            <w:vAlign w:val="center"/>
          </w:tcPr>
          <w:p w14:paraId="6EDD0A4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A4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36,690.00</w:t>
            </w:r>
          </w:p>
        </w:tc>
        <w:tc>
          <w:tcPr>
            <w:tcW w:w="1276" w:type="dxa"/>
            <w:noWrap/>
            <w:vAlign w:val="center"/>
            <w:hideMark/>
          </w:tcPr>
          <w:p w14:paraId="6EDD0A4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3,118.65</w:t>
            </w:r>
          </w:p>
        </w:tc>
        <w:tc>
          <w:tcPr>
            <w:tcW w:w="1134" w:type="dxa"/>
            <w:noWrap/>
            <w:vAlign w:val="center"/>
            <w:hideMark/>
          </w:tcPr>
          <w:p w14:paraId="6EDD0A4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33,571.35</w:t>
            </w:r>
          </w:p>
        </w:tc>
        <w:tc>
          <w:tcPr>
            <w:tcW w:w="1275" w:type="dxa"/>
            <w:noWrap/>
            <w:vAlign w:val="center"/>
            <w:hideMark/>
          </w:tcPr>
          <w:p w14:paraId="6EDD0A4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4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4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Hartimi dhe miratimi i tre planeve të menaxhimit të zonave të mbrojtura. Kosto e identifikuar në DPSMB, masën 3 </w:t>
            </w:r>
          </w:p>
        </w:tc>
      </w:tr>
      <w:tr w:rsidR="00D774C2" w:rsidRPr="007114AF" w14:paraId="6EDD0A56"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4B"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L6</w:t>
            </w:r>
          </w:p>
        </w:tc>
        <w:tc>
          <w:tcPr>
            <w:tcW w:w="2126" w:type="dxa"/>
            <w:vAlign w:val="center"/>
            <w:hideMark/>
          </w:tcPr>
          <w:p w14:paraId="6EDD0A4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Inventari i habitateve natyrore që janë prioritare në Shqipëri. Identifikimi i habitateve natyrore që janë prioritare në të gjithë vendin (bazuar në listën e propozuar në DPSMB) dhe identifikimin e llojeve të tjera të habitateve me vlere të lartë ruajtjeje dhe zonimi NATURA 2000</w:t>
            </w:r>
          </w:p>
        </w:tc>
        <w:tc>
          <w:tcPr>
            <w:tcW w:w="773" w:type="dxa"/>
            <w:vAlign w:val="center"/>
            <w:hideMark/>
          </w:tcPr>
          <w:p w14:paraId="6EDD0A4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4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 PKT</w:t>
            </w:r>
          </w:p>
        </w:tc>
        <w:tc>
          <w:tcPr>
            <w:tcW w:w="1134" w:type="dxa"/>
            <w:vAlign w:val="center"/>
          </w:tcPr>
          <w:p w14:paraId="6EDD0A4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134" w:type="dxa"/>
            <w:noWrap/>
            <w:vAlign w:val="center"/>
            <w:hideMark/>
          </w:tcPr>
          <w:p w14:paraId="6EDD0A5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61,150.00</w:t>
            </w:r>
          </w:p>
        </w:tc>
        <w:tc>
          <w:tcPr>
            <w:tcW w:w="1276" w:type="dxa"/>
            <w:noWrap/>
            <w:vAlign w:val="center"/>
            <w:hideMark/>
          </w:tcPr>
          <w:p w14:paraId="6EDD0A5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61,150.00</w:t>
            </w:r>
          </w:p>
        </w:tc>
        <w:tc>
          <w:tcPr>
            <w:tcW w:w="1134" w:type="dxa"/>
            <w:noWrap/>
            <w:vAlign w:val="center"/>
            <w:hideMark/>
          </w:tcPr>
          <w:p w14:paraId="6EDD0A5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5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5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5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alokuar në AKMAKM</w:t>
            </w:r>
          </w:p>
        </w:tc>
      </w:tr>
      <w:tr w:rsidR="00D774C2" w:rsidRPr="007114AF" w14:paraId="6EDD0A62"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57"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L7</w:t>
            </w:r>
          </w:p>
        </w:tc>
        <w:tc>
          <w:tcPr>
            <w:tcW w:w="2126" w:type="dxa"/>
            <w:vAlign w:val="center"/>
            <w:hideMark/>
          </w:tcPr>
          <w:p w14:paraId="6EDD0A5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Krijimi i një sistemi monitorimi për zonat e rëndësishme të ruajtjes</w:t>
            </w:r>
          </w:p>
        </w:tc>
        <w:tc>
          <w:tcPr>
            <w:tcW w:w="773" w:type="dxa"/>
            <w:vAlign w:val="center"/>
            <w:hideMark/>
          </w:tcPr>
          <w:p w14:paraId="6EDD0A5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5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w:t>
            </w:r>
          </w:p>
        </w:tc>
        <w:tc>
          <w:tcPr>
            <w:tcW w:w="1134" w:type="dxa"/>
            <w:vAlign w:val="center"/>
          </w:tcPr>
          <w:p w14:paraId="6EDD0A5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Mundesuese</w:t>
            </w:r>
          </w:p>
        </w:tc>
        <w:tc>
          <w:tcPr>
            <w:tcW w:w="1134" w:type="dxa"/>
            <w:noWrap/>
            <w:vAlign w:val="center"/>
            <w:hideMark/>
          </w:tcPr>
          <w:p w14:paraId="6EDD0A5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60,000.00</w:t>
            </w:r>
          </w:p>
        </w:tc>
        <w:tc>
          <w:tcPr>
            <w:tcW w:w="1276" w:type="dxa"/>
            <w:noWrap/>
            <w:vAlign w:val="center"/>
            <w:hideMark/>
          </w:tcPr>
          <w:p w14:paraId="6EDD0A5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60,000.00</w:t>
            </w:r>
          </w:p>
        </w:tc>
        <w:tc>
          <w:tcPr>
            <w:tcW w:w="1134" w:type="dxa"/>
            <w:noWrap/>
            <w:vAlign w:val="center"/>
            <w:hideMark/>
          </w:tcPr>
          <w:p w14:paraId="6EDD0A5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5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6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61" w14:textId="09BA00B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e identifikuar në masën 10 të</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DPSMB-ës</w:t>
            </w:r>
          </w:p>
        </w:tc>
      </w:tr>
      <w:tr w:rsidR="00D774C2" w:rsidRPr="007114AF" w14:paraId="6EDD0A6E"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63"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L8</w:t>
            </w:r>
          </w:p>
        </w:tc>
        <w:tc>
          <w:tcPr>
            <w:tcW w:w="2126" w:type="dxa"/>
            <w:vAlign w:val="center"/>
            <w:hideMark/>
          </w:tcPr>
          <w:p w14:paraId="6EDD0A64" w14:textId="626E8B6A"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Vendosja e skemave të pagesës mbi shërbimet për ekosistemin</w:t>
            </w:r>
            <w:r w:rsidR="000A2A01" w:rsidRPr="007114AF">
              <w:rPr>
                <w:rFonts w:ascii="Garamond" w:eastAsia="Times New Roman" w:hAnsi="Garamond" w:cs="Times New Roman"/>
                <w:sz w:val="18"/>
                <w:szCs w:val="18"/>
              </w:rPr>
              <w:t xml:space="preserve"> </w:t>
            </w:r>
          </w:p>
        </w:tc>
        <w:tc>
          <w:tcPr>
            <w:tcW w:w="773" w:type="dxa"/>
            <w:vAlign w:val="center"/>
            <w:hideMark/>
          </w:tcPr>
          <w:p w14:paraId="6EDD0A6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2017-2019</w:t>
            </w:r>
          </w:p>
        </w:tc>
        <w:tc>
          <w:tcPr>
            <w:tcW w:w="928" w:type="dxa"/>
            <w:vAlign w:val="center"/>
            <w:hideMark/>
          </w:tcPr>
          <w:p w14:paraId="6EDD0A6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A6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A6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2,500.00</w:t>
            </w:r>
          </w:p>
        </w:tc>
        <w:tc>
          <w:tcPr>
            <w:tcW w:w="1276" w:type="dxa"/>
            <w:noWrap/>
            <w:vAlign w:val="center"/>
            <w:hideMark/>
          </w:tcPr>
          <w:p w14:paraId="6EDD0A6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A6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6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6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2,500.00</w:t>
            </w:r>
          </w:p>
        </w:tc>
        <w:tc>
          <w:tcPr>
            <w:tcW w:w="2984" w:type="dxa"/>
            <w:vAlign w:val="center"/>
            <w:hideMark/>
          </w:tcPr>
          <w:p w14:paraId="6EDD0A6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për të hartuar dhe zbatuar ligjin</w:t>
            </w:r>
          </w:p>
        </w:tc>
      </w:tr>
      <w:tr w:rsidR="00D774C2" w:rsidRPr="007114AF" w14:paraId="6EDD0A7A"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6F"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L9</w:t>
            </w:r>
          </w:p>
        </w:tc>
        <w:tc>
          <w:tcPr>
            <w:tcW w:w="2126" w:type="dxa"/>
            <w:vAlign w:val="center"/>
            <w:hideMark/>
          </w:tcPr>
          <w:p w14:paraId="6EDD0A70" w14:textId="574EE3CA"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Përafrimii kuadrit Ligjor Shqiptar në përshtatje me atë Evropian, në lidhje me mekanizmat e tregutpër drurëtpyjorë dhe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certifikimin e tyre, duke ulur në këtë mënyrë prerjete paligjshme dhe mundësinë e tregtimit të tyre</w:t>
            </w:r>
          </w:p>
        </w:tc>
        <w:tc>
          <w:tcPr>
            <w:tcW w:w="773" w:type="dxa"/>
            <w:vAlign w:val="center"/>
            <w:hideMark/>
          </w:tcPr>
          <w:p w14:paraId="6EDD0A7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7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A7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Mundesuese</w:t>
            </w:r>
          </w:p>
        </w:tc>
        <w:tc>
          <w:tcPr>
            <w:tcW w:w="1134" w:type="dxa"/>
            <w:noWrap/>
            <w:vAlign w:val="center"/>
            <w:hideMark/>
          </w:tcPr>
          <w:p w14:paraId="6EDD0A7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56,100.00</w:t>
            </w:r>
          </w:p>
        </w:tc>
        <w:tc>
          <w:tcPr>
            <w:tcW w:w="1276" w:type="dxa"/>
            <w:noWrap/>
            <w:vAlign w:val="center"/>
            <w:hideMark/>
          </w:tcPr>
          <w:p w14:paraId="6EDD0A7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56,100.00</w:t>
            </w:r>
          </w:p>
        </w:tc>
        <w:tc>
          <w:tcPr>
            <w:tcW w:w="1134" w:type="dxa"/>
            <w:noWrap/>
            <w:vAlign w:val="center"/>
            <w:hideMark/>
          </w:tcPr>
          <w:p w14:paraId="6EDD0A7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7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7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79" w14:textId="2FAC97EC"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Pjesë e buxhetit vjetor Programi Buxhetor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Menaxhimi i Pyllit</w:t>
            </w:r>
            <w:r w:rsidR="000A2A01" w:rsidRPr="007114AF">
              <w:rPr>
                <w:rFonts w:ascii="Garamond" w:eastAsia="Times New Roman" w:hAnsi="Garamond" w:cs="Times New Roman"/>
                <w:sz w:val="18"/>
                <w:szCs w:val="18"/>
              </w:rPr>
              <w:t>”</w:t>
            </w:r>
            <w:r w:rsidR="003F649E"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 xml:space="preserve"> rezultati A</w:t>
            </w:r>
          </w:p>
        </w:tc>
      </w:tr>
      <w:tr w:rsidR="00D774C2" w:rsidRPr="007114AF" w14:paraId="6EDD0A86"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7B"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L10</w:t>
            </w:r>
          </w:p>
        </w:tc>
        <w:tc>
          <w:tcPr>
            <w:tcW w:w="2126" w:type="dxa"/>
            <w:vAlign w:val="center"/>
            <w:hideMark/>
          </w:tcPr>
          <w:p w14:paraId="6EDD0A7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Krijimi i një forumi pyjor</w:t>
            </w:r>
          </w:p>
        </w:tc>
        <w:tc>
          <w:tcPr>
            <w:tcW w:w="773" w:type="dxa"/>
            <w:vAlign w:val="center"/>
            <w:hideMark/>
          </w:tcPr>
          <w:p w14:paraId="6EDD0A7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w:t>
            </w:r>
          </w:p>
        </w:tc>
        <w:tc>
          <w:tcPr>
            <w:tcW w:w="928" w:type="dxa"/>
            <w:vAlign w:val="center"/>
            <w:hideMark/>
          </w:tcPr>
          <w:p w14:paraId="6EDD0A7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A7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A8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800.00</w:t>
            </w:r>
          </w:p>
        </w:tc>
        <w:tc>
          <w:tcPr>
            <w:tcW w:w="1276" w:type="dxa"/>
            <w:noWrap/>
            <w:vAlign w:val="center"/>
            <w:hideMark/>
          </w:tcPr>
          <w:p w14:paraId="6EDD0A8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800.00</w:t>
            </w:r>
          </w:p>
        </w:tc>
        <w:tc>
          <w:tcPr>
            <w:tcW w:w="1134" w:type="dxa"/>
            <w:noWrap/>
            <w:vAlign w:val="center"/>
            <w:hideMark/>
          </w:tcPr>
          <w:p w14:paraId="6EDD0A8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8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8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8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parashikuar nga SMNS për periudhën 2015-2020. Jo e identifikuar si një rezultat në buxhetin afatmesëm</w:t>
            </w:r>
          </w:p>
        </w:tc>
      </w:tr>
      <w:tr w:rsidR="00D774C2" w:rsidRPr="007114AF" w14:paraId="6EDD0A92"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87"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L11</w:t>
            </w:r>
          </w:p>
        </w:tc>
        <w:tc>
          <w:tcPr>
            <w:tcW w:w="2126" w:type="dxa"/>
            <w:vAlign w:val="center"/>
            <w:hideMark/>
          </w:tcPr>
          <w:p w14:paraId="6EDD0A8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Përgatitjen e një Strategjie Zhvillimi për Pyjet dhe Kullotat dhe të Programit Kombëtar për Pyjet dhe Kullotat</w:t>
            </w:r>
          </w:p>
        </w:tc>
        <w:tc>
          <w:tcPr>
            <w:tcW w:w="773" w:type="dxa"/>
            <w:vAlign w:val="center"/>
            <w:hideMark/>
          </w:tcPr>
          <w:p w14:paraId="6EDD0A8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28" w:type="dxa"/>
            <w:vAlign w:val="center"/>
            <w:hideMark/>
          </w:tcPr>
          <w:p w14:paraId="6EDD0A8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Draftligji mbi Administrimin e Fondit Pyjor </w:t>
            </w:r>
          </w:p>
        </w:tc>
        <w:tc>
          <w:tcPr>
            <w:tcW w:w="1134" w:type="dxa"/>
            <w:vAlign w:val="center"/>
          </w:tcPr>
          <w:p w14:paraId="6EDD0A8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Mundesuese</w:t>
            </w:r>
          </w:p>
        </w:tc>
        <w:tc>
          <w:tcPr>
            <w:tcW w:w="1134" w:type="dxa"/>
            <w:noWrap/>
            <w:vAlign w:val="center"/>
            <w:hideMark/>
          </w:tcPr>
          <w:p w14:paraId="6EDD0A8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15,000.00</w:t>
            </w:r>
          </w:p>
        </w:tc>
        <w:tc>
          <w:tcPr>
            <w:tcW w:w="1276" w:type="dxa"/>
            <w:vAlign w:val="center"/>
            <w:hideMark/>
          </w:tcPr>
          <w:p w14:paraId="6EDD0A8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15,000.00</w:t>
            </w:r>
          </w:p>
        </w:tc>
        <w:tc>
          <w:tcPr>
            <w:tcW w:w="1134" w:type="dxa"/>
            <w:vAlign w:val="center"/>
            <w:hideMark/>
          </w:tcPr>
          <w:p w14:paraId="6EDD0A8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vAlign w:val="center"/>
            <w:hideMark/>
          </w:tcPr>
          <w:p w14:paraId="6EDD0A8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vAlign w:val="center"/>
            <w:hideMark/>
          </w:tcPr>
          <w:p w14:paraId="6EDD0A9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9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janë vlerësuar në bazë të kostos për njësi për rezultate të njëjta ngjashme në buxhetin afatmesëm</w:t>
            </w:r>
          </w:p>
        </w:tc>
      </w:tr>
      <w:tr w:rsidR="00D774C2" w:rsidRPr="007114AF" w14:paraId="6EDD0A9E"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93"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L12</w:t>
            </w:r>
          </w:p>
        </w:tc>
        <w:tc>
          <w:tcPr>
            <w:tcW w:w="2126" w:type="dxa"/>
            <w:vAlign w:val="center"/>
            <w:hideMark/>
          </w:tcPr>
          <w:p w14:paraId="6EDD0A9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Rritja e eficiencës së sektorit të pyjeve</w:t>
            </w:r>
          </w:p>
        </w:tc>
        <w:tc>
          <w:tcPr>
            <w:tcW w:w="773" w:type="dxa"/>
            <w:vAlign w:val="center"/>
            <w:hideMark/>
          </w:tcPr>
          <w:p w14:paraId="6EDD0A9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2017-2018</w:t>
            </w:r>
          </w:p>
        </w:tc>
        <w:tc>
          <w:tcPr>
            <w:tcW w:w="928" w:type="dxa"/>
            <w:vAlign w:val="center"/>
            <w:hideMark/>
          </w:tcPr>
          <w:p w14:paraId="6EDD0A9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A9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A9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10,951.00</w:t>
            </w:r>
          </w:p>
        </w:tc>
        <w:tc>
          <w:tcPr>
            <w:tcW w:w="1276" w:type="dxa"/>
            <w:noWrap/>
            <w:vAlign w:val="center"/>
            <w:hideMark/>
          </w:tcPr>
          <w:p w14:paraId="6EDD0A9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10,951.00</w:t>
            </w:r>
          </w:p>
        </w:tc>
        <w:tc>
          <w:tcPr>
            <w:tcW w:w="1134" w:type="dxa"/>
            <w:noWrap/>
            <w:vAlign w:val="center"/>
            <w:hideMark/>
          </w:tcPr>
          <w:p w14:paraId="6EDD0A9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9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9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9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Kostot për këshillimin. Kosto për njësi për zhvillimin e procedurës. Rezultati V, Programi i Menaxhimit të Pyllit</w:t>
            </w:r>
          </w:p>
        </w:tc>
      </w:tr>
      <w:tr w:rsidR="00D774C2" w:rsidRPr="007114AF" w14:paraId="6EDD0AAA"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9F"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L13</w:t>
            </w:r>
          </w:p>
        </w:tc>
        <w:tc>
          <w:tcPr>
            <w:tcW w:w="2126" w:type="dxa"/>
            <w:vAlign w:val="center"/>
            <w:hideMark/>
          </w:tcPr>
          <w:p w14:paraId="6EDD0AA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Mbrojtja e pyjeve</w:t>
            </w:r>
          </w:p>
        </w:tc>
        <w:tc>
          <w:tcPr>
            <w:tcW w:w="773" w:type="dxa"/>
            <w:vAlign w:val="center"/>
            <w:hideMark/>
          </w:tcPr>
          <w:p w14:paraId="6EDD0AA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A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KTK</w:t>
            </w:r>
          </w:p>
        </w:tc>
        <w:tc>
          <w:tcPr>
            <w:tcW w:w="1134" w:type="dxa"/>
            <w:vAlign w:val="center"/>
          </w:tcPr>
          <w:p w14:paraId="6EDD0AA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AA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288,600.00</w:t>
            </w:r>
          </w:p>
        </w:tc>
        <w:tc>
          <w:tcPr>
            <w:tcW w:w="1276" w:type="dxa"/>
            <w:noWrap/>
            <w:vAlign w:val="center"/>
            <w:hideMark/>
          </w:tcPr>
          <w:p w14:paraId="6EDD0AA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288,600.00</w:t>
            </w:r>
          </w:p>
        </w:tc>
        <w:tc>
          <w:tcPr>
            <w:tcW w:w="1134" w:type="dxa"/>
            <w:noWrap/>
            <w:vAlign w:val="center"/>
            <w:hideMark/>
          </w:tcPr>
          <w:p w14:paraId="6EDD0AA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A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A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A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transferuar tek NjQV për periudhën 2016-2020 për menaxhimin e pyjeve dhe kullotave (përreth 40% e buxhetit vjetor)</w:t>
            </w:r>
          </w:p>
        </w:tc>
      </w:tr>
      <w:tr w:rsidR="00D774C2" w:rsidRPr="007114AF" w14:paraId="6EDD0AB6"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AB"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L14</w:t>
            </w:r>
          </w:p>
        </w:tc>
        <w:tc>
          <w:tcPr>
            <w:tcW w:w="2126" w:type="dxa"/>
            <w:vAlign w:val="center"/>
            <w:hideMark/>
          </w:tcPr>
          <w:p w14:paraId="6EDD0AA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Shtimi i efikasitetit ekonomik dhe eficiencës së energjisë nga përdorimi i qëndrueshëm i pyjeve shtetërore me qëllim uljen e shfrytëzimit të pyjeve dhe përmirësimin shfrytëzimit të teknologjivedrusore</w:t>
            </w:r>
          </w:p>
        </w:tc>
        <w:tc>
          <w:tcPr>
            <w:tcW w:w="773" w:type="dxa"/>
            <w:vAlign w:val="center"/>
            <w:hideMark/>
          </w:tcPr>
          <w:p w14:paraId="6EDD0AA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 (deri më 2050)</w:t>
            </w:r>
          </w:p>
        </w:tc>
        <w:tc>
          <w:tcPr>
            <w:tcW w:w="928" w:type="dxa"/>
            <w:vAlign w:val="center"/>
            <w:hideMark/>
          </w:tcPr>
          <w:p w14:paraId="6EDD0AA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KTK</w:t>
            </w:r>
          </w:p>
        </w:tc>
        <w:tc>
          <w:tcPr>
            <w:tcW w:w="1134" w:type="dxa"/>
            <w:vAlign w:val="center"/>
          </w:tcPr>
          <w:p w14:paraId="6EDD0AA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AB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150,000.00</w:t>
            </w:r>
          </w:p>
        </w:tc>
        <w:tc>
          <w:tcPr>
            <w:tcW w:w="1276" w:type="dxa"/>
            <w:noWrap/>
            <w:vAlign w:val="center"/>
            <w:hideMark/>
          </w:tcPr>
          <w:p w14:paraId="6EDD0AB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AB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B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B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150,000.00</w:t>
            </w:r>
          </w:p>
        </w:tc>
        <w:tc>
          <w:tcPr>
            <w:tcW w:w="2984" w:type="dxa"/>
            <w:vAlign w:val="center"/>
            <w:hideMark/>
          </w:tcPr>
          <w:p w14:paraId="6EDD0AB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parashikuar nga SMNS për periudhën 2016-2020. Asnjë rezultat i identifikuar për këtë masë në buxhetin afatmesëm (përreth 2% buxhetit vjetor për 3 vjet)</w:t>
            </w:r>
          </w:p>
        </w:tc>
      </w:tr>
      <w:tr w:rsidR="00D774C2" w:rsidRPr="007114AF" w14:paraId="6EDD0AC2"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B7"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L15</w:t>
            </w:r>
          </w:p>
        </w:tc>
        <w:tc>
          <w:tcPr>
            <w:tcW w:w="2126" w:type="dxa"/>
            <w:vAlign w:val="center"/>
            <w:hideMark/>
          </w:tcPr>
          <w:p w14:paraId="6EDD0AB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menaxhimiti dhe prodhimtarisë së pyllit</w:t>
            </w:r>
          </w:p>
        </w:tc>
        <w:tc>
          <w:tcPr>
            <w:tcW w:w="773" w:type="dxa"/>
            <w:vAlign w:val="center"/>
            <w:hideMark/>
          </w:tcPr>
          <w:p w14:paraId="6EDD0AB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2016-2017</w:t>
            </w:r>
          </w:p>
        </w:tc>
        <w:tc>
          <w:tcPr>
            <w:tcW w:w="928" w:type="dxa"/>
            <w:vAlign w:val="center"/>
            <w:hideMark/>
          </w:tcPr>
          <w:p w14:paraId="6EDD0AB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SNBZHR</w:t>
            </w:r>
          </w:p>
        </w:tc>
        <w:tc>
          <w:tcPr>
            <w:tcW w:w="1134" w:type="dxa"/>
            <w:vAlign w:val="center"/>
          </w:tcPr>
          <w:p w14:paraId="6EDD0AB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AB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36,075.00</w:t>
            </w:r>
          </w:p>
        </w:tc>
        <w:tc>
          <w:tcPr>
            <w:tcW w:w="1276" w:type="dxa"/>
            <w:vAlign w:val="center"/>
            <w:hideMark/>
          </w:tcPr>
          <w:p w14:paraId="6EDD0AB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36,075.00</w:t>
            </w:r>
          </w:p>
        </w:tc>
        <w:tc>
          <w:tcPr>
            <w:tcW w:w="1134" w:type="dxa"/>
            <w:noWrap/>
            <w:vAlign w:val="center"/>
            <w:hideMark/>
          </w:tcPr>
          <w:p w14:paraId="6EDD0AB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B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C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C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transferuar tek NjQV për periudhën 2016-2020 për menaxhimin e pyjeve dhe kullotave (përreth 5% e buxhetit)</w:t>
            </w:r>
          </w:p>
        </w:tc>
      </w:tr>
      <w:tr w:rsidR="00D774C2" w:rsidRPr="007114AF" w14:paraId="6EDD0ACE"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C3"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L16</w:t>
            </w:r>
          </w:p>
        </w:tc>
        <w:tc>
          <w:tcPr>
            <w:tcW w:w="2126" w:type="dxa"/>
            <w:vAlign w:val="center"/>
            <w:hideMark/>
          </w:tcPr>
          <w:p w14:paraId="6EDD0AC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menaxhimiti dhe prodhimtarisë së pyllit</w:t>
            </w:r>
          </w:p>
        </w:tc>
        <w:tc>
          <w:tcPr>
            <w:tcW w:w="773" w:type="dxa"/>
            <w:vAlign w:val="center"/>
            <w:hideMark/>
          </w:tcPr>
          <w:p w14:paraId="6EDD0AC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28" w:type="dxa"/>
            <w:vAlign w:val="center"/>
            <w:hideMark/>
          </w:tcPr>
          <w:p w14:paraId="6EDD0AC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SNBZHR</w:t>
            </w:r>
          </w:p>
        </w:tc>
        <w:tc>
          <w:tcPr>
            <w:tcW w:w="1134" w:type="dxa"/>
            <w:vAlign w:val="center"/>
          </w:tcPr>
          <w:p w14:paraId="6EDD0AC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AC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72,150.00</w:t>
            </w:r>
          </w:p>
        </w:tc>
        <w:tc>
          <w:tcPr>
            <w:tcW w:w="1276" w:type="dxa"/>
            <w:noWrap/>
            <w:vAlign w:val="center"/>
            <w:hideMark/>
          </w:tcPr>
          <w:p w14:paraId="6EDD0AC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72,150.00</w:t>
            </w:r>
          </w:p>
        </w:tc>
        <w:tc>
          <w:tcPr>
            <w:tcW w:w="1134" w:type="dxa"/>
            <w:noWrap/>
            <w:vAlign w:val="center"/>
            <w:hideMark/>
          </w:tcPr>
          <w:p w14:paraId="6EDD0AC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C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C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C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transferuar tek NjQV për periudhën 2016-2020 për menaxhimin e pyjeve dhe kullotave (përreth 10% e buxhetit)</w:t>
            </w:r>
          </w:p>
        </w:tc>
      </w:tr>
      <w:tr w:rsidR="00D774C2" w:rsidRPr="007114AF" w14:paraId="6EDD0ADA"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CF"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L17</w:t>
            </w:r>
          </w:p>
        </w:tc>
        <w:tc>
          <w:tcPr>
            <w:tcW w:w="2126" w:type="dxa"/>
            <w:vAlign w:val="center"/>
            <w:hideMark/>
          </w:tcPr>
          <w:p w14:paraId="6EDD0AD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prodhimtarisë të pyjeve</w:t>
            </w:r>
          </w:p>
        </w:tc>
        <w:tc>
          <w:tcPr>
            <w:tcW w:w="773" w:type="dxa"/>
            <w:vAlign w:val="center"/>
            <w:hideMark/>
          </w:tcPr>
          <w:p w14:paraId="6EDD0AD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D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AD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AD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72,150.00</w:t>
            </w:r>
          </w:p>
        </w:tc>
        <w:tc>
          <w:tcPr>
            <w:tcW w:w="1276" w:type="dxa"/>
            <w:noWrap/>
            <w:vAlign w:val="center"/>
            <w:hideMark/>
          </w:tcPr>
          <w:p w14:paraId="6EDD0AD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72,150.00</w:t>
            </w:r>
          </w:p>
        </w:tc>
        <w:tc>
          <w:tcPr>
            <w:tcW w:w="1134" w:type="dxa"/>
            <w:noWrap/>
            <w:vAlign w:val="center"/>
            <w:hideMark/>
          </w:tcPr>
          <w:p w14:paraId="6EDD0AD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D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D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D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transferuar tek NjQV për periudhën 2016-2020 për menaxhimin e pyjeve dhe kullotave (përreth 10% e buxhetit)</w:t>
            </w:r>
          </w:p>
        </w:tc>
      </w:tr>
      <w:tr w:rsidR="00D774C2" w:rsidRPr="007114AF" w14:paraId="6EDD0AE6"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DB"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L18</w:t>
            </w:r>
          </w:p>
        </w:tc>
        <w:tc>
          <w:tcPr>
            <w:tcW w:w="2126" w:type="dxa"/>
            <w:vAlign w:val="center"/>
            <w:hideMark/>
          </w:tcPr>
          <w:p w14:paraId="6EDD0AD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në menaxhimin dhe ruajtjen e pyjeve dhe kullotave</w:t>
            </w:r>
          </w:p>
        </w:tc>
        <w:tc>
          <w:tcPr>
            <w:tcW w:w="773" w:type="dxa"/>
            <w:vAlign w:val="center"/>
            <w:hideMark/>
          </w:tcPr>
          <w:p w14:paraId="6EDD0AD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D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NSDI-II; Draft KTK</w:t>
            </w:r>
          </w:p>
        </w:tc>
        <w:tc>
          <w:tcPr>
            <w:tcW w:w="1134" w:type="dxa"/>
            <w:vAlign w:val="center"/>
          </w:tcPr>
          <w:p w14:paraId="6EDD0AD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Direct</w:t>
            </w:r>
          </w:p>
        </w:tc>
        <w:tc>
          <w:tcPr>
            <w:tcW w:w="1134" w:type="dxa"/>
            <w:noWrap/>
            <w:vAlign w:val="center"/>
            <w:hideMark/>
          </w:tcPr>
          <w:p w14:paraId="6EDD0AE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72,150.00</w:t>
            </w:r>
          </w:p>
        </w:tc>
        <w:tc>
          <w:tcPr>
            <w:tcW w:w="1276" w:type="dxa"/>
            <w:noWrap/>
            <w:vAlign w:val="center"/>
            <w:hideMark/>
          </w:tcPr>
          <w:p w14:paraId="6EDD0AE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72,150.00</w:t>
            </w:r>
          </w:p>
        </w:tc>
        <w:tc>
          <w:tcPr>
            <w:tcW w:w="1134" w:type="dxa"/>
            <w:noWrap/>
            <w:vAlign w:val="center"/>
            <w:hideMark/>
          </w:tcPr>
          <w:p w14:paraId="6EDD0AE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E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E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E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transferuar tek NjQV për periudhën 2016-2020 për menaxhimin e pyjeve dhe kullotave (përreth 10% e buxhetit)</w:t>
            </w:r>
          </w:p>
        </w:tc>
      </w:tr>
      <w:tr w:rsidR="00D774C2" w:rsidRPr="007114AF" w14:paraId="6EDD0AF2"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E7"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L19</w:t>
            </w:r>
          </w:p>
        </w:tc>
        <w:tc>
          <w:tcPr>
            <w:tcW w:w="2126" w:type="dxa"/>
            <w:vAlign w:val="center"/>
            <w:hideMark/>
          </w:tcPr>
          <w:p w14:paraId="6EDD0AE8" w14:textId="0A75FCA3"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i menaxhimit të pyjeve</w:t>
            </w:r>
          </w:p>
        </w:tc>
        <w:tc>
          <w:tcPr>
            <w:tcW w:w="773" w:type="dxa"/>
            <w:vAlign w:val="center"/>
            <w:hideMark/>
          </w:tcPr>
          <w:p w14:paraId="6EDD0AE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28" w:type="dxa"/>
            <w:vAlign w:val="center"/>
            <w:hideMark/>
          </w:tcPr>
          <w:p w14:paraId="6EDD0AE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Draftligji mbi Administrimin e Fondit Pyjor </w:t>
            </w:r>
          </w:p>
        </w:tc>
        <w:tc>
          <w:tcPr>
            <w:tcW w:w="1134" w:type="dxa"/>
            <w:vAlign w:val="center"/>
          </w:tcPr>
          <w:p w14:paraId="6EDD0AE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AE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36,075.00</w:t>
            </w:r>
          </w:p>
        </w:tc>
        <w:tc>
          <w:tcPr>
            <w:tcW w:w="1276" w:type="dxa"/>
            <w:vAlign w:val="center"/>
            <w:hideMark/>
          </w:tcPr>
          <w:p w14:paraId="6EDD0AE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36,075.00</w:t>
            </w:r>
          </w:p>
        </w:tc>
        <w:tc>
          <w:tcPr>
            <w:tcW w:w="1134" w:type="dxa"/>
            <w:vAlign w:val="center"/>
            <w:hideMark/>
          </w:tcPr>
          <w:p w14:paraId="6EDD0AE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vAlign w:val="center"/>
            <w:hideMark/>
          </w:tcPr>
          <w:p w14:paraId="6EDD0AE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F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F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transferuar tek NjQV për periudhën 2016-2020 për menaxhimin e pyjeve dhe kullotave (përreth 5% e buxhetit)</w:t>
            </w:r>
          </w:p>
        </w:tc>
      </w:tr>
      <w:tr w:rsidR="00D774C2" w:rsidRPr="007114AF" w14:paraId="6EDD0AFE" w14:textId="77777777" w:rsidTr="00D774C2">
        <w:trPr>
          <w:trHeight w:val="1113"/>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F3"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L20</w:t>
            </w:r>
          </w:p>
        </w:tc>
        <w:tc>
          <w:tcPr>
            <w:tcW w:w="2126" w:type="dxa"/>
            <w:vAlign w:val="center"/>
            <w:hideMark/>
          </w:tcPr>
          <w:p w14:paraId="6EDD0AF4" w14:textId="51B0C159"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i menaxhimit të pyjeve dhe kullotave</w:t>
            </w:r>
          </w:p>
        </w:tc>
        <w:tc>
          <w:tcPr>
            <w:tcW w:w="773" w:type="dxa"/>
            <w:vAlign w:val="center"/>
            <w:hideMark/>
          </w:tcPr>
          <w:p w14:paraId="6EDD0AF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AF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SNBZHR</w:t>
            </w:r>
          </w:p>
        </w:tc>
        <w:tc>
          <w:tcPr>
            <w:tcW w:w="1134" w:type="dxa"/>
            <w:vAlign w:val="center"/>
          </w:tcPr>
          <w:p w14:paraId="6EDD0AF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AF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49,571.00</w:t>
            </w:r>
          </w:p>
        </w:tc>
        <w:tc>
          <w:tcPr>
            <w:tcW w:w="1276" w:type="dxa"/>
            <w:noWrap/>
            <w:vAlign w:val="center"/>
            <w:hideMark/>
          </w:tcPr>
          <w:p w14:paraId="6EDD0AF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49,571.00</w:t>
            </w:r>
          </w:p>
        </w:tc>
        <w:tc>
          <w:tcPr>
            <w:tcW w:w="1134" w:type="dxa"/>
            <w:noWrap/>
            <w:vAlign w:val="center"/>
            <w:hideMark/>
          </w:tcPr>
          <w:p w14:paraId="6EDD0AF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AF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AF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AF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afat mesëm rezultati K_Programi i administrimit të Pyjeve</w:t>
            </w:r>
          </w:p>
        </w:tc>
      </w:tr>
      <w:tr w:rsidR="00D774C2" w:rsidRPr="007114AF" w14:paraId="6EDD0B0A"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AFF"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L21</w:t>
            </w:r>
          </w:p>
        </w:tc>
        <w:tc>
          <w:tcPr>
            <w:tcW w:w="2126" w:type="dxa"/>
            <w:vAlign w:val="center"/>
            <w:hideMark/>
          </w:tcPr>
          <w:p w14:paraId="6EDD0B0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menaxhimit të pyjeve</w:t>
            </w:r>
          </w:p>
        </w:tc>
        <w:tc>
          <w:tcPr>
            <w:tcW w:w="773" w:type="dxa"/>
            <w:vAlign w:val="center"/>
            <w:hideMark/>
          </w:tcPr>
          <w:p w14:paraId="6EDD0B0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28" w:type="dxa"/>
            <w:vAlign w:val="center"/>
            <w:hideMark/>
          </w:tcPr>
          <w:p w14:paraId="6EDD0B0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Draftligji mbi Administrimin e Fondit Pyjor </w:t>
            </w:r>
          </w:p>
        </w:tc>
        <w:tc>
          <w:tcPr>
            <w:tcW w:w="1134" w:type="dxa"/>
            <w:vAlign w:val="center"/>
          </w:tcPr>
          <w:p w14:paraId="6EDD0B0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B0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36,075.00</w:t>
            </w:r>
          </w:p>
        </w:tc>
        <w:tc>
          <w:tcPr>
            <w:tcW w:w="1276" w:type="dxa"/>
            <w:vAlign w:val="center"/>
            <w:hideMark/>
          </w:tcPr>
          <w:p w14:paraId="6EDD0B0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36,075.00</w:t>
            </w:r>
          </w:p>
        </w:tc>
        <w:tc>
          <w:tcPr>
            <w:tcW w:w="1134" w:type="dxa"/>
            <w:noWrap/>
            <w:vAlign w:val="center"/>
            <w:hideMark/>
          </w:tcPr>
          <w:p w14:paraId="6EDD0B0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0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0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0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transferuar tek NjQV për periudhën 2016-2020 për menaxhimin e pyjeve dhe kullotave (përreth 5% e buxhetit)</w:t>
            </w:r>
          </w:p>
        </w:tc>
      </w:tr>
      <w:tr w:rsidR="00D774C2" w:rsidRPr="007114AF" w14:paraId="6EDD0B16"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0B"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L22</w:t>
            </w:r>
          </w:p>
        </w:tc>
        <w:tc>
          <w:tcPr>
            <w:tcW w:w="2126" w:type="dxa"/>
            <w:vAlign w:val="center"/>
            <w:hideMark/>
          </w:tcPr>
          <w:p w14:paraId="6EDD0B0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 i sektorit të pyjeve dhe sistemittë tij të planëzimit dhe informimit. Krijimi i bazës së të dhënave mbi pyjet, hartimi i planeve të menaxhimit dhe miratimi i tyre, duke përditësuar të dhënat e tyre me arritjen e objektivit 37% dhe vendosjen e njësive territoriale me funksion prodhimin dhe menaxhimin e integruar nëpërmjet teknikave të avancuara</w:t>
            </w:r>
          </w:p>
        </w:tc>
        <w:tc>
          <w:tcPr>
            <w:tcW w:w="773" w:type="dxa"/>
            <w:vAlign w:val="center"/>
            <w:hideMark/>
          </w:tcPr>
          <w:p w14:paraId="6EDD0B0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B0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NSDI-II; Draft Ligji mbi Fondin e Kullotave dhe Pyjeve</w:t>
            </w:r>
          </w:p>
        </w:tc>
        <w:tc>
          <w:tcPr>
            <w:tcW w:w="1134" w:type="dxa"/>
            <w:vAlign w:val="center"/>
          </w:tcPr>
          <w:p w14:paraId="6EDD0B0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Mundesuese</w:t>
            </w:r>
          </w:p>
        </w:tc>
        <w:tc>
          <w:tcPr>
            <w:tcW w:w="1134" w:type="dxa"/>
            <w:noWrap/>
            <w:vAlign w:val="center"/>
            <w:hideMark/>
          </w:tcPr>
          <w:p w14:paraId="6EDD0B1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1,258,237.00</w:t>
            </w:r>
          </w:p>
        </w:tc>
        <w:tc>
          <w:tcPr>
            <w:tcW w:w="1276" w:type="dxa"/>
            <w:noWrap/>
            <w:vAlign w:val="center"/>
            <w:hideMark/>
          </w:tcPr>
          <w:p w14:paraId="6EDD0B1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1,258,237.00</w:t>
            </w:r>
          </w:p>
        </w:tc>
        <w:tc>
          <w:tcPr>
            <w:tcW w:w="1134" w:type="dxa"/>
            <w:noWrap/>
            <w:vAlign w:val="center"/>
            <w:hideMark/>
          </w:tcPr>
          <w:p w14:paraId="6EDD0B1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1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1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1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afatmesëm, rezultati B,C,D_ Programi i administrimit të Pyjeve</w:t>
            </w:r>
          </w:p>
        </w:tc>
      </w:tr>
      <w:tr w:rsidR="00D774C2" w:rsidRPr="007114AF" w14:paraId="6EDD0B22"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17"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L23</w:t>
            </w:r>
          </w:p>
        </w:tc>
        <w:tc>
          <w:tcPr>
            <w:tcW w:w="2126" w:type="dxa"/>
            <w:vAlign w:val="center"/>
            <w:hideMark/>
          </w:tcPr>
          <w:p w14:paraId="6EDD0B1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Krijimi i një baze të dhënash mbi zjarret</w:t>
            </w:r>
          </w:p>
        </w:tc>
        <w:tc>
          <w:tcPr>
            <w:tcW w:w="773" w:type="dxa"/>
            <w:vAlign w:val="center"/>
            <w:hideMark/>
          </w:tcPr>
          <w:p w14:paraId="6EDD0B1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Pas hyrjes në fuqi</w:t>
            </w:r>
          </w:p>
        </w:tc>
        <w:tc>
          <w:tcPr>
            <w:tcW w:w="928" w:type="dxa"/>
            <w:vAlign w:val="center"/>
            <w:hideMark/>
          </w:tcPr>
          <w:p w14:paraId="6EDD0B1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Draftligji mbi Administrimin e Fondit Pyjor </w:t>
            </w:r>
          </w:p>
        </w:tc>
        <w:tc>
          <w:tcPr>
            <w:tcW w:w="1134" w:type="dxa"/>
            <w:vAlign w:val="center"/>
          </w:tcPr>
          <w:p w14:paraId="6EDD0B1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Mundesuese</w:t>
            </w:r>
          </w:p>
        </w:tc>
        <w:tc>
          <w:tcPr>
            <w:tcW w:w="1134" w:type="dxa"/>
            <w:noWrap/>
            <w:vAlign w:val="center"/>
            <w:hideMark/>
          </w:tcPr>
          <w:p w14:paraId="6EDD0B1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137,300.00</w:t>
            </w:r>
          </w:p>
        </w:tc>
        <w:tc>
          <w:tcPr>
            <w:tcW w:w="1276" w:type="dxa"/>
            <w:noWrap/>
            <w:vAlign w:val="center"/>
            <w:hideMark/>
          </w:tcPr>
          <w:p w14:paraId="6EDD0B1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137,300.00</w:t>
            </w:r>
          </w:p>
        </w:tc>
        <w:tc>
          <w:tcPr>
            <w:tcW w:w="1134" w:type="dxa"/>
            <w:noWrap/>
            <w:vAlign w:val="center"/>
            <w:hideMark/>
          </w:tcPr>
          <w:p w14:paraId="6EDD0B1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1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2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2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afatmesëm, rezultati B,_ Programi i administrimit të Pyjeve</w:t>
            </w:r>
          </w:p>
        </w:tc>
      </w:tr>
      <w:tr w:rsidR="00D774C2" w:rsidRPr="007114AF" w14:paraId="6EDD0B2E"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23"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L24</w:t>
            </w:r>
          </w:p>
        </w:tc>
        <w:tc>
          <w:tcPr>
            <w:tcW w:w="2126" w:type="dxa"/>
            <w:vAlign w:val="center"/>
            <w:hideMark/>
          </w:tcPr>
          <w:p w14:paraId="6EDD0B2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Krijimi i burimeve financiare për monitorimin e pyjeve dhe kullotave</w:t>
            </w:r>
          </w:p>
        </w:tc>
        <w:tc>
          <w:tcPr>
            <w:tcW w:w="773" w:type="dxa"/>
            <w:vAlign w:val="center"/>
            <w:hideMark/>
          </w:tcPr>
          <w:p w14:paraId="6EDD0B2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B2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Draftligji mbi Administrimin e Fondit Pyjor </w:t>
            </w:r>
          </w:p>
        </w:tc>
        <w:tc>
          <w:tcPr>
            <w:tcW w:w="1134" w:type="dxa"/>
            <w:vAlign w:val="center"/>
          </w:tcPr>
          <w:p w14:paraId="6EDD0B2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Mundesuese</w:t>
            </w:r>
          </w:p>
        </w:tc>
        <w:tc>
          <w:tcPr>
            <w:tcW w:w="1134" w:type="dxa"/>
            <w:noWrap/>
            <w:vAlign w:val="center"/>
            <w:hideMark/>
          </w:tcPr>
          <w:p w14:paraId="6EDD0B2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457,196.50</w:t>
            </w:r>
          </w:p>
        </w:tc>
        <w:tc>
          <w:tcPr>
            <w:tcW w:w="1276" w:type="dxa"/>
            <w:noWrap/>
            <w:vAlign w:val="center"/>
            <w:hideMark/>
          </w:tcPr>
          <w:p w14:paraId="6EDD0B2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457,196.50</w:t>
            </w:r>
          </w:p>
        </w:tc>
        <w:tc>
          <w:tcPr>
            <w:tcW w:w="1134" w:type="dxa"/>
            <w:noWrap/>
            <w:vAlign w:val="center"/>
            <w:hideMark/>
          </w:tcPr>
          <w:p w14:paraId="6EDD0B2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2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2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2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Buxheti i alokuar për Inspektoratin Shtetëror të Mjedisit dhe Pyjeve (gjysma e shpenzimeve për pyjet dhe kullotat)</w:t>
            </w:r>
          </w:p>
        </w:tc>
      </w:tr>
      <w:tr w:rsidR="00D774C2" w:rsidRPr="007114AF" w14:paraId="6EDD0B3A"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2F"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L25</w:t>
            </w:r>
          </w:p>
        </w:tc>
        <w:tc>
          <w:tcPr>
            <w:tcW w:w="2126" w:type="dxa"/>
            <w:vAlign w:val="center"/>
            <w:hideMark/>
          </w:tcPr>
          <w:p w14:paraId="6EDD0B30" w14:textId="7AF80041"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Sigurimi i të drejtave tradicionale për përdorimin/pronësinë e pyjeve, vendosjen e mekanizmave për të ulur prerjet e paligjshme dhe tregtinë e drurit, deri në masën 50% dhe parandalimin e zjarreve deri në masën 37% të zonaveme</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rrezik</w:t>
            </w:r>
          </w:p>
        </w:tc>
        <w:tc>
          <w:tcPr>
            <w:tcW w:w="773" w:type="dxa"/>
            <w:vAlign w:val="center"/>
            <w:hideMark/>
          </w:tcPr>
          <w:p w14:paraId="6EDD0B3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w:t>
            </w:r>
          </w:p>
        </w:tc>
        <w:tc>
          <w:tcPr>
            <w:tcW w:w="928" w:type="dxa"/>
            <w:vAlign w:val="center"/>
            <w:hideMark/>
          </w:tcPr>
          <w:p w14:paraId="6EDD0B3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B3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B3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17,258.00</w:t>
            </w:r>
          </w:p>
        </w:tc>
        <w:tc>
          <w:tcPr>
            <w:tcW w:w="1276" w:type="dxa"/>
            <w:noWrap/>
            <w:vAlign w:val="center"/>
            <w:hideMark/>
          </w:tcPr>
          <w:p w14:paraId="6EDD0B3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17,258.00</w:t>
            </w:r>
          </w:p>
        </w:tc>
        <w:tc>
          <w:tcPr>
            <w:tcW w:w="1134" w:type="dxa"/>
            <w:noWrap/>
            <w:vAlign w:val="center"/>
            <w:hideMark/>
          </w:tcPr>
          <w:p w14:paraId="6EDD0B3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3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3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3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parashikuar nga SMNS për periudhën 2015-2020 (Rezultati F)</w:t>
            </w:r>
          </w:p>
        </w:tc>
      </w:tr>
      <w:tr w:rsidR="00D774C2" w:rsidRPr="007114AF" w14:paraId="6EDD0B46"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3B"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L26</w:t>
            </w:r>
          </w:p>
        </w:tc>
        <w:tc>
          <w:tcPr>
            <w:tcW w:w="2126" w:type="dxa"/>
            <w:vAlign w:val="center"/>
            <w:hideMark/>
          </w:tcPr>
          <w:p w14:paraId="6EDD0B3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Sigurimin e të drejtave tradicionale për përdorimin/pronësinë e pyjeve, vendosjen e mekanizmave për të ulur prerjet e paligjshme dhe tregtinë e drurit në 100% dhe parandalimin e zjarreve në 80% të zonave me rrezik.</w:t>
            </w:r>
          </w:p>
        </w:tc>
        <w:tc>
          <w:tcPr>
            <w:tcW w:w="773" w:type="dxa"/>
            <w:vAlign w:val="center"/>
            <w:hideMark/>
          </w:tcPr>
          <w:p w14:paraId="6EDD0B3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28" w:type="dxa"/>
            <w:vAlign w:val="center"/>
            <w:hideMark/>
          </w:tcPr>
          <w:p w14:paraId="6EDD0B3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B3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B4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39,000.00</w:t>
            </w:r>
          </w:p>
        </w:tc>
        <w:tc>
          <w:tcPr>
            <w:tcW w:w="1276" w:type="dxa"/>
            <w:noWrap/>
            <w:vAlign w:val="center"/>
            <w:hideMark/>
          </w:tcPr>
          <w:p w14:paraId="6EDD0B4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39,000.00</w:t>
            </w:r>
          </w:p>
        </w:tc>
        <w:tc>
          <w:tcPr>
            <w:tcW w:w="1134" w:type="dxa"/>
            <w:noWrap/>
            <w:vAlign w:val="center"/>
            <w:hideMark/>
          </w:tcPr>
          <w:p w14:paraId="6EDD0B4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4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4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4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parashikuar nga SMNS për periudhën 2015-2020 (Rezultati F)</w:t>
            </w:r>
          </w:p>
        </w:tc>
      </w:tr>
      <w:tr w:rsidR="00D774C2" w:rsidRPr="007114AF" w14:paraId="6EDD0B52"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47"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L27</w:t>
            </w:r>
          </w:p>
        </w:tc>
        <w:tc>
          <w:tcPr>
            <w:tcW w:w="2126" w:type="dxa"/>
            <w:vAlign w:val="center"/>
            <w:hideMark/>
          </w:tcPr>
          <w:p w14:paraId="6EDD0B4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Parandalimi i zjarreve në zonat pyjore dhe forcimi i masave të nevojshme për shuarjen e menjëhershme të tyre</w:t>
            </w:r>
          </w:p>
        </w:tc>
        <w:tc>
          <w:tcPr>
            <w:tcW w:w="773" w:type="dxa"/>
            <w:vAlign w:val="center"/>
            <w:hideMark/>
          </w:tcPr>
          <w:p w14:paraId="6EDD0B4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B4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Draft KTK</w:t>
            </w:r>
          </w:p>
        </w:tc>
        <w:tc>
          <w:tcPr>
            <w:tcW w:w="1134" w:type="dxa"/>
            <w:vAlign w:val="center"/>
          </w:tcPr>
          <w:p w14:paraId="6EDD0B4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Mundsuese</w:t>
            </w:r>
          </w:p>
        </w:tc>
        <w:tc>
          <w:tcPr>
            <w:tcW w:w="1134" w:type="dxa"/>
            <w:noWrap/>
            <w:vAlign w:val="center"/>
            <w:hideMark/>
          </w:tcPr>
          <w:p w14:paraId="6EDD0B4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6,200.00</w:t>
            </w:r>
          </w:p>
        </w:tc>
        <w:tc>
          <w:tcPr>
            <w:tcW w:w="1276" w:type="dxa"/>
            <w:noWrap/>
            <w:vAlign w:val="center"/>
            <w:hideMark/>
          </w:tcPr>
          <w:p w14:paraId="6EDD0B4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B4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6,200.00</w:t>
            </w:r>
          </w:p>
        </w:tc>
        <w:tc>
          <w:tcPr>
            <w:tcW w:w="1275" w:type="dxa"/>
            <w:noWrap/>
            <w:vAlign w:val="center"/>
            <w:hideMark/>
          </w:tcPr>
          <w:p w14:paraId="6EDD0B4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5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5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të trajnimit të parashikuar nga SMNS për periudhën 2015-2020</w:t>
            </w:r>
          </w:p>
        </w:tc>
      </w:tr>
      <w:tr w:rsidR="00D774C2" w:rsidRPr="007114AF" w14:paraId="6EDD0B5E"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53"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L28</w:t>
            </w:r>
          </w:p>
        </w:tc>
        <w:tc>
          <w:tcPr>
            <w:tcW w:w="2126" w:type="dxa"/>
            <w:vAlign w:val="center"/>
            <w:hideMark/>
          </w:tcPr>
          <w:p w14:paraId="6EDD0B5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Rimëkëmbja e pyjeve të dëmtuara</w:t>
            </w:r>
          </w:p>
        </w:tc>
        <w:tc>
          <w:tcPr>
            <w:tcW w:w="773" w:type="dxa"/>
            <w:vAlign w:val="center"/>
            <w:hideMark/>
          </w:tcPr>
          <w:p w14:paraId="6EDD0B5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B5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SNBZHR</w:t>
            </w:r>
          </w:p>
        </w:tc>
        <w:tc>
          <w:tcPr>
            <w:tcW w:w="1134" w:type="dxa"/>
            <w:vAlign w:val="center"/>
          </w:tcPr>
          <w:p w14:paraId="6EDD0B5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B5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60,000.00</w:t>
            </w:r>
          </w:p>
        </w:tc>
        <w:tc>
          <w:tcPr>
            <w:tcW w:w="1276" w:type="dxa"/>
            <w:noWrap/>
            <w:vAlign w:val="center"/>
            <w:hideMark/>
          </w:tcPr>
          <w:p w14:paraId="6EDD0B5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60,000.00</w:t>
            </w:r>
          </w:p>
        </w:tc>
        <w:tc>
          <w:tcPr>
            <w:tcW w:w="1134" w:type="dxa"/>
            <w:noWrap/>
            <w:vAlign w:val="center"/>
            <w:hideMark/>
          </w:tcPr>
          <w:p w14:paraId="6EDD0B5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5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5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5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Rezultati G dhe Fondi Rajonal i Zhvillimit (25% e fondit total)</w:t>
            </w:r>
          </w:p>
        </w:tc>
      </w:tr>
      <w:tr w:rsidR="00D774C2" w:rsidRPr="007114AF" w14:paraId="6EDD0B6C"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5F"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L29</w:t>
            </w:r>
          </w:p>
        </w:tc>
        <w:tc>
          <w:tcPr>
            <w:tcW w:w="2126" w:type="dxa"/>
            <w:vAlign w:val="center"/>
            <w:hideMark/>
          </w:tcPr>
          <w:p w14:paraId="6EDD0B6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Fondi Rajonal i Zhvillimit që shton biodiversitetin dhe ndihmon në përshtatjen me sfidate ndryshimeveklimatike</w:t>
            </w:r>
          </w:p>
        </w:tc>
        <w:tc>
          <w:tcPr>
            <w:tcW w:w="773" w:type="dxa"/>
            <w:vAlign w:val="center"/>
            <w:hideMark/>
          </w:tcPr>
          <w:p w14:paraId="6EDD0B6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B6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PKT</w:t>
            </w:r>
          </w:p>
        </w:tc>
        <w:tc>
          <w:tcPr>
            <w:tcW w:w="1134" w:type="dxa"/>
            <w:vAlign w:val="center"/>
          </w:tcPr>
          <w:p w14:paraId="6EDD0B6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hideMark/>
          </w:tcPr>
          <w:p w14:paraId="6EDD0B6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3.295.200,00</w:t>
            </w:r>
          </w:p>
          <w:p w14:paraId="6EDD0B6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noWrap/>
            <w:hideMark/>
          </w:tcPr>
          <w:p w14:paraId="6EDD0B6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120,000.00</w:t>
            </w:r>
          </w:p>
        </w:tc>
        <w:tc>
          <w:tcPr>
            <w:tcW w:w="1134" w:type="dxa"/>
            <w:noWrap/>
            <w:hideMark/>
          </w:tcPr>
          <w:p w14:paraId="6EDD0B6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hideMark/>
          </w:tcPr>
          <w:p w14:paraId="6EDD0B6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hideMark/>
          </w:tcPr>
          <w:p w14:paraId="6EDD0B6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eastAsia="Times New Roman" w:hAnsi="Garamond" w:cs="Times New Roman"/>
                <w:sz w:val="18"/>
                <w:szCs w:val="18"/>
              </w:rPr>
              <w:t> </w:t>
            </w:r>
            <w:r w:rsidRPr="007114AF">
              <w:rPr>
                <w:rFonts w:ascii="Garamond" w:hAnsi="Garamond"/>
                <w:sz w:val="18"/>
                <w:szCs w:val="18"/>
              </w:rPr>
              <w:t>3.175.200,00</w:t>
            </w:r>
          </w:p>
          <w:p w14:paraId="6EDD0B6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2984" w:type="dxa"/>
            <w:vAlign w:val="center"/>
            <w:hideMark/>
          </w:tcPr>
          <w:p w14:paraId="6EDD0B6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Rezultati G dhe Fondi Rajonal i Zhvillimit (50% e fondit total)</w:t>
            </w:r>
          </w:p>
        </w:tc>
      </w:tr>
      <w:tr w:rsidR="00D774C2" w:rsidRPr="007114AF" w14:paraId="6EDD0B7B"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6D"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L30</w:t>
            </w:r>
          </w:p>
        </w:tc>
        <w:tc>
          <w:tcPr>
            <w:tcW w:w="2126" w:type="dxa"/>
            <w:vAlign w:val="center"/>
            <w:hideMark/>
          </w:tcPr>
          <w:p w14:paraId="6EDD0B6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Promovimi i zgjerimit dhe përmirësimit të burimeve pyjore nëpërmjet pyllëzimit të tokës me qëllim parandalimin e erozionit, ruajtjen e burimeve ujore, përmirësimin e biodiverisitetit dhe ndihmimin në përshtatje ndaj ndryshimeve klimatikeklimatike. </w:t>
            </w:r>
          </w:p>
        </w:tc>
        <w:tc>
          <w:tcPr>
            <w:tcW w:w="773" w:type="dxa"/>
            <w:vAlign w:val="center"/>
            <w:hideMark/>
          </w:tcPr>
          <w:p w14:paraId="6EDD0B6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928" w:type="dxa"/>
            <w:vAlign w:val="center"/>
            <w:hideMark/>
          </w:tcPr>
          <w:p w14:paraId="6EDD0B7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PKT</w:t>
            </w:r>
          </w:p>
        </w:tc>
        <w:tc>
          <w:tcPr>
            <w:tcW w:w="1134" w:type="dxa"/>
            <w:vAlign w:val="center"/>
          </w:tcPr>
          <w:p w14:paraId="6EDD0B7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hideMark/>
          </w:tcPr>
          <w:p w14:paraId="6EDD0B7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12.357.000,00</w:t>
            </w:r>
          </w:p>
          <w:p w14:paraId="6EDD0B7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noWrap/>
            <w:hideMark/>
          </w:tcPr>
          <w:p w14:paraId="6EDD0B7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1.235.700,00</w:t>
            </w:r>
          </w:p>
          <w:p w14:paraId="6EDD0B7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134" w:type="dxa"/>
            <w:noWrap/>
            <w:hideMark/>
          </w:tcPr>
          <w:p w14:paraId="6EDD0B7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hideMark/>
          </w:tcPr>
          <w:p w14:paraId="6EDD0B7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hideMark/>
          </w:tcPr>
          <w:p w14:paraId="6EDD0B7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eastAsia="Times New Roman" w:hAnsi="Garamond" w:cs="Times New Roman"/>
                <w:sz w:val="18"/>
                <w:szCs w:val="18"/>
              </w:rPr>
              <w:t> </w:t>
            </w:r>
            <w:r w:rsidRPr="007114AF">
              <w:rPr>
                <w:rFonts w:ascii="Garamond" w:hAnsi="Garamond"/>
                <w:sz w:val="18"/>
                <w:szCs w:val="18"/>
              </w:rPr>
              <w:t>11.121.300,00</w:t>
            </w:r>
          </w:p>
          <w:p w14:paraId="6EDD0B7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2984" w:type="dxa"/>
            <w:vAlign w:val="center"/>
            <w:hideMark/>
          </w:tcPr>
          <w:p w14:paraId="6EDD0B7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Rezultati G dhe Fondi Rajonal i Zhvillimit (25% e fondit total)</w:t>
            </w:r>
          </w:p>
        </w:tc>
      </w:tr>
      <w:tr w:rsidR="00D774C2" w:rsidRPr="007114AF" w14:paraId="6EDD0B8A"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7C"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L31</w:t>
            </w:r>
          </w:p>
        </w:tc>
        <w:tc>
          <w:tcPr>
            <w:tcW w:w="2126" w:type="dxa"/>
            <w:vAlign w:val="center"/>
            <w:hideMark/>
          </w:tcPr>
          <w:p w14:paraId="6EDD0B7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zgjerimit dhe përmirësimit të burimeve pyjore nëpërmjet pyllëzimit të tokës me qëllim parandalimin e erozionit, ruajtjen e burimeve ujore, përmirësimin e biodiverisitetit dhe ndihmimin në përshtatjen ndaj ndryshimeve klimatike.</w:t>
            </w:r>
          </w:p>
        </w:tc>
        <w:tc>
          <w:tcPr>
            <w:tcW w:w="773" w:type="dxa"/>
            <w:vAlign w:val="center"/>
            <w:hideMark/>
          </w:tcPr>
          <w:p w14:paraId="6EDD0B7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2050</w:t>
            </w:r>
          </w:p>
        </w:tc>
        <w:tc>
          <w:tcPr>
            <w:tcW w:w="928" w:type="dxa"/>
            <w:vAlign w:val="center"/>
            <w:hideMark/>
          </w:tcPr>
          <w:p w14:paraId="6EDD0B7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KTK; PKT</w:t>
            </w:r>
          </w:p>
        </w:tc>
        <w:tc>
          <w:tcPr>
            <w:tcW w:w="1134" w:type="dxa"/>
            <w:vAlign w:val="center"/>
          </w:tcPr>
          <w:p w14:paraId="6EDD0B8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hideMark/>
          </w:tcPr>
          <w:p w14:paraId="6EDD0B8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549.200,00</w:t>
            </w:r>
          </w:p>
          <w:p w14:paraId="6EDD0B8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noWrap/>
            <w:hideMark/>
          </w:tcPr>
          <w:p w14:paraId="6EDD0B8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134" w:type="dxa"/>
            <w:noWrap/>
            <w:hideMark/>
          </w:tcPr>
          <w:p w14:paraId="6EDD0B8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hideMark/>
          </w:tcPr>
          <w:p w14:paraId="6EDD0B8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eastAsia="Times New Roman" w:hAnsi="Garamond" w:cs="Times New Roman"/>
                <w:sz w:val="18"/>
                <w:szCs w:val="18"/>
              </w:rPr>
              <w:t> </w:t>
            </w:r>
            <w:r w:rsidRPr="007114AF">
              <w:rPr>
                <w:rFonts w:ascii="Garamond" w:hAnsi="Garamond"/>
                <w:sz w:val="18"/>
                <w:szCs w:val="18"/>
              </w:rPr>
              <w:t>137.300,00</w:t>
            </w:r>
          </w:p>
          <w:p w14:paraId="6EDD0B8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noWrap/>
            <w:hideMark/>
          </w:tcPr>
          <w:p w14:paraId="6EDD0B8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eastAsia="Times New Roman" w:hAnsi="Garamond" w:cs="Times New Roman"/>
                <w:sz w:val="18"/>
                <w:szCs w:val="18"/>
              </w:rPr>
              <w:t> </w:t>
            </w:r>
            <w:r w:rsidRPr="007114AF">
              <w:rPr>
                <w:rFonts w:ascii="Garamond" w:hAnsi="Garamond"/>
                <w:sz w:val="18"/>
                <w:szCs w:val="18"/>
              </w:rPr>
              <w:t>411.900,00</w:t>
            </w:r>
          </w:p>
          <w:p w14:paraId="6EDD0B8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2984" w:type="dxa"/>
            <w:vAlign w:val="center"/>
            <w:hideMark/>
          </w:tcPr>
          <w:p w14:paraId="6EDD0B89" w14:textId="211872F8"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w:t>
            </w:r>
            <w:r w:rsidR="00D10DAB"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ka impakt mbi buxhetin deri në 2020</w:t>
            </w:r>
          </w:p>
        </w:tc>
      </w:tr>
      <w:tr w:rsidR="00D774C2" w:rsidRPr="007114AF" w14:paraId="6EDD0B98"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8B"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L32</w:t>
            </w:r>
          </w:p>
        </w:tc>
        <w:tc>
          <w:tcPr>
            <w:tcW w:w="2126" w:type="dxa"/>
            <w:vAlign w:val="center"/>
            <w:hideMark/>
          </w:tcPr>
          <w:p w14:paraId="6EDD0B8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Mbajtja nën kontroll e erozionit të tokës nëpërmjet shtimit të pyllëzimeve</w:t>
            </w:r>
          </w:p>
        </w:tc>
        <w:tc>
          <w:tcPr>
            <w:tcW w:w="773" w:type="dxa"/>
            <w:vAlign w:val="center"/>
            <w:hideMark/>
          </w:tcPr>
          <w:p w14:paraId="6EDD0B8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B8E" w14:textId="73D67378"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SNBZHR; SMNS;</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KTK; DPSMB; PPK; NSDI-II</w:t>
            </w:r>
          </w:p>
        </w:tc>
        <w:tc>
          <w:tcPr>
            <w:tcW w:w="1134" w:type="dxa"/>
            <w:vAlign w:val="center"/>
          </w:tcPr>
          <w:p w14:paraId="6EDD0B8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hideMark/>
          </w:tcPr>
          <w:p w14:paraId="6EDD0B9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3.295.200,00</w:t>
            </w:r>
          </w:p>
          <w:p w14:paraId="6EDD0B9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1276" w:type="dxa"/>
            <w:noWrap/>
            <w:hideMark/>
          </w:tcPr>
          <w:p w14:paraId="6EDD0B9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hideMark/>
          </w:tcPr>
          <w:p w14:paraId="6EDD0B9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hideMark/>
          </w:tcPr>
          <w:p w14:paraId="6EDD0B9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hideMark/>
          </w:tcPr>
          <w:p w14:paraId="6EDD0B9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3.295.200,00</w:t>
            </w:r>
          </w:p>
          <w:p w14:paraId="6EDD0B9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p>
        </w:tc>
        <w:tc>
          <w:tcPr>
            <w:tcW w:w="2984" w:type="dxa"/>
            <w:vAlign w:val="center"/>
            <w:hideMark/>
          </w:tcPr>
          <w:p w14:paraId="6EDD0B9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Pjesë e buxhetit vjetor të parashikuar nga SMNS për periudhën 2016-2020. Asnjë rezultat të identifikuar për këtë masë në buxhetin afat mesëm (përreth 2% i kostos vjetore) </w:t>
            </w:r>
          </w:p>
        </w:tc>
      </w:tr>
      <w:tr w:rsidR="00D774C2" w:rsidRPr="007114AF" w14:paraId="6EDD0BA4"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99"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L33</w:t>
            </w:r>
          </w:p>
        </w:tc>
        <w:tc>
          <w:tcPr>
            <w:tcW w:w="2126" w:type="dxa"/>
            <w:vAlign w:val="center"/>
            <w:hideMark/>
          </w:tcPr>
          <w:p w14:paraId="6EDD0B9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Restaurimi i tokës së degraduar</w:t>
            </w:r>
          </w:p>
        </w:tc>
        <w:tc>
          <w:tcPr>
            <w:tcW w:w="773" w:type="dxa"/>
            <w:vAlign w:val="center"/>
            <w:hideMark/>
          </w:tcPr>
          <w:p w14:paraId="6EDD0B9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B9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KTK; PKT</w:t>
            </w:r>
          </w:p>
        </w:tc>
        <w:tc>
          <w:tcPr>
            <w:tcW w:w="1134" w:type="dxa"/>
            <w:vAlign w:val="center"/>
          </w:tcPr>
          <w:p w14:paraId="6EDD0B9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B9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933,640.00</w:t>
            </w:r>
          </w:p>
        </w:tc>
        <w:tc>
          <w:tcPr>
            <w:tcW w:w="1276" w:type="dxa"/>
            <w:noWrap/>
            <w:vAlign w:val="center"/>
            <w:hideMark/>
          </w:tcPr>
          <w:p w14:paraId="6EDD0B9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BA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933,640.00</w:t>
            </w:r>
          </w:p>
        </w:tc>
        <w:tc>
          <w:tcPr>
            <w:tcW w:w="1275" w:type="dxa"/>
            <w:noWrap/>
            <w:vAlign w:val="center"/>
            <w:hideMark/>
          </w:tcPr>
          <w:p w14:paraId="6EDD0BA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A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A3" w14:textId="1C0EF252"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Kosto e projektit të BB për përbërësin </w:t>
            </w:r>
            <w:r w:rsidR="000A2A01" w:rsidRPr="007114AF">
              <w:rPr>
                <w:rFonts w:ascii="Garamond" w:eastAsia="Times New Roman" w:hAnsi="Garamond" w:cs="Times New Roman"/>
                <w:sz w:val="18"/>
                <w:szCs w:val="18"/>
              </w:rPr>
              <w:t>“</w:t>
            </w:r>
            <w:r w:rsidRPr="007114AF">
              <w:rPr>
                <w:rFonts w:ascii="Garamond" w:eastAsia="Times New Roman" w:hAnsi="Garamond" w:cs="Times New Roman"/>
                <w:sz w:val="18"/>
                <w:szCs w:val="18"/>
              </w:rPr>
              <w:t>Planëzim dhe Dhënie të Granteve si IPARD për të përmirësuar menaxhimin e tokës</w:t>
            </w:r>
            <w:r w:rsidR="000A2A01" w:rsidRPr="007114AF">
              <w:rPr>
                <w:rFonts w:ascii="Garamond" w:eastAsia="Times New Roman" w:hAnsi="Garamond" w:cs="Times New Roman"/>
                <w:sz w:val="18"/>
                <w:szCs w:val="18"/>
              </w:rPr>
              <w:t>”</w:t>
            </w:r>
          </w:p>
        </w:tc>
      </w:tr>
      <w:tr w:rsidR="00D774C2" w:rsidRPr="007114AF" w14:paraId="6EDD0BB0"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A5"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L34</w:t>
            </w:r>
          </w:p>
        </w:tc>
        <w:tc>
          <w:tcPr>
            <w:tcW w:w="2126" w:type="dxa"/>
            <w:vAlign w:val="center"/>
            <w:hideMark/>
          </w:tcPr>
          <w:p w14:paraId="6EDD0BA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shtimit të zonave të pyllëzuara</w:t>
            </w:r>
          </w:p>
        </w:tc>
        <w:tc>
          <w:tcPr>
            <w:tcW w:w="773" w:type="dxa"/>
            <w:vAlign w:val="center"/>
            <w:hideMark/>
          </w:tcPr>
          <w:p w14:paraId="6EDD0BA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928" w:type="dxa"/>
            <w:vAlign w:val="center"/>
            <w:hideMark/>
          </w:tcPr>
          <w:p w14:paraId="6EDD0BA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NSDI-II</w:t>
            </w:r>
          </w:p>
        </w:tc>
        <w:tc>
          <w:tcPr>
            <w:tcW w:w="1134" w:type="dxa"/>
            <w:vAlign w:val="center"/>
          </w:tcPr>
          <w:p w14:paraId="6EDD0BA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BA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269,775.00</w:t>
            </w:r>
          </w:p>
        </w:tc>
        <w:tc>
          <w:tcPr>
            <w:tcW w:w="1276" w:type="dxa"/>
            <w:noWrap/>
            <w:vAlign w:val="center"/>
            <w:hideMark/>
          </w:tcPr>
          <w:p w14:paraId="6EDD0BA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269,775.00</w:t>
            </w:r>
          </w:p>
        </w:tc>
        <w:tc>
          <w:tcPr>
            <w:tcW w:w="1134" w:type="dxa"/>
            <w:noWrap/>
            <w:vAlign w:val="center"/>
            <w:hideMark/>
          </w:tcPr>
          <w:p w14:paraId="6EDD0BA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A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A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A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rezultatit F, Programi i Menaxhimit të Pyjeve</w:t>
            </w:r>
          </w:p>
        </w:tc>
      </w:tr>
      <w:tr w:rsidR="00D774C2" w:rsidRPr="007114AF" w14:paraId="6EDD0BBC"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B1"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L35</w:t>
            </w:r>
          </w:p>
        </w:tc>
        <w:tc>
          <w:tcPr>
            <w:tcW w:w="2126" w:type="dxa"/>
            <w:vAlign w:val="center"/>
            <w:hideMark/>
          </w:tcPr>
          <w:p w14:paraId="6EDD0BB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pyllëzimit</w:t>
            </w:r>
          </w:p>
        </w:tc>
        <w:tc>
          <w:tcPr>
            <w:tcW w:w="773" w:type="dxa"/>
            <w:vAlign w:val="center"/>
            <w:hideMark/>
          </w:tcPr>
          <w:p w14:paraId="6EDD0BB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w:t>
            </w:r>
          </w:p>
        </w:tc>
        <w:tc>
          <w:tcPr>
            <w:tcW w:w="928" w:type="dxa"/>
            <w:vAlign w:val="center"/>
            <w:hideMark/>
          </w:tcPr>
          <w:p w14:paraId="6EDD0BB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BB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BB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40,000.00</w:t>
            </w:r>
          </w:p>
        </w:tc>
        <w:tc>
          <w:tcPr>
            <w:tcW w:w="1276" w:type="dxa"/>
            <w:noWrap/>
            <w:vAlign w:val="center"/>
            <w:hideMark/>
          </w:tcPr>
          <w:p w14:paraId="6EDD0BB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40,000.00</w:t>
            </w:r>
          </w:p>
        </w:tc>
        <w:tc>
          <w:tcPr>
            <w:tcW w:w="1134" w:type="dxa"/>
            <w:noWrap/>
            <w:vAlign w:val="center"/>
            <w:hideMark/>
          </w:tcPr>
          <w:p w14:paraId="6EDD0BB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B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B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B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rezultatit F, Programi i Menaxhimit të Pyjeve</w:t>
            </w:r>
          </w:p>
        </w:tc>
      </w:tr>
      <w:tr w:rsidR="00D774C2" w:rsidRPr="007114AF" w14:paraId="6EDD0BC8"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BD"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L36</w:t>
            </w:r>
          </w:p>
        </w:tc>
        <w:tc>
          <w:tcPr>
            <w:tcW w:w="2126" w:type="dxa"/>
            <w:vAlign w:val="center"/>
            <w:hideMark/>
          </w:tcPr>
          <w:p w14:paraId="6EDD0BB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rigjenerimit natyror dhe rigjenerimit me specie vendase autoktone për drurët pyjore</w:t>
            </w:r>
          </w:p>
        </w:tc>
        <w:tc>
          <w:tcPr>
            <w:tcW w:w="773" w:type="dxa"/>
            <w:vAlign w:val="center"/>
            <w:hideMark/>
          </w:tcPr>
          <w:p w14:paraId="6EDD0BB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BC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w:t>
            </w:r>
          </w:p>
        </w:tc>
        <w:tc>
          <w:tcPr>
            <w:tcW w:w="1134" w:type="dxa"/>
            <w:vAlign w:val="center"/>
          </w:tcPr>
          <w:p w14:paraId="6EDD0BC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BC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18,345.00</w:t>
            </w:r>
          </w:p>
        </w:tc>
        <w:tc>
          <w:tcPr>
            <w:tcW w:w="1276" w:type="dxa"/>
            <w:noWrap/>
            <w:vAlign w:val="center"/>
            <w:hideMark/>
          </w:tcPr>
          <w:p w14:paraId="6EDD0BC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18,345.00</w:t>
            </w:r>
          </w:p>
        </w:tc>
        <w:tc>
          <w:tcPr>
            <w:tcW w:w="1134" w:type="dxa"/>
            <w:noWrap/>
            <w:vAlign w:val="center"/>
            <w:hideMark/>
          </w:tcPr>
          <w:p w14:paraId="6EDD0BC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C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C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C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e identifikuar në DPSMB, masa 6</w:t>
            </w:r>
          </w:p>
        </w:tc>
      </w:tr>
      <w:tr w:rsidR="00D774C2" w:rsidRPr="007114AF" w14:paraId="6EDD0BD4"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C9"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L37</w:t>
            </w:r>
          </w:p>
        </w:tc>
        <w:tc>
          <w:tcPr>
            <w:tcW w:w="2126" w:type="dxa"/>
            <w:vAlign w:val="center"/>
            <w:hideMark/>
          </w:tcPr>
          <w:p w14:paraId="6EDD0BC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Vlerësimi i burimeve gjenetike të llojeve kryesore të pyjeve dhe identifikimii pyjeve për ruajtjene vendburimitgjenetik</w:t>
            </w:r>
          </w:p>
        </w:tc>
        <w:tc>
          <w:tcPr>
            <w:tcW w:w="773" w:type="dxa"/>
            <w:vAlign w:val="center"/>
            <w:hideMark/>
          </w:tcPr>
          <w:p w14:paraId="6EDD0BC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BC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w:t>
            </w:r>
          </w:p>
        </w:tc>
        <w:tc>
          <w:tcPr>
            <w:tcW w:w="1134" w:type="dxa"/>
            <w:vAlign w:val="center"/>
          </w:tcPr>
          <w:p w14:paraId="6EDD0BC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BC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6,250.00</w:t>
            </w:r>
          </w:p>
        </w:tc>
        <w:tc>
          <w:tcPr>
            <w:tcW w:w="1276" w:type="dxa"/>
            <w:noWrap/>
            <w:vAlign w:val="center"/>
            <w:hideMark/>
          </w:tcPr>
          <w:p w14:paraId="6EDD0BC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6,250.00</w:t>
            </w:r>
          </w:p>
        </w:tc>
        <w:tc>
          <w:tcPr>
            <w:tcW w:w="1134" w:type="dxa"/>
            <w:noWrap/>
            <w:vAlign w:val="center"/>
            <w:hideMark/>
          </w:tcPr>
          <w:p w14:paraId="6EDD0BD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D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D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D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e identifikuar në DPSMB, masa 7</w:t>
            </w:r>
          </w:p>
        </w:tc>
      </w:tr>
      <w:tr w:rsidR="00D774C2" w:rsidRPr="007114AF" w14:paraId="6EDD0BE0"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D5"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L38</w:t>
            </w:r>
          </w:p>
        </w:tc>
        <w:tc>
          <w:tcPr>
            <w:tcW w:w="2126" w:type="dxa"/>
            <w:vAlign w:val="center"/>
            <w:hideMark/>
          </w:tcPr>
          <w:p w14:paraId="6EDD0BD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Përdorimi i tokës bujqësore në zonat e abandonuara për prodhimin e bioenergjisë nëpërmjet pyllëzimeve</w:t>
            </w:r>
          </w:p>
        </w:tc>
        <w:tc>
          <w:tcPr>
            <w:tcW w:w="773" w:type="dxa"/>
            <w:vAlign w:val="center"/>
            <w:hideMark/>
          </w:tcPr>
          <w:p w14:paraId="6EDD0BD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928" w:type="dxa"/>
            <w:vAlign w:val="center"/>
            <w:hideMark/>
          </w:tcPr>
          <w:p w14:paraId="6EDD0BD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PKT; KTK</w:t>
            </w:r>
          </w:p>
        </w:tc>
        <w:tc>
          <w:tcPr>
            <w:tcW w:w="1134" w:type="dxa"/>
            <w:vAlign w:val="center"/>
          </w:tcPr>
          <w:p w14:paraId="6EDD0BD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BD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74,604.00</w:t>
            </w:r>
          </w:p>
        </w:tc>
        <w:tc>
          <w:tcPr>
            <w:tcW w:w="1276" w:type="dxa"/>
            <w:noWrap/>
            <w:vAlign w:val="center"/>
            <w:hideMark/>
          </w:tcPr>
          <w:p w14:paraId="6EDD0BD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BD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D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74,604.00</w:t>
            </w:r>
          </w:p>
        </w:tc>
        <w:tc>
          <w:tcPr>
            <w:tcW w:w="1276" w:type="dxa"/>
            <w:noWrap/>
            <w:vAlign w:val="center"/>
            <w:hideMark/>
          </w:tcPr>
          <w:p w14:paraId="6EDD0BD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D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Pjesë e buxhetit vjetor të parashikuar nga SMNS për periudhën 2017-2020 (1%). Asnjë rezultat i identifikuar për këtë masë në buxhetin afat mesëm </w:t>
            </w:r>
          </w:p>
        </w:tc>
      </w:tr>
      <w:tr w:rsidR="00D774C2" w:rsidRPr="007114AF" w14:paraId="6EDD0BEC" w14:textId="77777777" w:rsidTr="00D774C2">
        <w:trPr>
          <w:trHeight w:val="1002"/>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E1"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L39</w:t>
            </w:r>
          </w:p>
        </w:tc>
        <w:tc>
          <w:tcPr>
            <w:tcW w:w="2126" w:type="dxa"/>
            <w:vAlign w:val="center"/>
            <w:hideMark/>
          </w:tcPr>
          <w:p w14:paraId="6EDD0BE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 i menaxhimit të ujit dhe uljen e gërryerjes së tokëss</w:t>
            </w:r>
          </w:p>
        </w:tc>
        <w:tc>
          <w:tcPr>
            <w:tcW w:w="773" w:type="dxa"/>
            <w:vAlign w:val="center"/>
            <w:hideMark/>
          </w:tcPr>
          <w:p w14:paraId="6EDD0BE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928" w:type="dxa"/>
            <w:vAlign w:val="center"/>
            <w:hideMark/>
          </w:tcPr>
          <w:p w14:paraId="6EDD0BE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NSDI-II</w:t>
            </w:r>
          </w:p>
        </w:tc>
        <w:tc>
          <w:tcPr>
            <w:tcW w:w="1134" w:type="dxa"/>
            <w:vAlign w:val="center"/>
          </w:tcPr>
          <w:p w14:paraId="6EDD0BE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BE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168,000.00</w:t>
            </w:r>
          </w:p>
        </w:tc>
        <w:tc>
          <w:tcPr>
            <w:tcW w:w="1276" w:type="dxa"/>
            <w:noWrap/>
            <w:vAlign w:val="center"/>
            <w:hideMark/>
          </w:tcPr>
          <w:p w14:paraId="6EDD0BE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168,000.00</w:t>
            </w:r>
          </w:p>
        </w:tc>
        <w:tc>
          <w:tcPr>
            <w:tcW w:w="1134" w:type="dxa"/>
            <w:noWrap/>
            <w:vAlign w:val="center"/>
            <w:hideMark/>
          </w:tcPr>
          <w:p w14:paraId="6EDD0BE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E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E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BE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IPA 2014-Mbështetje për menaxhimin e ujit-Lista e FI 2017-2019</w:t>
            </w:r>
          </w:p>
        </w:tc>
      </w:tr>
      <w:tr w:rsidR="00D774C2" w:rsidRPr="007114AF" w14:paraId="6EDD0C02" w14:textId="77777777" w:rsidTr="00D774C2">
        <w:trPr>
          <w:trHeight w:val="1099"/>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BED"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L40</w:t>
            </w:r>
          </w:p>
        </w:tc>
        <w:tc>
          <w:tcPr>
            <w:tcW w:w="2126" w:type="dxa"/>
            <w:vAlign w:val="center"/>
            <w:hideMark/>
          </w:tcPr>
          <w:p w14:paraId="6EDD0BE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menaxhimit të kullotave</w:t>
            </w:r>
          </w:p>
        </w:tc>
        <w:tc>
          <w:tcPr>
            <w:tcW w:w="773" w:type="dxa"/>
            <w:vAlign w:val="center"/>
            <w:hideMark/>
          </w:tcPr>
          <w:p w14:paraId="6EDD0BE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2016-2017</w:t>
            </w:r>
          </w:p>
        </w:tc>
        <w:tc>
          <w:tcPr>
            <w:tcW w:w="928" w:type="dxa"/>
            <w:vAlign w:val="center"/>
            <w:hideMark/>
          </w:tcPr>
          <w:p w14:paraId="6EDD0BF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SNBZHR; KTK</w:t>
            </w:r>
          </w:p>
        </w:tc>
        <w:tc>
          <w:tcPr>
            <w:tcW w:w="1134" w:type="dxa"/>
            <w:vAlign w:val="center"/>
          </w:tcPr>
          <w:p w14:paraId="6EDD0BF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BF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72,150.00</w:t>
            </w:r>
          </w:p>
          <w:p w14:paraId="6EDD0BF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BF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F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72,150.00</w:t>
            </w:r>
          </w:p>
          <w:p w14:paraId="6EDD0BF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BF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BF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BF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BF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BF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BF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BF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BF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BF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C0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0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transferuar tek NjQV për periudhën 2016-2020 për menaxhimin e pyjeve dhe kullotave (përreth 10% e buxhetit)</w:t>
            </w:r>
          </w:p>
        </w:tc>
      </w:tr>
      <w:tr w:rsidR="00D774C2" w:rsidRPr="007114AF" w14:paraId="6EDD0C18" w14:textId="77777777" w:rsidTr="00D774C2">
        <w:trPr>
          <w:trHeight w:val="1099"/>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03"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L41</w:t>
            </w:r>
          </w:p>
        </w:tc>
        <w:tc>
          <w:tcPr>
            <w:tcW w:w="2126" w:type="dxa"/>
            <w:vAlign w:val="center"/>
            <w:hideMark/>
          </w:tcPr>
          <w:p w14:paraId="6EDD0C0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Përmirësimi i menaxhimit të kullotave</w:t>
            </w:r>
          </w:p>
        </w:tc>
        <w:tc>
          <w:tcPr>
            <w:tcW w:w="773" w:type="dxa"/>
            <w:vAlign w:val="center"/>
            <w:hideMark/>
          </w:tcPr>
          <w:p w14:paraId="6EDD0C0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C0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SNBZHR; KTK</w:t>
            </w:r>
          </w:p>
        </w:tc>
        <w:tc>
          <w:tcPr>
            <w:tcW w:w="1134" w:type="dxa"/>
            <w:vAlign w:val="center"/>
          </w:tcPr>
          <w:p w14:paraId="6EDD0C0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C0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144,300.00</w:t>
            </w:r>
          </w:p>
          <w:p w14:paraId="6EDD0C0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C0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0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144,300.00</w:t>
            </w:r>
          </w:p>
          <w:p w14:paraId="6EDD0C0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C0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C0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C0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C1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1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C1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C1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1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C1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p w14:paraId="6EDD0C1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1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transferuar tek NjQV për periudhën 2016-2020 për menaxhimin e pyjeve dhe kullotave (përreth 10% e buxhetit)</w:t>
            </w:r>
          </w:p>
        </w:tc>
      </w:tr>
      <w:tr w:rsidR="00D774C2" w:rsidRPr="007114AF" w14:paraId="6EDD0C24"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19"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L42</w:t>
            </w:r>
          </w:p>
        </w:tc>
        <w:tc>
          <w:tcPr>
            <w:tcW w:w="2126" w:type="dxa"/>
            <w:vAlign w:val="center"/>
            <w:hideMark/>
          </w:tcPr>
          <w:p w14:paraId="6EDD0C1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menaxhimit të qëndrueshëm të kullotave</w:t>
            </w:r>
          </w:p>
        </w:tc>
        <w:tc>
          <w:tcPr>
            <w:tcW w:w="773" w:type="dxa"/>
            <w:vAlign w:val="center"/>
            <w:hideMark/>
          </w:tcPr>
          <w:p w14:paraId="6EDD0C1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C1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w:t>
            </w:r>
          </w:p>
        </w:tc>
        <w:tc>
          <w:tcPr>
            <w:tcW w:w="1134" w:type="dxa"/>
            <w:vAlign w:val="center"/>
          </w:tcPr>
          <w:p w14:paraId="6EDD0C1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Direkte</w:t>
            </w:r>
          </w:p>
        </w:tc>
        <w:tc>
          <w:tcPr>
            <w:tcW w:w="1134" w:type="dxa"/>
            <w:noWrap/>
            <w:vAlign w:val="center"/>
            <w:hideMark/>
          </w:tcPr>
          <w:p w14:paraId="6EDD0C1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61,150.00</w:t>
            </w:r>
          </w:p>
        </w:tc>
        <w:tc>
          <w:tcPr>
            <w:tcW w:w="1276" w:type="dxa"/>
            <w:noWrap/>
            <w:vAlign w:val="center"/>
            <w:hideMark/>
          </w:tcPr>
          <w:p w14:paraId="6EDD0C1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C2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2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2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61,150.00</w:t>
            </w:r>
          </w:p>
        </w:tc>
        <w:tc>
          <w:tcPr>
            <w:tcW w:w="2984" w:type="dxa"/>
            <w:vAlign w:val="center"/>
            <w:hideMark/>
          </w:tcPr>
          <w:p w14:paraId="6EDD0C2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e identifikuar në DPSMB, masa 5</w:t>
            </w:r>
          </w:p>
        </w:tc>
      </w:tr>
      <w:tr w:rsidR="00D774C2" w:rsidRPr="007114AF" w14:paraId="6EDD0C30"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25"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L43</w:t>
            </w:r>
          </w:p>
        </w:tc>
        <w:tc>
          <w:tcPr>
            <w:tcW w:w="2126" w:type="dxa"/>
            <w:vAlign w:val="center"/>
            <w:hideMark/>
          </w:tcPr>
          <w:p w14:paraId="6EDD0C2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kërkimeve, zhvillimit teknologjik dhe risive në pyje dhe kullota</w:t>
            </w:r>
          </w:p>
        </w:tc>
        <w:tc>
          <w:tcPr>
            <w:tcW w:w="773" w:type="dxa"/>
            <w:vAlign w:val="center"/>
            <w:hideMark/>
          </w:tcPr>
          <w:p w14:paraId="6EDD0C2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28" w:type="dxa"/>
            <w:vAlign w:val="center"/>
            <w:hideMark/>
          </w:tcPr>
          <w:p w14:paraId="6EDD0C2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 Draft Ligji mbi Fondin e Kullotave dhe Pyjeve</w:t>
            </w:r>
          </w:p>
        </w:tc>
        <w:tc>
          <w:tcPr>
            <w:tcW w:w="1134" w:type="dxa"/>
            <w:vAlign w:val="center"/>
          </w:tcPr>
          <w:p w14:paraId="6EDD0C2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C2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15,000.00</w:t>
            </w:r>
          </w:p>
        </w:tc>
        <w:tc>
          <w:tcPr>
            <w:tcW w:w="1276" w:type="dxa"/>
            <w:noWrap/>
            <w:vAlign w:val="center"/>
            <w:hideMark/>
          </w:tcPr>
          <w:p w14:paraId="6EDD0C2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C2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2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2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15,000.00</w:t>
            </w:r>
          </w:p>
        </w:tc>
        <w:tc>
          <w:tcPr>
            <w:tcW w:w="2984" w:type="dxa"/>
            <w:vAlign w:val="center"/>
            <w:hideMark/>
          </w:tcPr>
          <w:p w14:paraId="6EDD0C2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parashikuar për periudhën 2018-2020</w:t>
            </w:r>
          </w:p>
        </w:tc>
      </w:tr>
      <w:tr w:rsidR="00D774C2" w:rsidRPr="007114AF" w14:paraId="6EDD0C3C"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31"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L44</w:t>
            </w:r>
          </w:p>
        </w:tc>
        <w:tc>
          <w:tcPr>
            <w:tcW w:w="2126" w:type="dxa"/>
            <w:vAlign w:val="center"/>
            <w:hideMark/>
          </w:tcPr>
          <w:p w14:paraId="6EDD0C3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kërkimeve, zhvillimit teknologjik dhe risive në pyje dhe kullota</w:t>
            </w:r>
          </w:p>
        </w:tc>
        <w:tc>
          <w:tcPr>
            <w:tcW w:w="773" w:type="dxa"/>
            <w:vAlign w:val="center"/>
            <w:hideMark/>
          </w:tcPr>
          <w:p w14:paraId="6EDD0C3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28" w:type="dxa"/>
            <w:vAlign w:val="center"/>
            <w:hideMark/>
          </w:tcPr>
          <w:p w14:paraId="6EDD0C3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Draft Ligji mbi Fondin e Kullotave dhe Pyjeve</w:t>
            </w:r>
          </w:p>
        </w:tc>
        <w:tc>
          <w:tcPr>
            <w:tcW w:w="1134" w:type="dxa"/>
            <w:vAlign w:val="center"/>
          </w:tcPr>
          <w:p w14:paraId="6EDD0C3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Indirect</w:t>
            </w:r>
          </w:p>
        </w:tc>
        <w:tc>
          <w:tcPr>
            <w:tcW w:w="1134" w:type="dxa"/>
            <w:noWrap/>
            <w:vAlign w:val="center"/>
            <w:hideMark/>
          </w:tcPr>
          <w:p w14:paraId="6EDD0C3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60,000.00</w:t>
            </w:r>
          </w:p>
        </w:tc>
        <w:tc>
          <w:tcPr>
            <w:tcW w:w="1276" w:type="dxa"/>
            <w:noWrap/>
            <w:vAlign w:val="center"/>
            <w:hideMark/>
          </w:tcPr>
          <w:p w14:paraId="6EDD0C3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C3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3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3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60,000.00</w:t>
            </w:r>
          </w:p>
        </w:tc>
        <w:tc>
          <w:tcPr>
            <w:tcW w:w="2984" w:type="dxa"/>
            <w:vAlign w:val="center"/>
            <w:hideMark/>
          </w:tcPr>
          <w:p w14:paraId="6EDD0C3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Qendra ende nuk është vendosur; nuk ka kosto të llogaritura në SMNS; kostot janë të bazuara në buxhetin vjetor të një institucioni publik të ngjashëm</w:t>
            </w:r>
          </w:p>
        </w:tc>
      </w:tr>
      <w:tr w:rsidR="00D774C2" w:rsidRPr="007114AF" w14:paraId="6EDD0C48"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3D"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L45</w:t>
            </w:r>
          </w:p>
        </w:tc>
        <w:tc>
          <w:tcPr>
            <w:tcW w:w="2126" w:type="dxa"/>
            <w:vAlign w:val="center"/>
            <w:hideMark/>
          </w:tcPr>
          <w:p w14:paraId="6EDD0C3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Promovimi i studimeve dhe kërkimeve në sektorin e pyjeve</w:t>
            </w:r>
          </w:p>
        </w:tc>
        <w:tc>
          <w:tcPr>
            <w:tcW w:w="773" w:type="dxa"/>
            <w:vAlign w:val="center"/>
            <w:hideMark/>
          </w:tcPr>
          <w:p w14:paraId="6EDD0C3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928" w:type="dxa"/>
            <w:vAlign w:val="center"/>
            <w:hideMark/>
          </w:tcPr>
          <w:p w14:paraId="6EDD0C4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C4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C4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16,000.00</w:t>
            </w:r>
          </w:p>
        </w:tc>
        <w:tc>
          <w:tcPr>
            <w:tcW w:w="1276" w:type="dxa"/>
            <w:noWrap/>
            <w:vAlign w:val="center"/>
            <w:hideMark/>
          </w:tcPr>
          <w:p w14:paraId="6EDD0C4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C4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4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16,000.00</w:t>
            </w:r>
          </w:p>
        </w:tc>
        <w:tc>
          <w:tcPr>
            <w:tcW w:w="1276" w:type="dxa"/>
            <w:noWrap/>
            <w:vAlign w:val="center"/>
            <w:hideMark/>
          </w:tcPr>
          <w:p w14:paraId="6EDD0C4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4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rezultat i identifikuar për këtë masë në buxhetin afat mesëm. Kostot janë të llogaritura bazuar në rezultate të ngjashme të MM</w:t>
            </w:r>
          </w:p>
        </w:tc>
      </w:tr>
      <w:tr w:rsidR="00D774C2" w:rsidRPr="007114AF" w14:paraId="6EDD0C54"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49"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L46</w:t>
            </w:r>
          </w:p>
        </w:tc>
        <w:tc>
          <w:tcPr>
            <w:tcW w:w="2126" w:type="dxa"/>
            <w:vAlign w:val="center"/>
            <w:hideMark/>
          </w:tcPr>
          <w:p w14:paraId="6EDD0C4A" w14:textId="1E7DA5BF"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Zbatimi i</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aktiviteteve mbikëqyrëse / kërkimore</w:t>
            </w:r>
          </w:p>
        </w:tc>
        <w:tc>
          <w:tcPr>
            <w:tcW w:w="773" w:type="dxa"/>
            <w:vAlign w:val="center"/>
            <w:hideMark/>
          </w:tcPr>
          <w:p w14:paraId="6EDD0C4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C4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w:t>
            </w:r>
          </w:p>
        </w:tc>
        <w:tc>
          <w:tcPr>
            <w:tcW w:w="1134" w:type="dxa"/>
            <w:vAlign w:val="center"/>
          </w:tcPr>
          <w:p w14:paraId="6EDD0C4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Mundesuese</w:t>
            </w:r>
          </w:p>
        </w:tc>
        <w:tc>
          <w:tcPr>
            <w:tcW w:w="1134" w:type="dxa"/>
            <w:noWrap/>
            <w:vAlign w:val="center"/>
            <w:hideMark/>
          </w:tcPr>
          <w:p w14:paraId="6EDD0C4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w:t>
            </w:r>
          </w:p>
        </w:tc>
        <w:tc>
          <w:tcPr>
            <w:tcW w:w="1276" w:type="dxa"/>
            <w:noWrap/>
            <w:vAlign w:val="center"/>
            <w:hideMark/>
          </w:tcPr>
          <w:p w14:paraId="6EDD0C4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5,000.00</w:t>
            </w:r>
          </w:p>
        </w:tc>
        <w:tc>
          <w:tcPr>
            <w:tcW w:w="1134" w:type="dxa"/>
            <w:noWrap/>
            <w:vAlign w:val="center"/>
            <w:hideMark/>
          </w:tcPr>
          <w:p w14:paraId="6EDD0C5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5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5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5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Kostoja e identifikuar në DPSMB, masa 17</w:t>
            </w:r>
          </w:p>
        </w:tc>
      </w:tr>
      <w:tr w:rsidR="00D774C2" w:rsidRPr="007114AF" w14:paraId="6EDD0C60"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55"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L47</w:t>
            </w:r>
          </w:p>
        </w:tc>
        <w:tc>
          <w:tcPr>
            <w:tcW w:w="2126" w:type="dxa"/>
            <w:vAlign w:val="center"/>
            <w:hideMark/>
          </w:tcPr>
          <w:p w14:paraId="6EDD0C56" w14:textId="6ADF9AED"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Fuqizimi i</w:t>
            </w:r>
            <w:r w:rsidR="000A2A01"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 xml:space="preserve">sistemit kërkimor, zhvillimit teknologjik dhe rinovimit në pyje. </w:t>
            </w:r>
          </w:p>
        </w:tc>
        <w:tc>
          <w:tcPr>
            <w:tcW w:w="773" w:type="dxa"/>
            <w:vAlign w:val="center"/>
            <w:hideMark/>
          </w:tcPr>
          <w:p w14:paraId="6EDD0C5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928" w:type="dxa"/>
            <w:vAlign w:val="center"/>
            <w:hideMark/>
          </w:tcPr>
          <w:p w14:paraId="6EDD0C5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C5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Mundesuese</w:t>
            </w:r>
          </w:p>
        </w:tc>
        <w:tc>
          <w:tcPr>
            <w:tcW w:w="1134" w:type="dxa"/>
            <w:noWrap/>
            <w:vAlign w:val="center"/>
            <w:hideMark/>
          </w:tcPr>
          <w:p w14:paraId="6EDD0C5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15,000.00</w:t>
            </w:r>
          </w:p>
        </w:tc>
        <w:tc>
          <w:tcPr>
            <w:tcW w:w="1276" w:type="dxa"/>
            <w:noWrap/>
            <w:vAlign w:val="center"/>
            <w:hideMark/>
          </w:tcPr>
          <w:p w14:paraId="6EDD0C5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C5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5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15,000.00</w:t>
            </w:r>
          </w:p>
        </w:tc>
        <w:tc>
          <w:tcPr>
            <w:tcW w:w="1276" w:type="dxa"/>
            <w:noWrap/>
            <w:vAlign w:val="center"/>
            <w:hideMark/>
          </w:tcPr>
          <w:p w14:paraId="6EDD0C5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5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rezultat i identifikuar për këtë masë në buxhetin afatmesëm. Kostot janë të llogaritura bazuar në rezultate të ngjashme të MM</w:t>
            </w:r>
          </w:p>
        </w:tc>
      </w:tr>
      <w:tr w:rsidR="00D774C2" w:rsidRPr="007114AF" w14:paraId="6EDD0C6C"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61"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L48</w:t>
            </w:r>
          </w:p>
        </w:tc>
        <w:tc>
          <w:tcPr>
            <w:tcW w:w="2126" w:type="dxa"/>
            <w:vAlign w:val="center"/>
            <w:hideMark/>
          </w:tcPr>
          <w:p w14:paraId="6EDD0C6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Fuqizimi i sistemit të kërkimit, zhvillimit teknologjik dhe risive në pyje.</w:t>
            </w:r>
          </w:p>
        </w:tc>
        <w:tc>
          <w:tcPr>
            <w:tcW w:w="773" w:type="dxa"/>
            <w:vAlign w:val="center"/>
            <w:hideMark/>
          </w:tcPr>
          <w:p w14:paraId="6EDD0C6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2018-2020</w:t>
            </w:r>
          </w:p>
        </w:tc>
        <w:tc>
          <w:tcPr>
            <w:tcW w:w="928" w:type="dxa"/>
            <w:vAlign w:val="center"/>
            <w:hideMark/>
          </w:tcPr>
          <w:p w14:paraId="6EDD0C6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C6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134" w:type="dxa"/>
            <w:noWrap/>
            <w:vAlign w:val="center"/>
            <w:hideMark/>
          </w:tcPr>
          <w:p w14:paraId="6EDD0C6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42,000.00</w:t>
            </w:r>
          </w:p>
        </w:tc>
        <w:tc>
          <w:tcPr>
            <w:tcW w:w="1276" w:type="dxa"/>
            <w:noWrap/>
            <w:vAlign w:val="center"/>
            <w:hideMark/>
          </w:tcPr>
          <w:p w14:paraId="6EDD0C6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C6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6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42,000.00</w:t>
            </w:r>
          </w:p>
        </w:tc>
        <w:tc>
          <w:tcPr>
            <w:tcW w:w="1276" w:type="dxa"/>
            <w:noWrap/>
            <w:vAlign w:val="center"/>
            <w:hideMark/>
          </w:tcPr>
          <w:p w14:paraId="6EDD0C6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6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Asnjë rezultat i identifikuar për këtë masë në buxhetin afatmesëm. Kostot janë të llogaritura bazuar në rezultate të ngjashme të MM</w:t>
            </w:r>
          </w:p>
        </w:tc>
      </w:tr>
      <w:tr w:rsidR="00D774C2" w:rsidRPr="007114AF" w14:paraId="6EDD0C78"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6D"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L49</w:t>
            </w:r>
          </w:p>
        </w:tc>
        <w:tc>
          <w:tcPr>
            <w:tcW w:w="2126" w:type="dxa"/>
            <w:vAlign w:val="center"/>
            <w:hideMark/>
          </w:tcPr>
          <w:p w14:paraId="6EDD0C6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Aplikimi i programevekombëtare dhe ndërkombëtare për të dhënë mbështetjen e duhur për zhvillimin e pyjeve në vend..</w:t>
            </w:r>
          </w:p>
        </w:tc>
        <w:tc>
          <w:tcPr>
            <w:tcW w:w="773" w:type="dxa"/>
            <w:vAlign w:val="center"/>
            <w:hideMark/>
          </w:tcPr>
          <w:p w14:paraId="6EDD0C6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2016-2019</w:t>
            </w:r>
          </w:p>
        </w:tc>
        <w:tc>
          <w:tcPr>
            <w:tcW w:w="928" w:type="dxa"/>
            <w:vAlign w:val="center"/>
            <w:hideMark/>
          </w:tcPr>
          <w:p w14:paraId="6EDD0C7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C7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C7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6" w:type="dxa"/>
            <w:noWrap/>
            <w:vAlign w:val="center"/>
            <w:hideMark/>
          </w:tcPr>
          <w:p w14:paraId="6EDD0C7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134" w:type="dxa"/>
            <w:noWrap/>
            <w:vAlign w:val="center"/>
            <w:hideMark/>
          </w:tcPr>
          <w:p w14:paraId="6EDD0C7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0.00</w:t>
            </w:r>
          </w:p>
        </w:tc>
        <w:tc>
          <w:tcPr>
            <w:tcW w:w="1275" w:type="dxa"/>
            <w:noWrap/>
            <w:vAlign w:val="center"/>
            <w:hideMark/>
          </w:tcPr>
          <w:p w14:paraId="6EDD0C7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7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7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xml:space="preserve">Kjo masë nuk ka impakt në buxhet. </w:t>
            </w:r>
          </w:p>
        </w:tc>
      </w:tr>
      <w:tr w:rsidR="00D774C2" w:rsidRPr="007114AF" w14:paraId="6EDD0C84"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79"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L50</w:t>
            </w:r>
          </w:p>
        </w:tc>
        <w:tc>
          <w:tcPr>
            <w:tcW w:w="2126" w:type="dxa"/>
            <w:vAlign w:val="center"/>
            <w:hideMark/>
          </w:tcPr>
          <w:p w14:paraId="6EDD0C7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Rritjen e ndërgjegjësimit publik dhe edukimit mbi biodiversitetin</w:t>
            </w:r>
          </w:p>
        </w:tc>
        <w:tc>
          <w:tcPr>
            <w:tcW w:w="773" w:type="dxa"/>
            <w:vAlign w:val="center"/>
            <w:hideMark/>
          </w:tcPr>
          <w:p w14:paraId="6EDD0C7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C7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w:t>
            </w:r>
          </w:p>
        </w:tc>
        <w:tc>
          <w:tcPr>
            <w:tcW w:w="1134" w:type="dxa"/>
            <w:vAlign w:val="center"/>
          </w:tcPr>
          <w:p w14:paraId="6EDD0C7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C7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2,500.00</w:t>
            </w:r>
          </w:p>
        </w:tc>
        <w:tc>
          <w:tcPr>
            <w:tcW w:w="1276" w:type="dxa"/>
            <w:noWrap/>
            <w:vAlign w:val="center"/>
            <w:hideMark/>
          </w:tcPr>
          <w:p w14:paraId="6EDD0C7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2,500.00</w:t>
            </w:r>
          </w:p>
        </w:tc>
        <w:tc>
          <w:tcPr>
            <w:tcW w:w="1134" w:type="dxa"/>
            <w:noWrap/>
            <w:vAlign w:val="center"/>
            <w:hideMark/>
          </w:tcPr>
          <w:p w14:paraId="6EDD0C8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8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8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8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e identifikuar në DPSMB, masa 19</w:t>
            </w:r>
          </w:p>
        </w:tc>
      </w:tr>
      <w:tr w:rsidR="00D774C2" w:rsidRPr="007114AF" w14:paraId="6EDD0C90"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85"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L51</w:t>
            </w:r>
          </w:p>
        </w:tc>
        <w:tc>
          <w:tcPr>
            <w:tcW w:w="2126" w:type="dxa"/>
            <w:vAlign w:val="center"/>
            <w:hideMark/>
          </w:tcPr>
          <w:p w14:paraId="6EDD0C8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Zbatimi i edukatës mjedisore dhe publicitetit për të promovuar ndërgjegjësimin e komunitetit ndaj problemeve të biodiverisitetit</w:t>
            </w:r>
          </w:p>
        </w:tc>
        <w:tc>
          <w:tcPr>
            <w:tcW w:w="773" w:type="dxa"/>
            <w:vAlign w:val="center"/>
            <w:hideMark/>
          </w:tcPr>
          <w:p w14:paraId="6EDD0C8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C8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w:t>
            </w:r>
          </w:p>
        </w:tc>
        <w:tc>
          <w:tcPr>
            <w:tcW w:w="1134" w:type="dxa"/>
            <w:vAlign w:val="center"/>
          </w:tcPr>
          <w:p w14:paraId="6EDD0C8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134" w:type="dxa"/>
            <w:noWrap/>
            <w:vAlign w:val="center"/>
            <w:hideMark/>
          </w:tcPr>
          <w:p w14:paraId="6EDD0C8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1,250.00</w:t>
            </w:r>
          </w:p>
        </w:tc>
        <w:tc>
          <w:tcPr>
            <w:tcW w:w="1276" w:type="dxa"/>
            <w:noWrap/>
            <w:vAlign w:val="center"/>
            <w:hideMark/>
          </w:tcPr>
          <w:p w14:paraId="6EDD0C8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1,250.00</w:t>
            </w:r>
          </w:p>
        </w:tc>
        <w:tc>
          <w:tcPr>
            <w:tcW w:w="1134" w:type="dxa"/>
            <w:noWrap/>
            <w:vAlign w:val="center"/>
            <w:hideMark/>
          </w:tcPr>
          <w:p w14:paraId="6EDD0C8C"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8D"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8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8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e identifikuar në DPSMB, masa 20</w:t>
            </w:r>
          </w:p>
        </w:tc>
      </w:tr>
      <w:tr w:rsidR="00D774C2" w:rsidRPr="007114AF" w14:paraId="6EDD0C9C"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91"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L52</w:t>
            </w:r>
          </w:p>
        </w:tc>
        <w:tc>
          <w:tcPr>
            <w:tcW w:w="2126" w:type="dxa"/>
            <w:vAlign w:val="center"/>
            <w:hideMark/>
          </w:tcPr>
          <w:p w14:paraId="6EDD0C9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Përgatitja e të interesuarve dhe përfshirja e tyre në projekte dhe programe</w:t>
            </w:r>
          </w:p>
        </w:tc>
        <w:tc>
          <w:tcPr>
            <w:tcW w:w="773" w:type="dxa"/>
            <w:vAlign w:val="center"/>
            <w:hideMark/>
          </w:tcPr>
          <w:p w14:paraId="6EDD0C9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2016-2020</w:t>
            </w:r>
          </w:p>
        </w:tc>
        <w:tc>
          <w:tcPr>
            <w:tcW w:w="928" w:type="dxa"/>
            <w:vAlign w:val="center"/>
            <w:hideMark/>
          </w:tcPr>
          <w:p w14:paraId="6EDD0C9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DPSMB</w:t>
            </w:r>
          </w:p>
        </w:tc>
        <w:tc>
          <w:tcPr>
            <w:tcW w:w="1134" w:type="dxa"/>
            <w:vAlign w:val="center"/>
          </w:tcPr>
          <w:p w14:paraId="6EDD0C9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Mundësuese</w:t>
            </w:r>
          </w:p>
        </w:tc>
        <w:tc>
          <w:tcPr>
            <w:tcW w:w="1134" w:type="dxa"/>
            <w:noWrap/>
            <w:vAlign w:val="center"/>
            <w:hideMark/>
          </w:tcPr>
          <w:p w14:paraId="6EDD0C9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8,470.00</w:t>
            </w:r>
          </w:p>
        </w:tc>
        <w:tc>
          <w:tcPr>
            <w:tcW w:w="1276" w:type="dxa"/>
            <w:noWrap/>
            <w:vAlign w:val="center"/>
            <w:hideMark/>
          </w:tcPr>
          <w:p w14:paraId="6EDD0C9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8,470.00</w:t>
            </w:r>
          </w:p>
        </w:tc>
        <w:tc>
          <w:tcPr>
            <w:tcW w:w="1134" w:type="dxa"/>
            <w:noWrap/>
            <w:vAlign w:val="center"/>
            <w:hideMark/>
          </w:tcPr>
          <w:p w14:paraId="6EDD0C98"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99"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9A"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9B"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Pjesë e buxhetit vjetor të alokuar për rezultatin C (Dëgjesa Publike), programi buxhetor, Menaxhimi i Programit dhe Administrimi</w:t>
            </w:r>
          </w:p>
        </w:tc>
      </w:tr>
      <w:tr w:rsidR="00D774C2" w:rsidRPr="007114AF" w14:paraId="6EDD0CA8" w14:textId="77777777" w:rsidTr="00D774C2">
        <w:trPr>
          <w:trHeight w:val="20"/>
          <w:jc w:val="center"/>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14:paraId="6EDD0C9D" w14:textId="77777777" w:rsidR="00D774C2" w:rsidRPr="007114AF" w:rsidRDefault="00D774C2" w:rsidP="00D774C2">
            <w:pPr>
              <w:spacing w:after="0"/>
              <w:rPr>
                <w:rFonts w:ascii="Garamond" w:eastAsia="Times New Roman" w:hAnsi="Garamond" w:cs="Times New Roman"/>
                <w:sz w:val="18"/>
                <w:szCs w:val="18"/>
              </w:rPr>
            </w:pPr>
            <w:r w:rsidRPr="007114AF">
              <w:rPr>
                <w:rFonts w:ascii="Garamond" w:eastAsia="Times New Roman" w:hAnsi="Garamond" w:cs="Times New Roman"/>
                <w:sz w:val="18"/>
                <w:szCs w:val="18"/>
              </w:rPr>
              <w:t>L53</w:t>
            </w:r>
          </w:p>
        </w:tc>
        <w:tc>
          <w:tcPr>
            <w:tcW w:w="2126" w:type="dxa"/>
            <w:vAlign w:val="center"/>
            <w:hideMark/>
          </w:tcPr>
          <w:p w14:paraId="6EDD0C9E"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Fuqizimi i partneriteti publik dhe privat në sektorin e pyjeve</w:t>
            </w:r>
          </w:p>
        </w:tc>
        <w:tc>
          <w:tcPr>
            <w:tcW w:w="773" w:type="dxa"/>
            <w:vAlign w:val="center"/>
            <w:hideMark/>
          </w:tcPr>
          <w:p w14:paraId="6EDD0C9F"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2017-2020</w:t>
            </w:r>
          </w:p>
        </w:tc>
        <w:tc>
          <w:tcPr>
            <w:tcW w:w="928" w:type="dxa"/>
            <w:vAlign w:val="center"/>
            <w:hideMark/>
          </w:tcPr>
          <w:p w14:paraId="6EDD0CA0"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SMNS</w:t>
            </w:r>
          </w:p>
        </w:tc>
        <w:tc>
          <w:tcPr>
            <w:tcW w:w="1134" w:type="dxa"/>
            <w:vAlign w:val="center"/>
          </w:tcPr>
          <w:p w14:paraId="6EDD0CA1"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hAnsi="Garamond"/>
                <w:sz w:val="18"/>
                <w:szCs w:val="18"/>
              </w:rPr>
              <w:t>Indirekte</w:t>
            </w:r>
          </w:p>
        </w:tc>
        <w:tc>
          <w:tcPr>
            <w:tcW w:w="1134" w:type="dxa"/>
            <w:noWrap/>
            <w:vAlign w:val="center"/>
            <w:hideMark/>
          </w:tcPr>
          <w:p w14:paraId="6EDD0CA2"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15,378.00</w:t>
            </w:r>
          </w:p>
        </w:tc>
        <w:tc>
          <w:tcPr>
            <w:tcW w:w="1276" w:type="dxa"/>
            <w:noWrap/>
            <w:vAlign w:val="center"/>
            <w:hideMark/>
          </w:tcPr>
          <w:p w14:paraId="6EDD0CA3"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15,378.00</w:t>
            </w:r>
          </w:p>
        </w:tc>
        <w:tc>
          <w:tcPr>
            <w:tcW w:w="1134" w:type="dxa"/>
            <w:noWrap/>
            <w:vAlign w:val="center"/>
            <w:hideMark/>
          </w:tcPr>
          <w:p w14:paraId="6EDD0CA4"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5" w:type="dxa"/>
            <w:noWrap/>
            <w:vAlign w:val="center"/>
            <w:hideMark/>
          </w:tcPr>
          <w:p w14:paraId="6EDD0CA5"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1276" w:type="dxa"/>
            <w:noWrap/>
            <w:vAlign w:val="center"/>
            <w:hideMark/>
          </w:tcPr>
          <w:p w14:paraId="6EDD0CA6"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 </w:t>
            </w:r>
          </w:p>
        </w:tc>
        <w:tc>
          <w:tcPr>
            <w:tcW w:w="2984" w:type="dxa"/>
            <w:vAlign w:val="center"/>
            <w:hideMark/>
          </w:tcPr>
          <w:p w14:paraId="6EDD0CA7" w14:textId="77777777" w:rsidR="00D774C2" w:rsidRPr="007114AF" w:rsidRDefault="00D774C2" w:rsidP="00D774C2">
            <w:pPr>
              <w:spacing w:after="0"/>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18"/>
                <w:szCs w:val="18"/>
              </w:rPr>
            </w:pPr>
            <w:r w:rsidRPr="007114AF">
              <w:rPr>
                <w:rFonts w:ascii="Garamond" w:eastAsia="Times New Roman" w:hAnsi="Garamond" w:cs="Times New Roman"/>
                <w:sz w:val="18"/>
                <w:szCs w:val="18"/>
              </w:rPr>
              <w:t>Kosto për vlerësimin e koncesioneve. Kosto për njësi për procedurën e prokurimit. Rezultati O Programi i Menaxhimit të Pyjeve</w:t>
            </w:r>
          </w:p>
        </w:tc>
      </w:tr>
    </w:tbl>
    <w:p w14:paraId="6EDD0CA9" w14:textId="77777777" w:rsidR="00C136A5" w:rsidRPr="007114AF" w:rsidRDefault="00C136A5" w:rsidP="00524E98">
      <w:pPr>
        <w:pStyle w:val="TEKSTI"/>
      </w:pPr>
    </w:p>
    <w:p w14:paraId="6EDD0CAA" w14:textId="77777777" w:rsidR="00EF517C" w:rsidRPr="007114AF" w:rsidRDefault="00EF517C" w:rsidP="00EF517C">
      <w:pPr>
        <w:pStyle w:val="TEKSTI"/>
        <w:rPr>
          <w:b/>
          <w:lang w:eastAsia="en-US"/>
        </w:rPr>
      </w:pPr>
      <w:bookmarkStart w:id="182" w:name="_Toc476580583"/>
      <w:bookmarkStart w:id="183" w:name="_Toc484424530"/>
      <w:r w:rsidRPr="007114AF">
        <w:rPr>
          <w:b/>
          <w:lang w:eastAsia="en-US"/>
        </w:rPr>
        <w:t xml:space="preserve">5.8.5 Pikëtakimet </w:t>
      </w:r>
      <w:bookmarkEnd w:id="182"/>
      <w:r w:rsidRPr="007114AF">
        <w:rPr>
          <w:b/>
          <w:lang w:eastAsia="en-US"/>
        </w:rPr>
        <w:t>Ndërsektoriale</w:t>
      </w:r>
      <w:bookmarkEnd w:id="183"/>
    </w:p>
    <w:tbl>
      <w:tblPr>
        <w:tblW w:w="14797" w:type="dxa"/>
        <w:jc w:val="center"/>
        <w:tblCellMar>
          <w:left w:w="70" w:type="dxa"/>
          <w:right w:w="70" w:type="dxa"/>
        </w:tblCellMar>
        <w:tblLook w:val="04A0" w:firstRow="1" w:lastRow="0" w:firstColumn="1" w:lastColumn="0" w:noHBand="0" w:noVBand="1"/>
      </w:tblPr>
      <w:tblGrid>
        <w:gridCol w:w="514"/>
        <w:gridCol w:w="1839"/>
        <w:gridCol w:w="1198"/>
        <w:gridCol w:w="2115"/>
        <w:gridCol w:w="1693"/>
        <w:gridCol w:w="1691"/>
        <w:gridCol w:w="5747"/>
      </w:tblGrid>
      <w:tr w:rsidR="009344C8" w:rsidRPr="007114AF" w14:paraId="6EDD0CB2" w14:textId="77777777" w:rsidTr="009344C8">
        <w:trPr>
          <w:trHeight w:val="495"/>
          <w:jc w:val="center"/>
        </w:trPr>
        <w:tc>
          <w:tcPr>
            <w:tcW w:w="514" w:type="dxa"/>
            <w:tcBorders>
              <w:top w:val="single" w:sz="8" w:space="0" w:color="B8CCE4"/>
              <w:left w:val="single" w:sz="8" w:space="0" w:color="B8CCE4"/>
              <w:bottom w:val="single" w:sz="12" w:space="0" w:color="95B3D7"/>
              <w:right w:val="single" w:sz="8" w:space="0" w:color="B8CCE4"/>
            </w:tcBorders>
            <w:shd w:val="clear" w:color="auto" w:fill="auto"/>
            <w:vAlign w:val="center"/>
            <w:hideMark/>
          </w:tcPr>
          <w:p w14:paraId="6EDD0CAB"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ID</w:t>
            </w:r>
          </w:p>
        </w:tc>
        <w:tc>
          <w:tcPr>
            <w:tcW w:w="1841" w:type="dxa"/>
            <w:tcBorders>
              <w:top w:val="single" w:sz="8" w:space="0" w:color="B8CCE4"/>
              <w:left w:val="nil"/>
              <w:bottom w:val="single" w:sz="12" w:space="0" w:color="95B3D7"/>
              <w:right w:val="single" w:sz="8" w:space="0" w:color="B8CCE4"/>
            </w:tcBorders>
            <w:shd w:val="clear" w:color="auto" w:fill="auto"/>
            <w:vAlign w:val="center"/>
            <w:hideMark/>
          </w:tcPr>
          <w:p w14:paraId="6EDD0CAC"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 xml:space="preserve">Masa </w:t>
            </w:r>
          </w:p>
        </w:tc>
        <w:tc>
          <w:tcPr>
            <w:tcW w:w="1149" w:type="dxa"/>
            <w:tcBorders>
              <w:top w:val="single" w:sz="8" w:space="0" w:color="B8CCE4"/>
              <w:left w:val="nil"/>
              <w:bottom w:val="single" w:sz="12" w:space="0" w:color="95B3D7"/>
              <w:right w:val="single" w:sz="8" w:space="0" w:color="B8CCE4"/>
            </w:tcBorders>
            <w:shd w:val="clear" w:color="auto" w:fill="auto"/>
            <w:vAlign w:val="center"/>
            <w:hideMark/>
          </w:tcPr>
          <w:p w14:paraId="6EDD0CAD"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Viti/periudha</w:t>
            </w:r>
          </w:p>
        </w:tc>
        <w:tc>
          <w:tcPr>
            <w:tcW w:w="2122" w:type="dxa"/>
            <w:tcBorders>
              <w:top w:val="single" w:sz="8" w:space="0" w:color="B8CCE4"/>
              <w:left w:val="nil"/>
              <w:bottom w:val="single" w:sz="12" w:space="0" w:color="95B3D7"/>
              <w:right w:val="single" w:sz="8" w:space="0" w:color="B8CCE4"/>
            </w:tcBorders>
            <w:shd w:val="clear" w:color="auto" w:fill="auto"/>
            <w:vAlign w:val="center"/>
            <w:hideMark/>
          </w:tcPr>
          <w:p w14:paraId="6EDD0CAE"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Burimi</w:t>
            </w:r>
          </w:p>
        </w:tc>
        <w:tc>
          <w:tcPr>
            <w:tcW w:w="1697" w:type="dxa"/>
            <w:tcBorders>
              <w:top w:val="single" w:sz="8" w:space="0" w:color="B8CCE4"/>
              <w:left w:val="nil"/>
              <w:bottom w:val="single" w:sz="12" w:space="0" w:color="95B3D7"/>
              <w:right w:val="single" w:sz="8" w:space="0" w:color="B8CCE4"/>
            </w:tcBorders>
            <w:vAlign w:val="center"/>
          </w:tcPr>
          <w:p w14:paraId="6EDD0CAF"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Type of effect</w:t>
            </w:r>
          </w:p>
        </w:tc>
        <w:tc>
          <w:tcPr>
            <w:tcW w:w="1697" w:type="dxa"/>
            <w:tcBorders>
              <w:top w:val="single" w:sz="8" w:space="0" w:color="B8CCE4"/>
              <w:left w:val="single" w:sz="8" w:space="0" w:color="B8CCE4"/>
              <w:bottom w:val="single" w:sz="12" w:space="0" w:color="95B3D7"/>
              <w:right w:val="single" w:sz="8" w:space="0" w:color="B8CCE4"/>
            </w:tcBorders>
            <w:shd w:val="clear" w:color="auto" w:fill="auto"/>
            <w:vAlign w:val="center"/>
            <w:hideMark/>
          </w:tcPr>
          <w:p w14:paraId="6EDD0CB0"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Kosto</w:t>
            </w:r>
          </w:p>
        </w:tc>
        <w:tc>
          <w:tcPr>
            <w:tcW w:w="5777" w:type="dxa"/>
            <w:tcBorders>
              <w:top w:val="single" w:sz="8" w:space="0" w:color="B8CCE4"/>
              <w:left w:val="nil"/>
              <w:bottom w:val="single" w:sz="12" w:space="0" w:color="95B3D7"/>
              <w:right w:val="single" w:sz="8" w:space="0" w:color="B8CCE4"/>
            </w:tcBorders>
            <w:shd w:val="clear" w:color="auto" w:fill="auto"/>
            <w:vAlign w:val="center"/>
            <w:hideMark/>
          </w:tcPr>
          <w:p w14:paraId="6EDD0CB1"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Shënim mbi kostot</w:t>
            </w:r>
          </w:p>
        </w:tc>
      </w:tr>
      <w:tr w:rsidR="009344C8" w:rsidRPr="007114AF" w14:paraId="6EDD0CBA" w14:textId="77777777" w:rsidTr="009344C8">
        <w:trPr>
          <w:trHeight w:val="686"/>
          <w:jc w:val="center"/>
        </w:trPr>
        <w:tc>
          <w:tcPr>
            <w:tcW w:w="514" w:type="dxa"/>
            <w:tcBorders>
              <w:top w:val="nil"/>
              <w:left w:val="single" w:sz="8" w:space="0" w:color="B8CCE4"/>
              <w:bottom w:val="single" w:sz="8" w:space="0" w:color="B8CCE4"/>
              <w:right w:val="single" w:sz="8" w:space="0" w:color="B8CCE4"/>
            </w:tcBorders>
            <w:shd w:val="clear" w:color="auto" w:fill="auto"/>
            <w:vAlign w:val="center"/>
            <w:hideMark/>
          </w:tcPr>
          <w:p w14:paraId="6EDD0CB3"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C1</w:t>
            </w:r>
          </w:p>
        </w:tc>
        <w:tc>
          <w:tcPr>
            <w:tcW w:w="1841" w:type="dxa"/>
            <w:tcBorders>
              <w:top w:val="nil"/>
              <w:left w:val="nil"/>
              <w:bottom w:val="single" w:sz="8" w:space="0" w:color="B8CCE4"/>
              <w:right w:val="single" w:sz="8" w:space="0" w:color="B8CCE4"/>
            </w:tcBorders>
            <w:shd w:val="clear" w:color="auto" w:fill="auto"/>
            <w:vAlign w:val="center"/>
            <w:hideMark/>
          </w:tcPr>
          <w:p w14:paraId="6EDD0CB4"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color w:val="000000"/>
                <w:sz w:val="18"/>
                <w:szCs w:val="18"/>
              </w:rPr>
              <w:t xml:space="preserve">Strategjia afatgjatë me karbon të ulët </w:t>
            </w:r>
          </w:p>
        </w:tc>
        <w:tc>
          <w:tcPr>
            <w:tcW w:w="1149" w:type="dxa"/>
            <w:tcBorders>
              <w:top w:val="nil"/>
              <w:left w:val="nil"/>
              <w:bottom w:val="single" w:sz="8" w:space="0" w:color="B8CCE4"/>
              <w:right w:val="single" w:sz="8" w:space="0" w:color="B8CCE4"/>
            </w:tcBorders>
            <w:shd w:val="clear" w:color="auto" w:fill="auto"/>
            <w:vAlign w:val="center"/>
            <w:hideMark/>
          </w:tcPr>
          <w:p w14:paraId="6EDD0CB5"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2020</w:t>
            </w:r>
          </w:p>
        </w:tc>
        <w:tc>
          <w:tcPr>
            <w:tcW w:w="2122" w:type="dxa"/>
            <w:tcBorders>
              <w:top w:val="nil"/>
              <w:left w:val="nil"/>
              <w:bottom w:val="single" w:sz="8" w:space="0" w:color="B8CCE4"/>
              <w:right w:val="single" w:sz="8" w:space="0" w:color="B8CCE4"/>
            </w:tcBorders>
            <w:shd w:val="clear" w:color="auto" w:fill="auto"/>
            <w:vAlign w:val="center"/>
            <w:hideMark/>
          </w:tcPr>
          <w:p w14:paraId="6EDD0CB6"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Draftligji mbi Ndryshimet Klimatike</w:t>
            </w:r>
          </w:p>
        </w:tc>
        <w:tc>
          <w:tcPr>
            <w:tcW w:w="1697" w:type="dxa"/>
            <w:tcBorders>
              <w:top w:val="nil"/>
              <w:left w:val="nil"/>
              <w:bottom w:val="single" w:sz="8" w:space="0" w:color="B8CCE4"/>
              <w:right w:val="single" w:sz="8" w:space="0" w:color="B8CCE4"/>
            </w:tcBorders>
            <w:vAlign w:val="center"/>
          </w:tcPr>
          <w:p w14:paraId="6EDD0CB7"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Mundësuese</w:t>
            </w:r>
          </w:p>
        </w:tc>
        <w:tc>
          <w:tcPr>
            <w:tcW w:w="1697" w:type="dxa"/>
            <w:tcBorders>
              <w:top w:val="nil"/>
              <w:left w:val="single" w:sz="8" w:space="0" w:color="B8CCE4"/>
              <w:bottom w:val="single" w:sz="8" w:space="0" w:color="B8CCE4"/>
              <w:right w:val="single" w:sz="8" w:space="0" w:color="B8CCE4"/>
            </w:tcBorders>
            <w:shd w:val="clear" w:color="auto" w:fill="auto"/>
            <w:vAlign w:val="center"/>
            <w:hideMark/>
          </w:tcPr>
          <w:p w14:paraId="6EDD0CB8"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29,198.00</w:t>
            </w:r>
          </w:p>
        </w:tc>
        <w:tc>
          <w:tcPr>
            <w:tcW w:w="5777" w:type="dxa"/>
            <w:tcBorders>
              <w:top w:val="nil"/>
              <w:left w:val="nil"/>
              <w:bottom w:val="single" w:sz="8" w:space="0" w:color="B8CCE4"/>
              <w:right w:val="single" w:sz="8" w:space="0" w:color="B8CCE4"/>
            </w:tcBorders>
            <w:shd w:val="clear" w:color="auto" w:fill="auto"/>
            <w:vAlign w:val="center"/>
            <w:hideMark/>
          </w:tcPr>
          <w:p w14:paraId="6EDD0CB9"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Kostoja për njësi për zhvillimin e strategjisë për buxhetin afatmesëm, të dhënat B, Programet e ruajtjes së Mjedisit</w:t>
            </w:r>
          </w:p>
        </w:tc>
      </w:tr>
      <w:tr w:rsidR="009344C8" w:rsidRPr="007114AF" w14:paraId="6EDD0CC2" w14:textId="77777777" w:rsidTr="009344C8">
        <w:trPr>
          <w:trHeight w:val="554"/>
          <w:jc w:val="center"/>
        </w:trPr>
        <w:tc>
          <w:tcPr>
            <w:tcW w:w="514" w:type="dxa"/>
            <w:tcBorders>
              <w:top w:val="nil"/>
              <w:left w:val="single" w:sz="8" w:space="0" w:color="B8CCE4"/>
              <w:bottom w:val="single" w:sz="8" w:space="0" w:color="B8CCE4"/>
              <w:right w:val="single" w:sz="8" w:space="0" w:color="B8CCE4"/>
            </w:tcBorders>
            <w:shd w:val="clear" w:color="auto" w:fill="auto"/>
            <w:vAlign w:val="center"/>
            <w:hideMark/>
          </w:tcPr>
          <w:p w14:paraId="6EDD0CBB"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C2</w:t>
            </w:r>
          </w:p>
        </w:tc>
        <w:tc>
          <w:tcPr>
            <w:tcW w:w="1841" w:type="dxa"/>
            <w:tcBorders>
              <w:top w:val="nil"/>
              <w:left w:val="nil"/>
              <w:bottom w:val="single" w:sz="8" w:space="0" w:color="B8CCE4"/>
              <w:right w:val="single" w:sz="8" w:space="0" w:color="B8CCE4"/>
            </w:tcBorders>
            <w:shd w:val="clear" w:color="auto" w:fill="auto"/>
            <w:vAlign w:val="center"/>
            <w:hideMark/>
          </w:tcPr>
          <w:p w14:paraId="6EDD0CBC"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color w:val="000000"/>
                <w:sz w:val="18"/>
                <w:szCs w:val="18"/>
              </w:rPr>
              <w:t>Përditësimi i NDC</w:t>
            </w:r>
          </w:p>
        </w:tc>
        <w:tc>
          <w:tcPr>
            <w:tcW w:w="1149" w:type="dxa"/>
            <w:tcBorders>
              <w:top w:val="nil"/>
              <w:left w:val="nil"/>
              <w:bottom w:val="single" w:sz="8" w:space="0" w:color="B8CCE4"/>
              <w:right w:val="single" w:sz="8" w:space="0" w:color="B8CCE4"/>
            </w:tcBorders>
            <w:shd w:val="clear" w:color="auto" w:fill="auto"/>
            <w:vAlign w:val="center"/>
            <w:hideMark/>
          </w:tcPr>
          <w:p w14:paraId="6EDD0CBD"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2025</w:t>
            </w:r>
          </w:p>
        </w:tc>
        <w:tc>
          <w:tcPr>
            <w:tcW w:w="2122" w:type="dxa"/>
            <w:tcBorders>
              <w:top w:val="nil"/>
              <w:left w:val="nil"/>
              <w:bottom w:val="single" w:sz="8" w:space="0" w:color="B8CCE4"/>
              <w:right w:val="single" w:sz="8" w:space="0" w:color="B8CCE4"/>
            </w:tcBorders>
            <w:shd w:val="clear" w:color="auto" w:fill="auto"/>
            <w:vAlign w:val="center"/>
            <w:hideMark/>
          </w:tcPr>
          <w:p w14:paraId="6EDD0CBE"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Draftligji mbi Ndryshimet Klimatike</w:t>
            </w:r>
          </w:p>
        </w:tc>
        <w:tc>
          <w:tcPr>
            <w:tcW w:w="1697" w:type="dxa"/>
            <w:tcBorders>
              <w:top w:val="nil"/>
              <w:left w:val="nil"/>
              <w:bottom w:val="single" w:sz="8" w:space="0" w:color="B8CCE4"/>
              <w:right w:val="single" w:sz="8" w:space="0" w:color="B8CCE4"/>
            </w:tcBorders>
            <w:vAlign w:val="center"/>
          </w:tcPr>
          <w:p w14:paraId="6EDD0CBF"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Mundësuese</w:t>
            </w:r>
          </w:p>
        </w:tc>
        <w:tc>
          <w:tcPr>
            <w:tcW w:w="1697" w:type="dxa"/>
            <w:tcBorders>
              <w:top w:val="nil"/>
              <w:left w:val="single" w:sz="8" w:space="0" w:color="B8CCE4"/>
              <w:bottom w:val="single" w:sz="8" w:space="0" w:color="B8CCE4"/>
              <w:right w:val="single" w:sz="8" w:space="0" w:color="B8CCE4"/>
            </w:tcBorders>
            <w:shd w:val="clear" w:color="auto" w:fill="auto"/>
            <w:vAlign w:val="center"/>
            <w:hideMark/>
          </w:tcPr>
          <w:p w14:paraId="6EDD0CC0"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n/a</w:t>
            </w:r>
          </w:p>
        </w:tc>
        <w:tc>
          <w:tcPr>
            <w:tcW w:w="5777" w:type="dxa"/>
            <w:tcBorders>
              <w:top w:val="nil"/>
              <w:left w:val="nil"/>
              <w:bottom w:val="single" w:sz="8" w:space="0" w:color="B8CCE4"/>
              <w:right w:val="single" w:sz="8" w:space="0" w:color="B8CCE4"/>
            </w:tcBorders>
            <w:shd w:val="clear" w:color="auto" w:fill="auto"/>
            <w:vAlign w:val="center"/>
            <w:hideMark/>
          </w:tcPr>
          <w:p w14:paraId="6EDD0CC1"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Asnjë efekt financiar deri më 2020</w:t>
            </w:r>
          </w:p>
        </w:tc>
      </w:tr>
      <w:tr w:rsidR="009344C8" w:rsidRPr="007114AF" w14:paraId="6EDD0CCA" w14:textId="77777777" w:rsidTr="009344C8">
        <w:trPr>
          <w:trHeight w:val="548"/>
          <w:jc w:val="center"/>
        </w:trPr>
        <w:tc>
          <w:tcPr>
            <w:tcW w:w="514" w:type="dxa"/>
            <w:tcBorders>
              <w:top w:val="nil"/>
              <w:left w:val="single" w:sz="8" w:space="0" w:color="B8CCE4"/>
              <w:bottom w:val="single" w:sz="8" w:space="0" w:color="B8CCE4"/>
              <w:right w:val="single" w:sz="8" w:space="0" w:color="B8CCE4"/>
            </w:tcBorders>
            <w:shd w:val="clear" w:color="auto" w:fill="auto"/>
            <w:vAlign w:val="center"/>
            <w:hideMark/>
          </w:tcPr>
          <w:p w14:paraId="6EDD0CC3"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C3</w:t>
            </w:r>
          </w:p>
        </w:tc>
        <w:tc>
          <w:tcPr>
            <w:tcW w:w="1841" w:type="dxa"/>
            <w:tcBorders>
              <w:top w:val="nil"/>
              <w:left w:val="nil"/>
              <w:bottom w:val="single" w:sz="8" w:space="0" w:color="B8CCE4"/>
              <w:right w:val="single" w:sz="8" w:space="0" w:color="B8CCE4"/>
            </w:tcBorders>
            <w:shd w:val="clear" w:color="auto" w:fill="auto"/>
            <w:vAlign w:val="center"/>
            <w:hideMark/>
          </w:tcPr>
          <w:p w14:paraId="6EDD0CC4"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color w:val="000000"/>
                <w:sz w:val="18"/>
                <w:szCs w:val="18"/>
              </w:rPr>
              <w:t>Përditësimi i NDC</w:t>
            </w:r>
          </w:p>
        </w:tc>
        <w:tc>
          <w:tcPr>
            <w:tcW w:w="1149" w:type="dxa"/>
            <w:tcBorders>
              <w:top w:val="nil"/>
              <w:left w:val="nil"/>
              <w:bottom w:val="single" w:sz="8" w:space="0" w:color="B8CCE4"/>
              <w:right w:val="single" w:sz="8" w:space="0" w:color="B8CCE4"/>
            </w:tcBorders>
            <w:shd w:val="clear" w:color="auto" w:fill="auto"/>
            <w:vAlign w:val="center"/>
            <w:hideMark/>
          </w:tcPr>
          <w:p w14:paraId="6EDD0CC5"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2030</w:t>
            </w:r>
          </w:p>
        </w:tc>
        <w:tc>
          <w:tcPr>
            <w:tcW w:w="2122" w:type="dxa"/>
            <w:tcBorders>
              <w:top w:val="nil"/>
              <w:left w:val="nil"/>
              <w:bottom w:val="single" w:sz="8" w:space="0" w:color="B8CCE4"/>
              <w:right w:val="single" w:sz="8" w:space="0" w:color="B8CCE4"/>
            </w:tcBorders>
            <w:shd w:val="clear" w:color="auto" w:fill="auto"/>
            <w:vAlign w:val="center"/>
            <w:hideMark/>
          </w:tcPr>
          <w:p w14:paraId="6EDD0CC6"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Draftligji mbi Ndryshimet Klimatike</w:t>
            </w:r>
          </w:p>
        </w:tc>
        <w:tc>
          <w:tcPr>
            <w:tcW w:w="1697" w:type="dxa"/>
            <w:tcBorders>
              <w:top w:val="nil"/>
              <w:left w:val="nil"/>
              <w:bottom w:val="single" w:sz="8" w:space="0" w:color="B8CCE4"/>
              <w:right w:val="single" w:sz="8" w:space="0" w:color="B8CCE4"/>
            </w:tcBorders>
            <w:vAlign w:val="center"/>
          </w:tcPr>
          <w:p w14:paraId="6EDD0CC7"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Mundësuese</w:t>
            </w:r>
          </w:p>
        </w:tc>
        <w:tc>
          <w:tcPr>
            <w:tcW w:w="1697" w:type="dxa"/>
            <w:tcBorders>
              <w:top w:val="nil"/>
              <w:left w:val="single" w:sz="8" w:space="0" w:color="B8CCE4"/>
              <w:bottom w:val="single" w:sz="8" w:space="0" w:color="B8CCE4"/>
              <w:right w:val="single" w:sz="8" w:space="0" w:color="B8CCE4"/>
            </w:tcBorders>
            <w:shd w:val="clear" w:color="auto" w:fill="auto"/>
            <w:vAlign w:val="center"/>
            <w:hideMark/>
          </w:tcPr>
          <w:p w14:paraId="6EDD0CC8"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n/a</w:t>
            </w:r>
          </w:p>
        </w:tc>
        <w:tc>
          <w:tcPr>
            <w:tcW w:w="5777" w:type="dxa"/>
            <w:tcBorders>
              <w:top w:val="nil"/>
              <w:left w:val="nil"/>
              <w:bottom w:val="single" w:sz="8" w:space="0" w:color="B8CCE4"/>
              <w:right w:val="single" w:sz="8" w:space="0" w:color="B8CCE4"/>
            </w:tcBorders>
            <w:shd w:val="clear" w:color="auto" w:fill="auto"/>
            <w:vAlign w:val="center"/>
            <w:hideMark/>
          </w:tcPr>
          <w:p w14:paraId="6EDD0CC9"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Asnjë efekt financiar deri më 2020</w:t>
            </w:r>
          </w:p>
        </w:tc>
      </w:tr>
      <w:tr w:rsidR="009344C8" w:rsidRPr="007114AF" w14:paraId="6EDD0CD2" w14:textId="77777777" w:rsidTr="009344C8">
        <w:trPr>
          <w:trHeight w:val="43"/>
          <w:jc w:val="center"/>
        </w:trPr>
        <w:tc>
          <w:tcPr>
            <w:tcW w:w="514" w:type="dxa"/>
            <w:tcBorders>
              <w:top w:val="nil"/>
              <w:left w:val="single" w:sz="8" w:space="0" w:color="B8CCE4"/>
              <w:bottom w:val="single" w:sz="8" w:space="0" w:color="B8CCE4"/>
              <w:right w:val="single" w:sz="8" w:space="0" w:color="B8CCE4"/>
            </w:tcBorders>
            <w:shd w:val="clear" w:color="auto" w:fill="auto"/>
            <w:vAlign w:val="center"/>
            <w:hideMark/>
          </w:tcPr>
          <w:p w14:paraId="6EDD0CCB" w14:textId="77777777" w:rsidR="009344C8" w:rsidRPr="007114AF" w:rsidRDefault="009344C8" w:rsidP="009344C8">
            <w:pPr>
              <w:spacing w:after="0" w:line="240" w:lineRule="auto"/>
              <w:rPr>
                <w:rFonts w:ascii="Garamond" w:eastAsia="Times New Roman" w:hAnsi="Garamond" w:cs="Times New Roman"/>
                <w:b/>
                <w:bCs/>
                <w:sz w:val="18"/>
                <w:szCs w:val="18"/>
              </w:rPr>
            </w:pPr>
            <w:r w:rsidRPr="007114AF">
              <w:rPr>
                <w:rFonts w:ascii="Garamond" w:eastAsia="Times New Roman" w:hAnsi="Garamond" w:cs="Times New Roman"/>
                <w:b/>
                <w:bCs/>
                <w:sz w:val="18"/>
                <w:szCs w:val="18"/>
              </w:rPr>
              <w:t>C4</w:t>
            </w:r>
          </w:p>
        </w:tc>
        <w:tc>
          <w:tcPr>
            <w:tcW w:w="1841" w:type="dxa"/>
            <w:tcBorders>
              <w:top w:val="nil"/>
              <w:left w:val="nil"/>
              <w:bottom w:val="single" w:sz="8" w:space="0" w:color="B8CCE4"/>
              <w:right w:val="single" w:sz="8" w:space="0" w:color="B8CCE4"/>
            </w:tcBorders>
            <w:shd w:val="clear" w:color="auto" w:fill="auto"/>
            <w:vAlign w:val="center"/>
            <w:hideMark/>
          </w:tcPr>
          <w:p w14:paraId="6EDD0CCC"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color w:val="000000"/>
                <w:sz w:val="18"/>
                <w:szCs w:val="18"/>
              </w:rPr>
              <w:t>Vendosja e Sistemit Kombëtar për matjen/monitorimin dhe raportimin e ndotjes me gazet serrë dhe ndonjë informacion tjetër shtesë i duhur për ndryshimet klimatike</w:t>
            </w:r>
          </w:p>
        </w:tc>
        <w:tc>
          <w:tcPr>
            <w:tcW w:w="1149" w:type="dxa"/>
            <w:tcBorders>
              <w:top w:val="nil"/>
              <w:left w:val="nil"/>
              <w:bottom w:val="single" w:sz="8" w:space="0" w:color="B8CCE4"/>
              <w:right w:val="single" w:sz="8" w:space="0" w:color="B8CCE4"/>
            </w:tcBorders>
            <w:shd w:val="clear" w:color="auto" w:fill="auto"/>
            <w:vAlign w:val="center"/>
            <w:hideMark/>
          </w:tcPr>
          <w:p w14:paraId="6EDD0CCD" w14:textId="6B372139"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2017</w:t>
            </w:r>
            <w:r w:rsidR="008D30FC" w:rsidRPr="007114AF">
              <w:rPr>
                <w:rFonts w:ascii="Garamond" w:eastAsia="Times New Roman" w:hAnsi="Garamond" w:cs="Times New Roman"/>
                <w:sz w:val="18"/>
                <w:szCs w:val="18"/>
              </w:rPr>
              <w:t xml:space="preserve"> </w:t>
            </w:r>
            <w:r w:rsidRPr="007114AF">
              <w:rPr>
                <w:rFonts w:ascii="Garamond" w:eastAsia="Times New Roman" w:hAnsi="Garamond" w:cs="Times New Roman"/>
                <w:sz w:val="18"/>
                <w:szCs w:val="18"/>
              </w:rPr>
              <w:t>Pas hyrjes në fuqi</w:t>
            </w:r>
          </w:p>
        </w:tc>
        <w:tc>
          <w:tcPr>
            <w:tcW w:w="2122" w:type="dxa"/>
            <w:tcBorders>
              <w:top w:val="nil"/>
              <w:left w:val="nil"/>
              <w:bottom w:val="single" w:sz="8" w:space="0" w:color="B8CCE4"/>
              <w:right w:val="single" w:sz="8" w:space="0" w:color="B8CCE4"/>
            </w:tcBorders>
            <w:shd w:val="clear" w:color="auto" w:fill="auto"/>
            <w:vAlign w:val="center"/>
            <w:hideMark/>
          </w:tcPr>
          <w:p w14:paraId="6EDD0CCE"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Draftligji mbi Ndryshimet Klimatike; Draft VKM mbi Monitorimin dhe raportimin</w:t>
            </w:r>
          </w:p>
        </w:tc>
        <w:tc>
          <w:tcPr>
            <w:tcW w:w="1697" w:type="dxa"/>
            <w:tcBorders>
              <w:top w:val="nil"/>
              <w:left w:val="nil"/>
              <w:bottom w:val="single" w:sz="8" w:space="0" w:color="B8CCE4"/>
              <w:right w:val="single" w:sz="8" w:space="0" w:color="B8CCE4"/>
            </w:tcBorders>
            <w:vAlign w:val="center"/>
          </w:tcPr>
          <w:p w14:paraId="6EDD0CCF" w14:textId="77777777" w:rsidR="009344C8" w:rsidRPr="007114AF" w:rsidRDefault="009344C8" w:rsidP="009344C8">
            <w:pPr>
              <w:spacing w:after="0" w:line="240" w:lineRule="auto"/>
              <w:rPr>
                <w:rFonts w:ascii="Garamond" w:eastAsia="Times New Roman" w:hAnsi="Garamond" w:cs="Times New Roman"/>
                <w:b/>
                <w:bCs/>
                <w:sz w:val="18"/>
                <w:szCs w:val="18"/>
              </w:rPr>
            </w:pPr>
          </w:p>
        </w:tc>
        <w:tc>
          <w:tcPr>
            <w:tcW w:w="1697" w:type="dxa"/>
            <w:tcBorders>
              <w:top w:val="nil"/>
              <w:left w:val="single" w:sz="8" w:space="0" w:color="B8CCE4"/>
              <w:bottom w:val="single" w:sz="8" w:space="0" w:color="B8CCE4"/>
              <w:right w:val="single" w:sz="8" w:space="0" w:color="B8CCE4"/>
            </w:tcBorders>
            <w:shd w:val="clear" w:color="auto" w:fill="auto"/>
            <w:vAlign w:val="center"/>
            <w:hideMark/>
          </w:tcPr>
          <w:p w14:paraId="6EDD0CD0"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15,000.00</w:t>
            </w:r>
          </w:p>
        </w:tc>
        <w:tc>
          <w:tcPr>
            <w:tcW w:w="5777" w:type="dxa"/>
            <w:tcBorders>
              <w:top w:val="nil"/>
              <w:left w:val="nil"/>
              <w:bottom w:val="single" w:sz="8" w:space="0" w:color="B8CCE4"/>
              <w:right w:val="single" w:sz="8" w:space="0" w:color="B8CCE4"/>
            </w:tcBorders>
            <w:shd w:val="clear" w:color="auto" w:fill="auto"/>
            <w:vAlign w:val="center"/>
            <w:hideMark/>
          </w:tcPr>
          <w:p w14:paraId="6EDD0CD1" w14:textId="77777777" w:rsidR="009344C8" w:rsidRPr="007114AF" w:rsidRDefault="009344C8" w:rsidP="009344C8">
            <w:pPr>
              <w:spacing w:after="0" w:line="240" w:lineRule="auto"/>
              <w:rPr>
                <w:rFonts w:ascii="Garamond" w:eastAsia="Times New Roman" w:hAnsi="Garamond" w:cs="Times New Roman"/>
                <w:sz w:val="18"/>
                <w:szCs w:val="18"/>
              </w:rPr>
            </w:pPr>
            <w:r w:rsidRPr="007114AF">
              <w:rPr>
                <w:rFonts w:ascii="Garamond" w:eastAsia="Times New Roman" w:hAnsi="Garamond" w:cs="Times New Roman"/>
                <w:sz w:val="18"/>
                <w:szCs w:val="18"/>
              </w:rPr>
              <w:t>Studimi i Fizibilitetit</w:t>
            </w:r>
          </w:p>
        </w:tc>
      </w:tr>
    </w:tbl>
    <w:p w14:paraId="6EDD0CD3" w14:textId="77777777" w:rsidR="00D774C2" w:rsidRPr="007114AF" w:rsidRDefault="00D774C2" w:rsidP="00EF517C">
      <w:pPr>
        <w:pStyle w:val="TEKSTI"/>
      </w:pPr>
    </w:p>
    <w:p w14:paraId="6EDD0CD4" w14:textId="77777777" w:rsidR="009344C8" w:rsidRPr="007114AF" w:rsidRDefault="009344C8" w:rsidP="00EF517C">
      <w:pPr>
        <w:pStyle w:val="TEKSTI"/>
      </w:pPr>
    </w:p>
    <w:p w14:paraId="6EDD0CD5" w14:textId="77777777" w:rsidR="009344C8" w:rsidRPr="007114AF" w:rsidRDefault="009344C8" w:rsidP="00EF517C">
      <w:pPr>
        <w:pStyle w:val="TEKSTI"/>
      </w:pPr>
    </w:p>
    <w:p w14:paraId="6EDD0CD6" w14:textId="77777777" w:rsidR="009344C8" w:rsidRPr="007114AF" w:rsidRDefault="009344C8" w:rsidP="00EF517C">
      <w:pPr>
        <w:pStyle w:val="TEKSTI"/>
      </w:pPr>
    </w:p>
    <w:p w14:paraId="6EDD0CD7" w14:textId="77777777" w:rsidR="009344C8" w:rsidRPr="007114AF" w:rsidRDefault="009344C8" w:rsidP="00EF517C">
      <w:pPr>
        <w:pStyle w:val="TEKSTI"/>
      </w:pPr>
    </w:p>
    <w:p w14:paraId="6EDD0CD8" w14:textId="77777777" w:rsidR="009344C8" w:rsidRPr="007114AF" w:rsidRDefault="009344C8" w:rsidP="00EF517C">
      <w:pPr>
        <w:pStyle w:val="TEKSTI"/>
      </w:pPr>
    </w:p>
    <w:p w14:paraId="6EDD0CD9" w14:textId="77777777" w:rsidR="009344C8" w:rsidRPr="007114AF" w:rsidRDefault="009344C8" w:rsidP="00EF517C">
      <w:pPr>
        <w:pStyle w:val="TEKSTI"/>
      </w:pPr>
    </w:p>
    <w:p w14:paraId="6EDD0CDA" w14:textId="77777777" w:rsidR="009344C8" w:rsidRPr="007114AF" w:rsidRDefault="009344C8" w:rsidP="00EF517C">
      <w:pPr>
        <w:pStyle w:val="TEKSTI"/>
      </w:pPr>
    </w:p>
    <w:p w14:paraId="6EDD0CDB" w14:textId="77777777" w:rsidR="009344C8" w:rsidRPr="007114AF" w:rsidRDefault="009344C8" w:rsidP="00EF517C">
      <w:pPr>
        <w:pStyle w:val="TEKSTI"/>
      </w:pPr>
    </w:p>
    <w:p w14:paraId="6EDD0CDC" w14:textId="77777777" w:rsidR="009344C8" w:rsidRPr="007114AF" w:rsidRDefault="009344C8" w:rsidP="00EF517C">
      <w:pPr>
        <w:pStyle w:val="TEKSTI"/>
      </w:pPr>
    </w:p>
    <w:p w14:paraId="6EDD0CDD" w14:textId="77777777" w:rsidR="009344C8" w:rsidRPr="007114AF" w:rsidRDefault="009344C8" w:rsidP="00EF517C">
      <w:pPr>
        <w:pStyle w:val="TEKSTI"/>
      </w:pPr>
    </w:p>
    <w:p w14:paraId="6EDD0CDE" w14:textId="77777777" w:rsidR="009344C8" w:rsidRPr="007114AF" w:rsidRDefault="009344C8" w:rsidP="00EF517C">
      <w:pPr>
        <w:pStyle w:val="TEKSTI"/>
      </w:pPr>
    </w:p>
    <w:p w14:paraId="6EDD0CDF" w14:textId="77777777" w:rsidR="009344C8" w:rsidRPr="007114AF" w:rsidRDefault="009344C8" w:rsidP="00EF517C">
      <w:pPr>
        <w:pStyle w:val="TEKSTI"/>
      </w:pPr>
    </w:p>
    <w:p w14:paraId="6EDD0CE0" w14:textId="77777777" w:rsidR="009344C8" w:rsidRPr="007114AF" w:rsidRDefault="009344C8" w:rsidP="00EF517C">
      <w:pPr>
        <w:pStyle w:val="TEKSTI"/>
      </w:pPr>
    </w:p>
    <w:p w14:paraId="6EDD0CE1" w14:textId="77777777" w:rsidR="009344C8" w:rsidRPr="007114AF" w:rsidRDefault="009344C8" w:rsidP="00EF517C">
      <w:pPr>
        <w:pStyle w:val="TEKSTI"/>
      </w:pPr>
    </w:p>
    <w:p w14:paraId="6EDD0CE2" w14:textId="77777777" w:rsidR="009344C8" w:rsidRPr="007114AF" w:rsidRDefault="009344C8" w:rsidP="00EF517C">
      <w:pPr>
        <w:pStyle w:val="TEKSTI"/>
      </w:pPr>
    </w:p>
    <w:p w14:paraId="6EDD0CE3" w14:textId="77777777" w:rsidR="009344C8" w:rsidRPr="007114AF" w:rsidRDefault="009344C8" w:rsidP="00EF517C">
      <w:pPr>
        <w:pStyle w:val="TEKSTI"/>
      </w:pPr>
    </w:p>
    <w:p w14:paraId="6EDD0CE4" w14:textId="77777777" w:rsidR="009344C8" w:rsidRPr="007114AF" w:rsidRDefault="009344C8" w:rsidP="00EF517C">
      <w:pPr>
        <w:pStyle w:val="TEKSTI"/>
      </w:pPr>
    </w:p>
    <w:p w14:paraId="6EDD0CE5" w14:textId="77777777" w:rsidR="009344C8" w:rsidRPr="007114AF" w:rsidRDefault="009344C8" w:rsidP="00EF517C">
      <w:pPr>
        <w:pStyle w:val="TEKSTI"/>
      </w:pPr>
    </w:p>
    <w:p w14:paraId="6EDD0CE6" w14:textId="77777777" w:rsidR="009344C8" w:rsidRPr="007114AF" w:rsidRDefault="009344C8" w:rsidP="00EF517C">
      <w:pPr>
        <w:pStyle w:val="TEKSTI"/>
      </w:pPr>
    </w:p>
    <w:p w14:paraId="6EDD0CE7" w14:textId="77777777" w:rsidR="009344C8" w:rsidRPr="007114AF" w:rsidRDefault="009344C8" w:rsidP="00EF517C">
      <w:pPr>
        <w:pStyle w:val="TEKSTI"/>
      </w:pPr>
    </w:p>
    <w:p w14:paraId="6EDD0CE8" w14:textId="77777777" w:rsidR="009344C8" w:rsidRPr="007114AF" w:rsidRDefault="009344C8" w:rsidP="00EF517C">
      <w:pPr>
        <w:pStyle w:val="TEKSTI"/>
      </w:pPr>
    </w:p>
    <w:p w14:paraId="6EDD0CE9" w14:textId="77777777" w:rsidR="009344C8" w:rsidRPr="007114AF" w:rsidRDefault="009344C8" w:rsidP="00EF517C">
      <w:pPr>
        <w:pStyle w:val="TEKSTI"/>
      </w:pPr>
    </w:p>
    <w:p w14:paraId="6EDD0CEA" w14:textId="77777777" w:rsidR="009344C8" w:rsidRPr="007114AF" w:rsidRDefault="009344C8" w:rsidP="00EF517C">
      <w:pPr>
        <w:pStyle w:val="TEKSTI"/>
      </w:pPr>
    </w:p>
    <w:p w14:paraId="6EDD0CEB" w14:textId="77777777" w:rsidR="00A45C8C" w:rsidRPr="007114AF" w:rsidRDefault="00A45C8C" w:rsidP="00EF517C">
      <w:pPr>
        <w:pStyle w:val="TEKSTI"/>
        <w:sectPr w:rsidR="00A45C8C" w:rsidRPr="007114AF" w:rsidSect="00A45C8C">
          <w:pgSz w:w="16840" w:h="11907" w:orient="landscape" w:code="9"/>
          <w:pgMar w:top="1418" w:right="1418" w:bottom="1418" w:left="1418" w:header="1304" w:footer="1134" w:gutter="0"/>
          <w:cols w:space="720"/>
          <w:docGrid w:linePitch="360"/>
        </w:sectPr>
      </w:pPr>
    </w:p>
    <w:p w14:paraId="6EDD0CEC" w14:textId="77777777" w:rsidR="00CB4F2D" w:rsidRPr="007114AF" w:rsidRDefault="00A45C8C" w:rsidP="00CB4F2D">
      <w:pPr>
        <w:pStyle w:val="TEKSTI"/>
        <w:rPr>
          <w:b/>
        </w:rPr>
      </w:pPr>
      <w:bookmarkStart w:id="184" w:name="_Toc484424531"/>
      <w:bookmarkStart w:id="185" w:name="_Toc483570133"/>
      <w:r w:rsidRPr="007114AF">
        <w:rPr>
          <w:b/>
        </w:rPr>
        <w:t xml:space="preserve">6. </w:t>
      </w:r>
      <w:r w:rsidR="00CB4F2D" w:rsidRPr="007114AF">
        <w:rPr>
          <w:b/>
        </w:rPr>
        <w:t>PLANI KOMBËTAR I PËRSHTATJES NDAJ NDRYSHIMEVE KLIMATIKE</w:t>
      </w:r>
      <w:bookmarkEnd w:id="184"/>
      <w:bookmarkEnd w:id="185"/>
    </w:p>
    <w:p w14:paraId="6EDD0CED" w14:textId="77777777" w:rsidR="00CB4F2D" w:rsidRPr="007114AF" w:rsidRDefault="00CB4F2D" w:rsidP="00CB4F2D">
      <w:pPr>
        <w:pStyle w:val="TEKSTI"/>
      </w:pPr>
      <w:r w:rsidRPr="007114AF">
        <w:rPr>
          <w:bCs/>
          <w:iCs/>
        </w:rPr>
        <w:t>Përshtatja ndaj ndryshimeve klimatike do të ketë efektivitet vetëm nëse shndërrohet në veprime konkrete gjithëpërfshirëse dhe sektoriale. Shumica e raporteve/studimeve mbyllen me rekomandime për masa prioritare të përshtatjes dhe për veprime për vënien e tyre në zbatim. Një fokus kryesor i shumë projekteve kanë qenë zonat bregdetare dhe menaxhimi i rrezikut të përmbytjeve. Shumë prej veprimeve do të duhej të realizoheshin të bashkëlidhura me politikat sektoriale.</w:t>
      </w:r>
    </w:p>
    <w:p w14:paraId="6EDD0CEE" w14:textId="77777777" w:rsidR="00CB4F2D" w:rsidRPr="007114AF" w:rsidRDefault="00CB4F2D" w:rsidP="00CB4F2D">
      <w:pPr>
        <w:pStyle w:val="TEKSTI"/>
      </w:pPr>
      <w:r w:rsidRPr="007114AF">
        <w:rPr>
          <w:bCs/>
          <w:iCs/>
        </w:rPr>
        <w:t>Disa masa të rekomanduara kanë të bëjnë me ujin, bujqësinë, zonat bregdetare dhe uljen e rreziqeve të fatkeqësive. Kjo për shkak se njerëzit vazhdojnë të mbështeten te bujqësia dhe shumë prej tyre jetojnë në fusha të cilat kanë tendencë të përmbyten, pranë brigjeve të lumenjve dhe liqeneve dhe në zona bregdetare. Sipas Komunikimit të Tretë Kombëtar, në masat sektoriale të rekomanduara përfshihen:</w:t>
      </w:r>
    </w:p>
    <w:p w14:paraId="6EDD0CEF" w14:textId="77777777" w:rsidR="00CB4F2D" w:rsidRPr="007114AF" w:rsidRDefault="00CB4F2D" w:rsidP="00CB4F2D">
      <w:pPr>
        <w:pStyle w:val="TEKSTI"/>
        <w:rPr>
          <w:b/>
          <w:bCs/>
          <w:i/>
          <w:iCs/>
        </w:rPr>
      </w:pPr>
      <w:r w:rsidRPr="007114AF">
        <w:rPr>
          <w:b/>
          <w:bCs/>
          <w:i/>
          <w:iCs/>
        </w:rPr>
        <w:t>Ekosistemet bregdetare</w:t>
      </w:r>
    </w:p>
    <w:p w14:paraId="6EDD0CF0" w14:textId="6D86F7B8" w:rsidR="00CB4F2D" w:rsidRPr="007114AF" w:rsidRDefault="00CB4F2D" w:rsidP="00CB4F2D">
      <w:pPr>
        <w:pStyle w:val="TEKSTI"/>
      </w:pPr>
      <w:r w:rsidRPr="007114AF">
        <w:t>Përgatitja e një plani menaxhimi me veprime për të mbështetur përmirësimin e cilësive mjedisore dhe shërbimeve për restaurimin dhe mirëmbajtjen e habitat</w:t>
      </w:r>
      <w:r w:rsidR="00AE5FB3">
        <w:t>e</w:t>
      </w:r>
      <w:r w:rsidRPr="007114AF">
        <w:t>ve natyror</w:t>
      </w:r>
      <w:r w:rsidR="00AE5FB3">
        <w:t>e</w:t>
      </w:r>
      <w:r w:rsidRPr="007114AF">
        <w:t>;</w:t>
      </w:r>
    </w:p>
    <w:p w14:paraId="6EDD0CF1" w14:textId="77777777" w:rsidR="00CB4F2D" w:rsidRPr="007114AF" w:rsidRDefault="00CB4F2D" w:rsidP="00CB4F2D">
      <w:pPr>
        <w:pStyle w:val="TEKSTI"/>
      </w:pPr>
      <w:r w:rsidRPr="007114AF">
        <w:t>Mbajtja në kontroll e kontaminimit dhe ndotjes;</w:t>
      </w:r>
    </w:p>
    <w:p w14:paraId="6EDD0CF2" w14:textId="77777777" w:rsidR="00CB4F2D" w:rsidRPr="007114AF" w:rsidRDefault="00CB4F2D" w:rsidP="00CB4F2D">
      <w:pPr>
        <w:pStyle w:val="TEKSTI"/>
      </w:pPr>
      <w:r w:rsidRPr="007114AF">
        <w:t>Mbajtja në kontroll e ndërtimeve të paligjshme në të ardhmen dhe zhvillimeve të papërshtatshme, me përjashtim të atyre që propozohen nga plani i menaxhimit;</w:t>
      </w:r>
    </w:p>
    <w:p w14:paraId="6EDD0CF3" w14:textId="77777777" w:rsidR="00CB4F2D" w:rsidRPr="007114AF" w:rsidRDefault="00CB4F2D" w:rsidP="00CB4F2D">
      <w:pPr>
        <w:pStyle w:val="TEKSTI"/>
      </w:pPr>
      <w:r w:rsidRPr="007114AF">
        <w:t>Nxitja e aktiviteteve të pyllëzimit dhe ripyllëzimit;</w:t>
      </w:r>
    </w:p>
    <w:p w14:paraId="6EDD0CF4" w14:textId="77777777" w:rsidR="00CB4F2D" w:rsidRPr="007114AF" w:rsidRDefault="00CB4F2D" w:rsidP="00CB4F2D">
      <w:pPr>
        <w:pStyle w:val="TEKSTI"/>
      </w:pPr>
      <w:r w:rsidRPr="007114AF">
        <w:t>Përgatitja e programeve të monitorimit në terren, me fokus në zonat më vulnerabël;</w:t>
      </w:r>
    </w:p>
    <w:p w14:paraId="6EDD0CF5" w14:textId="7B4B67F3" w:rsidR="00CB4F2D" w:rsidRPr="007114AF" w:rsidRDefault="00CB4F2D" w:rsidP="00CB4F2D">
      <w:pPr>
        <w:pStyle w:val="TEKSTI"/>
      </w:pPr>
      <w:r w:rsidRPr="007114AF">
        <w:t>Restaurimi ose rehabilitimi i habitat</w:t>
      </w:r>
      <w:r w:rsidR="00AE5FB3">
        <w:t>e</w:t>
      </w:r>
      <w:r w:rsidRPr="007114AF">
        <w:t>ve natyrorë;</w:t>
      </w:r>
    </w:p>
    <w:p w14:paraId="6EDD0CF6" w14:textId="77777777" w:rsidR="00CB4F2D" w:rsidRPr="007114AF" w:rsidRDefault="00CB4F2D" w:rsidP="00CB4F2D">
      <w:pPr>
        <w:pStyle w:val="TEKSTI"/>
      </w:pPr>
      <w:r w:rsidRPr="007114AF">
        <w:t>Zgjerimi i zonave të mbrojtura ekzistuese.</w:t>
      </w:r>
    </w:p>
    <w:p w14:paraId="6EDD0CF7" w14:textId="77777777" w:rsidR="00CB4F2D" w:rsidRPr="007114AF" w:rsidRDefault="00CB4F2D" w:rsidP="00CB4F2D">
      <w:pPr>
        <w:pStyle w:val="TEKSTI"/>
        <w:rPr>
          <w:b/>
          <w:bCs/>
          <w:i/>
          <w:iCs/>
        </w:rPr>
      </w:pPr>
      <w:r w:rsidRPr="007114AF">
        <w:rPr>
          <w:b/>
          <w:bCs/>
          <w:i/>
          <w:iCs/>
        </w:rPr>
        <w:t>Mbrojtja nga përmbytjet</w:t>
      </w:r>
    </w:p>
    <w:p w14:paraId="6EDD0CF8" w14:textId="77777777" w:rsidR="00CB4F2D" w:rsidRPr="007114AF" w:rsidRDefault="00CB4F2D" w:rsidP="00CB4F2D">
      <w:pPr>
        <w:pStyle w:val="TEKSTI"/>
      </w:pPr>
      <w:r w:rsidRPr="007114AF">
        <w:t>Pastrimi sistematik i shtratit të lumenjve;</w:t>
      </w:r>
    </w:p>
    <w:p w14:paraId="6EDD0CF9" w14:textId="77777777" w:rsidR="00CB4F2D" w:rsidRPr="007114AF" w:rsidRDefault="00CB4F2D" w:rsidP="00CB4F2D">
      <w:pPr>
        <w:pStyle w:val="TEKSTI"/>
      </w:pPr>
      <w:r w:rsidRPr="007114AF">
        <w:t>Monitorimi dhe mirëmbajtja e vazhdueshme e argjinaturave përgjatë brigjeve të lumenjve;</w:t>
      </w:r>
    </w:p>
    <w:p w14:paraId="6EDD0CFA" w14:textId="77777777" w:rsidR="00CB4F2D" w:rsidRPr="007114AF" w:rsidRDefault="00CB4F2D" w:rsidP="00CB4F2D">
      <w:pPr>
        <w:pStyle w:val="TEKSTI"/>
      </w:pPr>
      <w:r w:rsidRPr="007114AF">
        <w:t>Monitorimi i vazhdueshëm i prurjeve të lumenjve;</w:t>
      </w:r>
    </w:p>
    <w:p w14:paraId="6EDD0CFB" w14:textId="77777777" w:rsidR="00CB4F2D" w:rsidRPr="007114AF" w:rsidRDefault="00CB4F2D" w:rsidP="00CB4F2D">
      <w:pPr>
        <w:pStyle w:val="TEKSTI"/>
      </w:pPr>
      <w:r w:rsidRPr="007114AF">
        <w:t>Krijimi i Qendrës Rajonale për Parashikimin dhe Parandalimin e Përmbytjeve.</w:t>
      </w:r>
    </w:p>
    <w:p w14:paraId="6EDD0CFC" w14:textId="77777777" w:rsidR="00CB4F2D" w:rsidRPr="007114AF" w:rsidRDefault="00CB4F2D" w:rsidP="00CB4F2D">
      <w:pPr>
        <w:pStyle w:val="TEKSTI"/>
        <w:rPr>
          <w:b/>
          <w:bCs/>
          <w:i/>
          <w:iCs/>
        </w:rPr>
      </w:pPr>
      <w:r w:rsidRPr="007114AF">
        <w:rPr>
          <w:b/>
          <w:bCs/>
          <w:i/>
          <w:iCs/>
        </w:rPr>
        <w:t>Bujqësia</w:t>
      </w:r>
    </w:p>
    <w:p w14:paraId="6EDD0CFD" w14:textId="77777777" w:rsidR="00CB4F2D" w:rsidRPr="007114AF" w:rsidRDefault="00CB4F2D" w:rsidP="00CB4F2D">
      <w:pPr>
        <w:pStyle w:val="TEKSTI"/>
      </w:pPr>
      <w:r w:rsidRPr="007114AF">
        <w:t>Ndryshime në përdorimin e bimëve dhe kulturave bujqësore (specie që e durojnë ose i rezistojnë thatësirës);</w:t>
      </w:r>
    </w:p>
    <w:p w14:paraId="6EDD0CFE" w14:textId="77777777" w:rsidR="00CB4F2D" w:rsidRPr="007114AF" w:rsidRDefault="00CB4F2D" w:rsidP="00CB4F2D">
      <w:pPr>
        <w:pStyle w:val="TEKSTI"/>
      </w:pPr>
      <w:r w:rsidRPr="007114AF">
        <w:t>Përmirësime teknologjike (përmirësimi i blegtorisë, specieve ose varieteteve të kulturave bujqësore, përdorimit të ujitjes, punimit dhe mbjelljes së tokës, praktikave të përdorimit të plehëruesve, praktikave të menaxhimit të sëmundjeve dhe dëmtuesve etj.);</w:t>
      </w:r>
    </w:p>
    <w:p w14:paraId="6EDD0CFF" w14:textId="77777777" w:rsidR="00CB4F2D" w:rsidRPr="007114AF" w:rsidRDefault="00CB4F2D" w:rsidP="00CB4F2D">
      <w:pPr>
        <w:pStyle w:val="TEKSTI"/>
      </w:pPr>
      <w:r w:rsidRPr="007114AF">
        <w:t>Përdorimi paralel i praktikave agropyjore.</w:t>
      </w:r>
    </w:p>
    <w:p w14:paraId="6EDD0D00" w14:textId="77777777" w:rsidR="00CB4F2D" w:rsidRPr="007114AF" w:rsidRDefault="00CB4F2D" w:rsidP="00CB4F2D">
      <w:pPr>
        <w:pStyle w:val="TEKSTI"/>
        <w:rPr>
          <w:b/>
          <w:bCs/>
          <w:i/>
          <w:iCs/>
        </w:rPr>
      </w:pPr>
      <w:r w:rsidRPr="007114AF">
        <w:rPr>
          <w:b/>
          <w:bCs/>
          <w:i/>
          <w:iCs/>
        </w:rPr>
        <w:t>Popullsia dhe vendbanimet</w:t>
      </w:r>
    </w:p>
    <w:p w14:paraId="6EDD0D01" w14:textId="77777777" w:rsidR="00CB4F2D" w:rsidRPr="007114AF" w:rsidRDefault="00CB4F2D" w:rsidP="00CB4F2D">
      <w:pPr>
        <w:pStyle w:val="TEKSTI"/>
        <w:rPr>
          <w:bCs/>
          <w:iCs/>
        </w:rPr>
      </w:pPr>
      <w:r w:rsidRPr="007114AF">
        <w:rPr>
          <w:bCs/>
          <w:iCs/>
        </w:rPr>
        <w:t>Përgatitja e një strategjie komunikimi për shpërndarjen e informacioneve për efektet e ndryshimeve klimatike, duke përfshirë rreziqet e lidhura me klimën, për të rritur ndërgjegjësimin e publikut;</w:t>
      </w:r>
    </w:p>
    <w:p w14:paraId="6EDD0D02" w14:textId="77777777" w:rsidR="00CB4F2D" w:rsidRPr="007114AF" w:rsidRDefault="00CB4F2D" w:rsidP="00CB4F2D">
      <w:pPr>
        <w:pStyle w:val="TEKSTI"/>
        <w:rPr>
          <w:bCs/>
          <w:iCs/>
        </w:rPr>
      </w:pPr>
      <w:r w:rsidRPr="007114AF">
        <w:rPr>
          <w:bCs/>
          <w:iCs/>
        </w:rPr>
        <w:t>Përfshirja e përshtatjes ndaj ndryshimeve klimatike në edukimin mjedisor;</w:t>
      </w:r>
    </w:p>
    <w:p w14:paraId="6EDD0D03" w14:textId="77777777" w:rsidR="00CB4F2D" w:rsidRPr="007114AF" w:rsidRDefault="00CB4F2D" w:rsidP="00CB4F2D">
      <w:pPr>
        <w:pStyle w:val="TEKSTI"/>
        <w:rPr>
          <w:bCs/>
          <w:iCs/>
        </w:rPr>
      </w:pPr>
      <w:r w:rsidRPr="007114AF">
        <w:rPr>
          <w:bCs/>
          <w:iCs/>
        </w:rPr>
        <w:t>Përmirësimi i kujdesit mjekësor, sidomos gjatë verës;</w:t>
      </w:r>
    </w:p>
    <w:p w14:paraId="6EDD0D04" w14:textId="77777777" w:rsidR="00CB4F2D" w:rsidRPr="007114AF" w:rsidRDefault="00CB4F2D" w:rsidP="00CB4F2D">
      <w:pPr>
        <w:pStyle w:val="TEKSTI"/>
        <w:rPr>
          <w:bCs/>
          <w:iCs/>
        </w:rPr>
      </w:pPr>
      <w:r w:rsidRPr="007114AF">
        <w:rPr>
          <w:bCs/>
          <w:iCs/>
        </w:rPr>
        <w:t>Propozimi i alternativave me kosto të ulët për mbrojtjen nga vapa;</w:t>
      </w:r>
    </w:p>
    <w:p w14:paraId="6EDD0D05" w14:textId="77777777" w:rsidR="00CB4F2D" w:rsidRPr="007114AF" w:rsidRDefault="00CB4F2D" w:rsidP="00CB4F2D">
      <w:pPr>
        <w:pStyle w:val="TEKSTI"/>
        <w:rPr>
          <w:bCs/>
          <w:iCs/>
        </w:rPr>
      </w:pPr>
      <w:r w:rsidRPr="007114AF">
        <w:rPr>
          <w:bCs/>
          <w:iCs/>
        </w:rPr>
        <w:t>Përdorimi racional i ujit dhe sigurimi i burimeve të reja ujore;</w:t>
      </w:r>
    </w:p>
    <w:p w14:paraId="6EDD0D06" w14:textId="77777777" w:rsidR="00CB4F2D" w:rsidRPr="007114AF" w:rsidRDefault="00CB4F2D" w:rsidP="00CB4F2D">
      <w:pPr>
        <w:pStyle w:val="TEKSTI"/>
        <w:rPr>
          <w:bCs/>
          <w:iCs/>
        </w:rPr>
      </w:pPr>
      <w:r w:rsidRPr="007114AF">
        <w:rPr>
          <w:bCs/>
          <w:iCs/>
        </w:rPr>
        <w:t>Fuqizimi dhe modernizimi i sistemit të largimit të ujërave të kripura, për të ndaluar depërtimin e tyre në brendësi të steresë dhe përzierjen me ujërat e ëmbla;</w:t>
      </w:r>
    </w:p>
    <w:p w14:paraId="6EDD0D07" w14:textId="77777777" w:rsidR="00CB4F2D" w:rsidRPr="007114AF" w:rsidRDefault="00CB4F2D" w:rsidP="00CB4F2D">
      <w:pPr>
        <w:pStyle w:val="TEKSTI"/>
        <w:rPr>
          <w:bCs/>
          <w:iCs/>
        </w:rPr>
      </w:pPr>
      <w:r w:rsidRPr="007114AF">
        <w:rPr>
          <w:bCs/>
          <w:iCs/>
        </w:rPr>
        <w:t>Edukimi i publikut për rritjen e rrezikut të zjarreve për shkak të ndryshimeve klimatike</w:t>
      </w:r>
    </w:p>
    <w:p w14:paraId="6EDD0D08" w14:textId="77777777" w:rsidR="00CB4F2D" w:rsidRPr="007114AF" w:rsidRDefault="00CB4F2D" w:rsidP="00CB4F2D">
      <w:pPr>
        <w:pStyle w:val="TEKSTI"/>
        <w:rPr>
          <w:b/>
          <w:bCs/>
          <w:i/>
          <w:iCs/>
        </w:rPr>
      </w:pPr>
      <w:r w:rsidRPr="007114AF">
        <w:rPr>
          <w:b/>
          <w:bCs/>
          <w:i/>
          <w:iCs/>
        </w:rPr>
        <w:t>Turizmi</w:t>
      </w:r>
    </w:p>
    <w:p w14:paraId="6EDD0D09" w14:textId="77777777" w:rsidR="00CB4F2D" w:rsidRPr="007114AF" w:rsidRDefault="00CB4F2D" w:rsidP="00CB4F2D">
      <w:pPr>
        <w:pStyle w:val="TEKSTI"/>
        <w:rPr>
          <w:bCs/>
          <w:iCs/>
        </w:rPr>
      </w:pPr>
      <w:r w:rsidRPr="007114AF">
        <w:rPr>
          <w:bCs/>
          <w:iCs/>
        </w:rPr>
        <w:t>Kontributi për përgatitjen e planeve nëpërmjet sigurimit të informacioneve për rrezikun e ndryshimeve klimatike dhe përshtatjen ndaj këtyre ndryshimeve;</w:t>
      </w:r>
    </w:p>
    <w:p w14:paraId="6EDD0D0A" w14:textId="702B65E6" w:rsidR="00CB4F2D" w:rsidRPr="007114AF" w:rsidRDefault="00CB4F2D" w:rsidP="00CB4F2D">
      <w:pPr>
        <w:pStyle w:val="TEKSTI"/>
        <w:rPr>
          <w:bCs/>
          <w:iCs/>
        </w:rPr>
      </w:pPr>
      <w:r w:rsidRPr="007114AF">
        <w:rPr>
          <w:bCs/>
          <w:iCs/>
        </w:rPr>
        <w:t>Përgatitja e faqeve</w:t>
      </w:r>
      <w:r w:rsidR="00AE5FB3">
        <w:rPr>
          <w:bCs/>
          <w:iCs/>
        </w:rPr>
        <w:t xml:space="preserve"> </w:t>
      </w:r>
      <w:r w:rsidRPr="007114AF">
        <w:rPr>
          <w:bCs/>
          <w:iCs/>
        </w:rPr>
        <w:t>në internet me informacione praktike mbi</w:t>
      </w:r>
      <w:r w:rsidR="000A2A01" w:rsidRPr="007114AF">
        <w:rPr>
          <w:bCs/>
          <w:iCs/>
        </w:rPr>
        <w:t xml:space="preserve"> </w:t>
      </w:r>
      <w:r w:rsidRPr="007114AF">
        <w:rPr>
          <w:bCs/>
          <w:iCs/>
        </w:rPr>
        <w:t>masat e përshtatëse;</w:t>
      </w:r>
    </w:p>
    <w:p w14:paraId="6EDD0D0B" w14:textId="77777777" w:rsidR="00CB4F2D" w:rsidRPr="007114AF" w:rsidRDefault="00CB4F2D" w:rsidP="00CB4F2D">
      <w:pPr>
        <w:pStyle w:val="TEKSTI"/>
        <w:rPr>
          <w:bCs/>
          <w:iCs/>
        </w:rPr>
      </w:pPr>
      <w:r w:rsidRPr="007114AF">
        <w:rPr>
          <w:bCs/>
          <w:iCs/>
        </w:rPr>
        <w:t>Zgjidhja e dobësive në gamën dhe cilësinë e produkteve turistike;</w:t>
      </w:r>
    </w:p>
    <w:p w14:paraId="6EDD0D0C" w14:textId="77777777" w:rsidR="00CB4F2D" w:rsidRPr="007114AF" w:rsidRDefault="00CB4F2D" w:rsidP="00CB4F2D">
      <w:pPr>
        <w:pStyle w:val="TEKSTI"/>
        <w:rPr>
          <w:bCs/>
          <w:iCs/>
        </w:rPr>
      </w:pPr>
      <w:r w:rsidRPr="007114AF">
        <w:rPr>
          <w:bCs/>
          <w:iCs/>
        </w:rPr>
        <w:t>Programe trajnimi për përshtatjen ndaj ndryshimeve klimatike;</w:t>
      </w:r>
    </w:p>
    <w:p w14:paraId="6EDD0D0D" w14:textId="77777777" w:rsidR="00CB4F2D" w:rsidRPr="007114AF" w:rsidRDefault="00CB4F2D" w:rsidP="00CB4F2D">
      <w:pPr>
        <w:pStyle w:val="TEKSTI"/>
        <w:rPr>
          <w:bCs/>
          <w:iCs/>
        </w:rPr>
      </w:pPr>
      <w:r w:rsidRPr="007114AF">
        <w:rPr>
          <w:bCs/>
          <w:iCs/>
        </w:rPr>
        <w:t>Marrja në konsideratë e ndryshimeve klimatike në vlerësimin e rrezikut të kredisë dhe financimit të projekteve.</w:t>
      </w:r>
    </w:p>
    <w:p w14:paraId="6EDD0D0E" w14:textId="77777777" w:rsidR="00CB4F2D" w:rsidRPr="007114AF" w:rsidRDefault="00CB4F2D" w:rsidP="00CB4F2D">
      <w:pPr>
        <w:pStyle w:val="TEKSTI"/>
        <w:rPr>
          <w:bCs/>
          <w:iCs/>
        </w:rPr>
      </w:pPr>
      <w:r w:rsidRPr="007114AF">
        <w:rPr>
          <w:bCs/>
          <w:iCs/>
        </w:rPr>
        <w:t>Një mekanizëm për vendosjen e prioriteteve ndërmjet masave të rekomanduara është zhvilluar në kuadër të Projektit GDDM-ë dhe është përmirësuar në kuadër të Komunikimit të Tretë Kombëtar (KTK). Për vendosjen e prioriteteve janë përcaktuar kategoritë e mëposhtme:</w:t>
      </w:r>
    </w:p>
    <w:p w14:paraId="6EDD0D0F" w14:textId="77777777" w:rsidR="00CB4F2D" w:rsidRPr="007114AF" w:rsidRDefault="00CB4F2D" w:rsidP="00CB4F2D">
      <w:pPr>
        <w:pStyle w:val="TEKSTI"/>
        <w:rPr>
          <w:bCs/>
          <w:iCs/>
        </w:rPr>
      </w:pPr>
      <w:r w:rsidRPr="007114AF">
        <w:rPr>
          <w:b/>
          <w:bCs/>
          <w:iCs/>
        </w:rPr>
        <w:t xml:space="preserve">E gjelbër: </w:t>
      </w:r>
      <w:r w:rsidRPr="007114AF">
        <w:rPr>
          <w:bCs/>
          <w:iCs/>
        </w:rPr>
        <w:t>masa që synojnë rritjen e aftësisë ripërtëritëse të ekosistemeve dhe shërbimeve të tyre (përshtatja me bazë ekosistemin).</w:t>
      </w:r>
    </w:p>
    <w:p w14:paraId="6EDD0D10" w14:textId="77777777" w:rsidR="00CB4F2D" w:rsidRPr="007114AF" w:rsidRDefault="00CB4F2D" w:rsidP="00CB4F2D">
      <w:pPr>
        <w:pStyle w:val="TEKSTI"/>
        <w:rPr>
          <w:bCs/>
          <w:iCs/>
        </w:rPr>
      </w:pPr>
      <w:r w:rsidRPr="007114AF">
        <w:rPr>
          <w:b/>
          <w:bCs/>
          <w:iCs/>
        </w:rPr>
        <w:t xml:space="preserve">E përhirtë: </w:t>
      </w:r>
      <w:bookmarkStart w:id="186" w:name="OLE_LINK11"/>
      <w:r w:rsidRPr="007114AF">
        <w:rPr>
          <w:bCs/>
          <w:iCs/>
        </w:rPr>
        <w:t>masa teknike dhe ndërtimore invazive dhe/ose energjetikisht intensive që synojnë kryesisht mbrojtjen e infrastrukturave dhe të njerëzve (CBA dhe/ose inxhinierike).</w:t>
      </w:r>
      <w:bookmarkEnd w:id="186"/>
    </w:p>
    <w:p w14:paraId="6EDD0D11" w14:textId="4296527F" w:rsidR="00CB4F2D" w:rsidRPr="007114AF" w:rsidRDefault="00CB4F2D" w:rsidP="00CB4F2D">
      <w:pPr>
        <w:pStyle w:val="TEKSTI"/>
        <w:rPr>
          <w:bCs/>
          <w:iCs/>
        </w:rPr>
      </w:pPr>
      <w:r w:rsidRPr="007114AF">
        <w:rPr>
          <w:b/>
          <w:bCs/>
          <w:iCs/>
        </w:rPr>
        <w:t>E butë</w:t>
      </w:r>
      <w:r w:rsidR="00191838" w:rsidRPr="007114AF">
        <w:rPr>
          <w:b/>
          <w:bCs/>
          <w:iCs/>
        </w:rPr>
        <w:t>:</w:t>
      </w:r>
      <w:r w:rsidRPr="007114AF">
        <w:rPr>
          <w:b/>
          <w:bCs/>
          <w:iCs/>
        </w:rPr>
        <w:t xml:space="preserve"> </w:t>
      </w:r>
      <w:r w:rsidRPr="007114AF">
        <w:rPr>
          <w:bCs/>
          <w:iCs/>
        </w:rPr>
        <w:t>masa joinvazive të rregullimit hapësinor të territorit dhe masa për rritjen e transferimit të njohurive/ngritjes së kapacitetit përshtatës.</w:t>
      </w:r>
    </w:p>
    <w:p w14:paraId="6EDD0D12" w14:textId="0FD8185D" w:rsidR="00CB4F2D" w:rsidRPr="007114AF" w:rsidRDefault="00CB4F2D" w:rsidP="00CB4F2D">
      <w:pPr>
        <w:pStyle w:val="TEKSTI"/>
        <w:rPr>
          <w:bCs/>
          <w:iCs/>
        </w:rPr>
      </w:pPr>
      <w:r w:rsidRPr="007114AF">
        <w:rPr>
          <w:b/>
          <w:bCs/>
          <w:iCs/>
        </w:rPr>
        <w:t xml:space="preserve">Fiskale: </w:t>
      </w:r>
      <w:r w:rsidRPr="007114AF">
        <w:rPr>
          <w:bCs/>
          <w:iCs/>
        </w:rPr>
        <w:t>synojnë ruajtjen e burimeve kritike/mbrojtjen e vlerave nëpërmjet përshtatjes (për shembull, infrastrukturat ujore ose publike/private), përmes zbatimit të masave, të tilla si skemat e Pagesave për</w:t>
      </w:r>
      <w:r w:rsidR="00AE5FB3">
        <w:rPr>
          <w:bCs/>
          <w:iCs/>
        </w:rPr>
        <w:t xml:space="preserve"> </w:t>
      </w:r>
      <w:r w:rsidRPr="007114AF">
        <w:rPr>
          <w:bCs/>
          <w:iCs/>
        </w:rPr>
        <w:t>Shërbimet Mjedisore (PSHM) ose përmes mekanizmave të transferimit të rrezikut (p.sh. siguracionet).</w:t>
      </w:r>
    </w:p>
    <w:p w14:paraId="6EDD0D13" w14:textId="77777777" w:rsidR="00CB4F2D" w:rsidRPr="007114AF" w:rsidRDefault="00CB4F2D" w:rsidP="00CB4F2D">
      <w:pPr>
        <w:pStyle w:val="TEKSTI"/>
        <w:rPr>
          <w:b/>
          <w:bCs/>
        </w:rPr>
      </w:pPr>
      <w:bookmarkStart w:id="187" w:name="_Toc470186711"/>
      <w:bookmarkStart w:id="188" w:name="_Toc479083871"/>
      <w:r w:rsidRPr="007114AF">
        <w:rPr>
          <w:b/>
          <w:bCs/>
        </w:rPr>
        <w:t>Arsyetimi për Veprimet Prioritare</w:t>
      </w:r>
      <w:bookmarkEnd w:id="187"/>
    </w:p>
    <w:bookmarkEnd w:id="188"/>
    <w:p w14:paraId="6EDD0D14" w14:textId="41E5024A" w:rsidR="00CB4F2D" w:rsidRPr="007114AF" w:rsidRDefault="00CB4F2D" w:rsidP="00CB4F2D">
      <w:pPr>
        <w:pStyle w:val="TEKSTI"/>
        <w:rPr>
          <w:bCs/>
          <w:iCs/>
        </w:rPr>
      </w:pPr>
      <w:r w:rsidRPr="007114AF">
        <w:rPr>
          <w:bCs/>
          <w:iCs/>
        </w:rPr>
        <w:t xml:space="preserve">NAP-i mund të kuptohet si një dokument </w:t>
      </w:r>
      <w:r w:rsidR="000A2A01" w:rsidRPr="007114AF">
        <w:rPr>
          <w:bCs/>
          <w:iCs/>
        </w:rPr>
        <w:t>“</w:t>
      </w:r>
      <w:r w:rsidRPr="007114AF">
        <w:rPr>
          <w:bCs/>
          <w:iCs/>
        </w:rPr>
        <w:t>ombrellë</w:t>
      </w:r>
      <w:r w:rsidR="000A2A01" w:rsidRPr="007114AF">
        <w:rPr>
          <w:bCs/>
          <w:iCs/>
        </w:rPr>
        <w:t>”</w:t>
      </w:r>
      <w:r w:rsidRPr="007114AF">
        <w:rPr>
          <w:bCs/>
          <w:iCs/>
        </w:rPr>
        <w:t xml:space="preserve"> dhe jo si një plan operativ i hollësishëm që përcakton të gjitha veprimet e nevojshme për një proces të suksesshëm përshtatjeje në vend. Argumentimi për këtë parim vjen nga njohuria se veprimet e përshtatjes duhet të integrohen në planet dhe politikat e ndryshme sektoriale dhe të zhvillimit në vend dhe duhet të përcaktohen në kuadër të tyre. Një tjetër arsye për qasjen </w:t>
      </w:r>
      <w:r w:rsidR="000A2A01" w:rsidRPr="007114AF">
        <w:rPr>
          <w:bCs/>
          <w:iCs/>
        </w:rPr>
        <w:t>“</w:t>
      </w:r>
      <w:r w:rsidRPr="007114AF">
        <w:rPr>
          <w:bCs/>
          <w:iCs/>
        </w:rPr>
        <w:t>ombrellë</w:t>
      </w:r>
      <w:r w:rsidR="000A2A01" w:rsidRPr="007114AF">
        <w:rPr>
          <w:bCs/>
          <w:iCs/>
        </w:rPr>
        <w:t>”</w:t>
      </w:r>
      <w:r w:rsidRPr="007114AF">
        <w:rPr>
          <w:bCs/>
          <w:iCs/>
        </w:rPr>
        <w:t xml:space="preserve"> është se ka tashmë disa korniza konceptuale dhe elemente planifikuese të cilat duhet të plotësohen, por jo të zëvendësohen.</w:t>
      </w:r>
    </w:p>
    <w:p w14:paraId="6EDD0D15" w14:textId="74CE8E9E" w:rsidR="00CB4F2D" w:rsidRPr="007114AF" w:rsidRDefault="000A2A01" w:rsidP="00CB4F2D">
      <w:pPr>
        <w:pStyle w:val="TEKSTI"/>
        <w:rPr>
          <w:bCs/>
          <w:iCs/>
        </w:rPr>
      </w:pPr>
      <w:r w:rsidRPr="007114AF">
        <w:rPr>
          <w:bCs/>
          <w:iCs/>
        </w:rPr>
        <w:t>“</w:t>
      </w:r>
      <w:r w:rsidR="00CB4F2D" w:rsidRPr="007114AF">
        <w:rPr>
          <w:bCs/>
          <w:iCs/>
        </w:rPr>
        <w:t>Pjesa operative</w:t>
      </w:r>
      <w:r w:rsidRPr="007114AF">
        <w:rPr>
          <w:bCs/>
          <w:iCs/>
        </w:rPr>
        <w:t>”</w:t>
      </w:r>
      <w:r w:rsidR="00CB4F2D" w:rsidRPr="007114AF">
        <w:rPr>
          <w:bCs/>
          <w:iCs/>
        </w:rPr>
        <w:t xml:space="preserve"> e dokumentit të NAP-it nuk shkon përtej të ashtuquajturave veprime prioritare me funksione strategjike dhe funksione levë (të ashtuquajtura </w:t>
      </w:r>
      <w:r w:rsidRPr="007114AF">
        <w:rPr>
          <w:bCs/>
          <w:iCs/>
        </w:rPr>
        <w:t>“</w:t>
      </w:r>
      <w:r w:rsidR="00CB4F2D" w:rsidRPr="007114AF">
        <w:rPr>
          <w:bCs/>
          <w:iCs/>
        </w:rPr>
        <w:t>projekte ombrellë</w:t>
      </w:r>
      <w:r w:rsidRPr="007114AF">
        <w:rPr>
          <w:bCs/>
          <w:iCs/>
        </w:rPr>
        <w:t>”</w:t>
      </w:r>
      <w:r w:rsidR="00CB4F2D" w:rsidRPr="007114AF">
        <w:rPr>
          <w:bCs/>
          <w:iCs/>
        </w:rPr>
        <w:t>) dhe veprimeve sektoriale me prioritet të lartë, për të cilat qeveria shqiptare merr një vendim konkret për zbatim. Rekomandohet që këto të jenë të kufizuara në numër dhe të zbatohen me përfshirjen e të gjitha palëve përkatëse të interesit. Në tabelën e mëposhtme jepet një paketë me 15 veprime prioritare, për të cilat është rënë dakord gjatë mbledhjes së Grupit Ndërministror të Punës, më 8 shtator 2015.</w:t>
      </w:r>
    </w:p>
    <w:p w14:paraId="6EDD0D16" w14:textId="77777777" w:rsidR="00CB4F2D" w:rsidRPr="007114AF" w:rsidRDefault="00CB4F2D" w:rsidP="00CB4F2D">
      <w:pPr>
        <w:pStyle w:val="TEKSTI"/>
        <w:rPr>
          <w:bCs/>
          <w:iCs/>
        </w:rPr>
      </w:pPr>
      <w:r w:rsidRPr="007114AF">
        <w:rPr>
          <w:bCs/>
          <w:iCs/>
        </w:rPr>
        <w:t>Lista e veprimeve prioritare ndahet në dy rubrika:</w:t>
      </w:r>
    </w:p>
    <w:p w14:paraId="6EDD0D17" w14:textId="3BC9FCE2" w:rsidR="00CB4F2D" w:rsidRPr="007114AF" w:rsidRDefault="00CB4F2D" w:rsidP="00CB4F2D">
      <w:pPr>
        <w:pStyle w:val="TEKSTI"/>
        <w:rPr>
          <w:bCs/>
          <w:iCs/>
        </w:rPr>
      </w:pPr>
      <w:r w:rsidRPr="007114AF">
        <w:rPr>
          <w:bCs/>
          <w:iCs/>
        </w:rPr>
        <w:t xml:space="preserve">Veprimet gjithëpërfshirëse, në pjesën e parë do ta orientojnë dhe mbështetin procesin e NAP-itdhe pas miratimit të dokumentit do të kuptohen si </w:t>
      </w:r>
      <w:r w:rsidR="000A2A01" w:rsidRPr="007114AF">
        <w:rPr>
          <w:bCs/>
          <w:iCs/>
        </w:rPr>
        <w:t>“</w:t>
      </w:r>
      <w:r w:rsidRPr="007114AF">
        <w:rPr>
          <w:bCs/>
          <w:iCs/>
        </w:rPr>
        <w:t>kuadri zbatues</w:t>
      </w:r>
      <w:r w:rsidR="000A2A01" w:rsidRPr="007114AF">
        <w:rPr>
          <w:bCs/>
          <w:iCs/>
        </w:rPr>
        <w:t>”</w:t>
      </w:r>
      <w:r w:rsidRPr="007114AF">
        <w:rPr>
          <w:bCs/>
          <w:iCs/>
        </w:rPr>
        <w:t xml:space="preserve"> i procesit.</w:t>
      </w:r>
    </w:p>
    <w:p w14:paraId="6EDD0D18" w14:textId="77777777" w:rsidR="00CB4F2D" w:rsidRPr="007114AF" w:rsidRDefault="00CB4F2D" w:rsidP="00CB4F2D">
      <w:pPr>
        <w:pStyle w:val="TEKSTI"/>
        <w:rPr>
          <w:bCs/>
          <w:iCs/>
        </w:rPr>
      </w:pPr>
      <w:r w:rsidRPr="007114AF">
        <w:rPr>
          <w:bCs/>
          <w:iCs/>
        </w:rPr>
        <w:t xml:space="preserve">Veprimet prioritare sektoriale dhe ndërsektoriale tematike, limitohen vetëm në zonat e veprimit, të cilat sigurojnë lidhje strategjike për procesin e NAP-it në total. </w:t>
      </w:r>
    </w:p>
    <w:p w14:paraId="6EDD0D19" w14:textId="77777777" w:rsidR="00CB4F2D" w:rsidRPr="007114AF" w:rsidRDefault="00CB4F2D" w:rsidP="00CB4F2D">
      <w:pPr>
        <w:pStyle w:val="TEKSTI"/>
        <w:rPr>
          <w:bCs/>
          <w:iCs/>
        </w:rPr>
      </w:pPr>
      <w:r w:rsidRPr="007114AF">
        <w:rPr>
          <w:bCs/>
          <w:iCs/>
        </w:rPr>
        <w:t>Çdo veprim prioritar është përgatitur bashkërisht me anëtarët e grupit punës ndërministror, sipas një formati të standardizuar, i cili përfshin:</w:t>
      </w:r>
    </w:p>
    <w:p w14:paraId="6EDD0D1A" w14:textId="77777777" w:rsidR="00CB4F2D" w:rsidRPr="007114AF" w:rsidRDefault="00A45C8C" w:rsidP="00CB4F2D">
      <w:pPr>
        <w:pStyle w:val="TEKSTI"/>
      </w:pPr>
      <w:r w:rsidRPr="007114AF">
        <w:t xml:space="preserve">- </w:t>
      </w:r>
      <w:r w:rsidR="00CB4F2D" w:rsidRPr="007114AF">
        <w:t>Situatën ekzistuese mbi të cilën mbështetet veprimi prioritar. Këtu shpjegohet kryesisht vlera e shtuar që rrjedh nga veprimi prioritar.</w:t>
      </w:r>
    </w:p>
    <w:p w14:paraId="6EDD0D1B" w14:textId="2C0B4814" w:rsidR="00CB4F2D" w:rsidRPr="007114AF" w:rsidRDefault="00A45C8C" w:rsidP="00CB4F2D">
      <w:pPr>
        <w:pStyle w:val="TEKSTI"/>
      </w:pPr>
      <w:r w:rsidRPr="007114AF">
        <w:t xml:space="preserve">- </w:t>
      </w:r>
      <w:r w:rsidR="00CB4F2D" w:rsidRPr="007114AF">
        <w:t>Arsyetimin, objektivat dhe treguesit e veprimit prioritar</w:t>
      </w:r>
      <w:r w:rsidR="000A2A01" w:rsidRPr="007114AF">
        <w:t xml:space="preserve"> </w:t>
      </w:r>
      <w:r w:rsidR="00CB4F2D" w:rsidRPr="007114AF">
        <w:t>janë të vlefshëm për drejtimin e</w:t>
      </w:r>
      <w:r w:rsidR="000A2A01" w:rsidRPr="007114AF">
        <w:t xml:space="preserve"> </w:t>
      </w:r>
      <w:r w:rsidR="00CB4F2D" w:rsidRPr="007114AF">
        <w:t>e procesit të ardhshëm të NAP-it, përfshirë këtu edhe zbatimin e veprimeve prioritare.</w:t>
      </w:r>
    </w:p>
    <w:p w14:paraId="6EDD0D1C" w14:textId="77777777" w:rsidR="00CB4F2D" w:rsidRPr="007114AF" w:rsidRDefault="00A45C8C" w:rsidP="00CB4F2D">
      <w:pPr>
        <w:pStyle w:val="TEKSTI"/>
      </w:pPr>
      <w:r w:rsidRPr="007114AF">
        <w:t xml:space="preserve">- </w:t>
      </w:r>
      <w:r w:rsidR="00CB4F2D" w:rsidRPr="007114AF">
        <w:t>Elementet dhe afatet me rëndësi të veprimit prioritar, të cilët janë të rëndësishëm për vënien në eficiencë. Për disa veprime prioritare këto duhen konkretizuar më tej në kuadër të zbatimit. Afati për zbatimin e shumicës së veprimeve shkon nga tre deri në pesë vjet.</w:t>
      </w:r>
    </w:p>
    <w:p w14:paraId="6EDD0D1D" w14:textId="77777777" w:rsidR="00CB4F2D" w:rsidRPr="007114AF" w:rsidRDefault="00A45C8C" w:rsidP="00CB4F2D">
      <w:pPr>
        <w:pStyle w:val="TEKSTI"/>
      </w:pPr>
      <w:r w:rsidRPr="007114AF">
        <w:t xml:space="preserve">- </w:t>
      </w:r>
      <w:r w:rsidR="00CB4F2D" w:rsidRPr="007114AF">
        <w:t>Aktorët kryesorë të përfshirë, specifikohen në lidhje me institucionin përgjegjës udhëheqës dhe institucioneve që do të përfshihen në zbatim.</w:t>
      </w:r>
    </w:p>
    <w:p w14:paraId="6EDD0D1E" w14:textId="477FE099" w:rsidR="00CB4F2D" w:rsidRPr="007114AF" w:rsidRDefault="00A45C8C" w:rsidP="00CB4F2D">
      <w:pPr>
        <w:pStyle w:val="TEKSTI"/>
      </w:pPr>
      <w:r w:rsidRPr="007114AF">
        <w:t xml:space="preserve">- </w:t>
      </w:r>
      <w:r w:rsidR="00CB4F2D" w:rsidRPr="007114AF">
        <w:t>Burimet e nevojshme për zbatimin, që mund të jenë fonde, personel, ekspertizë dhe mbështetje e jashtme. Sigurimi i burimeve të nevojshme është me rëndësi kryesore</w:t>
      </w:r>
      <w:r w:rsidR="00AE5FB3">
        <w:t xml:space="preserve"> </w:t>
      </w:r>
      <w:r w:rsidR="00CB4F2D" w:rsidRPr="007114AF">
        <w:t>për të siguruar zbatimin</w:t>
      </w:r>
    </w:p>
    <w:p w14:paraId="6EDD0D1F" w14:textId="77777777" w:rsidR="00011E79" w:rsidRPr="007114AF" w:rsidRDefault="00011E79" w:rsidP="00011E79">
      <w:pPr>
        <w:pStyle w:val="FIGURA"/>
      </w:pPr>
      <w:bookmarkStart w:id="189" w:name="_Toc484424532"/>
    </w:p>
    <w:p w14:paraId="6EDD0D20" w14:textId="77777777" w:rsidR="00A45C8C" w:rsidRPr="007114AF" w:rsidRDefault="00A45C8C" w:rsidP="00011E79">
      <w:pPr>
        <w:pStyle w:val="FIGURA"/>
      </w:pPr>
    </w:p>
    <w:p w14:paraId="6EDD0D21" w14:textId="77777777" w:rsidR="00A45C8C" w:rsidRPr="007114AF" w:rsidRDefault="00A45C8C" w:rsidP="00011E79">
      <w:pPr>
        <w:pStyle w:val="FIGURA"/>
      </w:pPr>
    </w:p>
    <w:p w14:paraId="6EDD0D22" w14:textId="77777777" w:rsidR="00011E79" w:rsidRPr="007114AF" w:rsidRDefault="00011E79" w:rsidP="00011E79">
      <w:pPr>
        <w:pStyle w:val="FIGURA"/>
      </w:pPr>
      <w:r w:rsidRPr="007114AF">
        <w:t>6.1 Lista e masave të përcaktuara si Veprime Prioritare</w:t>
      </w:r>
      <w:bookmarkEnd w:id="189"/>
    </w:p>
    <w:p w14:paraId="6EDD0D23" w14:textId="77777777" w:rsidR="00CB4F2D" w:rsidRPr="007114AF" w:rsidRDefault="00CB4F2D" w:rsidP="00CB4F2D">
      <w:pPr>
        <w:pStyle w:val="TEKSTI"/>
      </w:pPr>
    </w:p>
    <w:tbl>
      <w:tblPr>
        <w:tblpPr w:leftFromText="180" w:rightFromText="180" w:vertAnchor="text" w:horzAnchor="margin" w:tblpY="59"/>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2340"/>
        <w:gridCol w:w="3874"/>
        <w:gridCol w:w="1796"/>
      </w:tblGrid>
      <w:tr w:rsidR="001C467C" w:rsidRPr="007114AF" w14:paraId="6EDD0D28" w14:textId="77777777" w:rsidTr="001C467C">
        <w:tc>
          <w:tcPr>
            <w:tcW w:w="1728" w:type="dxa"/>
            <w:shd w:val="clear" w:color="auto" w:fill="9CC2E5"/>
          </w:tcPr>
          <w:p w14:paraId="6EDD0D24" w14:textId="77777777" w:rsidR="001C467C" w:rsidRPr="007114AF" w:rsidRDefault="001C467C" w:rsidP="001C467C">
            <w:pPr>
              <w:spacing w:after="0" w:line="240" w:lineRule="auto"/>
              <w:rPr>
                <w:rFonts w:ascii="Garamond" w:hAnsi="Garamond"/>
                <w:b/>
                <w:bCs/>
                <w:iCs/>
                <w:sz w:val="18"/>
                <w:szCs w:val="18"/>
              </w:rPr>
            </w:pPr>
            <w:r w:rsidRPr="007114AF">
              <w:rPr>
                <w:rFonts w:ascii="Garamond" w:hAnsi="Garamond"/>
                <w:b/>
                <w:bCs/>
                <w:iCs/>
                <w:sz w:val="18"/>
                <w:szCs w:val="18"/>
              </w:rPr>
              <w:t>Fusha tematike</w:t>
            </w:r>
          </w:p>
        </w:tc>
        <w:tc>
          <w:tcPr>
            <w:tcW w:w="2340" w:type="dxa"/>
            <w:shd w:val="clear" w:color="auto" w:fill="9CC2E5"/>
          </w:tcPr>
          <w:p w14:paraId="6EDD0D25" w14:textId="77777777" w:rsidR="001C467C" w:rsidRPr="007114AF" w:rsidRDefault="001C467C" w:rsidP="001C467C">
            <w:pPr>
              <w:spacing w:after="0" w:line="240" w:lineRule="auto"/>
              <w:rPr>
                <w:rFonts w:ascii="Garamond" w:hAnsi="Garamond"/>
                <w:b/>
                <w:bCs/>
                <w:iCs/>
                <w:sz w:val="18"/>
                <w:szCs w:val="18"/>
              </w:rPr>
            </w:pPr>
            <w:r w:rsidRPr="007114AF">
              <w:rPr>
                <w:rFonts w:ascii="Garamond" w:hAnsi="Garamond"/>
                <w:b/>
                <w:bCs/>
                <w:iCs/>
                <w:sz w:val="18"/>
                <w:szCs w:val="18"/>
              </w:rPr>
              <w:t>Arsyetimi / objektivat kryesorë</w:t>
            </w:r>
          </w:p>
        </w:tc>
        <w:tc>
          <w:tcPr>
            <w:tcW w:w="3874" w:type="dxa"/>
            <w:shd w:val="clear" w:color="auto" w:fill="9CC2E5"/>
          </w:tcPr>
          <w:p w14:paraId="6EDD0D26" w14:textId="77777777" w:rsidR="001C467C" w:rsidRPr="007114AF" w:rsidRDefault="001C467C" w:rsidP="001C467C">
            <w:pPr>
              <w:spacing w:after="0" w:line="240" w:lineRule="auto"/>
              <w:rPr>
                <w:rFonts w:ascii="Garamond" w:hAnsi="Garamond"/>
                <w:b/>
                <w:bCs/>
                <w:iCs/>
                <w:sz w:val="18"/>
                <w:szCs w:val="18"/>
              </w:rPr>
            </w:pPr>
            <w:r w:rsidRPr="007114AF">
              <w:rPr>
                <w:rFonts w:ascii="Garamond" w:hAnsi="Garamond"/>
                <w:b/>
                <w:bCs/>
                <w:iCs/>
                <w:sz w:val="18"/>
                <w:szCs w:val="18"/>
              </w:rPr>
              <w:t>Elementet kryesore të mundshme</w:t>
            </w:r>
          </w:p>
        </w:tc>
        <w:tc>
          <w:tcPr>
            <w:tcW w:w="1796" w:type="dxa"/>
            <w:shd w:val="clear" w:color="auto" w:fill="9CC2E5"/>
          </w:tcPr>
          <w:p w14:paraId="6EDD0D27" w14:textId="77777777" w:rsidR="001C467C" w:rsidRPr="007114AF" w:rsidRDefault="001C467C" w:rsidP="001C467C">
            <w:pPr>
              <w:spacing w:after="0" w:line="240" w:lineRule="auto"/>
              <w:rPr>
                <w:rFonts w:ascii="Garamond" w:hAnsi="Garamond"/>
                <w:b/>
                <w:bCs/>
                <w:iCs/>
                <w:sz w:val="18"/>
                <w:szCs w:val="18"/>
              </w:rPr>
            </w:pPr>
            <w:r w:rsidRPr="007114AF">
              <w:rPr>
                <w:rFonts w:ascii="Garamond" w:hAnsi="Garamond"/>
                <w:b/>
                <w:bCs/>
                <w:iCs/>
                <w:sz w:val="18"/>
                <w:szCs w:val="18"/>
              </w:rPr>
              <w:t>Aktorët përgjegjës</w:t>
            </w:r>
          </w:p>
        </w:tc>
      </w:tr>
      <w:tr w:rsidR="001C467C" w:rsidRPr="007114AF" w14:paraId="6EDD0D2A" w14:textId="77777777" w:rsidTr="001C467C">
        <w:tc>
          <w:tcPr>
            <w:tcW w:w="9738" w:type="dxa"/>
            <w:gridSpan w:val="4"/>
            <w:shd w:val="clear" w:color="auto" w:fill="BDD6EE"/>
          </w:tcPr>
          <w:p w14:paraId="6EDD0D29" w14:textId="77777777" w:rsidR="001C467C" w:rsidRPr="007114AF" w:rsidRDefault="001C467C" w:rsidP="001C467C">
            <w:pPr>
              <w:spacing w:after="0" w:line="240" w:lineRule="auto"/>
              <w:rPr>
                <w:rFonts w:ascii="Garamond" w:hAnsi="Garamond"/>
                <w:b/>
                <w:bCs/>
                <w:iCs/>
                <w:sz w:val="18"/>
                <w:szCs w:val="18"/>
              </w:rPr>
            </w:pPr>
            <w:r w:rsidRPr="007114AF">
              <w:rPr>
                <w:rFonts w:ascii="Garamond" w:hAnsi="Garamond"/>
                <w:b/>
                <w:bCs/>
                <w:iCs/>
                <w:sz w:val="18"/>
                <w:szCs w:val="18"/>
              </w:rPr>
              <w:t>Veprime gjithëpërfshirëse / kuadri zbatues</w:t>
            </w:r>
          </w:p>
        </w:tc>
      </w:tr>
      <w:tr w:rsidR="001C467C" w:rsidRPr="007114AF" w14:paraId="6EDD0D36" w14:textId="77777777" w:rsidTr="001C467C">
        <w:tc>
          <w:tcPr>
            <w:tcW w:w="1728" w:type="dxa"/>
            <w:shd w:val="clear" w:color="auto" w:fill="auto"/>
          </w:tcPr>
          <w:p w14:paraId="6EDD0D2B" w14:textId="24EB49FB"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1: Drejtimi i procesit të përshtatjes në Shqipëri</w:t>
            </w:r>
          </w:p>
        </w:tc>
        <w:tc>
          <w:tcPr>
            <w:tcW w:w="2340" w:type="dxa"/>
            <w:shd w:val="clear" w:color="auto" w:fill="auto"/>
          </w:tcPr>
          <w:p w14:paraId="6EDD0D2C" w14:textId="5F588DA6" w:rsidR="001C467C" w:rsidRPr="007114AF" w:rsidRDefault="001C467C" w:rsidP="00037830">
            <w:pPr>
              <w:numPr>
                <w:ilvl w:val="0"/>
                <w:numId w:val="54"/>
              </w:numPr>
              <w:spacing w:after="0" w:line="240" w:lineRule="auto"/>
              <w:ind w:left="0" w:firstLine="0"/>
              <w:rPr>
                <w:rFonts w:ascii="Garamond" w:hAnsi="Garamond"/>
                <w:sz w:val="18"/>
                <w:szCs w:val="18"/>
              </w:rPr>
            </w:pPr>
            <w:r w:rsidRPr="007114AF">
              <w:rPr>
                <w:rFonts w:ascii="Garamond" w:hAnsi="Garamond"/>
                <w:bCs/>
                <w:iCs/>
                <w:sz w:val="18"/>
                <w:szCs w:val="18"/>
              </w:rPr>
              <w:t>Sigurimi i natyrës si proces të NAP-it edhe pas miratimit të dokumentit</w:t>
            </w:r>
            <w:r w:rsidR="00191838" w:rsidRPr="007114AF">
              <w:rPr>
                <w:rFonts w:ascii="Garamond" w:hAnsi="Garamond"/>
                <w:bCs/>
                <w:iCs/>
                <w:sz w:val="18"/>
                <w:szCs w:val="18"/>
              </w:rPr>
              <w:t>.</w:t>
            </w:r>
          </w:p>
          <w:p w14:paraId="6EDD0D2D" w14:textId="77777777" w:rsidR="001C467C" w:rsidRPr="007114AF" w:rsidRDefault="001C467C" w:rsidP="00037830">
            <w:pPr>
              <w:numPr>
                <w:ilvl w:val="0"/>
                <w:numId w:val="54"/>
              </w:numPr>
              <w:spacing w:after="0" w:line="240" w:lineRule="auto"/>
              <w:ind w:left="0" w:firstLine="0"/>
              <w:rPr>
                <w:rFonts w:ascii="Garamond" w:hAnsi="Garamond"/>
                <w:bCs/>
                <w:iCs/>
                <w:sz w:val="18"/>
                <w:szCs w:val="18"/>
              </w:rPr>
            </w:pPr>
            <w:r w:rsidRPr="007114AF">
              <w:rPr>
                <w:rFonts w:ascii="Garamond" w:hAnsi="Garamond"/>
                <w:bCs/>
                <w:iCs/>
                <w:sz w:val="18"/>
                <w:szCs w:val="18"/>
              </w:rPr>
              <w:t>Sigurimi i zbatimit të masave të parashikuara në dokumentin e NAP-it.</w:t>
            </w:r>
          </w:p>
          <w:p w14:paraId="6EDD0D2E" w14:textId="77777777" w:rsidR="001C467C" w:rsidRPr="007114AF" w:rsidRDefault="001C467C" w:rsidP="00037830">
            <w:pPr>
              <w:numPr>
                <w:ilvl w:val="0"/>
                <w:numId w:val="54"/>
              </w:numPr>
              <w:spacing w:after="0" w:line="240" w:lineRule="auto"/>
              <w:ind w:left="0" w:firstLine="0"/>
              <w:rPr>
                <w:rFonts w:ascii="Garamond" w:hAnsi="Garamond"/>
                <w:sz w:val="18"/>
                <w:szCs w:val="18"/>
              </w:rPr>
            </w:pPr>
            <w:r w:rsidRPr="007114AF">
              <w:rPr>
                <w:rFonts w:ascii="Garamond" w:hAnsi="Garamond"/>
                <w:bCs/>
                <w:iCs/>
                <w:sz w:val="18"/>
                <w:szCs w:val="18"/>
              </w:rPr>
              <w:t>Sigurimi i korrigjimeve të nevojshme të procesit të NAP-it në bazë të përvojave.</w:t>
            </w:r>
          </w:p>
        </w:tc>
        <w:tc>
          <w:tcPr>
            <w:tcW w:w="3874" w:type="dxa"/>
            <w:shd w:val="clear" w:color="auto" w:fill="auto"/>
          </w:tcPr>
          <w:p w14:paraId="6EDD0D2F" w14:textId="7BD661C6" w:rsidR="001C467C" w:rsidRPr="007114AF" w:rsidRDefault="001C467C" w:rsidP="00037830">
            <w:pPr>
              <w:numPr>
                <w:ilvl w:val="0"/>
                <w:numId w:val="14"/>
              </w:numPr>
              <w:spacing w:after="0" w:line="240" w:lineRule="auto"/>
              <w:ind w:left="0" w:firstLine="0"/>
              <w:rPr>
                <w:rFonts w:ascii="Garamond" w:hAnsi="Garamond"/>
                <w:sz w:val="18"/>
                <w:szCs w:val="18"/>
              </w:rPr>
            </w:pPr>
            <w:r w:rsidRPr="007114AF">
              <w:rPr>
                <w:rFonts w:ascii="Garamond" w:hAnsi="Garamond"/>
                <w:bCs/>
                <w:iCs/>
                <w:sz w:val="18"/>
                <w:szCs w:val="18"/>
              </w:rPr>
              <w:t>T</w:t>
            </w:r>
            <w:r w:rsidR="00D10DAB" w:rsidRPr="007114AF">
              <w:rPr>
                <w:rFonts w:ascii="Garamond" w:hAnsi="Garamond"/>
                <w:bCs/>
                <w:iCs/>
                <w:sz w:val="18"/>
                <w:szCs w:val="18"/>
              </w:rPr>
              <w:t>’</w:t>
            </w:r>
            <w:r w:rsidRPr="007114AF">
              <w:rPr>
                <w:rFonts w:ascii="Garamond" w:hAnsi="Garamond"/>
                <w:bCs/>
                <w:iCs/>
                <w:sz w:val="18"/>
                <w:szCs w:val="18"/>
              </w:rPr>
              <w:t>i jepen kompetencat ministrisë përgjegjëse për ndryshimet klimatike, Ministrisë së Turizmit dhe Mjedisit.</w:t>
            </w:r>
          </w:p>
          <w:p w14:paraId="6EDD0D30" w14:textId="77777777" w:rsidR="001C467C" w:rsidRPr="007114AF" w:rsidRDefault="001C467C" w:rsidP="00037830">
            <w:pPr>
              <w:numPr>
                <w:ilvl w:val="0"/>
                <w:numId w:val="14"/>
              </w:numPr>
              <w:spacing w:after="0" w:line="240" w:lineRule="auto"/>
              <w:ind w:left="0" w:firstLine="0"/>
              <w:rPr>
                <w:rFonts w:ascii="Garamond" w:hAnsi="Garamond"/>
                <w:sz w:val="18"/>
                <w:szCs w:val="18"/>
              </w:rPr>
            </w:pPr>
            <w:r w:rsidRPr="007114AF">
              <w:rPr>
                <w:rFonts w:ascii="Garamond" w:hAnsi="Garamond"/>
                <w:bCs/>
                <w:iCs/>
                <w:sz w:val="18"/>
                <w:szCs w:val="18"/>
              </w:rPr>
              <w:t>Të sigurohen mbledhje të rregullta të GNMPNK-së për drejtimin e përgjithshëm si dhe për tema kryesore të përzgjedhura për secilën seancë.</w:t>
            </w:r>
          </w:p>
          <w:p w14:paraId="6EDD0D31" w14:textId="77777777" w:rsidR="001C467C" w:rsidRPr="007114AF" w:rsidRDefault="001C467C" w:rsidP="00037830">
            <w:pPr>
              <w:numPr>
                <w:ilvl w:val="0"/>
                <w:numId w:val="14"/>
              </w:numPr>
              <w:spacing w:after="0" w:line="240" w:lineRule="auto"/>
              <w:ind w:left="0" w:firstLine="0"/>
              <w:rPr>
                <w:rFonts w:ascii="Garamond" w:hAnsi="Garamond"/>
                <w:sz w:val="18"/>
                <w:szCs w:val="18"/>
              </w:rPr>
            </w:pPr>
            <w:r w:rsidRPr="007114AF">
              <w:rPr>
                <w:rFonts w:ascii="Garamond" w:hAnsi="Garamond"/>
                <w:bCs/>
                <w:iCs/>
                <w:sz w:val="18"/>
                <w:szCs w:val="18"/>
              </w:rPr>
              <w:t>Të hartohet një dokument i përgjithshëm udhërrëfyes për procesin përfshirë afatet, përgjegjësitë dhe burimet.</w:t>
            </w:r>
          </w:p>
          <w:p w14:paraId="6EDD0D32" w14:textId="77777777" w:rsidR="001C467C" w:rsidRPr="007114AF" w:rsidRDefault="001C467C" w:rsidP="00037830">
            <w:pPr>
              <w:numPr>
                <w:ilvl w:val="0"/>
                <w:numId w:val="14"/>
              </w:numPr>
              <w:spacing w:after="0" w:line="240" w:lineRule="auto"/>
              <w:ind w:left="0" w:firstLine="0"/>
              <w:rPr>
                <w:rFonts w:ascii="Garamond" w:hAnsi="Garamond"/>
                <w:sz w:val="18"/>
                <w:szCs w:val="18"/>
              </w:rPr>
            </w:pPr>
            <w:r w:rsidRPr="007114AF">
              <w:rPr>
                <w:rFonts w:ascii="Garamond" w:hAnsi="Garamond"/>
                <w:bCs/>
                <w:iCs/>
                <w:sz w:val="18"/>
                <w:szCs w:val="18"/>
              </w:rPr>
              <w:t>Të shqyrtohet dhe përditësohet rregullisht procesi i NAP-it.</w:t>
            </w:r>
          </w:p>
          <w:p w14:paraId="6EDD0D33" w14:textId="062D90BD" w:rsidR="001C467C" w:rsidRPr="007114AF" w:rsidRDefault="001C467C" w:rsidP="00037830">
            <w:pPr>
              <w:numPr>
                <w:ilvl w:val="0"/>
                <w:numId w:val="14"/>
              </w:numPr>
              <w:spacing w:after="0" w:line="240" w:lineRule="auto"/>
              <w:ind w:left="0" w:firstLine="0"/>
              <w:rPr>
                <w:rFonts w:ascii="Garamond" w:hAnsi="Garamond"/>
                <w:sz w:val="18"/>
                <w:szCs w:val="18"/>
              </w:rPr>
            </w:pPr>
            <w:r w:rsidRPr="007114AF">
              <w:rPr>
                <w:rFonts w:ascii="Garamond" w:hAnsi="Garamond"/>
                <w:bCs/>
                <w:iCs/>
                <w:sz w:val="18"/>
                <w:szCs w:val="18"/>
              </w:rPr>
              <w:t>Të bëhet lidhja me mekanizmin e monitorim-vlerësimit dhe raportimit (</w:t>
            </w:r>
            <w:r w:rsidR="008D30FC" w:rsidRPr="007114AF">
              <w:rPr>
                <w:rFonts w:ascii="Garamond" w:hAnsi="Garamond"/>
                <w:bCs/>
                <w:iCs/>
                <w:sz w:val="18"/>
                <w:szCs w:val="18"/>
              </w:rPr>
              <w:t xml:space="preserve">nr. </w:t>
            </w:r>
            <w:r w:rsidRPr="007114AF">
              <w:rPr>
                <w:rFonts w:ascii="Garamond" w:hAnsi="Garamond"/>
                <w:bCs/>
                <w:iCs/>
                <w:sz w:val="18"/>
                <w:szCs w:val="18"/>
              </w:rPr>
              <w:t>4).</w:t>
            </w:r>
          </w:p>
        </w:tc>
        <w:tc>
          <w:tcPr>
            <w:tcW w:w="1796" w:type="dxa"/>
            <w:shd w:val="clear" w:color="auto" w:fill="auto"/>
          </w:tcPr>
          <w:p w14:paraId="6EDD0D34"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Turizmit dhe Mjedisit (udhëheq)</w:t>
            </w:r>
          </w:p>
          <w:p w14:paraId="6EDD0D35"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Zyra e Kryeministrisë (përfshihet)</w:t>
            </w:r>
          </w:p>
        </w:tc>
      </w:tr>
      <w:tr w:rsidR="001C467C" w:rsidRPr="007114AF" w14:paraId="6EDD0D40" w14:textId="77777777" w:rsidTr="001C467C">
        <w:tc>
          <w:tcPr>
            <w:tcW w:w="1728" w:type="dxa"/>
            <w:shd w:val="clear" w:color="auto" w:fill="auto"/>
          </w:tcPr>
          <w:p w14:paraId="6EDD0D37" w14:textId="1EC310FD"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2: Nisma integruese gjithëpërfshirëse</w:t>
            </w:r>
          </w:p>
        </w:tc>
        <w:tc>
          <w:tcPr>
            <w:tcW w:w="2340" w:type="dxa"/>
            <w:shd w:val="clear" w:color="auto" w:fill="auto"/>
          </w:tcPr>
          <w:p w14:paraId="6EDD0D38"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Pasqyrimi i përshtatjes ndaj ndryshimeve klimatike në SKZHI dhe strategji sektoriale.</w:t>
            </w:r>
          </w:p>
          <w:p w14:paraId="6EDD0D39"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Nxitja e përshtatjes ndaj ndryshimeve klimatike në asistencën për aderim në përputhje me objektivat e politikës së BE-së për përshtatjen.</w:t>
            </w:r>
          </w:p>
        </w:tc>
        <w:tc>
          <w:tcPr>
            <w:tcW w:w="3874" w:type="dxa"/>
            <w:shd w:val="clear" w:color="auto" w:fill="auto"/>
          </w:tcPr>
          <w:p w14:paraId="6EDD0D3A"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nxiten konceptet dhe instrumentet integruese (bërja rezilient ndaj ndryshimeve klimatike, thjerra klimatike, vlerësimi mjedisor strategjik me ndjeshmëri klimatike etj.)</w:t>
            </w:r>
          </w:p>
          <w:p w14:paraId="6EDD0D3B"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bashkërendohen projektet pilot integruese në Shqipëri.</w:t>
            </w:r>
          </w:p>
          <w:p w14:paraId="6EDD0D3C"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integrohet përshtatja ndaj ndryshimeve klimatike në zbatimin e SKZHI-së.</w:t>
            </w:r>
          </w:p>
          <w:p w14:paraId="6EDD0D3D"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integrohet përshtatja ndaj ndryshimeve klimatike në procesin IPA.</w:t>
            </w:r>
          </w:p>
        </w:tc>
        <w:tc>
          <w:tcPr>
            <w:tcW w:w="1796" w:type="dxa"/>
            <w:shd w:val="clear" w:color="auto" w:fill="auto"/>
          </w:tcPr>
          <w:p w14:paraId="6EDD0D3E"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Turizmit dhe Mjedisit</w:t>
            </w:r>
          </w:p>
          <w:p w14:paraId="6EDD0D3F"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Mbështetje: donatorët përkatës</w:t>
            </w:r>
          </w:p>
        </w:tc>
      </w:tr>
      <w:tr w:rsidR="001C467C" w:rsidRPr="007114AF" w14:paraId="6EDD0D4C" w14:textId="77777777" w:rsidTr="001C467C">
        <w:tc>
          <w:tcPr>
            <w:tcW w:w="1728" w:type="dxa"/>
            <w:shd w:val="clear" w:color="auto" w:fill="auto"/>
          </w:tcPr>
          <w:p w14:paraId="6EDD0D41" w14:textId="1C8760D3"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3: Gatishmëria financiare për klimën</w:t>
            </w:r>
          </w:p>
        </w:tc>
        <w:tc>
          <w:tcPr>
            <w:tcW w:w="2340" w:type="dxa"/>
            <w:shd w:val="clear" w:color="auto" w:fill="auto"/>
          </w:tcPr>
          <w:p w14:paraId="6EDD0D42"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 xml:space="preserve"> Pranimi me sukses i buxhetit publik të Shqipërisë për financimin e zbatimit të NAP-it.</w:t>
            </w:r>
          </w:p>
          <w:p w14:paraId="6EDD0D43"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Fitimi i mundësisë së përfitimit të drejtpërdrejtë ose të tërthortë nga fondet e GCF-ës për zbatimin e NAP-it shqiptar.</w:t>
            </w:r>
          </w:p>
        </w:tc>
        <w:tc>
          <w:tcPr>
            <w:tcW w:w="3874" w:type="dxa"/>
            <w:shd w:val="clear" w:color="auto" w:fill="auto"/>
          </w:tcPr>
          <w:p w14:paraId="6EDD0D44"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krijohet një sektor i financimit klimatik</w:t>
            </w:r>
          </w:p>
          <w:p w14:paraId="6EDD0D45"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hartohet kuadri strategjik.</w:t>
            </w:r>
          </w:p>
          <w:p w14:paraId="6EDD0D46"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Buxhetim / etiketim klimatik pilot.</w:t>
            </w:r>
          </w:p>
          <w:p w14:paraId="6EDD0D47"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nxitet mundësia për të marrë financim klimatik.</w:t>
            </w:r>
          </w:p>
          <w:p w14:paraId="6EDD0D48"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sigurohet nxjerrja e mësimeve dhe novacioni.</w:t>
            </w:r>
          </w:p>
        </w:tc>
        <w:tc>
          <w:tcPr>
            <w:tcW w:w="1796" w:type="dxa"/>
            <w:shd w:val="clear" w:color="auto" w:fill="auto"/>
          </w:tcPr>
          <w:p w14:paraId="6EDD0D49"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Turizmit dhe Mjedisit</w:t>
            </w:r>
          </w:p>
          <w:p w14:paraId="6EDD0D4A"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 AKPT-ja (udhëheq)</w:t>
            </w:r>
          </w:p>
          <w:p w14:paraId="6EDD0D4B"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UNDP-ja (mbështet)</w:t>
            </w:r>
          </w:p>
        </w:tc>
      </w:tr>
      <w:tr w:rsidR="001C467C" w:rsidRPr="007114AF" w14:paraId="6EDD0D5A" w14:textId="77777777" w:rsidTr="001C467C">
        <w:tc>
          <w:tcPr>
            <w:tcW w:w="1728" w:type="dxa"/>
            <w:shd w:val="clear" w:color="auto" w:fill="auto"/>
          </w:tcPr>
          <w:p w14:paraId="6EDD0D4D" w14:textId="09BDC86B"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4: Sistemi i monitorimit të implementimit të NAP-it</w:t>
            </w:r>
          </w:p>
        </w:tc>
        <w:tc>
          <w:tcPr>
            <w:tcW w:w="2340" w:type="dxa"/>
            <w:shd w:val="clear" w:color="auto" w:fill="auto"/>
          </w:tcPr>
          <w:p w14:paraId="6EDD0D4E"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Vlerësimi i progresit kundrejt objektivave për aftësitë ripërtëritëse ndaj klimës</w:t>
            </w:r>
          </w:p>
          <w:p w14:paraId="6EDD0D4F"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Ngritja e sistemit të monitorimit të mbështetur në rezultate</w:t>
            </w:r>
          </w:p>
        </w:tc>
        <w:tc>
          <w:tcPr>
            <w:tcW w:w="3874" w:type="dxa"/>
            <w:shd w:val="clear" w:color="auto" w:fill="auto"/>
          </w:tcPr>
          <w:p w14:paraId="6EDD0D50"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Koncepti i përgjithshëm i sistemit të monitorimit të mbështetur në rezultate.</w:t>
            </w:r>
          </w:p>
          <w:p w14:paraId="6EDD0D51"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Analiza e boshllëqeve të sistemeve ekzistuese të monitorim-vlerësimit.</w:t>
            </w:r>
          </w:p>
          <w:p w14:paraId="6EDD0D52"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Organizimi institucional për monitorim-vlerësimin.</w:t>
            </w:r>
          </w:p>
          <w:p w14:paraId="6EDD0D53"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Vënia në eficiencë e sistemit të monitorim-vlerësimit me raportim të rregullt.</w:t>
            </w:r>
          </w:p>
        </w:tc>
        <w:tc>
          <w:tcPr>
            <w:tcW w:w="1796" w:type="dxa"/>
            <w:shd w:val="clear" w:color="auto" w:fill="auto"/>
          </w:tcPr>
          <w:p w14:paraId="6EDD0D54"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Turizmit dhe Mjedisit</w:t>
            </w:r>
          </w:p>
          <w:p w14:paraId="6EDD0D55"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(udhëheq)</w:t>
            </w:r>
          </w:p>
          <w:p w14:paraId="6EDD0D56"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për Evropën dhe Punët e Jashtme</w:t>
            </w:r>
          </w:p>
          <w:p w14:paraId="6EDD0D57"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Infrastrukturës dhe Energjisë</w:t>
            </w:r>
          </w:p>
          <w:p w14:paraId="6EDD0D58"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IGJEUM-i</w:t>
            </w:r>
          </w:p>
          <w:p w14:paraId="6EDD0D59" w14:textId="77777777" w:rsidR="001C467C" w:rsidRPr="007114AF" w:rsidRDefault="001C467C" w:rsidP="001C467C">
            <w:pPr>
              <w:spacing w:after="0" w:line="240" w:lineRule="auto"/>
              <w:rPr>
                <w:rFonts w:ascii="Garamond" w:hAnsi="Garamond"/>
                <w:bCs/>
                <w:iCs/>
                <w:sz w:val="18"/>
                <w:szCs w:val="18"/>
              </w:rPr>
            </w:pPr>
          </w:p>
        </w:tc>
      </w:tr>
      <w:tr w:rsidR="001C467C" w:rsidRPr="007114AF" w14:paraId="6EDD0D67" w14:textId="77777777" w:rsidTr="001C467C">
        <w:tc>
          <w:tcPr>
            <w:tcW w:w="1728" w:type="dxa"/>
            <w:shd w:val="clear" w:color="auto" w:fill="auto"/>
          </w:tcPr>
          <w:p w14:paraId="6EDD0D5B" w14:textId="5FB23B89"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5:Nisma për informim dhe përfshirje të publikut</w:t>
            </w:r>
          </w:p>
        </w:tc>
        <w:tc>
          <w:tcPr>
            <w:tcW w:w="2340" w:type="dxa"/>
            <w:shd w:val="clear" w:color="auto" w:fill="auto"/>
          </w:tcPr>
          <w:p w14:paraId="6EDD0D5C"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Rritja e kapaciteteve të institucioneve publike përkatëse për përshtatjen ndaj ndryshimeve klimatike.</w:t>
            </w:r>
          </w:p>
          <w:p w14:paraId="6EDD0D5D"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Rritja e ndërgjegjësimit dhe përfshirjes së shoqërisë civile për përshtatjen ndaj ndryshimeve klimatike.</w:t>
            </w:r>
          </w:p>
        </w:tc>
        <w:tc>
          <w:tcPr>
            <w:tcW w:w="3874" w:type="dxa"/>
            <w:shd w:val="clear" w:color="auto" w:fill="auto"/>
          </w:tcPr>
          <w:p w14:paraId="6EDD0D5E"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Zhvillimi i kapaciteteve për institucionet shtetërore.</w:t>
            </w:r>
          </w:p>
          <w:p w14:paraId="6EDD0D5F"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Punë afruese për informim nëpërmjet institucioneve arsimore.</w:t>
            </w:r>
          </w:p>
          <w:p w14:paraId="6EDD0D60"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Punë afruese dhe përfshirje me shoqërinë civile.</w:t>
            </w:r>
          </w:p>
          <w:p w14:paraId="6EDD0D61"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Shpërndarje e informacionit sektorëve ekonomikë përkatës.</w:t>
            </w:r>
          </w:p>
        </w:tc>
        <w:tc>
          <w:tcPr>
            <w:tcW w:w="1796" w:type="dxa"/>
            <w:shd w:val="clear" w:color="auto" w:fill="auto"/>
          </w:tcPr>
          <w:p w14:paraId="6EDD0D62"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Turizmit dhe Mjedisit</w:t>
            </w:r>
          </w:p>
          <w:p w14:paraId="6EDD0D63"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Arsimit, Sportit dhe Rinisë</w:t>
            </w:r>
          </w:p>
          <w:p w14:paraId="6EDD0D64"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Universitetet</w:t>
            </w:r>
          </w:p>
          <w:p w14:paraId="6EDD0D65"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Mediat</w:t>
            </w:r>
          </w:p>
          <w:p w14:paraId="6EDD0D66"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OJQ-ët</w:t>
            </w:r>
          </w:p>
        </w:tc>
      </w:tr>
      <w:tr w:rsidR="001C467C" w:rsidRPr="007114AF" w14:paraId="6EDD0D71" w14:textId="77777777" w:rsidTr="001C467C">
        <w:tc>
          <w:tcPr>
            <w:tcW w:w="1728" w:type="dxa"/>
            <w:shd w:val="clear" w:color="auto" w:fill="auto"/>
          </w:tcPr>
          <w:p w14:paraId="6EDD0D68" w14:textId="336738A4"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6: Nisma për ngritjen e kapaciteteve për përshtatjen ndaj ndryshimeve klimatike</w:t>
            </w:r>
          </w:p>
        </w:tc>
        <w:tc>
          <w:tcPr>
            <w:tcW w:w="2340" w:type="dxa"/>
            <w:shd w:val="clear" w:color="auto" w:fill="auto"/>
          </w:tcPr>
          <w:p w14:paraId="6EDD0D69" w14:textId="0A5A5BC9"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Mbështetja përmes trajnimeve të synuara, e njohurive dhe zotësive personale të aktorëve dhe palëve të interesit të përfshirë</w:t>
            </w:r>
            <w:r w:rsidR="00AE5FB3">
              <w:rPr>
                <w:rFonts w:ascii="Garamond" w:hAnsi="Garamond"/>
                <w:bCs/>
                <w:iCs/>
                <w:sz w:val="18"/>
                <w:szCs w:val="18"/>
              </w:rPr>
              <w:t xml:space="preserve"> </w:t>
            </w:r>
            <w:r w:rsidRPr="007114AF">
              <w:rPr>
                <w:rFonts w:ascii="Garamond" w:hAnsi="Garamond"/>
                <w:bCs/>
                <w:iCs/>
                <w:sz w:val="18"/>
                <w:szCs w:val="18"/>
              </w:rPr>
              <w:t>në procesin e NAP-it.</w:t>
            </w:r>
          </w:p>
          <w:p w14:paraId="6EDD0D6A"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Mbështetja nga donatorë dhe institucionet e përqendrimit të njohurive e zhvillimit të strukturave institucionale, akteve nënligjore dhe politikave në sektorë të përzgjedhur të procesit të NAP-it.</w:t>
            </w:r>
          </w:p>
        </w:tc>
        <w:tc>
          <w:tcPr>
            <w:tcW w:w="3874" w:type="dxa"/>
            <w:shd w:val="clear" w:color="auto" w:fill="auto"/>
          </w:tcPr>
          <w:p w14:paraId="6EDD0D6B"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vlerësohen nevojat për trajnim dhe të hartohet plani i trajnimit.</w:t>
            </w:r>
          </w:p>
          <w:p w14:paraId="6EDD0D6C"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realizohen trajnimet.</w:t>
            </w:r>
          </w:p>
          <w:p w14:paraId="6EDD0D6D"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Masa të përzgjedhura të zhvillimit të kapaciteteve institucionale.</w:t>
            </w:r>
          </w:p>
        </w:tc>
        <w:tc>
          <w:tcPr>
            <w:tcW w:w="1796" w:type="dxa"/>
            <w:shd w:val="clear" w:color="auto" w:fill="auto"/>
          </w:tcPr>
          <w:p w14:paraId="6EDD0D6E"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Turizmit dhe Mjedisit</w:t>
            </w:r>
          </w:p>
          <w:p w14:paraId="6EDD0D6F"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UNDP-ja</w:t>
            </w:r>
          </w:p>
          <w:p w14:paraId="6EDD0D70"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Agjenci donatore</w:t>
            </w:r>
          </w:p>
        </w:tc>
      </w:tr>
      <w:tr w:rsidR="001C467C" w:rsidRPr="007114AF" w14:paraId="6EDD0D73" w14:textId="77777777" w:rsidTr="001C467C">
        <w:tc>
          <w:tcPr>
            <w:tcW w:w="9738" w:type="dxa"/>
            <w:gridSpan w:val="4"/>
            <w:shd w:val="clear" w:color="auto" w:fill="BDD6EE"/>
          </w:tcPr>
          <w:p w14:paraId="6EDD0D72" w14:textId="77777777" w:rsidR="001C467C" w:rsidRPr="007114AF" w:rsidRDefault="001C467C" w:rsidP="001C467C">
            <w:pPr>
              <w:spacing w:after="0" w:line="240" w:lineRule="auto"/>
              <w:rPr>
                <w:rFonts w:ascii="Garamond" w:hAnsi="Garamond"/>
                <w:b/>
                <w:bCs/>
                <w:iCs/>
                <w:sz w:val="18"/>
                <w:szCs w:val="18"/>
              </w:rPr>
            </w:pPr>
            <w:r w:rsidRPr="007114AF">
              <w:rPr>
                <w:rFonts w:ascii="Garamond" w:hAnsi="Garamond"/>
                <w:b/>
                <w:bCs/>
                <w:iCs/>
                <w:sz w:val="18"/>
                <w:szCs w:val="18"/>
              </w:rPr>
              <w:t>Veprime strategjike sektoriale dhe ndërsektoriale</w:t>
            </w:r>
          </w:p>
        </w:tc>
      </w:tr>
      <w:tr w:rsidR="001C467C" w:rsidRPr="007114AF" w14:paraId="6EDD0D7F" w14:textId="77777777" w:rsidTr="001C467C">
        <w:tc>
          <w:tcPr>
            <w:tcW w:w="1728" w:type="dxa"/>
            <w:shd w:val="clear" w:color="auto" w:fill="auto"/>
          </w:tcPr>
          <w:p w14:paraId="6EDD0D74" w14:textId="5F65DE9C"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7: Ujitje, kullim dhe mbrojtje nga përmbytje, me aftësi ripërtëritëse kundrejt ndryshimeve të klimës</w:t>
            </w:r>
          </w:p>
          <w:p w14:paraId="6EDD0D75" w14:textId="77777777" w:rsidR="001C467C" w:rsidRPr="007114AF" w:rsidRDefault="001C467C" w:rsidP="001C467C">
            <w:pPr>
              <w:spacing w:after="0" w:line="240" w:lineRule="auto"/>
              <w:rPr>
                <w:rFonts w:ascii="Garamond" w:hAnsi="Garamond"/>
                <w:bCs/>
                <w:iCs/>
                <w:sz w:val="18"/>
                <w:szCs w:val="18"/>
              </w:rPr>
            </w:pPr>
          </w:p>
        </w:tc>
        <w:tc>
          <w:tcPr>
            <w:tcW w:w="2340" w:type="dxa"/>
            <w:shd w:val="clear" w:color="auto" w:fill="auto"/>
          </w:tcPr>
          <w:p w14:paraId="6EDD0D76"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Llogaritja e nevojave për ujë dhe potencialit furnizues për kulturat bujqësore duke mbajtur në konsideratë ndryshimet klimatike.</w:t>
            </w:r>
          </w:p>
          <w:p w14:paraId="6EDD0D77"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Përmirësimi i infrastrukturës dhe mirëmbajtjes për ujitjen dhe mbrojtjen nga përmbytjet.</w:t>
            </w:r>
          </w:p>
        </w:tc>
        <w:tc>
          <w:tcPr>
            <w:tcW w:w="3874" w:type="dxa"/>
            <w:shd w:val="clear" w:color="auto" w:fill="auto"/>
          </w:tcPr>
          <w:p w14:paraId="6EDD0D78"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rillogariten nevojat për ujitje në kuadër të ndryshimit të klimës.</w:t>
            </w:r>
          </w:p>
          <w:p w14:paraId="6EDD0D79" w14:textId="426F56D3"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vlerësohen rreziqet</w:t>
            </w:r>
            <w:r w:rsidR="00AE5FB3">
              <w:rPr>
                <w:rFonts w:ascii="Garamond" w:hAnsi="Garamond"/>
                <w:bCs/>
                <w:iCs/>
                <w:sz w:val="18"/>
                <w:szCs w:val="18"/>
              </w:rPr>
              <w:t xml:space="preserve"> </w:t>
            </w:r>
            <w:r w:rsidRPr="007114AF">
              <w:rPr>
                <w:rFonts w:ascii="Garamond" w:hAnsi="Garamond"/>
                <w:bCs/>
                <w:iCs/>
                <w:sz w:val="18"/>
                <w:szCs w:val="18"/>
              </w:rPr>
              <w:t>e përmbytjes.</w:t>
            </w:r>
          </w:p>
          <w:p w14:paraId="6EDD0D7A" w14:textId="4462C4F4"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përzgjidhen veprimet prioritare për menaxhimin e rrezikut</w:t>
            </w:r>
            <w:r w:rsidR="00AE5FB3">
              <w:rPr>
                <w:rFonts w:ascii="Garamond" w:hAnsi="Garamond"/>
                <w:bCs/>
                <w:iCs/>
                <w:sz w:val="18"/>
                <w:szCs w:val="18"/>
              </w:rPr>
              <w:t xml:space="preserve"> n</w:t>
            </w:r>
            <w:r w:rsidRPr="007114AF">
              <w:rPr>
                <w:rFonts w:ascii="Garamond" w:hAnsi="Garamond"/>
                <w:bCs/>
                <w:iCs/>
                <w:sz w:val="18"/>
                <w:szCs w:val="18"/>
              </w:rPr>
              <w:t>të përmbytjes në bazë të vlerësimeve të lartpërmendura.</w:t>
            </w:r>
          </w:p>
          <w:p w14:paraId="6EDD0D7B"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Trajnime.</w:t>
            </w:r>
          </w:p>
        </w:tc>
        <w:tc>
          <w:tcPr>
            <w:tcW w:w="1796" w:type="dxa"/>
            <w:shd w:val="clear" w:color="auto" w:fill="auto"/>
          </w:tcPr>
          <w:p w14:paraId="6EDD0D7C"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MBZHR (udhëheq)</w:t>
            </w:r>
          </w:p>
          <w:p w14:paraId="6EDD0D7D" w14:textId="190FB333"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Njësitë e vet</w:t>
            </w:r>
            <w:r w:rsidR="00AE5FB3">
              <w:rPr>
                <w:rFonts w:ascii="Garamond" w:hAnsi="Garamond"/>
                <w:bCs/>
                <w:iCs/>
                <w:sz w:val="18"/>
                <w:szCs w:val="18"/>
              </w:rPr>
              <w:t>ë</w:t>
            </w:r>
            <w:r w:rsidRPr="007114AF">
              <w:rPr>
                <w:rFonts w:ascii="Garamond" w:hAnsi="Garamond"/>
                <w:bCs/>
                <w:iCs/>
                <w:sz w:val="18"/>
                <w:szCs w:val="18"/>
              </w:rPr>
              <w:t>qeverisjes vendore</w:t>
            </w:r>
          </w:p>
          <w:p w14:paraId="6EDD0D7E" w14:textId="77777777" w:rsidR="001C467C" w:rsidRPr="007114AF" w:rsidRDefault="001C467C" w:rsidP="001C467C">
            <w:pPr>
              <w:spacing w:after="0" w:line="240" w:lineRule="auto"/>
              <w:rPr>
                <w:rFonts w:ascii="Garamond" w:hAnsi="Garamond"/>
                <w:bCs/>
                <w:iCs/>
                <w:sz w:val="18"/>
                <w:szCs w:val="18"/>
              </w:rPr>
            </w:pPr>
          </w:p>
        </w:tc>
      </w:tr>
      <w:tr w:rsidR="001C467C" w:rsidRPr="007114AF" w14:paraId="6EDD0D86" w14:textId="77777777" w:rsidTr="001C467C">
        <w:tc>
          <w:tcPr>
            <w:tcW w:w="1728" w:type="dxa"/>
            <w:shd w:val="clear" w:color="auto" w:fill="auto"/>
          </w:tcPr>
          <w:p w14:paraId="6EDD0D80" w14:textId="173102F8"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8: Menaxhimi i integruar i burimeve ujore</w:t>
            </w:r>
          </w:p>
        </w:tc>
        <w:tc>
          <w:tcPr>
            <w:tcW w:w="2340" w:type="dxa"/>
            <w:shd w:val="clear" w:color="auto" w:fill="auto"/>
          </w:tcPr>
          <w:p w14:paraId="6EDD0D81" w14:textId="3F8EC674"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Masat e përshtatjes ndaj ndryshimeve klimatike pasqyrohen në mënyrë adekuate në planin dhe procesin e zbatimit për planet e menaxhimit të baseneve lumore pilot si dhe do të jenë pjesë e</w:t>
            </w:r>
            <w:r w:rsidR="000A2A01" w:rsidRPr="007114AF">
              <w:rPr>
                <w:rFonts w:ascii="Garamond" w:hAnsi="Garamond"/>
                <w:bCs/>
                <w:iCs/>
                <w:sz w:val="18"/>
                <w:szCs w:val="18"/>
              </w:rPr>
              <w:t xml:space="preserve"> </w:t>
            </w:r>
            <w:r w:rsidRPr="007114AF">
              <w:rPr>
                <w:rFonts w:ascii="Garamond" w:hAnsi="Garamond"/>
                <w:bCs/>
                <w:iCs/>
                <w:sz w:val="18"/>
                <w:szCs w:val="18"/>
              </w:rPr>
              <w:t>Planeve të reja të menaxhimit të baseneve lumore.</w:t>
            </w:r>
          </w:p>
        </w:tc>
        <w:tc>
          <w:tcPr>
            <w:tcW w:w="3874" w:type="dxa"/>
            <w:shd w:val="clear" w:color="auto" w:fill="auto"/>
          </w:tcPr>
          <w:p w14:paraId="6EDD0D82"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integrohet përshtatja ndaj ndryshimit klimatik në planet e menaxhimit të baseneve lumore.</w:t>
            </w:r>
          </w:p>
          <w:p w14:paraId="6EDD0D83"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Procesi i zbatimit për planet e menaxhimit të baseneve lumore të hartohet në atë mënyrë që gjatë zbatimit të pasqyrohennë mënyrë adekuate ndryshimet klimatike.</w:t>
            </w:r>
          </w:p>
        </w:tc>
        <w:tc>
          <w:tcPr>
            <w:tcW w:w="1796" w:type="dxa"/>
            <w:shd w:val="clear" w:color="auto" w:fill="auto"/>
          </w:tcPr>
          <w:p w14:paraId="6EDD0D84"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MBZHR</w:t>
            </w:r>
          </w:p>
          <w:p w14:paraId="6EDD0D85"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Këshilli Kombëtar i Ujit</w:t>
            </w:r>
          </w:p>
        </w:tc>
      </w:tr>
      <w:tr w:rsidR="001C467C" w:rsidRPr="007114AF" w14:paraId="6EDD0D8F" w14:textId="77777777" w:rsidTr="001C467C">
        <w:tc>
          <w:tcPr>
            <w:tcW w:w="1728" w:type="dxa"/>
            <w:shd w:val="clear" w:color="auto" w:fill="auto"/>
          </w:tcPr>
          <w:p w14:paraId="6EDD0D87" w14:textId="1E773379"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9: Përshtatja në sektorin</w:t>
            </w:r>
            <w:r w:rsidR="000A2A01" w:rsidRPr="007114AF">
              <w:rPr>
                <w:rFonts w:ascii="Garamond" w:hAnsi="Garamond"/>
                <w:bCs/>
                <w:iCs/>
                <w:sz w:val="18"/>
                <w:szCs w:val="18"/>
              </w:rPr>
              <w:t xml:space="preserve"> </w:t>
            </w:r>
            <w:r w:rsidR="00AE5FB3" w:rsidRPr="007114AF">
              <w:rPr>
                <w:rFonts w:ascii="Garamond" w:hAnsi="Garamond"/>
                <w:bCs/>
                <w:iCs/>
                <w:sz w:val="18"/>
                <w:szCs w:val="18"/>
              </w:rPr>
              <w:t>bujqësor</w:t>
            </w:r>
            <w:r w:rsidR="001C467C" w:rsidRPr="007114AF">
              <w:rPr>
                <w:rFonts w:ascii="Garamond" w:hAnsi="Garamond"/>
                <w:bCs/>
                <w:iCs/>
                <w:sz w:val="18"/>
                <w:szCs w:val="18"/>
              </w:rPr>
              <w:t xml:space="preserve"> </w:t>
            </w:r>
          </w:p>
        </w:tc>
        <w:tc>
          <w:tcPr>
            <w:tcW w:w="2340" w:type="dxa"/>
            <w:shd w:val="clear" w:color="auto" w:fill="auto"/>
          </w:tcPr>
          <w:p w14:paraId="6EDD0D88"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Përshtatje ndaj ndryshimeve klimatike në sektorin bujqësor nëpërmjet mbrojtjes së fermave, menaxhimit të rendimentit të kulturave bujqësore, sistemeve të informimit dhe menaxhimit të blegtorisë.</w:t>
            </w:r>
          </w:p>
        </w:tc>
        <w:tc>
          <w:tcPr>
            <w:tcW w:w="3874" w:type="dxa"/>
            <w:shd w:val="clear" w:color="auto" w:fill="auto"/>
          </w:tcPr>
          <w:p w14:paraId="6EDD0D89"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Infrastrukturë dhe praktika bujqësore të përshtatura.</w:t>
            </w:r>
          </w:p>
          <w:p w14:paraId="6EDD0D8A" w14:textId="0DD5740D"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 xml:space="preserve">Shërbime të përmirësuara informimi për </w:t>
            </w:r>
            <w:r w:rsidR="00AE5FB3" w:rsidRPr="007114AF">
              <w:rPr>
                <w:rFonts w:ascii="Garamond" w:hAnsi="Garamond"/>
                <w:bCs/>
                <w:iCs/>
                <w:sz w:val="18"/>
                <w:szCs w:val="18"/>
              </w:rPr>
              <w:t>fermerët</w:t>
            </w:r>
            <w:r w:rsidRPr="007114AF">
              <w:rPr>
                <w:rFonts w:ascii="Garamond" w:hAnsi="Garamond"/>
                <w:bCs/>
                <w:iCs/>
                <w:sz w:val="18"/>
                <w:szCs w:val="18"/>
              </w:rPr>
              <w:t>.</w:t>
            </w:r>
          </w:p>
        </w:tc>
        <w:tc>
          <w:tcPr>
            <w:tcW w:w="1796" w:type="dxa"/>
            <w:shd w:val="clear" w:color="auto" w:fill="auto"/>
          </w:tcPr>
          <w:p w14:paraId="6EDD0D8B"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MBZHR-ja</w:t>
            </w:r>
          </w:p>
          <w:p w14:paraId="6EDD0D8C"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Autoriteti Kombëtar i Ushqimit</w:t>
            </w:r>
          </w:p>
          <w:p w14:paraId="6EDD0D8D" w14:textId="0643D422"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 xml:space="preserve">Njësitë e </w:t>
            </w:r>
            <w:r w:rsidR="00AE5FB3" w:rsidRPr="007114AF">
              <w:rPr>
                <w:rFonts w:ascii="Garamond" w:hAnsi="Garamond"/>
                <w:bCs/>
                <w:iCs/>
                <w:sz w:val="18"/>
                <w:szCs w:val="18"/>
              </w:rPr>
              <w:t>vetëqeverisjes</w:t>
            </w:r>
            <w:r w:rsidRPr="007114AF">
              <w:rPr>
                <w:rFonts w:ascii="Garamond" w:hAnsi="Garamond"/>
                <w:bCs/>
                <w:iCs/>
                <w:sz w:val="18"/>
                <w:szCs w:val="18"/>
              </w:rPr>
              <w:t xml:space="preserve"> vendore</w:t>
            </w:r>
          </w:p>
          <w:p w14:paraId="6EDD0D8E" w14:textId="401D6318" w:rsidR="001C467C" w:rsidRPr="007114AF" w:rsidRDefault="00AE5FB3" w:rsidP="001C467C">
            <w:pPr>
              <w:spacing w:after="0" w:line="240" w:lineRule="auto"/>
              <w:rPr>
                <w:rFonts w:ascii="Garamond" w:hAnsi="Garamond"/>
                <w:bCs/>
                <w:iCs/>
                <w:sz w:val="18"/>
                <w:szCs w:val="18"/>
              </w:rPr>
            </w:pPr>
            <w:r w:rsidRPr="007114AF">
              <w:rPr>
                <w:rFonts w:ascii="Garamond" w:hAnsi="Garamond"/>
                <w:bCs/>
                <w:iCs/>
                <w:sz w:val="18"/>
                <w:szCs w:val="18"/>
              </w:rPr>
              <w:t>fermerët</w:t>
            </w:r>
          </w:p>
        </w:tc>
      </w:tr>
      <w:tr w:rsidR="001C467C" w:rsidRPr="007114AF" w14:paraId="6EDD0D9A" w14:textId="77777777" w:rsidTr="001C467C">
        <w:tc>
          <w:tcPr>
            <w:tcW w:w="1728" w:type="dxa"/>
            <w:shd w:val="clear" w:color="auto" w:fill="auto"/>
          </w:tcPr>
          <w:p w14:paraId="6EDD0D90" w14:textId="2E8FF07F"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10 Nxitja e zbatimit të strategjisë së përshtatjes ndaj ndryshimeve klimatike për sektorin e shëndetësisë</w:t>
            </w:r>
          </w:p>
          <w:p w14:paraId="6EDD0D91" w14:textId="77777777" w:rsidR="001C467C" w:rsidRPr="007114AF" w:rsidRDefault="001C467C" w:rsidP="001C467C">
            <w:pPr>
              <w:spacing w:after="0" w:line="240" w:lineRule="auto"/>
              <w:rPr>
                <w:rFonts w:ascii="Garamond" w:hAnsi="Garamond"/>
                <w:bCs/>
                <w:iCs/>
                <w:sz w:val="18"/>
                <w:szCs w:val="18"/>
              </w:rPr>
            </w:pPr>
          </w:p>
        </w:tc>
        <w:tc>
          <w:tcPr>
            <w:tcW w:w="2340" w:type="dxa"/>
            <w:shd w:val="clear" w:color="auto" w:fill="auto"/>
          </w:tcPr>
          <w:p w14:paraId="6EDD0D92" w14:textId="4EB9698D" w:rsidR="001C467C" w:rsidRPr="007114AF" w:rsidRDefault="001C467C" w:rsidP="00AE5FB3">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Përdorimi i qasjeve më të mira për mbajtjen në kontroll të sëmundjeve vektoriale, masave të shëndetit publik dhe gatishmërisë ndaj</w:t>
            </w:r>
            <w:r w:rsidR="00AE5FB3">
              <w:rPr>
                <w:rFonts w:ascii="Garamond" w:hAnsi="Garamond"/>
                <w:bCs/>
                <w:iCs/>
                <w:sz w:val="18"/>
                <w:szCs w:val="18"/>
              </w:rPr>
              <w:t xml:space="preserve"> </w:t>
            </w:r>
            <w:r w:rsidRPr="007114AF">
              <w:rPr>
                <w:rFonts w:ascii="Garamond" w:hAnsi="Garamond"/>
                <w:bCs/>
                <w:iCs/>
                <w:sz w:val="18"/>
                <w:szCs w:val="18"/>
              </w:rPr>
              <w:t>dukurive të motit ekstrem (valë e të</w:t>
            </w:r>
            <w:r w:rsidR="00AE5FB3">
              <w:rPr>
                <w:rFonts w:ascii="Garamond" w:hAnsi="Garamond"/>
                <w:bCs/>
                <w:iCs/>
                <w:sz w:val="18"/>
                <w:szCs w:val="18"/>
              </w:rPr>
              <w:t xml:space="preserve"> b</w:t>
            </w:r>
            <w:r w:rsidRPr="007114AF">
              <w:rPr>
                <w:rFonts w:ascii="Garamond" w:hAnsi="Garamond"/>
                <w:bCs/>
                <w:iCs/>
                <w:sz w:val="18"/>
                <w:szCs w:val="18"/>
              </w:rPr>
              <w:t>nxehtit).</w:t>
            </w:r>
          </w:p>
        </w:tc>
        <w:tc>
          <w:tcPr>
            <w:tcW w:w="3874" w:type="dxa"/>
            <w:shd w:val="clear" w:color="auto" w:fill="auto"/>
          </w:tcPr>
          <w:p w14:paraId="6EDD0D93"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Ndërgjegjësim i publikut dhe trajnime.</w:t>
            </w:r>
          </w:p>
          <w:p w14:paraId="6EDD0D94"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Zhvillimi i kapaciteteve për institucionet shëndetësore.</w:t>
            </w:r>
          </w:p>
          <w:p w14:paraId="6EDD0D95" w14:textId="77777777" w:rsidR="001C467C" w:rsidRPr="007114AF" w:rsidRDefault="001C467C" w:rsidP="001C467C">
            <w:pPr>
              <w:spacing w:after="0" w:line="240" w:lineRule="auto"/>
              <w:rPr>
                <w:rFonts w:ascii="Garamond" w:hAnsi="Garamond"/>
                <w:bCs/>
                <w:iCs/>
                <w:sz w:val="18"/>
                <w:szCs w:val="18"/>
              </w:rPr>
            </w:pPr>
          </w:p>
        </w:tc>
        <w:tc>
          <w:tcPr>
            <w:tcW w:w="1796" w:type="dxa"/>
            <w:shd w:val="clear" w:color="auto" w:fill="auto"/>
          </w:tcPr>
          <w:p w14:paraId="6EDD0D96"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Shëndetësisë dhe Mbrojtjes Sociale</w:t>
            </w:r>
          </w:p>
          <w:p w14:paraId="6EDD0D97"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Instituti i Shëndetit Publik</w:t>
            </w:r>
          </w:p>
          <w:p w14:paraId="6EDD0D98"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IGJEUM-i</w:t>
            </w:r>
          </w:p>
          <w:p w14:paraId="6EDD0D99" w14:textId="77777777" w:rsidR="001C467C" w:rsidRPr="007114AF" w:rsidRDefault="000F7378" w:rsidP="001C467C">
            <w:pPr>
              <w:spacing w:after="0" w:line="240" w:lineRule="auto"/>
              <w:rPr>
                <w:rFonts w:ascii="Garamond" w:hAnsi="Garamond"/>
                <w:bCs/>
                <w:iCs/>
                <w:sz w:val="18"/>
                <w:szCs w:val="18"/>
              </w:rPr>
            </w:pPr>
            <w:r w:rsidRPr="007114AF">
              <w:rPr>
                <w:rFonts w:ascii="Garamond" w:hAnsi="Garamond"/>
                <w:bCs/>
                <w:iCs/>
                <w:sz w:val="18"/>
                <w:szCs w:val="18"/>
              </w:rPr>
              <w:t>Autoriteti Kombëtar i Ushqimit</w:t>
            </w:r>
          </w:p>
        </w:tc>
      </w:tr>
      <w:tr w:rsidR="001C467C" w:rsidRPr="007114AF" w14:paraId="6EDD0DA7" w14:textId="77777777" w:rsidTr="001C467C">
        <w:tc>
          <w:tcPr>
            <w:tcW w:w="1728" w:type="dxa"/>
            <w:shd w:val="clear" w:color="auto" w:fill="auto"/>
          </w:tcPr>
          <w:p w14:paraId="6EDD0D9B" w14:textId="108F2177"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 xml:space="preserve">11: Plan i integruar ndërsektorial për Zonën Bregdetare </w:t>
            </w:r>
          </w:p>
          <w:p w14:paraId="6EDD0D9C" w14:textId="77777777" w:rsidR="001C467C" w:rsidRPr="007114AF" w:rsidRDefault="001C467C" w:rsidP="001C467C">
            <w:pPr>
              <w:spacing w:after="0" w:line="240" w:lineRule="auto"/>
              <w:rPr>
                <w:rFonts w:ascii="Garamond" w:hAnsi="Garamond"/>
                <w:bCs/>
                <w:iCs/>
                <w:sz w:val="18"/>
                <w:szCs w:val="18"/>
              </w:rPr>
            </w:pPr>
          </w:p>
        </w:tc>
        <w:tc>
          <w:tcPr>
            <w:tcW w:w="2340" w:type="dxa"/>
            <w:shd w:val="clear" w:color="auto" w:fill="auto"/>
          </w:tcPr>
          <w:p w14:paraId="6EDD0D9D"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 xml:space="preserve">Nxitja e përshtatjes në zonat bregdetare nëpërmjet planeve lokale. </w:t>
            </w:r>
          </w:p>
          <w:p w14:paraId="6EDD0D9E" w14:textId="77777777" w:rsidR="001C467C" w:rsidRPr="007114AF" w:rsidRDefault="001C467C" w:rsidP="001C467C">
            <w:pPr>
              <w:spacing w:after="0" w:line="240" w:lineRule="auto"/>
              <w:rPr>
                <w:rFonts w:ascii="Garamond" w:hAnsi="Garamond"/>
                <w:bCs/>
                <w:iCs/>
                <w:sz w:val="18"/>
                <w:szCs w:val="18"/>
              </w:rPr>
            </w:pPr>
          </w:p>
        </w:tc>
        <w:tc>
          <w:tcPr>
            <w:tcW w:w="3874" w:type="dxa"/>
            <w:shd w:val="clear" w:color="auto" w:fill="auto"/>
          </w:tcPr>
          <w:p w14:paraId="6EDD0D9F"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futen dhe përshtaten instrumentet dhe politikat e BE-së në lidhje me ekosistemet dhe larminë biologjike të zonave bregdetare.</w:t>
            </w:r>
          </w:p>
          <w:p w14:paraId="6EDD0DA0"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përforcohet i legjislacionit lidhur me ndërtimet në zonën bregdetare.</w:t>
            </w:r>
          </w:p>
          <w:p w14:paraId="6EDD0DA1"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përmirësohet menaxhimi i zonave bregdetare.</w:t>
            </w:r>
          </w:p>
          <w:p w14:paraId="6EDD0DA2" w14:textId="481AFC4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mbahet</w:t>
            </w:r>
            <w:r w:rsidR="00AE5FB3">
              <w:rPr>
                <w:rFonts w:ascii="Garamond" w:hAnsi="Garamond"/>
                <w:bCs/>
                <w:iCs/>
                <w:sz w:val="18"/>
                <w:szCs w:val="18"/>
              </w:rPr>
              <w:t xml:space="preserve"> </w:t>
            </w:r>
            <w:r w:rsidRPr="007114AF">
              <w:rPr>
                <w:rFonts w:ascii="Garamond" w:hAnsi="Garamond"/>
                <w:bCs/>
                <w:iCs/>
                <w:sz w:val="18"/>
                <w:szCs w:val="18"/>
              </w:rPr>
              <w:t>në kontroll erozioni</w:t>
            </w:r>
          </w:p>
          <w:p w14:paraId="6EDD0DA3" w14:textId="4E4D02AA"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 xml:space="preserve">Të </w:t>
            </w:r>
            <w:r w:rsidR="00AE5FB3" w:rsidRPr="007114AF">
              <w:rPr>
                <w:rFonts w:ascii="Garamond" w:hAnsi="Garamond"/>
                <w:bCs/>
                <w:iCs/>
                <w:sz w:val="18"/>
                <w:szCs w:val="18"/>
              </w:rPr>
              <w:t>përshtaten</w:t>
            </w:r>
            <w:r w:rsidRPr="007114AF">
              <w:rPr>
                <w:rFonts w:ascii="Garamond" w:hAnsi="Garamond"/>
                <w:bCs/>
                <w:iCs/>
                <w:sz w:val="18"/>
                <w:szCs w:val="18"/>
              </w:rPr>
              <w:t xml:space="preserve"> ndërtesat me</w:t>
            </w:r>
            <w:r w:rsidR="00AE5FB3">
              <w:rPr>
                <w:rFonts w:ascii="Garamond" w:hAnsi="Garamond"/>
                <w:bCs/>
                <w:iCs/>
                <w:sz w:val="18"/>
                <w:szCs w:val="18"/>
              </w:rPr>
              <w:t xml:space="preserve"> </w:t>
            </w:r>
            <w:r w:rsidRPr="007114AF">
              <w:rPr>
                <w:rFonts w:ascii="Garamond" w:hAnsi="Garamond"/>
                <w:bCs/>
                <w:iCs/>
                <w:sz w:val="18"/>
                <w:szCs w:val="18"/>
              </w:rPr>
              <w:t>ndryshimet klimatike.</w:t>
            </w:r>
          </w:p>
          <w:p w14:paraId="6EDD0DA4"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krijohen projekte konkrete pilote.</w:t>
            </w:r>
          </w:p>
        </w:tc>
        <w:tc>
          <w:tcPr>
            <w:tcW w:w="1796" w:type="dxa"/>
            <w:shd w:val="clear" w:color="auto" w:fill="auto"/>
          </w:tcPr>
          <w:p w14:paraId="6EDD0DA5"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Infrastrukturës dhe Energjisë/ Agjencia Kombëtare e Planifikimit të territorit</w:t>
            </w:r>
          </w:p>
          <w:p w14:paraId="6EDD0DA6"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OJQ-ët</w:t>
            </w:r>
          </w:p>
        </w:tc>
      </w:tr>
      <w:tr w:rsidR="001C467C" w:rsidRPr="007114AF" w14:paraId="6EDD0DAF" w14:textId="77777777" w:rsidTr="001C467C">
        <w:tc>
          <w:tcPr>
            <w:tcW w:w="1728" w:type="dxa"/>
            <w:shd w:val="clear" w:color="auto" w:fill="auto"/>
          </w:tcPr>
          <w:p w14:paraId="6EDD0DA8" w14:textId="4B1E608B"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12: Nisma për përshtatje në nivel bashkie</w:t>
            </w:r>
          </w:p>
        </w:tc>
        <w:tc>
          <w:tcPr>
            <w:tcW w:w="2340" w:type="dxa"/>
            <w:shd w:val="clear" w:color="auto" w:fill="auto"/>
          </w:tcPr>
          <w:p w14:paraId="6EDD0DA9"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Bashkive u jepen kompetencat për planet vendore të përshtatjes ndaj ndryshimeve klimatike.</w:t>
            </w:r>
          </w:p>
        </w:tc>
        <w:tc>
          <w:tcPr>
            <w:tcW w:w="3874" w:type="dxa"/>
            <w:shd w:val="clear" w:color="auto" w:fill="auto"/>
          </w:tcPr>
          <w:p w14:paraId="6EDD0DAA" w14:textId="2DCD5D53"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Të ofrohet një udhëzues i cili do t</w:t>
            </w:r>
            <w:r w:rsidR="00D10DAB" w:rsidRPr="007114AF">
              <w:rPr>
                <w:rFonts w:ascii="Garamond" w:hAnsi="Garamond"/>
                <w:bCs/>
                <w:iCs/>
                <w:sz w:val="18"/>
                <w:szCs w:val="18"/>
              </w:rPr>
              <w:t>’</w:t>
            </w:r>
            <w:r w:rsidRPr="007114AF">
              <w:rPr>
                <w:rFonts w:ascii="Garamond" w:hAnsi="Garamond"/>
                <w:bCs/>
                <w:iCs/>
                <w:sz w:val="18"/>
                <w:szCs w:val="18"/>
              </w:rPr>
              <w:t>i ndihmojë bashkitë me njohuri të thjeshta, se si ta integrojnë përshtatjen ndaj ndryshimit klimatik në urbanistikë.</w:t>
            </w:r>
          </w:p>
          <w:p w14:paraId="6EDD0DAB"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Trajnime, shërbime këshillimore.</w:t>
            </w:r>
          </w:p>
          <w:p w14:paraId="6EDD0DAC"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Masa pilot për masat vendore të përshtatjes.</w:t>
            </w:r>
          </w:p>
        </w:tc>
        <w:tc>
          <w:tcPr>
            <w:tcW w:w="1796" w:type="dxa"/>
            <w:shd w:val="clear" w:color="auto" w:fill="auto"/>
          </w:tcPr>
          <w:p w14:paraId="6EDD0DAD"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Infrastrukturës dhe Energjisë/ Agjencia Kombëtare e Planifikimit të territorit</w:t>
            </w:r>
          </w:p>
          <w:p w14:paraId="6EDD0DAE" w14:textId="77777777" w:rsidR="001C467C" w:rsidRPr="007114AF" w:rsidRDefault="000F7378" w:rsidP="001C467C">
            <w:pPr>
              <w:spacing w:after="0" w:line="240" w:lineRule="auto"/>
              <w:rPr>
                <w:rFonts w:ascii="Garamond" w:hAnsi="Garamond"/>
                <w:bCs/>
                <w:iCs/>
                <w:sz w:val="18"/>
                <w:szCs w:val="18"/>
              </w:rPr>
            </w:pPr>
            <w:r w:rsidRPr="007114AF">
              <w:rPr>
                <w:rFonts w:ascii="Garamond" w:hAnsi="Garamond"/>
                <w:bCs/>
                <w:iCs/>
                <w:sz w:val="18"/>
                <w:szCs w:val="18"/>
              </w:rPr>
              <w:t>Bashkitë në nivel vendor</w:t>
            </w:r>
          </w:p>
        </w:tc>
      </w:tr>
      <w:tr w:rsidR="001C467C" w:rsidRPr="007114AF" w14:paraId="6EDD0DB6" w14:textId="77777777" w:rsidTr="001C467C">
        <w:tc>
          <w:tcPr>
            <w:tcW w:w="1728" w:type="dxa"/>
            <w:shd w:val="clear" w:color="auto" w:fill="auto"/>
          </w:tcPr>
          <w:p w14:paraId="6EDD0DB0" w14:textId="7CFD5542"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13: Përshtatja në turizëm</w:t>
            </w:r>
          </w:p>
        </w:tc>
        <w:tc>
          <w:tcPr>
            <w:tcW w:w="2340" w:type="dxa"/>
            <w:shd w:val="clear" w:color="auto" w:fill="auto"/>
          </w:tcPr>
          <w:p w14:paraId="6EDD0DB1"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Hartohen objektiva dhe plane të integruara për sektorin e turizmit të cilët pasqyrojnë efektet e ndryshimeve klimatike.</w:t>
            </w:r>
          </w:p>
        </w:tc>
        <w:tc>
          <w:tcPr>
            <w:tcW w:w="3874" w:type="dxa"/>
            <w:shd w:val="clear" w:color="auto" w:fill="auto"/>
          </w:tcPr>
          <w:p w14:paraId="6EDD0DB2" w14:textId="77777777" w:rsidR="001C467C" w:rsidRPr="007114AF" w:rsidRDefault="001C467C" w:rsidP="00AE5FB3">
            <w:pPr>
              <w:numPr>
                <w:ilvl w:val="0"/>
                <w:numId w:val="14"/>
              </w:numPr>
              <w:tabs>
                <w:tab w:val="left" w:pos="342"/>
              </w:tabs>
              <w:spacing w:after="0" w:line="240" w:lineRule="auto"/>
              <w:ind w:left="0" w:firstLine="0"/>
              <w:rPr>
                <w:rFonts w:ascii="Garamond" w:hAnsi="Garamond"/>
                <w:bCs/>
                <w:iCs/>
                <w:sz w:val="18"/>
                <w:szCs w:val="18"/>
              </w:rPr>
            </w:pPr>
            <w:r w:rsidRPr="007114AF">
              <w:rPr>
                <w:rFonts w:ascii="Garamond" w:hAnsi="Garamond"/>
                <w:bCs/>
                <w:iCs/>
                <w:sz w:val="18"/>
                <w:szCs w:val="18"/>
              </w:rPr>
              <w:t>Të sigurohet baza ligjore e nevojshme, strategjitë e përgjithshme dhe sektoriale, planet e veprimit etj., të cilat të përfshijnë politikat dhe masat e duhura.</w:t>
            </w:r>
          </w:p>
          <w:p w14:paraId="6EDD0DB3" w14:textId="77777777" w:rsidR="001C467C" w:rsidRPr="007114AF" w:rsidRDefault="001C467C" w:rsidP="00AE5FB3">
            <w:pPr>
              <w:numPr>
                <w:ilvl w:val="0"/>
                <w:numId w:val="14"/>
              </w:numPr>
              <w:tabs>
                <w:tab w:val="left" w:pos="342"/>
              </w:tabs>
              <w:spacing w:after="0" w:line="240" w:lineRule="auto"/>
              <w:ind w:left="0" w:firstLine="0"/>
              <w:rPr>
                <w:rFonts w:ascii="Garamond" w:hAnsi="Garamond"/>
                <w:bCs/>
                <w:iCs/>
                <w:sz w:val="18"/>
                <w:szCs w:val="18"/>
              </w:rPr>
            </w:pPr>
            <w:r w:rsidRPr="007114AF">
              <w:rPr>
                <w:rFonts w:ascii="Garamond" w:hAnsi="Garamond"/>
                <w:bCs/>
                <w:iCs/>
                <w:sz w:val="18"/>
                <w:szCs w:val="18"/>
              </w:rPr>
              <w:t>Të përgatitet një strategji sektoriale që merr në konsideratë çështjet klimatike.</w:t>
            </w:r>
          </w:p>
          <w:p w14:paraId="6EDD0DB4" w14:textId="77777777" w:rsidR="001C467C" w:rsidRPr="007114AF" w:rsidRDefault="001C467C" w:rsidP="00AE5FB3">
            <w:pPr>
              <w:numPr>
                <w:ilvl w:val="0"/>
                <w:numId w:val="14"/>
              </w:numPr>
              <w:tabs>
                <w:tab w:val="left" w:pos="342"/>
              </w:tabs>
              <w:spacing w:after="0" w:line="240" w:lineRule="auto"/>
              <w:ind w:left="0" w:firstLine="0"/>
              <w:rPr>
                <w:rFonts w:ascii="Garamond" w:hAnsi="Garamond"/>
                <w:bCs/>
                <w:iCs/>
                <w:sz w:val="18"/>
                <w:szCs w:val="18"/>
              </w:rPr>
            </w:pPr>
            <w:r w:rsidRPr="007114AF">
              <w:rPr>
                <w:rFonts w:ascii="Garamond" w:hAnsi="Garamond"/>
                <w:bCs/>
                <w:iCs/>
                <w:sz w:val="18"/>
                <w:szCs w:val="18"/>
              </w:rPr>
              <w:t>Të mbështeten sektorët vendorë dhe kombëtarë që merren me ndryshimet klimatike.</w:t>
            </w:r>
          </w:p>
        </w:tc>
        <w:tc>
          <w:tcPr>
            <w:tcW w:w="1796" w:type="dxa"/>
            <w:shd w:val="clear" w:color="auto" w:fill="auto"/>
          </w:tcPr>
          <w:p w14:paraId="6EDD0DB5"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MZHETTS-ja</w:t>
            </w:r>
          </w:p>
        </w:tc>
      </w:tr>
      <w:tr w:rsidR="001C467C" w:rsidRPr="007114AF" w14:paraId="6EDD0DC2" w14:textId="77777777" w:rsidTr="001C467C">
        <w:tc>
          <w:tcPr>
            <w:tcW w:w="1728" w:type="dxa"/>
            <w:shd w:val="clear" w:color="auto" w:fill="auto"/>
          </w:tcPr>
          <w:p w14:paraId="6EDD0DB7" w14:textId="6B7E2322"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14: Rritja e nivelit të gatishmërisë së mbrojtjes civile dhe të zvogëlimit të rrezikut të fatkeqësive natyrore</w:t>
            </w:r>
          </w:p>
        </w:tc>
        <w:tc>
          <w:tcPr>
            <w:tcW w:w="2340" w:type="dxa"/>
            <w:shd w:val="clear" w:color="auto" w:fill="auto"/>
          </w:tcPr>
          <w:p w14:paraId="6EDD0DB8" w14:textId="77777777"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Rritja e kapacitetit të Drejtorisë së Përgjithshme të Emergjencave Civile për të parandaluar dhe kundërpërgjigjur fatkeqësive të lidhura me klimën.</w:t>
            </w:r>
          </w:p>
        </w:tc>
        <w:tc>
          <w:tcPr>
            <w:tcW w:w="3874" w:type="dxa"/>
            <w:shd w:val="clear" w:color="auto" w:fill="auto"/>
          </w:tcPr>
          <w:p w14:paraId="6EDD0DB9" w14:textId="1E32F2A2" w:rsidR="001C467C" w:rsidRPr="007114AF" w:rsidRDefault="001C467C" w:rsidP="00AE5FB3">
            <w:pPr>
              <w:numPr>
                <w:ilvl w:val="0"/>
                <w:numId w:val="14"/>
              </w:numPr>
              <w:tabs>
                <w:tab w:val="left" w:pos="342"/>
              </w:tabs>
              <w:spacing w:after="0" w:line="240" w:lineRule="auto"/>
              <w:ind w:left="0" w:firstLine="0"/>
              <w:rPr>
                <w:rFonts w:ascii="Garamond" w:hAnsi="Garamond"/>
                <w:bCs/>
                <w:iCs/>
                <w:sz w:val="18"/>
                <w:szCs w:val="18"/>
              </w:rPr>
            </w:pPr>
            <w:r w:rsidRPr="007114AF">
              <w:rPr>
                <w:rFonts w:ascii="Garamond" w:hAnsi="Garamond"/>
                <w:bCs/>
                <w:iCs/>
                <w:sz w:val="18"/>
                <w:szCs w:val="18"/>
              </w:rPr>
              <w:t>Të përgatitet një hart</w:t>
            </w:r>
            <w:r w:rsidR="00AE5FB3">
              <w:rPr>
                <w:rFonts w:ascii="Garamond" w:hAnsi="Garamond"/>
                <w:bCs/>
                <w:iCs/>
                <w:sz w:val="18"/>
                <w:szCs w:val="18"/>
              </w:rPr>
              <w:t>ë</w:t>
            </w:r>
            <w:r w:rsidRPr="007114AF">
              <w:rPr>
                <w:rFonts w:ascii="Garamond" w:hAnsi="Garamond"/>
                <w:bCs/>
                <w:iCs/>
                <w:sz w:val="18"/>
                <w:szCs w:val="18"/>
              </w:rPr>
              <w:t xml:space="preserve"> rajonale të rrezikshmërisë së përmbytjeve sipas </w:t>
            </w:r>
            <w:r w:rsidR="00AE5FB3" w:rsidRPr="007114AF">
              <w:rPr>
                <w:rFonts w:ascii="Garamond" w:hAnsi="Garamond"/>
                <w:bCs/>
                <w:iCs/>
                <w:sz w:val="18"/>
                <w:szCs w:val="18"/>
              </w:rPr>
              <w:t xml:space="preserve">direktivës </w:t>
            </w:r>
            <w:r w:rsidRPr="007114AF">
              <w:rPr>
                <w:rFonts w:ascii="Garamond" w:hAnsi="Garamond"/>
                <w:bCs/>
                <w:iCs/>
                <w:sz w:val="18"/>
                <w:szCs w:val="18"/>
              </w:rPr>
              <w:t xml:space="preserve">së BE-së për </w:t>
            </w:r>
            <w:r w:rsidR="00AE5FB3" w:rsidRPr="007114AF">
              <w:rPr>
                <w:rFonts w:ascii="Garamond" w:hAnsi="Garamond"/>
                <w:bCs/>
                <w:iCs/>
                <w:sz w:val="18"/>
                <w:szCs w:val="18"/>
              </w:rPr>
              <w:t>përmbytjet</w:t>
            </w:r>
            <w:r w:rsidRPr="007114AF">
              <w:rPr>
                <w:rFonts w:ascii="Garamond" w:hAnsi="Garamond"/>
                <w:bCs/>
                <w:iCs/>
                <w:sz w:val="18"/>
                <w:szCs w:val="18"/>
              </w:rPr>
              <w:t>.</w:t>
            </w:r>
          </w:p>
          <w:p w14:paraId="6EDD0DBA" w14:textId="1C2246AA" w:rsidR="001C467C" w:rsidRPr="007114AF" w:rsidRDefault="001C467C" w:rsidP="00AE5FB3">
            <w:pPr>
              <w:numPr>
                <w:ilvl w:val="0"/>
                <w:numId w:val="14"/>
              </w:numPr>
              <w:tabs>
                <w:tab w:val="left" w:pos="342"/>
              </w:tabs>
              <w:spacing w:after="0" w:line="240" w:lineRule="auto"/>
              <w:ind w:left="0" w:firstLine="0"/>
              <w:rPr>
                <w:rFonts w:ascii="Garamond" w:hAnsi="Garamond"/>
                <w:bCs/>
                <w:iCs/>
                <w:sz w:val="18"/>
                <w:szCs w:val="18"/>
              </w:rPr>
            </w:pPr>
            <w:r w:rsidRPr="007114AF">
              <w:rPr>
                <w:rFonts w:ascii="Garamond" w:hAnsi="Garamond"/>
                <w:bCs/>
                <w:iCs/>
                <w:sz w:val="18"/>
                <w:szCs w:val="18"/>
              </w:rPr>
              <w:t>Të përgatitet</w:t>
            </w:r>
            <w:r w:rsidR="00AE5FB3">
              <w:rPr>
                <w:rFonts w:ascii="Garamond" w:hAnsi="Garamond"/>
                <w:bCs/>
                <w:iCs/>
                <w:sz w:val="18"/>
                <w:szCs w:val="18"/>
              </w:rPr>
              <w:t xml:space="preserve"> </w:t>
            </w:r>
            <w:r w:rsidRPr="007114AF">
              <w:rPr>
                <w:rFonts w:ascii="Garamond" w:hAnsi="Garamond"/>
                <w:bCs/>
                <w:iCs/>
                <w:sz w:val="18"/>
                <w:szCs w:val="18"/>
              </w:rPr>
              <w:t>një</w:t>
            </w:r>
            <w:r w:rsidR="000A2A01" w:rsidRPr="007114AF">
              <w:rPr>
                <w:rFonts w:ascii="Garamond" w:hAnsi="Garamond"/>
                <w:bCs/>
                <w:iCs/>
                <w:sz w:val="18"/>
                <w:szCs w:val="18"/>
              </w:rPr>
              <w:t xml:space="preserve"> </w:t>
            </w:r>
            <w:r w:rsidRPr="007114AF">
              <w:rPr>
                <w:rFonts w:ascii="Garamond" w:hAnsi="Garamond"/>
                <w:bCs/>
                <w:iCs/>
                <w:sz w:val="18"/>
                <w:szCs w:val="18"/>
              </w:rPr>
              <w:t>Sistem i Paralajmërimit të Hershëm të Përmbytjeve dhe integrimi i tij në Sistemin Evropian të Ndërgjegjësimit për Përmbytjet (EFAS)</w:t>
            </w:r>
          </w:p>
          <w:p w14:paraId="6EDD0DBB" w14:textId="77777777" w:rsidR="001C467C" w:rsidRPr="007114AF" w:rsidRDefault="001C467C" w:rsidP="00AE5FB3">
            <w:pPr>
              <w:numPr>
                <w:ilvl w:val="0"/>
                <w:numId w:val="14"/>
              </w:numPr>
              <w:tabs>
                <w:tab w:val="left" w:pos="342"/>
              </w:tabs>
              <w:spacing w:after="0" w:line="240" w:lineRule="auto"/>
              <w:ind w:left="0" w:firstLine="0"/>
              <w:rPr>
                <w:rFonts w:ascii="Garamond" w:hAnsi="Garamond"/>
                <w:bCs/>
                <w:iCs/>
                <w:sz w:val="18"/>
                <w:szCs w:val="18"/>
              </w:rPr>
            </w:pPr>
            <w:r w:rsidRPr="007114AF">
              <w:rPr>
                <w:rFonts w:ascii="Garamond" w:hAnsi="Garamond"/>
                <w:bCs/>
                <w:iCs/>
                <w:sz w:val="18"/>
                <w:szCs w:val="18"/>
              </w:rPr>
              <w:t>Të përgatitet analiza kosto-përfitim, vendosje prioritetesh dhe financim i masave në fuqizimin e sistemeve të lajmërimit të përmbytjeve.</w:t>
            </w:r>
          </w:p>
          <w:p w14:paraId="6EDD0DBC" w14:textId="71B3B4FB" w:rsidR="001C467C" w:rsidRPr="007114AF" w:rsidRDefault="001C467C" w:rsidP="00AE5FB3">
            <w:pPr>
              <w:numPr>
                <w:ilvl w:val="0"/>
                <w:numId w:val="14"/>
              </w:numPr>
              <w:tabs>
                <w:tab w:val="left" w:pos="342"/>
              </w:tabs>
              <w:spacing w:after="0" w:line="240" w:lineRule="auto"/>
              <w:ind w:left="0" w:firstLine="0"/>
              <w:rPr>
                <w:rFonts w:ascii="Garamond" w:hAnsi="Garamond"/>
                <w:bCs/>
                <w:iCs/>
                <w:sz w:val="18"/>
                <w:szCs w:val="18"/>
              </w:rPr>
            </w:pPr>
            <w:r w:rsidRPr="007114AF">
              <w:rPr>
                <w:rFonts w:ascii="Garamond" w:hAnsi="Garamond"/>
                <w:bCs/>
                <w:iCs/>
                <w:sz w:val="18"/>
                <w:szCs w:val="18"/>
              </w:rPr>
              <w:t>Ndërgjegjësimi/Dukshmëria/ komunikimi: të përmirësohet ndërgjegjësimi publik për përmbytjet, nëpërmjet informimit për riskun, sistemeve të sinjalizimit të hershëm dhe planeve që duhen ndjekur në rast situate të jashtëzakonshme.</w:t>
            </w:r>
          </w:p>
          <w:p w14:paraId="6EDD0DBD" w14:textId="77777777" w:rsidR="001C467C" w:rsidRPr="007114AF" w:rsidRDefault="001C467C" w:rsidP="00AE5FB3">
            <w:pPr>
              <w:numPr>
                <w:ilvl w:val="0"/>
                <w:numId w:val="14"/>
              </w:numPr>
              <w:tabs>
                <w:tab w:val="left" w:pos="342"/>
              </w:tabs>
              <w:spacing w:after="0" w:line="240" w:lineRule="auto"/>
              <w:ind w:left="0" w:firstLine="0"/>
              <w:rPr>
                <w:rFonts w:ascii="Garamond" w:hAnsi="Garamond"/>
                <w:bCs/>
                <w:iCs/>
                <w:sz w:val="18"/>
                <w:szCs w:val="18"/>
              </w:rPr>
            </w:pPr>
            <w:r w:rsidRPr="007114AF">
              <w:rPr>
                <w:rFonts w:ascii="Garamond" w:hAnsi="Garamond"/>
                <w:bCs/>
                <w:iCs/>
                <w:sz w:val="18"/>
                <w:szCs w:val="18"/>
              </w:rPr>
              <w:t>Të mbështetet Shqipëria në përgatitjen për anëtarësim në Mekanizmin e Bashkimit Evropian për Mbrojtjen Civile (EUCPM).</w:t>
            </w:r>
          </w:p>
          <w:p w14:paraId="6EDD0DBE" w14:textId="77777777" w:rsidR="001C467C" w:rsidRPr="007114AF" w:rsidRDefault="001C467C" w:rsidP="00AE5FB3">
            <w:pPr>
              <w:numPr>
                <w:ilvl w:val="0"/>
                <w:numId w:val="14"/>
              </w:numPr>
              <w:tabs>
                <w:tab w:val="left" w:pos="342"/>
              </w:tabs>
              <w:spacing w:after="0" w:line="240" w:lineRule="auto"/>
              <w:ind w:left="0" w:firstLine="0"/>
              <w:rPr>
                <w:rFonts w:ascii="Garamond" w:hAnsi="Garamond"/>
                <w:bCs/>
                <w:iCs/>
                <w:sz w:val="18"/>
                <w:szCs w:val="18"/>
              </w:rPr>
            </w:pPr>
            <w:r w:rsidRPr="007114AF">
              <w:rPr>
                <w:rFonts w:ascii="Garamond" w:hAnsi="Garamond"/>
                <w:bCs/>
                <w:iCs/>
                <w:sz w:val="18"/>
                <w:szCs w:val="18"/>
              </w:rPr>
              <w:t>Të mbështetet IGJEUM-i për fuqizimin e rrjetit dhe shërbimeve hidrometeorologjike</w:t>
            </w:r>
          </w:p>
          <w:p w14:paraId="6EDD0DBF" w14:textId="77777777" w:rsidR="001C467C" w:rsidRPr="007114AF" w:rsidRDefault="001C467C" w:rsidP="00AE5FB3">
            <w:pPr>
              <w:numPr>
                <w:ilvl w:val="0"/>
                <w:numId w:val="14"/>
              </w:numPr>
              <w:tabs>
                <w:tab w:val="left" w:pos="342"/>
              </w:tabs>
              <w:spacing w:after="0" w:line="240" w:lineRule="auto"/>
              <w:ind w:left="0" w:firstLine="0"/>
              <w:rPr>
                <w:rFonts w:ascii="Garamond" w:hAnsi="Garamond"/>
                <w:bCs/>
                <w:iCs/>
                <w:sz w:val="18"/>
                <w:szCs w:val="18"/>
              </w:rPr>
            </w:pPr>
          </w:p>
        </w:tc>
        <w:tc>
          <w:tcPr>
            <w:tcW w:w="1796" w:type="dxa"/>
            <w:shd w:val="clear" w:color="auto" w:fill="auto"/>
          </w:tcPr>
          <w:p w14:paraId="6EDD0DC0"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Brendshme</w:t>
            </w:r>
          </w:p>
          <w:p w14:paraId="6EDD0DC1"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IGJEUM-i</w:t>
            </w:r>
          </w:p>
        </w:tc>
      </w:tr>
      <w:tr w:rsidR="001C467C" w:rsidRPr="007114AF" w14:paraId="6EDD0DCB" w14:textId="77777777" w:rsidTr="000F7378">
        <w:trPr>
          <w:trHeight w:val="3181"/>
        </w:trPr>
        <w:tc>
          <w:tcPr>
            <w:tcW w:w="1728" w:type="dxa"/>
            <w:shd w:val="clear" w:color="auto" w:fill="auto"/>
          </w:tcPr>
          <w:p w14:paraId="6EDD0DC3" w14:textId="5E5EDFED" w:rsidR="001C467C" w:rsidRPr="007114AF" w:rsidRDefault="008D30FC" w:rsidP="001C467C">
            <w:pPr>
              <w:spacing w:after="0" w:line="240" w:lineRule="auto"/>
              <w:rPr>
                <w:rFonts w:ascii="Garamond" w:hAnsi="Garamond"/>
                <w:bCs/>
                <w:iCs/>
                <w:sz w:val="18"/>
                <w:szCs w:val="18"/>
              </w:rPr>
            </w:pPr>
            <w:r w:rsidRPr="007114AF">
              <w:rPr>
                <w:rFonts w:ascii="Garamond" w:hAnsi="Garamond"/>
                <w:bCs/>
                <w:iCs/>
                <w:sz w:val="18"/>
                <w:szCs w:val="18"/>
              </w:rPr>
              <w:t xml:space="preserve">Nr. </w:t>
            </w:r>
            <w:r w:rsidR="001C467C" w:rsidRPr="007114AF">
              <w:rPr>
                <w:rFonts w:ascii="Garamond" w:hAnsi="Garamond"/>
                <w:bCs/>
                <w:iCs/>
                <w:sz w:val="18"/>
                <w:szCs w:val="18"/>
              </w:rPr>
              <w:t xml:space="preserve">15: Ndërtimi për Rikuperimin e Lagunës </w:t>
            </w:r>
            <w:r w:rsidR="00FE05E1">
              <w:rPr>
                <w:rFonts w:ascii="Garamond" w:hAnsi="Garamond"/>
                <w:bCs/>
                <w:iCs/>
                <w:sz w:val="18"/>
                <w:szCs w:val="18"/>
              </w:rPr>
              <w:t>Kune–Vain</w:t>
            </w:r>
            <w:r w:rsidR="001C467C" w:rsidRPr="007114AF">
              <w:rPr>
                <w:rFonts w:ascii="Garamond" w:hAnsi="Garamond"/>
                <w:bCs/>
                <w:iCs/>
                <w:sz w:val="18"/>
                <w:szCs w:val="18"/>
              </w:rPr>
              <w:t>i nëpërmjet Adaptimit me bazë Ekosistemin.</w:t>
            </w:r>
          </w:p>
        </w:tc>
        <w:tc>
          <w:tcPr>
            <w:tcW w:w="2340" w:type="dxa"/>
            <w:shd w:val="clear" w:color="auto" w:fill="auto"/>
          </w:tcPr>
          <w:p w14:paraId="6EDD0DC4" w14:textId="61BFF4E1" w:rsidR="001C467C" w:rsidRPr="007114AF" w:rsidRDefault="001C467C" w:rsidP="00037830">
            <w:pPr>
              <w:numPr>
                <w:ilvl w:val="0"/>
                <w:numId w:val="13"/>
              </w:numPr>
              <w:spacing w:after="0" w:line="240" w:lineRule="auto"/>
              <w:ind w:left="0" w:firstLine="0"/>
              <w:rPr>
                <w:rFonts w:ascii="Garamond" w:hAnsi="Garamond"/>
                <w:sz w:val="18"/>
                <w:szCs w:val="18"/>
              </w:rPr>
            </w:pPr>
            <w:r w:rsidRPr="007114AF">
              <w:rPr>
                <w:rFonts w:ascii="Garamond" w:hAnsi="Garamond"/>
                <w:bCs/>
                <w:iCs/>
                <w:sz w:val="18"/>
                <w:szCs w:val="18"/>
              </w:rPr>
              <w:t xml:space="preserve">Efektet e ndryshimeve klimatike në sisteme Kune- Vainit do të adresohen përmes një sërë ndërhyrjesh përshtatëse </w:t>
            </w:r>
            <w:r w:rsidR="00AE5FB3" w:rsidRPr="007114AF">
              <w:rPr>
                <w:rFonts w:ascii="Garamond" w:hAnsi="Garamond"/>
                <w:bCs/>
                <w:iCs/>
                <w:sz w:val="18"/>
                <w:szCs w:val="18"/>
              </w:rPr>
              <w:t>përfshirë</w:t>
            </w:r>
            <w:r w:rsidRPr="007114AF">
              <w:rPr>
                <w:rFonts w:ascii="Garamond" w:hAnsi="Garamond"/>
                <w:bCs/>
                <w:iCs/>
                <w:sz w:val="18"/>
                <w:szCs w:val="18"/>
              </w:rPr>
              <w:t xml:space="preserve"> këtu Adaptimin me bazë Ekosistemin EbA</w:t>
            </w:r>
          </w:p>
        </w:tc>
        <w:tc>
          <w:tcPr>
            <w:tcW w:w="3874" w:type="dxa"/>
            <w:shd w:val="clear" w:color="auto" w:fill="auto"/>
          </w:tcPr>
          <w:p w14:paraId="6EDD0DC5" w14:textId="2F1518D3"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 xml:space="preserve">Rritja e aftësisë përshtatëse të qeverisjes lokale dhe komuniteteve që jetojnë pranë e sistemit lagunor të </w:t>
            </w:r>
            <w:r w:rsidR="00FE05E1">
              <w:rPr>
                <w:rFonts w:ascii="Garamond" w:hAnsi="Garamond"/>
                <w:bCs/>
                <w:iCs/>
                <w:sz w:val="18"/>
                <w:szCs w:val="18"/>
              </w:rPr>
              <w:t>Kune–Vain</w:t>
            </w:r>
            <w:r w:rsidRPr="007114AF">
              <w:rPr>
                <w:rFonts w:ascii="Garamond" w:hAnsi="Garamond"/>
                <w:bCs/>
                <w:iCs/>
                <w:sz w:val="18"/>
                <w:szCs w:val="18"/>
              </w:rPr>
              <w:t>it, ndaj ndryshimeve klimatike duke përdorur një gamë ndërhyrjesh në adaptim, përfshirë Adaptimin me bazë Ekosistemin</w:t>
            </w:r>
          </w:p>
          <w:p w14:paraId="6EDD0DC6" w14:textId="0476796F" w:rsidR="001C467C" w:rsidRPr="007114AF" w:rsidRDefault="001C467C" w:rsidP="00037830">
            <w:pPr>
              <w:numPr>
                <w:ilvl w:val="0"/>
                <w:numId w:val="13"/>
              </w:numPr>
              <w:spacing w:after="0" w:line="240" w:lineRule="auto"/>
              <w:ind w:left="0" w:firstLine="0"/>
              <w:rPr>
                <w:rFonts w:ascii="Garamond" w:hAnsi="Garamond"/>
                <w:bCs/>
                <w:iCs/>
                <w:sz w:val="18"/>
                <w:szCs w:val="18"/>
              </w:rPr>
            </w:pPr>
            <w:r w:rsidRPr="007114AF">
              <w:rPr>
                <w:rFonts w:ascii="Garamond" w:hAnsi="Garamond"/>
                <w:bCs/>
                <w:iCs/>
                <w:sz w:val="18"/>
                <w:szCs w:val="18"/>
              </w:rPr>
              <w:t xml:space="preserve">Ndërtimi për Rikuperimin e Lagunës </w:t>
            </w:r>
            <w:r w:rsidR="00FE05E1">
              <w:rPr>
                <w:rFonts w:ascii="Garamond" w:hAnsi="Garamond"/>
                <w:bCs/>
                <w:iCs/>
                <w:sz w:val="18"/>
                <w:szCs w:val="18"/>
              </w:rPr>
              <w:t>Kune–Vain</w:t>
            </w:r>
            <w:r w:rsidRPr="007114AF">
              <w:rPr>
                <w:rFonts w:ascii="Garamond" w:hAnsi="Garamond"/>
                <w:bCs/>
                <w:iCs/>
                <w:sz w:val="18"/>
                <w:szCs w:val="18"/>
              </w:rPr>
              <w:t>i, nëpërmjet Adaptimit me bazë Ekosistemin, duke përdorur demonstrimin e praktikave më të mira dhe konkrete të EbA-s</w:t>
            </w:r>
            <w:r w:rsidR="000A2A01" w:rsidRPr="007114AF">
              <w:rPr>
                <w:rFonts w:ascii="Garamond" w:hAnsi="Garamond"/>
                <w:bCs/>
                <w:iCs/>
                <w:sz w:val="18"/>
                <w:szCs w:val="18"/>
              </w:rPr>
              <w:t xml:space="preserve"> </w:t>
            </w:r>
            <w:r w:rsidRPr="007114AF">
              <w:rPr>
                <w:rFonts w:ascii="Garamond" w:hAnsi="Garamond"/>
                <w:bCs/>
                <w:iCs/>
                <w:sz w:val="18"/>
                <w:szCs w:val="18"/>
              </w:rPr>
              <w:t>dhe ndërhyrje të tjera për përshtatjen</w:t>
            </w:r>
          </w:p>
          <w:p w14:paraId="6EDD0DC7" w14:textId="77777777" w:rsidR="001C467C" w:rsidRPr="007114AF" w:rsidRDefault="001C467C" w:rsidP="00037830">
            <w:pPr>
              <w:numPr>
                <w:ilvl w:val="0"/>
                <w:numId w:val="14"/>
              </w:numPr>
              <w:spacing w:after="0" w:line="240" w:lineRule="auto"/>
              <w:ind w:left="0" w:firstLine="0"/>
              <w:rPr>
                <w:rFonts w:ascii="Garamond" w:hAnsi="Garamond"/>
                <w:bCs/>
                <w:iCs/>
                <w:sz w:val="18"/>
                <w:szCs w:val="18"/>
              </w:rPr>
            </w:pPr>
            <w:r w:rsidRPr="007114AF">
              <w:rPr>
                <w:rFonts w:ascii="Garamond" w:hAnsi="Garamond"/>
                <w:bCs/>
                <w:iCs/>
                <w:sz w:val="18"/>
                <w:szCs w:val="18"/>
              </w:rPr>
              <w:t>Rritja e ndërgjegjësimit të aktorëve lokale dhe kombëtare ndaj rreziqeve të ndryshimeve klimatike dhe rikuperimit nëpërmjet sistemit EbA për rritjen e rezistencës së komuniteteve lokale ndaj ndryshimet klimatike</w:t>
            </w:r>
          </w:p>
        </w:tc>
        <w:tc>
          <w:tcPr>
            <w:tcW w:w="1796" w:type="dxa"/>
            <w:shd w:val="clear" w:color="auto" w:fill="auto"/>
          </w:tcPr>
          <w:p w14:paraId="6EDD0DC8"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Ministria e Turizmit dhe Mjedisit</w:t>
            </w:r>
          </w:p>
          <w:p w14:paraId="6EDD0DC9"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GEF-i</w:t>
            </w:r>
          </w:p>
          <w:p w14:paraId="6EDD0DCA" w14:textId="77777777" w:rsidR="001C467C" w:rsidRPr="007114AF" w:rsidRDefault="001C467C" w:rsidP="001C467C">
            <w:pPr>
              <w:spacing w:after="0" w:line="240" w:lineRule="auto"/>
              <w:rPr>
                <w:rFonts w:ascii="Garamond" w:hAnsi="Garamond"/>
                <w:bCs/>
                <w:iCs/>
                <w:sz w:val="18"/>
                <w:szCs w:val="18"/>
              </w:rPr>
            </w:pPr>
            <w:r w:rsidRPr="007114AF">
              <w:rPr>
                <w:rFonts w:ascii="Garamond" w:hAnsi="Garamond"/>
                <w:bCs/>
                <w:iCs/>
                <w:sz w:val="18"/>
                <w:szCs w:val="18"/>
              </w:rPr>
              <w:t>UNEP-i</w:t>
            </w:r>
          </w:p>
        </w:tc>
      </w:tr>
    </w:tbl>
    <w:p w14:paraId="6EDD0DCC" w14:textId="77777777" w:rsidR="009344C8" w:rsidRPr="007114AF" w:rsidRDefault="009344C8" w:rsidP="00CB4F2D">
      <w:pPr>
        <w:pStyle w:val="TEKSTI"/>
      </w:pPr>
    </w:p>
    <w:p w14:paraId="6EDD0DCD" w14:textId="77777777" w:rsidR="00527BA6" w:rsidRPr="007114AF" w:rsidRDefault="00527BA6" w:rsidP="00527BA6">
      <w:pPr>
        <w:pStyle w:val="FIGURA"/>
        <w:rPr>
          <w:sz w:val="20"/>
          <w:szCs w:val="20"/>
        </w:rPr>
      </w:pPr>
      <w:r w:rsidRPr="007114AF">
        <w:rPr>
          <w:sz w:val="20"/>
          <w:szCs w:val="20"/>
        </w:rPr>
        <w:t xml:space="preserve">Tabela 20: Lista e masave të përcaktuara si Veprime Prioritare </w:t>
      </w:r>
      <w:bookmarkStart w:id="190" w:name="_Toc483570135"/>
    </w:p>
    <w:p w14:paraId="6EDD0DCE" w14:textId="77777777" w:rsidR="00527BA6" w:rsidRPr="007114AF" w:rsidRDefault="00527BA6" w:rsidP="00527BA6">
      <w:pPr>
        <w:pStyle w:val="TEKSTI"/>
      </w:pPr>
      <w:bookmarkStart w:id="191" w:name="_Toc481087170"/>
      <w:bookmarkStart w:id="192" w:name="_Toc484424533"/>
      <w:bookmarkStart w:id="193" w:name="_Toc479926080"/>
    </w:p>
    <w:p w14:paraId="6EDD0DCF" w14:textId="77777777" w:rsidR="00527BA6" w:rsidRPr="007114AF" w:rsidRDefault="00C81C76" w:rsidP="00527BA6">
      <w:pPr>
        <w:pStyle w:val="TEKSTI"/>
        <w:rPr>
          <w:b/>
        </w:rPr>
      </w:pPr>
      <w:r w:rsidRPr="007114AF">
        <w:rPr>
          <w:b/>
        </w:rPr>
        <w:t xml:space="preserve">6.2 </w:t>
      </w:r>
      <w:r w:rsidR="00527BA6" w:rsidRPr="007114AF">
        <w:rPr>
          <w:b/>
        </w:rPr>
        <w:t>Përshkrim i detajuar i Veprimeve Prioritare</w:t>
      </w:r>
      <w:bookmarkEnd w:id="191"/>
      <w:bookmarkEnd w:id="192"/>
      <w:bookmarkEnd w:id="193"/>
    </w:p>
    <w:p w14:paraId="6EDD0DD0" w14:textId="1CAE9CE9" w:rsidR="00527BA6" w:rsidRPr="007114AF" w:rsidRDefault="00527BA6" w:rsidP="00527BA6">
      <w:pPr>
        <w:pStyle w:val="TEKSTI"/>
        <w:rPr>
          <w:b/>
          <w:lang w:eastAsia="en-US"/>
        </w:rPr>
      </w:pPr>
      <w:bookmarkStart w:id="194" w:name="_Toc479083889"/>
      <w:bookmarkStart w:id="195" w:name="_Toc483570136"/>
      <w:bookmarkStart w:id="196" w:name="_Toc484424534"/>
      <w:bookmarkEnd w:id="190"/>
      <w:r w:rsidRPr="007114AF">
        <w:rPr>
          <w:b/>
          <w:lang w:eastAsia="en-US"/>
        </w:rPr>
        <w:t>6.2.1</w:t>
      </w:r>
      <w:bookmarkStart w:id="197" w:name="_Toc481087171"/>
      <w:bookmarkStart w:id="198" w:name="_Toc479926081"/>
      <w:bookmarkEnd w:id="194"/>
      <w:bookmarkEnd w:id="195"/>
      <w:r w:rsidRPr="007114AF">
        <w:rPr>
          <w:b/>
          <w:lang w:eastAsia="en-US"/>
        </w:rPr>
        <w:t xml:space="preserve"> Veprimi Prioritar</w:t>
      </w:r>
      <w:r w:rsidR="00242009" w:rsidRPr="007114AF">
        <w:rPr>
          <w:b/>
          <w:lang w:eastAsia="en-US"/>
        </w:rPr>
        <w:t xml:space="preserve"> nr. </w:t>
      </w:r>
      <w:r w:rsidRPr="007114AF">
        <w:rPr>
          <w:b/>
          <w:lang w:eastAsia="en-US"/>
        </w:rPr>
        <w:t>1</w:t>
      </w:r>
      <w:bookmarkEnd w:id="196"/>
      <w:bookmarkEnd w:id="197"/>
      <w:bookmarkEnd w:id="19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C81C76" w:rsidRPr="007114AF" w14:paraId="6EDD0DD5" w14:textId="77777777" w:rsidTr="00574660">
        <w:tc>
          <w:tcPr>
            <w:tcW w:w="4606" w:type="dxa"/>
            <w:shd w:val="clear" w:color="auto" w:fill="C6D9F1" w:themeFill="text2" w:themeFillTint="33"/>
          </w:tcPr>
          <w:p w14:paraId="6EDD0DD1" w14:textId="77777777" w:rsidR="00C81C76" w:rsidRPr="007114AF" w:rsidRDefault="00C81C76" w:rsidP="00C81C76">
            <w:pPr>
              <w:pBdr>
                <w:bar w:val="single" w:sz="4" w:color="FF8080"/>
              </w:pBdr>
              <w:spacing w:after="0" w:line="240" w:lineRule="auto"/>
              <w:rPr>
                <w:rFonts w:ascii="Garamond" w:hAnsi="Garamond"/>
                <w:b/>
                <w:bCs/>
              </w:rPr>
            </w:pPr>
            <w:r w:rsidRPr="007114AF">
              <w:rPr>
                <w:rFonts w:ascii="Garamond" w:hAnsi="Garamond"/>
                <w:b/>
                <w:bCs/>
              </w:rPr>
              <w:t>Titullii veprimit prioritar</w:t>
            </w:r>
          </w:p>
          <w:p w14:paraId="6EDD0DD2" w14:textId="77777777" w:rsidR="00C81C76" w:rsidRPr="007114AF" w:rsidRDefault="00C81C76" w:rsidP="00C81C76">
            <w:pPr>
              <w:spacing w:after="0" w:line="240" w:lineRule="auto"/>
              <w:rPr>
                <w:rFonts w:ascii="Garamond" w:hAnsi="Garamond"/>
                <w:b/>
                <w:bCs/>
                <w:iCs/>
              </w:rPr>
            </w:pPr>
            <w:r w:rsidRPr="007114AF">
              <w:rPr>
                <w:rFonts w:ascii="Garamond" w:hAnsi="Garamond"/>
                <w:b/>
                <w:bCs/>
                <w:iCs/>
              </w:rPr>
              <w:t>Drejtimi i procesit të përshtatjes në Shqipëri</w:t>
            </w:r>
          </w:p>
        </w:tc>
        <w:tc>
          <w:tcPr>
            <w:tcW w:w="4606" w:type="dxa"/>
            <w:shd w:val="clear" w:color="auto" w:fill="C6D9F1" w:themeFill="text2" w:themeFillTint="33"/>
          </w:tcPr>
          <w:p w14:paraId="6EDD0DD3" w14:textId="77777777" w:rsidR="00C81C76" w:rsidRPr="007114AF" w:rsidRDefault="00C81C76" w:rsidP="00C81C76">
            <w:pPr>
              <w:pBdr>
                <w:bar w:val="single" w:sz="4" w:color="FF8080"/>
              </w:pBdr>
              <w:spacing w:after="0" w:line="240" w:lineRule="auto"/>
              <w:rPr>
                <w:rFonts w:ascii="Garamond" w:hAnsi="Garamond"/>
                <w:b/>
                <w:bCs/>
              </w:rPr>
            </w:pPr>
            <w:r w:rsidRPr="007114AF">
              <w:rPr>
                <w:rFonts w:ascii="Garamond" w:hAnsi="Garamond"/>
                <w:b/>
                <w:bCs/>
              </w:rPr>
              <w:t>Agjencia / Ministria kryesuese përgjegjëse</w:t>
            </w:r>
          </w:p>
          <w:p w14:paraId="6EDD0DD4" w14:textId="77777777" w:rsidR="00C81C76" w:rsidRPr="007114AF" w:rsidRDefault="00C81C76" w:rsidP="00C81C76">
            <w:pPr>
              <w:spacing w:after="0" w:line="240" w:lineRule="auto"/>
              <w:rPr>
                <w:rFonts w:ascii="Garamond" w:hAnsi="Garamond"/>
                <w:b/>
                <w:bCs/>
                <w:iCs/>
              </w:rPr>
            </w:pPr>
            <w:r w:rsidRPr="007114AF">
              <w:rPr>
                <w:rFonts w:ascii="Garamond" w:hAnsi="Garamond"/>
                <w:b/>
                <w:bCs/>
                <w:iCs/>
              </w:rPr>
              <w:t>Ministria e Turizmit dhe Mjedisit</w:t>
            </w:r>
          </w:p>
        </w:tc>
      </w:tr>
      <w:tr w:rsidR="00C81C76" w:rsidRPr="007114AF" w14:paraId="6EDD0DDF" w14:textId="77777777" w:rsidTr="00574660">
        <w:tc>
          <w:tcPr>
            <w:tcW w:w="9212" w:type="dxa"/>
            <w:gridSpan w:val="2"/>
            <w:shd w:val="clear" w:color="auto" w:fill="auto"/>
          </w:tcPr>
          <w:p w14:paraId="6EDD0DD6" w14:textId="77777777" w:rsidR="00C81C76" w:rsidRPr="007114AF" w:rsidRDefault="00C81C76" w:rsidP="00C81C76">
            <w:pPr>
              <w:spacing w:after="0" w:line="240" w:lineRule="auto"/>
              <w:rPr>
                <w:rFonts w:ascii="Garamond" w:hAnsi="Garamond"/>
                <w:b/>
                <w:bCs/>
              </w:rPr>
            </w:pPr>
            <w:r w:rsidRPr="007114AF">
              <w:rPr>
                <w:rFonts w:ascii="Garamond" w:hAnsi="Garamond"/>
                <w:b/>
                <w:bCs/>
              </w:rPr>
              <w:t>Situata ekzistuese mbi të cilën mbështetet veprimi prioritar</w:t>
            </w:r>
          </w:p>
          <w:p w14:paraId="6EDD0DD7" w14:textId="7F7E1296" w:rsidR="00C81C76" w:rsidRPr="007114AF" w:rsidRDefault="00C81C76" w:rsidP="00C81C76">
            <w:pPr>
              <w:spacing w:after="0" w:line="240" w:lineRule="auto"/>
              <w:rPr>
                <w:rFonts w:ascii="Garamond" w:hAnsi="Garamond"/>
                <w:bCs/>
              </w:rPr>
            </w:pPr>
            <w:r w:rsidRPr="007114AF">
              <w:rPr>
                <w:rFonts w:ascii="Garamond" w:hAnsi="Garamond"/>
                <w:bCs/>
                <w:iCs/>
              </w:rPr>
              <w:t xml:space="preserve">NAP-i për Shqipërinë orientohet nga parimet e parashikuara në </w:t>
            </w:r>
            <w:r w:rsidR="00AE5FB3" w:rsidRPr="007114AF">
              <w:rPr>
                <w:rFonts w:ascii="Garamond" w:hAnsi="Garamond"/>
                <w:bCs/>
                <w:iCs/>
              </w:rPr>
              <w:t xml:space="preserve">udhëzimet teknike </w:t>
            </w:r>
            <w:r w:rsidRPr="007114AF">
              <w:rPr>
                <w:rFonts w:ascii="Garamond" w:hAnsi="Garamond"/>
                <w:bCs/>
                <w:iCs/>
              </w:rPr>
              <w:t>për NAP-in. Në bazë të kësaj, NAP-</w:t>
            </w:r>
            <w:r w:rsidR="00AE5FB3">
              <w:rPr>
                <w:rFonts w:ascii="Garamond" w:hAnsi="Garamond"/>
                <w:bCs/>
                <w:iCs/>
              </w:rPr>
              <w:t>i</w:t>
            </w:r>
            <w:r w:rsidRPr="007114AF">
              <w:rPr>
                <w:rFonts w:ascii="Garamond" w:hAnsi="Garamond"/>
                <w:bCs/>
                <w:iCs/>
              </w:rPr>
              <w:t xml:space="preserve"> duhet të ndërtohet si një proces i vazhdueshëm, për një periudhë të gjatë kohore, që përfshin elementet e hartimit të planit, zbatimit të tij dhe nxjerrjen</w:t>
            </w:r>
            <w:r w:rsidR="00AE5FB3">
              <w:rPr>
                <w:rFonts w:ascii="Garamond" w:hAnsi="Garamond"/>
                <w:bCs/>
                <w:iCs/>
              </w:rPr>
              <w:t xml:space="preserve"> </w:t>
            </w:r>
            <w:r w:rsidRPr="007114AF">
              <w:rPr>
                <w:rFonts w:ascii="Garamond" w:hAnsi="Garamond"/>
                <w:bCs/>
                <w:iCs/>
              </w:rPr>
              <w:t>e</w:t>
            </w:r>
            <w:r w:rsidR="00AE5FB3">
              <w:rPr>
                <w:rFonts w:ascii="Garamond" w:hAnsi="Garamond"/>
                <w:bCs/>
                <w:iCs/>
              </w:rPr>
              <w:t xml:space="preserve"> </w:t>
            </w:r>
            <w:r w:rsidRPr="007114AF">
              <w:rPr>
                <w:rFonts w:ascii="Garamond" w:hAnsi="Garamond"/>
                <w:bCs/>
                <w:iCs/>
              </w:rPr>
              <w:t xml:space="preserve">mësimeve nga përvojat. NAP-I shqiptar ka filluar tashmë me disa procese, si hapa që orientohen edhe nga </w:t>
            </w:r>
            <w:r w:rsidR="00AE5FB3" w:rsidRPr="007114AF">
              <w:rPr>
                <w:rFonts w:ascii="Garamond" w:hAnsi="Garamond"/>
                <w:bCs/>
                <w:iCs/>
              </w:rPr>
              <w:t xml:space="preserve">udhëzimet teknike </w:t>
            </w:r>
            <w:r w:rsidRPr="007114AF">
              <w:rPr>
                <w:rFonts w:ascii="Garamond" w:hAnsi="Garamond"/>
                <w:bCs/>
                <w:iCs/>
              </w:rPr>
              <w:t>të NAP-it:</w:t>
            </w:r>
          </w:p>
          <w:p w14:paraId="6EDD0DD8" w14:textId="61CC2AE7" w:rsidR="00C81C76" w:rsidRPr="007114AF" w:rsidRDefault="00C81C76" w:rsidP="00037830">
            <w:pPr>
              <w:numPr>
                <w:ilvl w:val="0"/>
                <w:numId w:val="17"/>
              </w:numPr>
              <w:spacing w:after="0" w:line="240" w:lineRule="auto"/>
              <w:ind w:left="0" w:firstLine="0"/>
              <w:rPr>
                <w:rFonts w:ascii="Garamond" w:hAnsi="Garamond"/>
                <w:bCs/>
              </w:rPr>
            </w:pPr>
            <w:r w:rsidRPr="007114AF">
              <w:rPr>
                <w:rFonts w:ascii="Garamond" w:hAnsi="Garamond"/>
                <w:bCs/>
              </w:rPr>
              <w:t>Nisja dhe lançimi</w:t>
            </w:r>
            <w:r w:rsidR="00AE5FB3">
              <w:rPr>
                <w:rFonts w:ascii="Garamond" w:hAnsi="Garamond"/>
                <w:bCs/>
              </w:rPr>
              <w:t xml:space="preserve"> </w:t>
            </w:r>
            <w:r w:rsidRPr="007114AF">
              <w:rPr>
                <w:rFonts w:ascii="Garamond" w:hAnsi="Garamond"/>
                <w:bCs/>
              </w:rPr>
              <w:t>i procesit të NAP-it:</w:t>
            </w:r>
            <w:r w:rsidR="00AE5FB3">
              <w:rPr>
                <w:rFonts w:ascii="Garamond" w:hAnsi="Garamond"/>
                <w:bCs/>
              </w:rPr>
              <w:t xml:space="preserve"> i</w:t>
            </w:r>
            <w:r w:rsidRPr="007114AF">
              <w:rPr>
                <w:rFonts w:ascii="Garamond" w:hAnsi="Garamond"/>
                <w:bCs/>
              </w:rPr>
              <w:t xml:space="preserve">niciuar zyrtarisht nga </w:t>
            </w:r>
            <w:r w:rsidR="00AE5FB3" w:rsidRPr="007114AF">
              <w:rPr>
                <w:rFonts w:ascii="Garamond" w:hAnsi="Garamond"/>
                <w:bCs/>
              </w:rPr>
              <w:t xml:space="preserve">urdhri </w:t>
            </w:r>
            <w:r w:rsidRPr="007114AF">
              <w:rPr>
                <w:rFonts w:ascii="Garamond" w:hAnsi="Garamond"/>
                <w:bCs/>
              </w:rPr>
              <w:t>i Kryeministrit</w:t>
            </w:r>
            <w:r w:rsidR="00242009" w:rsidRPr="007114AF">
              <w:rPr>
                <w:rFonts w:ascii="Garamond" w:hAnsi="Garamond"/>
                <w:bCs/>
              </w:rPr>
              <w:t xml:space="preserve"> nr. </w:t>
            </w:r>
            <w:r w:rsidRPr="007114AF">
              <w:rPr>
                <w:rFonts w:ascii="Garamond" w:hAnsi="Garamond"/>
                <w:bCs/>
              </w:rPr>
              <w:t>155. Përkrahur më tej nga nisja zyrtare më 19 shkurt 2015.</w:t>
            </w:r>
          </w:p>
          <w:p w14:paraId="6EDD0DD9" w14:textId="77777777" w:rsidR="00C81C76" w:rsidRPr="007114AF" w:rsidRDefault="00C81C76" w:rsidP="00037830">
            <w:pPr>
              <w:numPr>
                <w:ilvl w:val="0"/>
                <w:numId w:val="17"/>
              </w:numPr>
              <w:spacing w:after="0" w:line="240" w:lineRule="auto"/>
              <w:ind w:left="0" w:firstLine="0"/>
              <w:rPr>
                <w:rFonts w:ascii="Garamond" w:hAnsi="Garamond"/>
                <w:bCs/>
              </w:rPr>
            </w:pPr>
            <w:r w:rsidRPr="007114AF">
              <w:rPr>
                <w:rFonts w:ascii="Garamond" w:hAnsi="Garamond"/>
                <w:bCs/>
              </w:rPr>
              <w:t>Drejtimi i procesit NAP: Në bazë të vendimit të Kryeministrit, procesi drejtohet nga Ministria e Turizmit dhe Mjedisit në bashkëpunim të ngushtë me Grupin Ndërministror të Punës për Ndryshimet Klimatike.</w:t>
            </w:r>
          </w:p>
          <w:p w14:paraId="6EDD0DDA" w14:textId="77777777" w:rsidR="00C81C76" w:rsidRPr="007114AF" w:rsidRDefault="00C81C76" w:rsidP="00037830">
            <w:pPr>
              <w:numPr>
                <w:ilvl w:val="0"/>
                <w:numId w:val="17"/>
              </w:numPr>
              <w:spacing w:after="0" w:line="240" w:lineRule="auto"/>
              <w:ind w:left="0" w:firstLine="0"/>
              <w:rPr>
                <w:rFonts w:ascii="Garamond" w:hAnsi="Garamond"/>
                <w:bCs/>
              </w:rPr>
            </w:pPr>
            <w:r w:rsidRPr="007114AF">
              <w:rPr>
                <w:rFonts w:ascii="Garamond" w:hAnsi="Garamond"/>
                <w:bCs/>
              </w:rPr>
              <w:t>Vlerësimi i situatës: Takim pune me pjesëmarrje të gjerë, më 19 shkurt 2015, për vlerësimin e situatës, duke shfrytëzuar instrumentin SNAP, të përgatitur nga GIZ-i. Kjo pati si rezultat një vlerësim të 7 faktorëve të suksesit, dhe një analizë SWOT (pikat të forta, pika të dobëta, mundësi, rreziqe) për Shqipërinë.</w:t>
            </w:r>
          </w:p>
          <w:p w14:paraId="6EDD0DDB" w14:textId="06DC2668" w:rsidR="00C81C76" w:rsidRPr="007114AF" w:rsidRDefault="00C81C76" w:rsidP="00037830">
            <w:pPr>
              <w:numPr>
                <w:ilvl w:val="0"/>
                <w:numId w:val="17"/>
              </w:numPr>
              <w:spacing w:after="0" w:line="240" w:lineRule="auto"/>
              <w:ind w:left="0" w:firstLine="0"/>
              <w:rPr>
                <w:rFonts w:ascii="Garamond" w:hAnsi="Garamond"/>
                <w:bCs/>
              </w:rPr>
            </w:pPr>
            <w:r w:rsidRPr="007114AF">
              <w:rPr>
                <w:rFonts w:ascii="Garamond" w:hAnsi="Garamond"/>
                <w:bCs/>
              </w:rPr>
              <w:t>Vlerësimi i vulnerabilitetit ndaj ndryshimeve klimatike: Në bazë të vlerësimeve të vulnerabilitetit</w:t>
            </w:r>
            <w:r w:rsidR="00AE5FB3">
              <w:rPr>
                <w:rFonts w:ascii="Garamond" w:hAnsi="Garamond"/>
                <w:bCs/>
              </w:rPr>
              <w:t xml:space="preserve"> </w:t>
            </w:r>
            <w:r w:rsidRPr="007114AF">
              <w:rPr>
                <w:rFonts w:ascii="Garamond" w:hAnsi="Garamond"/>
                <w:bCs/>
              </w:rPr>
              <w:t>të dhëna</w:t>
            </w:r>
            <w:r w:rsidR="00AE5FB3">
              <w:rPr>
                <w:rFonts w:ascii="Garamond" w:hAnsi="Garamond"/>
                <w:bCs/>
              </w:rPr>
              <w:t xml:space="preserve"> </w:t>
            </w:r>
            <w:r w:rsidRPr="007114AF">
              <w:rPr>
                <w:rFonts w:ascii="Garamond" w:hAnsi="Garamond"/>
                <w:bCs/>
              </w:rPr>
              <w:t>në</w:t>
            </w:r>
            <w:r w:rsidR="00AE5FB3">
              <w:rPr>
                <w:rFonts w:ascii="Garamond" w:hAnsi="Garamond"/>
                <w:bCs/>
              </w:rPr>
              <w:t xml:space="preserve"> </w:t>
            </w:r>
            <w:r w:rsidRPr="007114AF">
              <w:rPr>
                <w:rFonts w:ascii="Garamond" w:hAnsi="Garamond"/>
                <w:bCs/>
              </w:rPr>
              <w:t>Komunikimet (I, II dhe III) Kombëtare të Shqipërisë për Konventën Kuadër të OKB-së për Ndryshimet Klimatike (UNFCCC) dhe studimet sektoriale të vulnerabilitetit</w:t>
            </w:r>
            <w:r w:rsidR="00AE5FB3">
              <w:rPr>
                <w:rFonts w:ascii="Garamond" w:hAnsi="Garamond"/>
                <w:bCs/>
              </w:rPr>
              <w:t xml:space="preserve"> </w:t>
            </w:r>
            <w:r w:rsidRPr="007114AF">
              <w:rPr>
                <w:rFonts w:ascii="Garamond" w:hAnsi="Garamond"/>
                <w:bCs/>
              </w:rPr>
              <w:t>për bujqësinë (2013), shëndetësinë (2011) dhe energjetikën (2009).</w:t>
            </w:r>
          </w:p>
          <w:p w14:paraId="6EDD0DDC" w14:textId="3226C526" w:rsidR="00C81C76" w:rsidRPr="007114AF" w:rsidRDefault="00C81C76" w:rsidP="00037830">
            <w:pPr>
              <w:numPr>
                <w:ilvl w:val="0"/>
                <w:numId w:val="17"/>
              </w:numPr>
              <w:spacing w:after="0" w:line="240" w:lineRule="auto"/>
              <w:ind w:left="0" w:firstLine="0"/>
              <w:rPr>
                <w:rFonts w:ascii="Garamond" w:hAnsi="Garamond"/>
                <w:bCs/>
              </w:rPr>
            </w:pPr>
            <w:r w:rsidRPr="007114AF">
              <w:rPr>
                <w:rFonts w:ascii="Garamond" w:hAnsi="Garamond"/>
                <w:bCs/>
              </w:rPr>
              <w:t>Organizimi i procesit: Takim</w:t>
            </w:r>
            <w:r w:rsidR="00AE5FB3">
              <w:rPr>
                <w:rFonts w:ascii="Garamond" w:hAnsi="Garamond"/>
                <w:bCs/>
              </w:rPr>
              <w:t xml:space="preserve"> </w:t>
            </w:r>
            <w:r w:rsidRPr="007114AF">
              <w:rPr>
                <w:rFonts w:ascii="Garamond" w:hAnsi="Garamond"/>
                <w:bCs/>
              </w:rPr>
              <w:t>pune me pjesëmarrje të gjerë, më 10 qershor 2015, për zhvillimin e detyrave, afateve dhe përgjegjësive për procesin e NAP-it. Organizimi i procesit të hartimit të NAP-it nëpërmjet një seminari ndërveprues më 8 Shtator 2015.</w:t>
            </w:r>
          </w:p>
          <w:p w14:paraId="6EDD0DDD" w14:textId="70FC723A" w:rsidR="00C81C76" w:rsidRPr="007114AF" w:rsidRDefault="00C81C76" w:rsidP="00037830">
            <w:pPr>
              <w:numPr>
                <w:ilvl w:val="0"/>
                <w:numId w:val="17"/>
              </w:numPr>
              <w:spacing w:after="0" w:line="240" w:lineRule="auto"/>
              <w:ind w:left="0" w:firstLine="0"/>
              <w:rPr>
                <w:rFonts w:ascii="Garamond" w:hAnsi="Garamond"/>
                <w:bCs/>
              </w:rPr>
            </w:pPr>
            <w:r w:rsidRPr="007114AF">
              <w:rPr>
                <w:rFonts w:ascii="Garamond" w:hAnsi="Garamond"/>
                <w:bCs/>
              </w:rPr>
              <w:t>Integrimi i përshtatjes ndaj ndryshimeve klimatike në politikat sektoriale dhe politikat për zhvillimin: Lançimi</w:t>
            </w:r>
            <w:r w:rsidR="00AE5FB3">
              <w:rPr>
                <w:rFonts w:ascii="Garamond" w:hAnsi="Garamond"/>
                <w:bCs/>
              </w:rPr>
              <w:t xml:space="preserve"> </w:t>
            </w:r>
            <w:r w:rsidRPr="007114AF">
              <w:rPr>
                <w:rFonts w:ascii="Garamond" w:hAnsi="Garamond"/>
                <w:bCs/>
              </w:rPr>
              <w:t>për përdorim, për herë të parë,</w:t>
            </w:r>
            <w:r w:rsidR="00AE5FB3">
              <w:rPr>
                <w:rFonts w:ascii="Garamond" w:hAnsi="Garamond"/>
                <w:bCs/>
              </w:rPr>
              <w:t xml:space="preserve"> i</w:t>
            </w:r>
            <w:r w:rsidRPr="007114AF">
              <w:rPr>
                <w:rFonts w:ascii="Garamond" w:hAnsi="Garamond"/>
                <w:bCs/>
              </w:rPr>
              <w:t xml:space="preserve"> thjerrës klimatike në SKZHI më 19 qershor 2015.</w:t>
            </w:r>
          </w:p>
          <w:p w14:paraId="6EDD0DDE" w14:textId="4AF22864" w:rsidR="00C81C76" w:rsidRPr="007114AF" w:rsidRDefault="00C81C76" w:rsidP="00AE5FB3">
            <w:pPr>
              <w:spacing w:after="0" w:line="240" w:lineRule="auto"/>
              <w:rPr>
                <w:rFonts w:ascii="Garamond" w:hAnsi="Garamond"/>
                <w:bCs/>
                <w:iCs/>
              </w:rPr>
            </w:pPr>
            <w:r w:rsidRPr="007114AF">
              <w:rPr>
                <w:rFonts w:ascii="Garamond" w:hAnsi="Garamond"/>
                <w:bCs/>
                <w:iCs/>
              </w:rPr>
              <w:t>Përveç hapave të mësipërme të</w:t>
            </w:r>
            <w:r w:rsidR="00AE5FB3">
              <w:rPr>
                <w:rFonts w:ascii="Garamond" w:hAnsi="Garamond"/>
                <w:bCs/>
                <w:iCs/>
              </w:rPr>
              <w:t xml:space="preserve"> </w:t>
            </w:r>
            <w:r w:rsidRPr="007114AF">
              <w:rPr>
                <w:rFonts w:ascii="Garamond" w:hAnsi="Garamond"/>
                <w:bCs/>
                <w:iCs/>
              </w:rPr>
              <w:t>rëndësishme</w:t>
            </w:r>
            <w:r w:rsidR="00AE5FB3">
              <w:rPr>
                <w:rFonts w:ascii="Garamond" w:hAnsi="Garamond"/>
                <w:bCs/>
                <w:iCs/>
              </w:rPr>
              <w:t xml:space="preserve"> </w:t>
            </w:r>
            <w:r w:rsidRPr="007114AF">
              <w:rPr>
                <w:rFonts w:ascii="Garamond" w:hAnsi="Garamond"/>
                <w:bCs/>
                <w:iCs/>
              </w:rPr>
              <w:t>për organizimin dhe implementimin</w:t>
            </w:r>
            <w:r w:rsidR="00AE5FB3">
              <w:rPr>
                <w:rFonts w:ascii="Garamond" w:hAnsi="Garamond"/>
                <w:bCs/>
                <w:iCs/>
              </w:rPr>
              <w:t xml:space="preserve"> </w:t>
            </w:r>
            <w:r w:rsidRPr="007114AF">
              <w:rPr>
                <w:rFonts w:ascii="Garamond" w:hAnsi="Garamond"/>
                <w:bCs/>
                <w:iCs/>
              </w:rPr>
              <w:t>e procesit, duhet strukturuar dhe organizuar një sistem drejtim</w:t>
            </w:r>
            <w:r w:rsidR="00AE5FB3">
              <w:rPr>
                <w:rFonts w:ascii="Garamond" w:hAnsi="Garamond"/>
                <w:bCs/>
                <w:iCs/>
              </w:rPr>
              <w:t>i</w:t>
            </w:r>
            <w:r w:rsidRPr="007114AF">
              <w:rPr>
                <w:rFonts w:ascii="Garamond" w:hAnsi="Garamond"/>
                <w:bCs/>
                <w:iCs/>
              </w:rPr>
              <w:t xml:space="preserve"> i vazhdueshëm, për të siguruar një orientim</w:t>
            </w:r>
            <w:r w:rsidR="00AE5FB3">
              <w:rPr>
                <w:rFonts w:ascii="Garamond" w:hAnsi="Garamond"/>
                <w:bCs/>
                <w:iCs/>
              </w:rPr>
              <w:t xml:space="preserve"> </w:t>
            </w:r>
            <w:r w:rsidRPr="007114AF">
              <w:rPr>
                <w:rFonts w:ascii="Garamond" w:hAnsi="Garamond"/>
                <w:bCs/>
                <w:iCs/>
              </w:rPr>
              <w:t>afatgjatë,</w:t>
            </w:r>
            <w:r w:rsidR="000A2A01" w:rsidRPr="007114AF">
              <w:rPr>
                <w:rFonts w:ascii="Garamond" w:hAnsi="Garamond"/>
                <w:bCs/>
                <w:iCs/>
              </w:rPr>
              <w:t xml:space="preserve"> </w:t>
            </w:r>
            <w:r w:rsidRPr="007114AF">
              <w:rPr>
                <w:rFonts w:ascii="Garamond" w:hAnsi="Garamond"/>
                <w:bCs/>
                <w:iCs/>
              </w:rPr>
              <w:t xml:space="preserve">siç rekomandohet edhe në </w:t>
            </w:r>
            <w:r w:rsidR="00AE5FB3" w:rsidRPr="007114AF">
              <w:rPr>
                <w:rFonts w:ascii="Garamond" w:hAnsi="Garamond"/>
                <w:bCs/>
                <w:iCs/>
              </w:rPr>
              <w:t xml:space="preserve">udhëzimet teknike </w:t>
            </w:r>
            <w:r w:rsidRPr="007114AF">
              <w:rPr>
                <w:rFonts w:ascii="Garamond" w:hAnsi="Garamond"/>
                <w:bCs/>
                <w:iCs/>
              </w:rPr>
              <w:t>të NAP-it</w:t>
            </w:r>
          </w:p>
        </w:tc>
      </w:tr>
      <w:tr w:rsidR="00C81C76" w:rsidRPr="007114AF" w14:paraId="6EDD0DE9" w14:textId="77777777" w:rsidTr="00574660">
        <w:tc>
          <w:tcPr>
            <w:tcW w:w="9212" w:type="dxa"/>
            <w:gridSpan w:val="2"/>
            <w:shd w:val="clear" w:color="auto" w:fill="auto"/>
          </w:tcPr>
          <w:p w14:paraId="6EDD0DE0" w14:textId="77777777" w:rsidR="00C81C76" w:rsidRPr="007114AF" w:rsidRDefault="00C81C76" w:rsidP="00C81C76">
            <w:pPr>
              <w:spacing w:after="0" w:line="240" w:lineRule="auto"/>
              <w:rPr>
                <w:rFonts w:ascii="Garamond" w:hAnsi="Garamond"/>
                <w:b/>
                <w:bCs/>
              </w:rPr>
            </w:pPr>
            <w:r w:rsidRPr="007114AF">
              <w:rPr>
                <w:rFonts w:ascii="Garamond" w:hAnsi="Garamond"/>
                <w:b/>
                <w:bCs/>
              </w:rPr>
              <w:t>Arsyetimi / objektivat / treguesit</w:t>
            </w:r>
          </w:p>
          <w:p w14:paraId="6EDD0DE1" w14:textId="77777777" w:rsidR="00C81C76" w:rsidRPr="007114AF" w:rsidRDefault="00C81C76" w:rsidP="00C81C76">
            <w:pPr>
              <w:spacing w:after="0" w:line="240" w:lineRule="auto"/>
              <w:rPr>
                <w:rFonts w:ascii="Garamond" w:hAnsi="Garamond"/>
                <w:bCs/>
                <w:iCs/>
              </w:rPr>
            </w:pPr>
            <w:r w:rsidRPr="007114AF">
              <w:rPr>
                <w:rFonts w:ascii="Garamond" w:hAnsi="Garamond"/>
                <w:bCs/>
                <w:iCs/>
              </w:rPr>
              <w:t>Për drejtimin e procesit të përshtatjes në Shqipëri me rëndësi janë objektivat e mëposhtëm:</w:t>
            </w:r>
          </w:p>
          <w:p w14:paraId="6EDD0DE2" w14:textId="77777777" w:rsidR="00C81C76" w:rsidRPr="007114AF" w:rsidRDefault="00C81C76" w:rsidP="00037830">
            <w:pPr>
              <w:numPr>
                <w:ilvl w:val="0"/>
                <w:numId w:val="16"/>
              </w:numPr>
              <w:spacing w:after="0" w:line="240" w:lineRule="auto"/>
              <w:ind w:left="0" w:firstLine="0"/>
              <w:rPr>
                <w:rFonts w:ascii="Garamond" w:hAnsi="Garamond"/>
                <w:bCs/>
              </w:rPr>
            </w:pPr>
            <w:r w:rsidRPr="007114AF">
              <w:rPr>
                <w:rFonts w:ascii="Garamond" w:hAnsi="Garamond"/>
                <w:bCs/>
              </w:rPr>
              <w:t>Objektivi 1: Sigurimi i natyrës si proces të NAP-it edhe pas miratimit të dokumentit të NAP-it, brenda të cilit të gjithë sektorët përkatës të luajnë një rol proaktiv.</w:t>
            </w:r>
          </w:p>
          <w:p w14:paraId="6EDD0DE3" w14:textId="77777777" w:rsidR="00C81C76" w:rsidRPr="007114AF" w:rsidRDefault="00C81C76" w:rsidP="00037830">
            <w:pPr>
              <w:numPr>
                <w:ilvl w:val="0"/>
                <w:numId w:val="16"/>
              </w:numPr>
              <w:spacing w:after="0" w:line="240" w:lineRule="auto"/>
              <w:ind w:left="0" w:firstLine="0"/>
              <w:rPr>
                <w:rFonts w:ascii="Garamond" w:hAnsi="Garamond"/>
                <w:bCs/>
              </w:rPr>
            </w:pPr>
            <w:r w:rsidRPr="007114AF">
              <w:rPr>
                <w:rFonts w:ascii="Garamond" w:hAnsi="Garamond"/>
                <w:bCs/>
              </w:rPr>
              <w:t>Objektivi 2: Sigurimi i një roli të fuqishëm drejtues i Ministrisë së Turizmit dhe Mjedisit për të gjithë procesin e NAP-it.</w:t>
            </w:r>
          </w:p>
          <w:p w14:paraId="6EDD0DE4" w14:textId="2622D895" w:rsidR="00C81C76" w:rsidRPr="007114AF" w:rsidRDefault="00C81C76" w:rsidP="00037830">
            <w:pPr>
              <w:numPr>
                <w:ilvl w:val="1"/>
                <w:numId w:val="16"/>
              </w:numPr>
              <w:spacing w:after="0" w:line="240" w:lineRule="auto"/>
              <w:ind w:left="0" w:firstLine="0"/>
              <w:rPr>
                <w:rFonts w:ascii="Garamond" w:hAnsi="Garamond"/>
                <w:bCs/>
              </w:rPr>
            </w:pPr>
            <w:r w:rsidRPr="007114AF">
              <w:rPr>
                <w:rFonts w:ascii="Garamond" w:hAnsi="Garamond"/>
                <w:bCs/>
              </w:rPr>
              <w:t>Treguesi 2.1: Ministria e Turizmit dhe Mjedisit</w:t>
            </w:r>
            <w:r w:rsidR="000A2A01" w:rsidRPr="007114AF">
              <w:rPr>
                <w:rFonts w:ascii="Garamond" w:hAnsi="Garamond"/>
                <w:bCs/>
              </w:rPr>
              <w:t xml:space="preserve"> </w:t>
            </w:r>
            <w:r w:rsidRPr="007114AF">
              <w:rPr>
                <w:rFonts w:ascii="Garamond" w:hAnsi="Garamond"/>
                <w:bCs/>
              </w:rPr>
              <w:t>ka kapacitete njerëzore të përhershme me përgjegjësinë për tëpërmbushur të gjitha detyrat në kuadër të drejtimit të procesit të NAP-it.</w:t>
            </w:r>
          </w:p>
          <w:p w14:paraId="6EDD0DE5" w14:textId="77777777" w:rsidR="00C81C76" w:rsidRPr="007114AF" w:rsidRDefault="00C81C76" w:rsidP="00037830">
            <w:pPr>
              <w:numPr>
                <w:ilvl w:val="0"/>
                <w:numId w:val="16"/>
              </w:numPr>
              <w:spacing w:after="0" w:line="240" w:lineRule="auto"/>
              <w:ind w:left="0" w:firstLine="0"/>
              <w:rPr>
                <w:rFonts w:ascii="Garamond" w:hAnsi="Garamond"/>
                <w:bCs/>
              </w:rPr>
            </w:pPr>
            <w:r w:rsidRPr="007114AF">
              <w:rPr>
                <w:rFonts w:ascii="Garamond" w:hAnsi="Garamond"/>
                <w:bCs/>
              </w:rPr>
              <w:t>Objektivi 3: Zbatimi i masave të parashikuara në dokumentin e NAP-it.</w:t>
            </w:r>
          </w:p>
          <w:p w14:paraId="6EDD0DE6" w14:textId="10BF5DA8" w:rsidR="00C81C76" w:rsidRPr="007114AF" w:rsidRDefault="00C81C76" w:rsidP="00037830">
            <w:pPr>
              <w:numPr>
                <w:ilvl w:val="1"/>
                <w:numId w:val="16"/>
              </w:numPr>
              <w:spacing w:after="0" w:line="240" w:lineRule="auto"/>
              <w:ind w:left="0" w:firstLine="0"/>
              <w:rPr>
                <w:rFonts w:ascii="Garamond" w:hAnsi="Garamond"/>
                <w:bCs/>
              </w:rPr>
            </w:pPr>
            <w:r w:rsidRPr="007114AF">
              <w:rPr>
                <w:rFonts w:ascii="Garamond" w:hAnsi="Garamond"/>
                <w:bCs/>
              </w:rPr>
              <w:t>Treguesi 3.1: Ngritja enjë sistem monitorim-vlerësimi i cili ndjek statusin e zbatimit të veprimeve prioritare dhe mundëson bërjen e modifikimevenë procesin e NAP-it (shih edhe veprimin prioritar</w:t>
            </w:r>
            <w:r w:rsidR="00242009" w:rsidRPr="007114AF">
              <w:rPr>
                <w:rFonts w:ascii="Garamond" w:hAnsi="Garamond"/>
                <w:bCs/>
              </w:rPr>
              <w:t xml:space="preserve"> nr. </w:t>
            </w:r>
            <w:r w:rsidRPr="007114AF">
              <w:rPr>
                <w:rFonts w:ascii="Garamond" w:hAnsi="Garamond"/>
                <w:bCs/>
              </w:rPr>
              <w:t>4).</w:t>
            </w:r>
          </w:p>
          <w:p w14:paraId="6EDD0DE7" w14:textId="1014BBC6" w:rsidR="00C81C76" w:rsidRPr="007114AF" w:rsidRDefault="00C81C76" w:rsidP="00037830">
            <w:pPr>
              <w:numPr>
                <w:ilvl w:val="0"/>
                <w:numId w:val="16"/>
              </w:numPr>
              <w:spacing w:after="0" w:line="240" w:lineRule="auto"/>
              <w:ind w:left="0" w:firstLine="0"/>
              <w:rPr>
                <w:rFonts w:ascii="Garamond" w:hAnsi="Garamond"/>
                <w:bCs/>
              </w:rPr>
            </w:pPr>
            <w:r w:rsidRPr="007114AF">
              <w:rPr>
                <w:rFonts w:ascii="Garamond" w:hAnsi="Garamond"/>
                <w:bCs/>
              </w:rPr>
              <w:t xml:space="preserve">Objektivi 4: Organizimi i një </w:t>
            </w:r>
            <w:r w:rsidR="000A2A01" w:rsidRPr="007114AF">
              <w:rPr>
                <w:rFonts w:ascii="Garamond" w:hAnsi="Garamond"/>
                <w:bCs/>
              </w:rPr>
              <w:t>“</w:t>
            </w:r>
            <w:r w:rsidRPr="007114AF">
              <w:rPr>
                <w:rFonts w:ascii="Garamond" w:hAnsi="Garamond"/>
                <w:bCs/>
              </w:rPr>
              <w:t>procesi mësimi</w:t>
            </w:r>
            <w:r w:rsidR="000A2A01" w:rsidRPr="007114AF">
              <w:rPr>
                <w:rFonts w:ascii="Garamond" w:hAnsi="Garamond"/>
                <w:bCs/>
              </w:rPr>
              <w:t>”</w:t>
            </w:r>
            <w:r w:rsidRPr="007114AF">
              <w:rPr>
                <w:rFonts w:ascii="Garamond" w:hAnsi="Garamond"/>
                <w:bCs/>
              </w:rPr>
              <w:t xml:space="preserve"> mbiprocesin e NAP-it.</w:t>
            </w:r>
          </w:p>
          <w:p w14:paraId="6EDD0DE8" w14:textId="77777777" w:rsidR="00C81C76" w:rsidRPr="007114AF" w:rsidRDefault="00C81C76" w:rsidP="00037830">
            <w:pPr>
              <w:numPr>
                <w:ilvl w:val="1"/>
                <w:numId w:val="16"/>
              </w:numPr>
              <w:spacing w:after="0" w:line="240" w:lineRule="auto"/>
              <w:ind w:left="0" w:firstLine="0"/>
              <w:rPr>
                <w:rFonts w:ascii="Garamond" w:hAnsi="Garamond"/>
                <w:bCs/>
              </w:rPr>
            </w:pPr>
            <w:r w:rsidRPr="007114AF">
              <w:rPr>
                <w:rFonts w:ascii="Garamond" w:hAnsi="Garamond"/>
                <w:bCs/>
              </w:rPr>
              <w:t>Treguesi 4.1: Raportet e vlerësimit për procesin e NAP-it dalin çdo 4 vjet dhe japin rekomandime për modifikimete mundshme të procesit.</w:t>
            </w:r>
          </w:p>
        </w:tc>
      </w:tr>
      <w:tr w:rsidR="00C81C76" w:rsidRPr="007114AF" w14:paraId="6EDD0DEF" w14:textId="77777777" w:rsidTr="00574660">
        <w:tc>
          <w:tcPr>
            <w:tcW w:w="9212" w:type="dxa"/>
            <w:gridSpan w:val="2"/>
            <w:shd w:val="clear" w:color="auto" w:fill="auto"/>
          </w:tcPr>
          <w:p w14:paraId="6EDD0DEA" w14:textId="77777777" w:rsidR="00C81C76" w:rsidRPr="007114AF" w:rsidRDefault="00C81C76" w:rsidP="00C81C76">
            <w:pPr>
              <w:spacing w:after="0" w:line="240" w:lineRule="auto"/>
              <w:rPr>
                <w:rFonts w:ascii="Garamond" w:hAnsi="Garamond"/>
                <w:b/>
                <w:bCs/>
              </w:rPr>
            </w:pPr>
            <w:r w:rsidRPr="007114AF">
              <w:rPr>
                <w:rFonts w:ascii="Garamond" w:hAnsi="Garamond"/>
                <w:b/>
                <w:bCs/>
              </w:rPr>
              <w:t>Elementet dhe afatet me rëndësi të veprimit prioritar</w:t>
            </w:r>
          </w:p>
          <w:p w14:paraId="6EDD0DEB" w14:textId="77777777" w:rsidR="00C81C76" w:rsidRPr="007114AF" w:rsidRDefault="00C81C76" w:rsidP="00C81C76">
            <w:pPr>
              <w:spacing w:after="0" w:line="240" w:lineRule="auto"/>
              <w:rPr>
                <w:rFonts w:ascii="Garamond" w:hAnsi="Garamond"/>
                <w:bCs/>
              </w:rPr>
            </w:pPr>
            <w:r w:rsidRPr="007114AF">
              <w:rPr>
                <w:rFonts w:ascii="Garamond" w:hAnsi="Garamond"/>
                <w:bCs/>
              </w:rPr>
              <w:t>Veprimi 1: Personeli i nevojshëm për procesin kompleks të NAP-it sigurohet nëpërmjet krijimit të sektorit të përshtatjes ndaj ndryshimeve klimatike pranë Ministrisë së Turizmit dhe Mjedisit. Ky sektor ka nevojë për ofrimin për ngritje kapacitetesh nga ana e donatorëve.</w:t>
            </w:r>
          </w:p>
          <w:p w14:paraId="6EDD0DEC" w14:textId="77777777" w:rsidR="00C81C76" w:rsidRPr="007114AF" w:rsidRDefault="00C81C76" w:rsidP="00C81C76">
            <w:pPr>
              <w:spacing w:after="0" w:line="240" w:lineRule="auto"/>
              <w:rPr>
                <w:rFonts w:ascii="Garamond" w:hAnsi="Garamond"/>
                <w:bCs/>
              </w:rPr>
            </w:pPr>
            <w:r w:rsidRPr="007114AF">
              <w:rPr>
                <w:rFonts w:ascii="Garamond" w:hAnsi="Garamond"/>
                <w:bCs/>
              </w:rPr>
              <w:t>Veprimi 2: Të sigurohen mbledhje të rregullta të GNM-ës së punës për drejtimin e përgjithshëm dhe për temat kryesore të përzgjedhura për secilin seksion. Mbledhjet e GNMP-ës së NAP-it do të përfshijnë raportim të rregullt nga ministritë përgjegjëse të linjës, lidhur me progresin e veprimeve të tyre prioritare.</w:t>
            </w:r>
          </w:p>
          <w:p w14:paraId="6EDD0DED" w14:textId="77777777" w:rsidR="00C81C76" w:rsidRPr="007114AF" w:rsidRDefault="00C81C76" w:rsidP="00C81C76">
            <w:pPr>
              <w:spacing w:after="0" w:line="240" w:lineRule="auto"/>
              <w:rPr>
                <w:rFonts w:ascii="Garamond" w:hAnsi="Garamond"/>
                <w:bCs/>
              </w:rPr>
            </w:pPr>
            <w:r w:rsidRPr="007114AF">
              <w:rPr>
                <w:rFonts w:ascii="Garamond" w:hAnsi="Garamond"/>
                <w:bCs/>
              </w:rPr>
              <w:t>Veprimi 3: Të hartohet një dokument i përgjithshëm udhërrëfyes për procesin, duke përfshirë afatet, përgjegjësitë dhe burimet.</w:t>
            </w:r>
          </w:p>
          <w:p w14:paraId="6EDD0DEE" w14:textId="797D55EF" w:rsidR="00C81C76" w:rsidRPr="007114AF" w:rsidRDefault="00C81C76" w:rsidP="00C81C76">
            <w:pPr>
              <w:spacing w:after="0" w:line="240" w:lineRule="auto"/>
              <w:rPr>
                <w:rFonts w:ascii="Garamond" w:hAnsi="Garamond"/>
                <w:bCs/>
              </w:rPr>
            </w:pPr>
            <w:r w:rsidRPr="007114AF">
              <w:rPr>
                <w:rFonts w:ascii="Garamond" w:hAnsi="Garamond"/>
                <w:bCs/>
              </w:rPr>
              <w:t>Veprimi 4: Të sigurohet rishikime</w:t>
            </w:r>
            <w:r w:rsidR="006B6E5B">
              <w:rPr>
                <w:rFonts w:ascii="Garamond" w:hAnsi="Garamond"/>
                <w:bCs/>
              </w:rPr>
              <w:t xml:space="preserve"> </w:t>
            </w:r>
            <w:r w:rsidRPr="007114AF">
              <w:rPr>
                <w:rFonts w:ascii="Garamond" w:hAnsi="Garamond"/>
                <w:bCs/>
              </w:rPr>
              <w:t>të procesit të NAP-it çdo 8 vjet, përfshirë edhe diskutimin në GNMP-ën e punës. Përdorimi i gjetjeve të dala nga rishikimet</w:t>
            </w:r>
            <w:r w:rsidR="006B6E5B">
              <w:rPr>
                <w:rFonts w:ascii="Garamond" w:hAnsi="Garamond"/>
                <w:bCs/>
              </w:rPr>
              <w:t xml:space="preserve"> </w:t>
            </w:r>
            <w:r w:rsidRPr="007114AF">
              <w:rPr>
                <w:rFonts w:ascii="Garamond" w:hAnsi="Garamond"/>
                <w:bCs/>
              </w:rPr>
              <w:t>për të bërë korrigjimet e nevojshme në procesin dhe/ose dokumentin e NAP-it, duke lidhur këtu procesin e rishikimit me procesin e monitorim-vlerësimit (Veprimi Prioritar</w:t>
            </w:r>
            <w:r w:rsidR="00242009" w:rsidRPr="007114AF">
              <w:rPr>
                <w:rFonts w:ascii="Garamond" w:hAnsi="Garamond"/>
                <w:bCs/>
              </w:rPr>
              <w:t xml:space="preserve"> nr. </w:t>
            </w:r>
            <w:r w:rsidRPr="007114AF">
              <w:rPr>
                <w:rFonts w:ascii="Garamond" w:hAnsi="Garamond"/>
                <w:bCs/>
              </w:rPr>
              <w:t>4).</w:t>
            </w:r>
          </w:p>
        </w:tc>
      </w:tr>
      <w:tr w:rsidR="00C81C76" w:rsidRPr="007114AF" w14:paraId="6EDD0DF7" w14:textId="77777777" w:rsidTr="00574660">
        <w:tc>
          <w:tcPr>
            <w:tcW w:w="4606" w:type="dxa"/>
            <w:shd w:val="clear" w:color="auto" w:fill="auto"/>
          </w:tcPr>
          <w:p w14:paraId="6EDD0DF0" w14:textId="77777777" w:rsidR="00C81C76" w:rsidRPr="007114AF" w:rsidRDefault="00C81C76" w:rsidP="00C81C76">
            <w:pPr>
              <w:spacing w:after="0" w:line="240" w:lineRule="auto"/>
              <w:rPr>
                <w:rFonts w:ascii="Garamond" w:hAnsi="Garamond"/>
                <w:b/>
                <w:bCs/>
              </w:rPr>
            </w:pPr>
            <w:r w:rsidRPr="007114AF">
              <w:rPr>
                <w:rFonts w:ascii="Garamond" w:hAnsi="Garamond"/>
                <w:b/>
                <w:bCs/>
              </w:rPr>
              <w:t>Aktorët kryesorë të përfshirë</w:t>
            </w:r>
          </w:p>
          <w:p w14:paraId="6EDD0DF1" w14:textId="77777777" w:rsidR="00C81C76" w:rsidRPr="007114AF" w:rsidRDefault="00C81C76" w:rsidP="00C81C76">
            <w:pPr>
              <w:spacing w:after="0" w:line="240" w:lineRule="auto"/>
              <w:rPr>
                <w:rFonts w:ascii="Garamond" w:hAnsi="Garamond"/>
                <w:bCs/>
              </w:rPr>
            </w:pPr>
            <w:r w:rsidRPr="007114AF">
              <w:rPr>
                <w:rFonts w:ascii="Garamond" w:hAnsi="Garamond"/>
                <w:bCs/>
              </w:rPr>
              <w:t>Ministria e Turizmit dhe Mjedisit (udhëheq)</w:t>
            </w:r>
          </w:p>
          <w:p w14:paraId="6EDD0DF2" w14:textId="77777777" w:rsidR="00C81C76" w:rsidRPr="007114AF" w:rsidRDefault="00C81C76" w:rsidP="00C81C76">
            <w:pPr>
              <w:spacing w:after="0" w:line="240" w:lineRule="auto"/>
              <w:rPr>
                <w:rFonts w:ascii="Garamond" w:hAnsi="Garamond"/>
                <w:bCs/>
              </w:rPr>
            </w:pPr>
            <w:r w:rsidRPr="007114AF">
              <w:rPr>
                <w:rFonts w:ascii="Garamond" w:hAnsi="Garamond"/>
                <w:bCs/>
              </w:rPr>
              <w:t>Kryeministria (merr pjesë)</w:t>
            </w:r>
          </w:p>
          <w:p w14:paraId="6EDD0DF3" w14:textId="77777777" w:rsidR="00C81C76" w:rsidRPr="007114AF" w:rsidRDefault="00C81C76" w:rsidP="00C81C76">
            <w:pPr>
              <w:spacing w:after="0" w:line="240" w:lineRule="auto"/>
              <w:rPr>
                <w:rFonts w:ascii="Garamond" w:hAnsi="Garamond"/>
                <w:b/>
                <w:bCs/>
                <w:iCs/>
              </w:rPr>
            </w:pPr>
            <w:r w:rsidRPr="007114AF">
              <w:rPr>
                <w:rFonts w:ascii="Garamond" w:hAnsi="Garamond"/>
                <w:bCs/>
              </w:rPr>
              <w:t>Anëtarët e GNM-ës së punës të NAP-it (marrin pjesë)</w:t>
            </w:r>
          </w:p>
        </w:tc>
        <w:tc>
          <w:tcPr>
            <w:tcW w:w="4606" w:type="dxa"/>
            <w:shd w:val="clear" w:color="auto" w:fill="auto"/>
          </w:tcPr>
          <w:p w14:paraId="6EDD0DF4" w14:textId="77777777" w:rsidR="00C81C76" w:rsidRPr="007114AF" w:rsidRDefault="00C81C76" w:rsidP="00C81C76">
            <w:pPr>
              <w:spacing w:after="0" w:line="240" w:lineRule="auto"/>
              <w:rPr>
                <w:rFonts w:ascii="Garamond" w:hAnsi="Garamond"/>
                <w:b/>
                <w:bCs/>
              </w:rPr>
            </w:pPr>
            <w:r w:rsidRPr="007114AF">
              <w:rPr>
                <w:rFonts w:ascii="Garamond" w:hAnsi="Garamond"/>
                <w:b/>
                <w:bCs/>
              </w:rPr>
              <w:t>Burimet</w:t>
            </w:r>
          </w:p>
          <w:p w14:paraId="6EDD0DF5" w14:textId="77777777" w:rsidR="00C81C76" w:rsidRPr="007114AF" w:rsidRDefault="00C81C76" w:rsidP="00C81C76">
            <w:pPr>
              <w:spacing w:after="0" w:line="240" w:lineRule="auto"/>
              <w:rPr>
                <w:rFonts w:ascii="Garamond" w:hAnsi="Garamond"/>
                <w:bCs/>
              </w:rPr>
            </w:pPr>
            <w:r w:rsidRPr="007114AF">
              <w:rPr>
                <w:rFonts w:ascii="Garamond" w:hAnsi="Garamond"/>
                <w:bCs/>
              </w:rPr>
              <w:t>1 punonjës shtesë në Ministrinë e Turizmit dhe Mjedisit për drejtimin e procesit të NAP-iti cili përfshin të gjitha veprimet për përshtatjen.</w:t>
            </w:r>
          </w:p>
          <w:p w14:paraId="6EDD0DF6" w14:textId="253823B8" w:rsidR="00C81C76" w:rsidRPr="007114AF" w:rsidRDefault="00C81C76" w:rsidP="00C81C76">
            <w:pPr>
              <w:spacing w:after="0" w:line="240" w:lineRule="auto"/>
              <w:rPr>
                <w:rFonts w:ascii="Garamond" w:hAnsi="Garamond"/>
                <w:b/>
                <w:bCs/>
              </w:rPr>
            </w:pPr>
            <w:r w:rsidRPr="007114AF">
              <w:rPr>
                <w:rFonts w:ascii="Garamond" w:hAnsi="Garamond"/>
                <w:bCs/>
                <w:iCs/>
              </w:rPr>
              <w:t xml:space="preserve">2,7 </w:t>
            </w:r>
            <w:r w:rsidR="001C47F0" w:rsidRPr="007114AF">
              <w:rPr>
                <w:rFonts w:ascii="Garamond" w:hAnsi="Garamond"/>
                <w:bCs/>
                <w:iCs/>
              </w:rPr>
              <w:t xml:space="preserve">milionë </w:t>
            </w:r>
            <w:r w:rsidRPr="007114AF">
              <w:rPr>
                <w:rFonts w:ascii="Garamond" w:hAnsi="Garamond"/>
                <w:bCs/>
                <w:iCs/>
              </w:rPr>
              <w:t>lekë në vit.</w:t>
            </w:r>
          </w:p>
        </w:tc>
      </w:tr>
    </w:tbl>
    <w:p w14:paraId="6EDD0DF8" w14:textId="77777777" w:rsidR="00527BA6" w:rsidRPr="007114AF" w:rsidRDefault="00527BA6" w:rsidP="00527BA6">
      <w:pPr>
        <w:pStyle w:val="TEKSTI"/>
        <w:rPr>
          <w:lang w:eastAsia="en-US"/>
        </w:rPr>
      </w:pPr>
    </w:p>
    <w:p w14:paraId="6EDD0DF9" w14:textId="2F9787B6" w:rsidR="00C81C76" w:rsidRPr="007114AF" w:rsidRDefault="00C81C76" w:rsidP="00C81C76">
      <w:pPr>
        <w:pStyle w:val="TEKSTI"/>
        <w:rPr>
          <w:b/>
          <w:lang w:eastAsia="en-US"/>
        </w:rPr>
      </w:pPr>
      <w:bookmarkStart w:id="199" w:name="_Toc484424535"/>
      <w:r w:rsidRPr="007114AF">
        <w:rPr>
          <w:b/>
          <w:lang w:eastAsia="en-US"/>
        </w:rPr>
        <w:t>6.2.2 Veprimi Prioritar</w:t>
      </w:r>
      <w:r w:rsidR="00242009" w:rsidRPr="007114AF">
        <w:rPr>
          <w:b/>
          <w:lang w:eastAsia="en-US"/>
        </w:rPr>
        <w:t xml:space="preserve"> nr. </w:t>
      </w:r>
      <w:r w:rsidRPr="007114AF">
        <w:rPr>
          <w:b/>
          <w:lang w:eastAsia="en-US"/>
        </w:rPr>
        <w:t>2</w:t>
      </w:r>
      <w:bookmarkEnd w:id="19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2665C8" w:rsidRPr="007114AF" w14:paraId="6EDD0DFE" w14:textId="77777777" w:rsidTr="00574660">
        <w:tc>
          <w:tcPr>
            <w:tcW w:w="4606" w:type="dxa"/>
            <w:shd w:val="clear" w:color="auto" w:fill="B6DDE8" w:themeFill="accent5" w:themeFillTint="66"/>
          </w:tcPr>
          <w:p w14:paraId="6EDD0DFA" w14:textId="62AC8E8E" w:rsidR="002665C8" w:rsidRPr="007114AF" w:rsidRDefault="002665C8" w:rsidP="002665C8">
            <w:pPr>
              <w:spacing w:after="0" w:line="240" w:lineRule="auto"/>
              <w:rPr>
                <w:rFonts w:ascii="Garamond" w:hAnsi="Garamond"/>
                <w:b/>
                <w:bCs/>
              </w:rPr>
            </w:pPr>
            <w:r w:rsidRPr="007114AF">
              <w:rPr>
                <w:rFonts w:ascii="Garamond" w:hAnsi="Garamond"/>
                <w:b/>
                <w:bCs/>
              </w:rPr>
              <w:t>Titulli i veprimit prioritar</w:t>
            </w:r>
            <w:r w:rsidR="00242009" w:rsidRPr="007114AF">
              <w:rPr>
                <w:rFonts w:ascii="Garamond" w:hAnsi="Garamond"/>
                <w:b/>
                <w:bCs/>
              </w:rPr>
              <w:t xml:space="preserve"> nr. </w:t>
            </w:r>
            <w:r w:rsidRPr="007114AF">
              <w:rPr>
                <w:rFonts w:ascii="Garamond" w:hAnsi="Garamond"/>
                <w:b/>
                <w:bCs/>
              </w:rPr>
              <w:t>2</w:t>
            </w:r>
          </w:p>
          <w:p w14:paraId="6EDD0DFB" w14:textId="77777777" w:rsidR="002665C8" w:rsidRPr="007114AF" w:rsidRDefault="002665C8" w:rsidP="002665C8">
            <w:pPr>
              <w:spacing w:after="0" w:line="240" w:lineRule="auto"/>
              <w:rPr>
                <w:rFonts w:ascii="Garamond" w:hAnsi="Garamond"/>
                <w:b/>
                <w:bCs/>
                <w:iCs/>
              </w:rPr>
            </w:pPr>
            <w:r w:rsidRPr="007114AF">
              <w:rPr>
                <w:rFonts w:ascii="Garamond" w:hAnsi="Garamond"/>
                <w:b/>
                <w:bCs/>
                <w:iCs/>
              </w:rPr>
              <w:t>Nisma integruese gjithëpërfshirëse</w:t>
            </w:r>
          </w:p>
        </w:tc>
        <w:tc>
          <w:tcPr>
            <w:tcW w:w="4606" w:type="dxa"/>
            <w:shd w:val="clear" w:color="auto" w:fill="B6DDE8" w:themeFill="accent5" w:themeFillTint="66"/>
          </w:tcPr>
          <w:p w14:paraId="6EDD0DFC" w14:textId="77777777" w:rsidR="002665C8" w:rsidRPr="007114AF" w:rsidRDefault="002665C8" w:rsidP="002665C8">
            <w:pPr>
              <w:spacing w:after="0" w:line="240" w:lineRule="auto"/>
              <w:rPr>
                <w:rFonts w:ascii="Garamond" w:hAnsi="Garamond"/>
                <w:b/>
                <w:bCs/>
                <w:iCs/>
              </w:rPr>
            </w:pPr>
            <w:r w:rsidRPr="007114AF">
              <w:rPr>
                <w:rFonts w:ascii="Garamond" w:hAnsi="Garamond"/>
                <w:b/>
                <w:bCs/>
                <w:iCs/>
              </w:rPr>
              <w:t>Agjencia / Ministria kryesuese përgjegjëse</w:t>
            </w:r>
          </w:p>
          <w:p w14:paraId="6EDD0DFD" w14:textId="77777777" w:rsidR="002665C8" w:rsidRPr="007114AF" w:rsidRDefault="002665C8" w:rsidP="002665C8">
            <w:pPr>
              <w:spacing w:after="0" w:line="240" w:lineRule="auto"/>
              <w:rPr>
                <w:rFonts w:ascii="Garamond" w:hAnsi="Garamond"/>
                <w:b/>
                <w:bCs/>
                <w:iCs/>
              </w:rPr>
            </w:pPr>
            <w:r w:rsidRPr="007114AF">
              <w:rPr>
                <w:rFonts w:ascii="Garamond" w:hAnsi="Garamond"/>
                <w:b/>
                <w:bCs/>
                <w:iCs/>
              </w:rPr>
              <w:t xml:space="preserve">Ministria e Turizmit dhe Mjedisit </w:t>
            </w:r>
          </w:p>
        </w:tc>
      </w:tr>
      <w:tr w:rsidR="002665C8" w:rsidRPr="007114AF" w14:paraId="6EDD0E09" w14:textId="77777777" w:rsidTr="00574660">
        <w:tc>
          <w:tcPr>
            <w:tcW w:w="9212" w:type="dxa"/>
            <w:gridSpan w:val="2"/>
            <w:shd w:val="clear" w:color="auto" w:fill="auto"/>
          </w:tcPr>
          <w:p w14:paraId="6EDD0DFF" w14:textId="77777777" w:rsidR="002665C8" w:rsidRPr="007114AF" w:rsidRDefault="002665C8" w:rsidP="002665C8">
            <w:pPr>
              <w:spacing w:after="0" w:line="240" w:lineRule="auto"/>
              <w:rPr>
                <w:rFonts w:ascii="Garamond" w:hAnsi="Garamond"/>
                <w:b/>
                <w:bCs/>
              </w:rPr>
            </w:pPr>
            <w:r w:rsidRPr="007114AF">
              <w:rPr>
                <w:rFonts w:ascii="Garamond" w:hAnsi="Garamond"/>
                <w:b/>
                <w:bCs/>
              </w:rPr>
              <w:t>Situata ekzistuese mbi të cilën mbështetet veprimi prioritar</w:t>
            </w:r>
          </w:p>
          <w:p w14:paraId="6EDD0E00" w14:textId="77777777" w:rsidR="002665C8" w:rsidRPr="007114AF" w:rsidRDefault="002665C8" w:rsidP="002665C8">
            <w:pPr>
              <w:spacing w:after="0" w:line="240" w:lineRule="auto"/>
              <w:rPr>
                <w:rFonts w:ascii="Garamond" w:hAnsi="Garamond"/>
                <w:bCs/>
              </w:rPr>
            </w:pPr>
            <w:r w:rsidRPr="007114AF">
              <w:rPr>
                <w:rFonts w:ascii="Garamond" w:hAnsi="Garamond"/>
                <w:bCs/>
              </w:rPr>
              <w:t>Qeveria, pjesërisht me mbështetjen e donatorëve, ka ndjekur tashmë disa qasje për integrimin e përshtatjes ndaj ndryshimeve klimatike në sektorë dhe aktiviteteve zhvillimi të ndryshme:</w:t>
            </w:r>
          </w:p>
          <w:p w14:paraId="6EDD0E01" w14:textId="77777777" w:rsidR="002665C8" w:rsidRPr="007114AF" w:rsidRDefault="002665C8" w:rsidP="00037830">
            <w:pPr>
              <w:numPr>
                <w:ilvl w:val="0"/>
                <w:numId w:val="12"/>
              </w:numPr>
              <w:spacing w:after="0" w:line="240" w:lineRule="auto"/>
              <w:ind w:left="0" w:firstLine="0"/>
              <w:rPr>
                <w:rFonts w:ascii="Garamond" w:hAnsi="Garamond"/>
                <w:bCs/>
              </w:rPr>
            </w:pPr>
            <w:bookmarkStart w:id="200" w:name="OLE_LINK14"/>
            <w:bookmarkStart w:id="201" w:name="OLE_LINK15"/>
            <w:r w:rsidRPr="007114AF">
              <w:rPr>
                <w:rFonts w:ascii="Garamond" w:hAnsi="Garamond"/>
                <w:bCs/>
              </w:rPr>
              <w:t xml:space="preserve">Vlerësimi i ndikimit dhe alternativat për përshtatjen për sektorin bujqësor </w:t>
            </w:r>
            <w:bookmarkEnd w:id="200"/>
            <w:bookmarkEnd w:id="201"/>
            <w:r w:rsidRPr="007114AF">
              <w:rPr>
                <w:rFonts w:ascii="Garamond" w:hAnsi="Garamond"/>
                <w:bCs/>
              </w:rPr>
              <w:t>(2013);</w:t>
            </w:r>
          </w:p>
          <w:p w14:paraId="6EDD0E02" w14:textId="77777777" w:rsidR="002665C8" w:rsidRPr="007114AF" w:rsidRDefault="002665C8" w:rsidP="00037830">
            <w:pPr>
              <w:numPr>
                <w:ilvl w:val="0"/>
                <w:numId w:val="12"/>
              </w:numPr>
              <w:spacing w:after="0" w:line="240" w:lineRule="auto"/>
              <w:ind w:left="0" w:firstLine="0"/>
              <w:rPr>
                <w:rFonts w:ascii="Garamond" w:hAnsi="Garamond"/>
                <w:bCs/>
              </w:rPr>
            </w:pPr>
            <w:r w:rsidRPr="007114AF">
              <w:rPr>
                <w:rFonts w:ascii="Garamond" w:hAnsi="Garamond"/>
                <w:bCs/>
              </w:rPr>
              <w:t>Përshtatja ndaj ndryshimeve klimatike në grykëderdhjen e lumenjve Drin dhe Mat dhe më gjerë (2013);</w:t>
            </w:r>
          </w:p>
          <w:p w14:paraId="6EDD0E03" w14:textId="77777777" w:rsidR="002665C8" w:rsidRPr="007114AF" w:rsidRDefault="002665C8" w:rsidP="00037830">
            <w:pPr>
              <w:numPr>
                <w:ilvl w:val="0"/>
                <w:numId w:val="12"/>
              </w:numPr>
              <w:spacing w:after="0" w:line="240" w:lineRule="auto"/>
              <w:ind w:left="0" w:firstLine="0"/>
              <w:rPr>
                <w:rFonts w:ascii="Garamond" w:hAnsi="Garamond"/>
                <w:bCs/>
              </w:rPr>
            </w:pPr>
            <w:r w:rsidRPr="007114AF">
              <w:rPr>
                <w:rFonts w:ascii="Garamond" w:hAnsi="Garamond"/>
                <w:bCs/>
              </w:rPr>
              <w:t>Vlerësimi i legjislacionit dhe kapacitetit institucional për përshtatjen ndaj ndryshimeve klimatike (2011);</w:t>
            </w:r>
          </w:p>
          <w:p w14:paraId="6EDD0E04" w14:textId="77777777" w:rsidR="002665C8" w:rsidRPr="007114AF" w:rsidRDefault="002665C8" w:rsidP="00037830">
            <w:pPr>
              <w:numPr>
                <w:ilvl w:val="0"/>
                <w:numId w:val="12"/>
              </w:numPr>
              <w:spacing w:after="0" w:line="240" w:lineRule="auto"/>
              <w:ind w:left="0" w:firstLine="0"/>
              <w:rPr>
                <w:rFonts w:ascii="Garamond" w:hAnsi="Garamond"/>
                <w:bCs/>
              </w:rPr>
            </w:pPr>
            <w:r w:rsidRPr="007114AF">
              <w:rPr>
                <w:rFonts w:ascii="Garamond" w:hAnsi="Garamond"/>
                <w:bCs/>
              </w:rPr>
              <w:t>Vlerësimi i vulnerabilitetit dhe strategjia për përshtatjen ndaj ndryshimeve klimatike për sektorin shëndetësor (2011);</w:t>
            </w:r>
          </w:p>
          <w:p w14:paraId="6EDD0E05" w14:textId="77777777" w:rsidR="002665C8" w:rsidRPr="007114AF" w:rsidRDefault="002665C8" w:rsidP="00037830">
            <w:pPr>
              <w:numPr>
                <w:ilvl w:val="0"/>
                <w:numId w:val="12"/>
              </w:numPr>
              <w:spacing w:after="0" w:line="240" w:lineRule="auto"/>
              <w:ind w:left="0" w:firstLine="0"/>
              <w:rPr>
                <w:rFonts w:ascii="Garamond" w:hAnsi="Garamond"/>
                <w:bCs/>
              </w:rPr>
            </w:pPr>
            <w:r w:rsidRPr="007114AF">
              <w:rPr>
                <w:rFonts w:ascii="Garamond" w:hAnsi="Garamond"/>
                <w:bCs/>
              </w:rPr>
              <w:t>Studim për përshtatjen e infrastrukturës energjetike vulnerabël nga ndryshimi i klimës (2009);</w:t>
            </w:r>
          </w:p>
          <w:p w14:paraId="6EDD0E06" w14:textId="77777777" w:rsidR="002665C8" w:rsidRPr="007114AF" w:rsidRDefault="002665C8" w:rsidP="00037830">
            <w:pPr>
              <w:numPr>
                <w:ilvl w:val="0"/>
                <w:numId w:val="12"/>
              </w:numPr>
              <w:spacing w:after="0" w:line="240" w:lineRule="auto"/>
              <w:ind w:left="0" w:firstLine="0"/>
              <w:rPr>
                <w:rFonts w:ascii="Garamond" w:hAnsi="Garamond"/>
                <w:bCs/>
              </w:rPr>
            </w:pPr>
            <w:r w:rsidRPr="007114AF">
              <w:rPr>
                <w:rFonts w:ascii="Garamond" w:hAnsi="Garamond"/>
                <w:bCs/>
              </w:rPr>
              <w:t>Dokument politik për financat klimatike.</w:t>
            </w:r>
          </w:p>
          <w:p w14:paraId="6EDD0E07" w14:textId="687A8B6B" w:rsidR="002665C8" w:rsidRPr="007114AF" w:rsidRDefault="002665C8" w:rsidP="002665C8">
            <w:pPr>
              <w:spacing w:after="0" w:line="240" w:lineRule="auto"/>
              <w:rPr>
                <w:rFonts w:ascii="Garamond" w:hAnsi="Garamond"/>
                <w:bCs/>
              </w:rPr>
            </w:pPr>
            <w:r w:rsidRPr="007114AF">
              <w:rPr>
                <w:rFonts w:ascii="Garamond" w:hAnsi="Garamond"/>
                <w:bCs/>
              </w:rPr>
              <w:t>Përveç këtyre nismave sektoriale, nevojat për integrim gjithëpërfshirës të përshtatjes ndaj ndryshimeve klimatike</w:t>
            </w:r>
            <w:r w:rsidR="006B6E5B">
              <w:rPr>
                <w:rFonts w:ascii="Garamond" w:hAnsi="Garamond"/>
                <w:bCs/>
              </w:rPr>
              <w:t xml:space="preserve"> </w:t>
            </w:r>
            <w:r w:rsidRPr="007114AF">
              <w:rPr>
                <w:rFonts w:ascii="Garamond" w:hAnsi="Garamond"/>
                <w:bCs/>
              </w:rPr>
              <w:t>del</w:t>
            </w:r>
            <w:r w:rsidR="006B6E5B">
              <w:rPr>
                <w:rFonts w:ascii="Garamond" w:hAnsi="Garamond"/>
                <w:bCs/>
              </w:rPr>
              <w:t xml:space="preserve"> </w:t>
            </w:r>
            <w:r w:rsidRPr="007114AF">
              <w:rPr>
                <w:rFonts w:ascii="Garamond" w:hAnsi="Garamond"/>
                <w:bCs/>
              </w:rPr>
              <w:t>dhe nga Kuadri BE-IPA. Dokumenti Strategji Orientuese për Instrumentin IPA II (2014-2020) thekson se ndihma</w:t>
            </w:r>
            <w:r w:rsidR="006B6E5B">
              <w:rPr>
                <w:rFonts w:ascii="Garamond" w:hAnsi="Garamond"/>
                <w:bCs/>
              </w:rPr>
              <w:t xml:space="preserve"> </w:t>
            </w:r>
            <w:r w:rsidRPr="007114AF">
              <w:rPr>
                <w:rFonts w:ascii="Garamond" w:hAnsi="Garamond"/>
                <w:bCs/>
              </w:rPr>
              <w:t>financiare e BE-së duhet të jetë në përputhje me objektivat politikë të BE-së, duke përfshirë edhe politikën për klimën. Nevojiten dhe parashikohen strategji për ndryshimet klimatike, integrimi i përshtatjes ndaj ndryshimeve klimatike, si edhe tregues monitorimi të shpenzimeve klimatike.</w:t>
            </w:r>
          </w:p>
          <w:p w14:paraId="6EDD0E08" w14:textId="3B83B020" w:rsidR="002665C8" w:rsidRPr="007114AF" w:rsidRDefault="002665C8" w:rsidP="002665C8">
            <w:pPr>
              <w:spacing w:after="0" w:line="240" w:lineRule="auto"/>
              <w:rPr>
                <w:rFonts w:ascii="Garamond" w:hAnsi="Garamond"/>
                <w:bCs/>
              </w:rPr>
            </w:pPr>
            <w:r w:rsidRPr="007114AF">
              <w:rPr>
                <w:rFonts w:ascii="Garamond" w:hAnsi="Garamond"/>
                <w:bCs/>
              </w:rPr>
              <w:t xml:space="preserve">Draft SKZHI </w:t>
            </w:r>
            <w:r w:rsidR="00C6608F" w:rsidRPr="007114AF">
              <w:rPr>
                <w:rFonts w:ascii="Garamond" w:hAnsi="Garamond"/>
                <w:bCs/>
              </w:rPr>
              <w:t>2014–2020</w:t>
            </w:r>
            <w:r w:rsidR="006B6E5B">
              <w:rPr>
                <w:rFonts w:ascii="Garamond" w:hAnsi="Garamond"/>
                <w:bCs/>
              </w:rPr>
              <w:t xml:space="preserve"> </w:t>
            </w:r>
            <w:r w:rsidRPr="007114AF">
              <w:rPr>
                <w:rFonts w:ascii="Garamond" w:hAnsi="Garamond"/>
                <w:bCs/>
              </w:rPr>
              <w:t>është shqyrtuar në vitin 2015, përmes një thjerre klimatike, lidhur me situatën aktuale të klimës dhe kushtet përshtatëse.</w:t>
            </w:r>
            <w:r w:rsidR="006B6E5B">
              <w:rPr>
                <w:rFonts w:ascii="Garamond" w:hAnsi="Garamond"/>
                <w:bCs/>
              </w:rPr>
              <w:t xml:space="preserve"> </w:t>
            </w:r>
            <w:r w:rsidRPr="007114AF">
              <w:rPr>
                <w:rFonts w:ascii="Garamond" w:hAnsi="Garamond"/>
                <w:bCs/>
              </w:rPr>
              <w:t>Rekomandimet dhe rrjedhojat mbeten ende për t</w:t>
            </w:r>
            <w:r w:rsidR="00D10DAB" w:rsidRPr="007114AF">
              <w:rPr>
                <w:rFonts w:ascii="Garamond" w:hAnsi="Garamond"/>
                <w:bCs/>
              </w:rPr>
              <w:t>’</w:t>
            </w:r>
            <w:r w:rsidRPr="007114AF">
              <w:rPr>
                <w:rFonts w:ascii="Garamond" w:hAnsi="Garamond"/>
                <w:bCs/>
              </w:rPr>
              <w:t>u reflektuar dhe për t</w:t>
            </w:r>
            <w:r w:rsidR="00D10DAB" w:rsidRPr="007114AF">
              <w:rPr>
                <w:rFonts w:ascii="Garamond" w:hAnsi="Garamond"/>
                <w:bCs/>
              </w:rPr>
              <w:t>’</w:t>
            </w:r>
            <w:r w:rsidRPr="007114AF">
              <w:rPr>
                <w:rFonts w:ascii="Garamond" w:hAnsi="Garamond"/>
                <w:bCs/>
              </w:rPr>
              <w:t>u vënë në jetë.</w:t>
            </w:r>
          </w:p>
        </w:tc>
      </w:tr>
      <w:tr w:rsidR="002665C8" w:rsidRPr="007114AF" w14:paraId="6EDD0E11" w14:textId="77777777" w:rsidTr="00574660">
        <w:tc>
          <w:tcPr>
            <w:tcW w:w="9212" w:type="dxa"/>
            <w:gridSpan w:val="2"/>
            <w:shd w:val="clear" w:color="auto" w:fill="auto"/>
          </w:tcPr>
          <w:p w14:paraId="6EDD0E0A" w14:textId="77777777" w:rsidR="002665C8" w:rsidRPr="007114AF" w:rsidRDefault="002665C8" w:rsidP="002665C8">
            <w:pPr>
              <w:spacing w:after="0" w:line="240" w:lineRule="auto"/>
              <w:rPr>
                <w:rFonts w:ascii="Garamond" w:hAnsi="Garamond"/>
                <w:b/>
                <w:bCs/>
              </w:rPr>
            </w:pPr>
            <w:r w:rsidRPr="007114AF">
              <w:rPr>
                <w:rFonts w:ascii="Garamond" w:hAnsi="Garamond"/>
                <w:b/>
                <w:bCs/>
              </w:rPr>
              <w:t>Arsyetimi / objektivat / treguesit</w:t>
            </w:r>
          </w:p>
          <w:p w14:paraId="6EDD0E0B" w14:textId="6A46F486" w:rsidR="002665C8" w:rsidRPr="007114AF" w:rsidRDefault="002665C8" w:rsidP="002665C8">
            <w:pPr>
              <w:spacing w:after="0" w:line="240" w:lineRule="auto"/>
              <w:rPr>
                <w:rFonts w:ascii="Garamond" w:hAnsi="Garamond"/>
                <w:bCs/>
              </w:rPr>
            </w:pPr>
            <w:r w:rsidRPr="007114AF">
              <w:rPr>
                <w:rFonts w:ascii="Garamond" w:hAnsi="Garamond"/>
                <w:bCs/>
              </w:rPr>
              <w:t xml:space="preserve">Integrimi i përshtatjes në politikat sektoriale dhe politikat gjithëpërfshirëse për zhvillim, është një parim gjithëpërfshirës për procesin e NAP-it, duke qenë se përshtatja e efektshme nuk është një aktivitet </w:t>
            </w:r>
            <w:r w:rsidR="000A2A01" w:rsidRPr="007114AF">
              <w:rPr>
                <w:rFonts w:ascii="Garamond" w:hAnsi="Garamond"/>
                <w:bCs/>
              </w:rPr>
              <w:t>“</w:t>
            </w:r>
            <w:r w:rsidRPr="007114AF">
              <w:rPr>
                <w:rFonts w:ascii="Garamond" w:hAnsi="Garamond"/>
                <w:bCs/>
              </w:rPr>
              <w:t>shtesë</w:t>
            </w:r>
            <w:r w:rsidR="000A2A01" w:rsidRPr="007114AF">
              <w:rPr>
                <w:rFonts w:ascii="Garamond" w:hAnsi="Garamond"/>
                <w:bCs/>
              </w:rPr>
              <w:t>”</w:t>
            </w:r>
            <w:r w:rsidRPr="007114AF">
              <w:rPr>
                <w:rFonts w:ascii="Garamond" w:hAnsi="Garamond"/>
                <w:bCs/>
              </w:rPr>
              <w:t>, por duhet të integrohet në politikat sektoriale. Ndërkohë që disa aktivitete integruese janë prezantuar tashmë (shih më lart), ekziston ende nevoja për qasje intensive në të gjithë sektorët përkatës. Kjo duhet të nxitet</w:t>
            </w:r>
            <w:r w:rsidR="006B6E5B">
              <w:rPr>
                <w:rFonts w:ascii="Garamond" w:hAnsi="Garamond"/>
                <w:bCs/>
              </w:rPr>
              <w:t xml:space="preserve"> </w:t>
            </w:r>
            <w:r w:rsidRPr="007114AF">
              <w:rPr>
                <w:rFonts w:ascii="Garamond" w:hAnsi="Garamond"/>
                <w:bCs/>
              </w:rPr>
              <w:t>nëpërmjet një nisme integruese sistematike.</w:t>
            </w:r>
          </w:p>
          <w:p w14:paraId="6EDD0E0C" w14:textId="77777777" w:rsidR="002665C8" w:rsidRPr="007114AF" w:rsidRDefault="002665C8" w:rsidP="00037830">
            <w:pPr>
              <w:numPr>
                <w:ilvl w:val="0"/>
                <w:numId w:val="22"/>
              </w:numPr>
              <w:spacing w:after="0" w:line="240" w:lineRule="auto"/>
              <w:ind w:left="0" w:firstLine="0"/>
              <w:rPr>
                <w:rFonts w:ascii="Garamond" w:hAnsi="Garamond"/>
                <w:bCs/>
              </w:rPr>
            </w:pPr>
            <w:r w:rsidRPr="007114AF">
              <w:rPr>
                <w:rFonts w:ascii="Garamond" w:hAnsi="Garamond"/>
                <w:bCs/>
              </w:rPr>
              <w:t>Objektivi 1</w:t>
            </w:r>
            <w:r w:rsidRPr="007114AF">
              <w:rPr>
                <w:rFonts w:ascii="Garamond" w:hAnsi="Garamond"/>
                <w:b/>
                <w:bCs/>
              </w:rPr>
              <w:t xml:space="preserve">: </w:t>
            </w:r>
            <w:r w:rsidRPr="007114AF">
              <w:rPr>
                <w:rFonts w:ascii="Garamond" w:hAnsi="Garamond"/>
                <w:bCs/>
              </w:rPr>
              <w:t>Pasqyrimi i përshtatjes ndaj ndryshimeve klimatike në procesin e formulimit dhe zbatimit të SKZHI-së.</w:t>
            </w:r>
          </w:p>
          <w:p w14:paraId="6EDD0E0D" w14:textId="7DA9C43E" w:rsidR="002665C8" w:rsidRPr="007114AF" w:rsidRDefault="002665C8" w:rsidP="00037830">
            <w:pPr>
              <w:numPr>
                <w:ilvl w:val="1"/>
                <w:numId w:val="22"/>
              </w:numPr>
              <w:spacing w:after="0" w:line="240" w:lineRule="auto"/>
              <w:ind w:left="0" w:firstLine="0"/>
              <w:rPr>
                <w:rFonts w:ascii="Garamond" w:hAnsi="Garamond"/>
                <w:bCs/>
              </w:rPr>
            </w:pPr>
            <w:r w:rsidRPr="007114AF">
              <w:rPr>
                <w:rFonts w:ascii="Garamond" w:hAnsi="Garamond"/>
                <w:bCs/>
              </w:rPr>
              <w:t>Treguesi 1.1: Është krijuar të paktën</w:t>
            </w:r>
            <w:r w:rsidR="000A2A01" w:rsidRPr="007114AF">
              <w:rPr>
                <w:rFonts w:ascii="Garamond" w:hAnsi="Garamond"/>
                <w:bCs/>
              </w:rPr>
              <w:t xml:space="preserve"> </w:t>
            </w:r>
            <w:r w:rsidRPr="007114AF">
              <w:rPr>
                <w:rFonts w:ascii="Garamond" w:hAnsi="Garamond"/>
                <w:bCs/>
              </w:rPr>
              <w:t>një mekanizëm për reflektimin e rregullt të përshtatjes ndaj ndryshimeve klimatike si pjesë e procesit të zbatimit të SKZHI-së.</w:t>
            </w:r>
          </w:p>
          <w:p w14:paraId="6EDD0E0E" w14:textId="77777777" w:rsidR="002665C8" w:rsidRPr="007114AF" w:rsidRDefault="002665C8" w:rsidP="00037830">
            <w:pPr>
              <w:numPr>
                <w:ilvl w:val="1"/>
                <w:numId w:val="22"/>
              </w:numPr>
              <w:spacing w:after="0" w:line="240" w:lineRule="auto"/>
              <w:ind w:left="0" w:firstLine="0"/>
              <w:rPr>
                <w:rFonts w:ascii="Garamond" w:hAnsi="Garamond"/>
                <w:bCs/>
              </w:rPr>
            </w:pPr>
            <w:r w:rsidRPr="007114AF">
              <w:rPr>
                <w:rFonts w:ascii="Garamond" w:hAnsi="Garamond"/>
                <w:bCs/>
              </w:rPr>
              <w:t>Treguesi 1.2: Në një strategji sektoriale përkatëse përfshihet të paktën një qasje integruese në vit.</w:t>
            </w:r>
          </w:p>
          <w:p w14:paraId="6EDD0E0F" w14:textId="77777777" w:rsidR="002665C8" w:rsidRPr="007114AF" w:rsidRDefault="002665C8" w:rsidP="00037830">
            <w:pPr>
              <w:numPr>
                <w:ilvl w:val="0"/>
                <w:numId w:val="22"/>
              </w:numPr>
              <w:spacing w:after="0" w:line="240" w:lineRule="auto"/>
              <w:ind w:left="0" w:firstLine="0"/>
              <w:rPr>
                <w:rFonts w:ascii="Garamond" w:hAnsi="Garamond"/>
                <w:bCs/>
              </w:rPr>
            </w:pPr>
            <w:r w:rsidRPr="007114AF">
              <w:rPr>
                <w:rFonts w:ascii="Garamond" w:hAnsi="Garamond"/>
                <w:bCs/>
              </w:rPr>
              <w:t>Objektivi 2:Nxitja e përshtatjes ndaj ndryshimeve klimatike në asistencën për aderim, në përputhje me objektivat e politikës së BE-së për përshtatjen.</w:t>
            </w:r>
          </w:p>
          <w:p w14:paraId="6EDD0E10" w14:textId="77777777" w:rsidR="002665C8" w:rsidRPr="007114AF" w:rsidRDefault="002665C8" w:rsidP="00037830">
            <w:pPr>
              <w:numPr>
                <w:ilvl w:val="1"/>
                <w:numId w:val="22"/>
              </w:numPr>
              <w:spacing w:after="0" w:line="240" w:lineRule="auto"/>
              <w:ind w:left="0" w:firstLine="0"/>
              <w:rPr>
                <w:rFonts w:ascii="Garamond" w:hAnsi="Garamond"/>
                <w:b/>
                <w:bCs/>
              </w:rPr>
            </w:pPr>
            <w:r w:rsidRPr="007114AF">
              <w:rPr>
                <w:rFonts w:ascii="Garamond" w:hAnsi="Garamond"/>
                <w:bCs/>
              </w:rPr>
              <w:t>Treguesi 2:Asistenca financiare e BE-së brenda kuadrit të IPA-s ndiqet në përputhje me treguesit statistikorë të OECD-CAD-it për ndryshimet klimatike.</w:t>
            </w:r>
          </w:p>
        </w:tc>
      </w:tr>
      <w:tr w:rsidR="002665C8" w:rsidRPr="007114AF" w14:paraId="6EDD0E19" w14:textId="77777777" w:rsidTr="00574660">
        <w:tc>
          <w:tcPr>
            <w:tcW w:w="9212" w:type="dxa"/>
            <w:gridSpan w:val="2"/>
            <w:shd w:val="clear" w:color="auto" w:fill="auto"/>
          </w:tcPr>
          <w:p w14:paraId="6EDD0E12" w14:textId="77777777" w:rsidR="002665C8" w:rsidRPr="007114AF" w:rsidRDefault="002665C8" w:rsidP="002665C8">
            <w:pPr>
              <w:spacing w:after="0" w:line="240" w:lineRule="auto"/>
              <w:rPr>
                <w:rFonts w:ascii="Garamond" w:hAnsi="Garamond"/>
                <w:b/>
                <w:bCs/>
              </w:rPr>
            </w:pPr>
            <w:r w:rsidRPr="007114AF">
              <w:rPr>
                <w:rFonts w:ascii="Garamond" w:hAnsi="Garamond"/>
                <w:b/>
                <w:bCs/>
              </w:rPr>
              <w:t>Elementet dhe afatet me rëndësi të veprimit prioritar</w:t>
            </w:r>
          </w:p>
          <w:p w14:paraId="6EDD0E13" w14:textId="77777777" w:rsidR="002665C8" w:rsidRPr="007114AF" w:rsidRDefault="002665C8" w:rsidP="00037830">
            <w:pPr>
              <w:numPr>
                <w:ilvl w:val="0"/>
                <w:numId w:val="18"/>
              </w:numPr>
              <w:spacing w:after="0" w:line="240" w:lineRule="auto"/>
              <w:ind w:left="0" w:firstLine="0"/>
              <w:rPr>
                <w:rFonts w:ascii="Garamond" w:hAnsi="Garamond"/>
                <w:bCs/>
              </w:rPr>
            </w:pPr>
            <w:r w:rsidRPr="007114AF">
              <w:rPr>
                <w:rFonts w:ascii="Garamond" w:hAnsi="Garamond"/>
                <w:bCs/>
              </w:rPr>
              <w:t>Integrimi duhet kuptuar si një proces i vazhdueshëm i cili kërkon bashkërendim dhe bashkëpunim të palëve të ndryshme sektoriale të interesuara. GNMP-ja për ndryshimet klimatike do të vijojë të punojë nën drejtimin e Ministrisë së Turizmit dhe Mjedisit, duke përfshirë nismat integruese si një prej detyrave kryesore. Nevojat dhe rezultatet e integrimit do të pasqyrohen rregullisht gjatë mbledhjeve të GNMP-ës.</w:t>
            </w:r>
          </w:p>
          <w:p w14:paraId="6EDD0E14" w14:textId="6BA85C1A" w:rsidR="002665C8" w:rsidRPr="007114AF" w:rsidRDefault="002665C8" w:rsidP="00037830">
            <w:pPr>
              <w:numPr>
                <w:ilvl w:val="0"/>
                <w:numId w:val="18"/>
              </w:numPr>
              <w:spacing w:after="0" w:line="240" w:lineRule="auto"/>
              <w:ind w:left="0" w:firstLine="0"/>
              <w:rPr>
                <w:rFonts w:ascii="Garamond" w:hAnsi="Garamond"/>
                <w:bCs/>
              </w:rPr>
            </w:pPr>
            <w:r w:rsidRPr="007114AF">
              <w:rPr>
                <w:rFonts w:ascii="Garamond" w:hAnsi="Garamond"/>
                <w:bCs/>
              </w:rPr>
              <w:t>Integrimi i përshtatjes ndaj ndryshimeve klimatike mund të mbështetet dhe të vihet në eficiencë nëpërmjet një pakete me</w:t>
            </w:r>
            <w:r w:rsidR="000A2A01" w:rsidRPr="007114AF">
              <w:rPr>
                <w:rFonts w:ascii="Garamond" w:hAnsi="Garamond"/>
                <w:bCs/>
              </w:rPr>
              <w:t xml:space="preserve"> </w:t>
            </w:r>
            <w:r w:rsidRPr="007114AF">
              <w:rPr>
                <w:rFonts w:ascii="Garamond" w:hAnsi="Garamond"/>
                <w:bCs/>
              </w:rPr>
              <w:t>instrumente të ndryshme, si thjerra klimatike, rezilienca</w:t>
            </w:r>
            <w:r w:rsidR="006B6E5B">
              <w:rPr>
                <w:rFonts w:ascii="Garamond" w:hAnsi="Garamond"/>
                <w:bCs/>
              </w:rPr>
              <w:t xml:space="preserve"> </w:t>
            </w:r>
            <w:r w:rsidRPr="007114AF">
              <w:rPr>
                <w:rFonts w:ascii="Garamond" w:hAnsi="Garamond"/>
                <w:bCs/>
              </w:rPr>
              <w:t>klimatike, vlerësimi mjedisor strategjik me ndjeshmëri klimatike dhe treguesit e shpenzimeve klimatike. Kjo paketë instrumentesh do të shtjellohet dhe përcaktohet për situatën shqiptare nëpërmjet kontributit të një eksperti në vitin 2017/8.</w:t>
            </w:r>
          </w:p>
          <w:p w14:paraId="6EDD0E15" w14:textId="457A44D5" w:rsidR="002665C8" w:rsidRPr="007114AF" w:rsidRDefault="002665C8" w:rsidP="00037830">
            <w:pPr>
              <w:numPr>
                <w:ilvl w:val="0"/>
                <w:numId w:val="18"/>
              </w:numPr>
              <w:spacing w:after="0" w:line="240" w:lineRule="auto"/>
              <w:ind w:left="0" w:firstLine="0"/>
              <w:rPr>
                <w:rFonts w:ascii="Garamond" w:hAnsi="Garamond"/>
                <w:bCs/>
              </w:rPr>
            </w:pPr>
            <w:r w:rsidRPr="007114AF">
              <w:rPr>
                <w:rFonts w:ascii="Garamond" w:hAnsi="Garamond"/>
                <w:bCs/>
              </w:rPr>
              <w:t>GNMP-ja do të marrë vendim për një projektpilot në vit për integrimin, që do të kryhet nga një sektor ministrie përkatëse, dhe do të mbështetet nga Ministria e Turizmit dhe Mjedisit</w:t>
            </w:r>
            <w:r w:rsidR="000A2A01" w:rsidRPr="007114AF">
              <w:rPr>
                <w:rFonts w:ascii="Garamond" w:hAnsi="Garamond"/>
                <w:bCs/>
              </w:rPr>
              <w:t xml:space="preserve"> </w:t>
            </w:r>
            <w:r w:rsidRPr="007114AF">
              <w:rPr>
                <w:rFonts w:ascii="Garamond" w:hAnsi="Garamond"/>
                <w:bCs/>
              </w:rPr>
              <w:t>nëpërmjet</w:t>
            </w:r>
            <w:r w:rsidR="000A2A01" w:rsidRPr="007114AF">
              <w:rPr>
                <w:rFonts w:ascii="Garamond" w:hAnsi="Garamond"/>
                <w:bCs/>
              </w:rPr>
              <w:t xml:space="preserve"> </w:t>
            </w:r>
            <w:r w:rsidRPr="007114AF">
              <w:rPr>
                <w:rFonts w:ascii="Garamond" w:hAnsi="Garamond"/>
                <w:bCs/>
              </w:rPr>
              <w:t>kontributeve të ekspertëve.</w:t>
            </w:r>
          </w:p>
          <w:p w14:paraId="6EDD0E16" w14:textId="34E25060" w:rsidR="002665C8" w:rsidRPr="007114AF" w:rsidRDefault="002665C8" w:rsidP="00037830">
            <w:pPr>
              <w:numPr>
                <w:ilvl w:val="0"/>
                <w:numId w:val="18"/>
              </w:numPr>
              <w:spacing w:after="0" w:line="240" w:lineRule="auto"/>
              <w:ind w:left="0" w:firstLine="0"/>
              <w:rPr>
                <w:rFonts w:ascii="Garamond" w:hAnsi="Garamond"/>
                <w:bCs/>
              </w:rPr>
            </w:pPr>
            <w:r w:rsidRPr="007114AF">
              <w:rPr>
                <w:rFonts w:ascii="Garamond" w:hAnsi="Garamond"/>
                <w:bCs/>
              </w:rPr>
              <w:t>Kryeministria do ta përdorë kuadrin zbatues të SKZHI-së edhe për reflektime</w:t>
            </w:r>
            <w:r w:rsidR="006B6E5B">
              <w:rPr>
                <w:rFonts w:ascii="Garamond" w:hAnsi="Garamond"/>
                <w:bCs/>
              </w:rPr>
              <w:t xml:space="preserve"> </w:t>
            </w:r>
            <w:r w:rsidRPr="007114AF">
              <w:rPr>
                <w:rFonts w:ascii="Garamond" w:hAnsi="Garamond"/>
                <w:bCs/>
              </w:rPr>
              <w:t>të rregullta se deri ku janë ndjekur rekomandimet e nxjerra nga thjerrës klimatikë.</w:t>
            </w:r>
          </w:p>
          <w:p w14:paraId="6EDD0E17" w14:textId="1E136CF0" w:rsidR="002665C8" w:rsidRPr="007114AF" w:rsidRDefault="002665C8" w:rsidP="00037830">
            <w:pPr>
              <w:numPr>
                <w:ilvl w:val="0"/>
                <w:numId w:val="18"/>
              </w:numPr>
              <w:spacing w:after="0" w:line="240" w:lineRule="auto"/>
              <w:ind w:left="0" w:firstLine="0"/>
              <w:rPr>
                <w:rFonts w:ascii="Garamond" w:hAnsi="Garamond"/>
                <w:bCs/>
              </w:rPr>
            </w:pPr>
            <w:r w:rsidRPr="007114AF">
              <w:rPr>
                <w:rFonts w:ascii="Garamond" w:hAnsi="Garamond"/>
                <w:bCs/>
              </w:rPr>
              <w:t>Strategjia e klimës</w:t>
            </w:r>
            <w:r w:rsidR="006B6E5B">
              <w:rPr>
                <w:rFonts w:ascii="Garamond" w:hAnsi="Garamond"/>
                <w:bCs/>
              </w:rPr>
              <w:t xml:space="preserve"> </w:t>
            </w:r>
            <w:r w:rsidRPr="007114AF">
              <w:rPr>
                <w:rFonts w:ascii="Garamond" w:hAnsi="Garamond"/>
                <w:bCs/>
              </w:rPr>
              <w:t>e BE-së do të përdoret si orientim kryesor</w:t>
            </w:r>
            <w:r w:rsidR="006B6E5B">
              <w:rPr>
                <w:rFonts w:ascii="Garamond" w:hAnsi="Garamond"/>
                <w:bCs/>
              </w:rPr>
              <w:t xml:space="preserve"> </w:t>
            </w:r>
            <w:r w:rsidRPr="007114AF">
              <w:rPr>
                <w:rFonts w:ascii="Garamond" w:hAnsi="Garamond"/>
                <w:bCs/>
              </w:rPr>
              <w:t>për integrimin e ndryshimeve klimatike në mbështetjen</w:t>
            </w:r>
            <w:r w:rsidR="006B6E5B">
              <w:rPr>
                <w:rFonts w:ascii="Garamond" w:hAnsi="Garamond"/>
                <w:bCs/>
              </w:rPr>
              <w:t xml:space="preserve"> </w:t>
            </w:r>
            <w:r w:rsidRPr="007114AF">
              <w:rPr>
                <w:rFonts w:ascii="Garamond" w:hAnsi="Garamond"/>
                <w:bCs/>
              </w:rPr>
              <w:t>financiare në kuadër të IPA-s. Ministria e Turizmit dhe Mjedisit do të sigurojë përputhjen e NAP-it me strategjinë e klimës së BE-së.</w:t>
            </w:r>
          </w:p>
          <w:p w14:paraId="6EDD0E18" w14:textId="77777777" w:rsidR="002665C8" w:rsidRPr="007114AF" w:rsidRDefault="002665C8" w:rsidP="00037830">
            <w:pPr>
              <w:numPr>
                <w:ilvl w:val="0"/>
                <w:numId w:val="18"/>
              </w:numPr>
              <w:spacing w:after="0" w:line="240" w:lineRule="auto"/>
              <w:ind w:left="0" w:firstLine="0"/>
              <w:rPr>
                <w:rFonts w:ascii="Garamond" w:hAnsi="Garamond"/>
                <w:bCs/>
              </w:rPr>
            </w:pPr>
            <w:r w:rsidRPr="007114AF">
              <w:rPr>
                <w:rFonts w:ascii="Garamond" w:hAnsi="Garamond"/>
                <w:bCs/>
              </w:rPr>
              <w:t>Asistenca e BE-së do të duhet për ndjekjen në mënyrë sistematike të shpenzimeve brenda kuadrit të IPA-s në kuadër të aspekteve klimatike. Raportimi për asistencën e BE-së do të përfshijë përfundimet në lidhje me shkallën e integrimit të çështjeve klimatike.</w:t>
            </w:r>
          </w:p>
        </w:tc>
      </w:tr>
      <w:tr w:rsidR="002665C8" w:rsidRPr="007114AF" w14:paraId="6EDD0E21" w14:textId="77777777" w:rsidTr="00574660">
        <w:tc>
          <w:tcPr>
            <w:tcW w:w="4606" w:type="dxa"/>
            <w:shd w:val="clear" w:color="auto" w:fill="auto"/>
          </w:tcPr>
          <w:p w14:paraId="6EDD0E1A" w14:textId="77777777" w:rsidR="002665C8" w:rsidRPr="007114AF" w:rsidRDefault="002665C8" w:rsidP="002665C8">
            <w:pPr>
              <w:tabs>
                <w:tab w:val="left" w:pos="90"/>
              </w:tabs>
              <w:spacing w:after="0" w:line="240" w:lineRule="auto"/>
              <w:rPr>
                <w:rFonts w:ascii="Garamond" w:hAnsi="Garamond"/>
                <w:b/>
                <w:bCs/>
              </w:rPr>
            </w:pPr>
            <w:r w:rsidRPr="007114AF">
              <w:rPr>
                <w:rFonts w:ascii="Garamond" w:hAnsi="Garamond"/>
                <w:b/>
                <w:bCs/>
              </w:rPr>
              <w:t>Aktorët kryesorë të përfshirë</w:t>
            </w:r>
          </w:p>
          <w:p w14:paraId="6EDD0E1B" w14:textId="77777777" w:rsidR="002665C8" w:rsidRPr="007114AF" w:rsidRDefault="002665C8" w:rsidP="002665C8">
            <w:pPr>
              <w:tabs>
                <w:tab w:val="left" w:pos="0"/>
              </w:tabs>
              <w:spacing w:after="0" w:line="240" w:lineRule="auto"/>
              <w:rPr>
                <w:rFonts w:ascii="Garamond" w:hAnsi="Garamond"/>
                <w:b/>
                <w:bCs/>
              </w:rPr>
            </w:pPr>
            <w:r w:rsidRPr="007114AF">
              <w:rPr>
                <w:rFonts w:ascii="Garamond" w:hAnsi="Garamond"/>
                <w:bCs/>
              </w:rPr>
              <w:t>Ministria e Turizmit dhe Mjedisit funksionon si agjenci udhëheqëse për nismën integruese, e lidhur me funksionin drejtues për GNMNAP-in.</w:t>
            </w:r>
          </w:p>
          <w:p w14:paraId="6EDD0E1C" w14:textId="77777777" w:rsidR="002665C8" w:rsidRPr="007114AF" w:rsidRDefault="002665C8" w:rsidP="002665C8">
            <w:pPr>
              <w:tabs>
                <w:tab w:val="left" w:pos="0"/>
              </w:tabs>
              <w:spacing w:after="0" w:line="240" w:lineRule="auto"/>
              <w:rPr>
                <w:rFonts w:ascii="Garamond" w:hAnsi="Garamond"/>
                <w:bCs/>
              </w:rPr>
            </w:pPr>
            <w:r w:rsidRPr="007114AF">
              <w:rPr>
                <w:rFonts w:ascii="Garamond" w:hAnsi="Garamond"/>
                <w:bCs/>
              </w:rPr>
              <w:t>Ministria për Evropën dhe Punët e Jashtme do të sigurojë hallkën lidhëse të nismës integruese me programimin dhe asistencën financiare të BE-së.</w:t>
            </w:r>
          </w:p>
          <w:p w14:paraId="6EDD0E1D" w14:textId="77777777" w:rsidR="002665C8" w:rsidRPr="007114AF" w:rsidRDefault="002665C8" w:rsidP="002665C8">
            <w:pPr>
              <w:spacing w:after="0" w:line="240" w:lineRule="auto"/>
              <w:rPr>
                <w:rFonts w:ascii="Garamond" w:hAnsi="Garamond"/>
                <w:b/>
                <w:bCs/>
              </w:rPr>
            </w:pPr>
            <w:r w:rsidRPr="007114AF">
              <w:rPr>
                <w:rFonts w:ascii="Garamond" w:hAnsi="Garamond"/>
                <w:bCs/>
              </w:rPr>
              <w:t>Kryeministria do të sigurojë reflektimin e nismës integruese në përgatitjen dhe zbatimin e SKZHI-së.</w:t>
            </w:r>
          </w:p>
        </w:tc>
        <w:tc>
          <w:tcPr>
            <w:tcW w:w="4606" w:type="dxa"/>
            <w:shd w:val="clear" w:color="auto" w:fill="auto"/>
          </w:tcPr>
          <w:p w14:paraId="6EDD0E1E" w14:textId="77777777" w:rsidR="002665C8" w:rsidRPr="007114AF" w:rsidRDefault="002665C8" w:rsidP="002665C8">
            <w:pPr>
              <w:spacing w:after="0" w:line="240" w:lineRule="auto"/>
              <w:rPr>
                <w:rFonts w:ascii="Garamond" w:hAnsi="Garamond"/>
                <w:b/>
                <w:bCs/>
              </w:rPr>
            </w:pPr>
            <w:r w:rsidRPr="007114AF">
              <w:rPr>
                <w:rFonts w:ascii="Garamond" w:hAnsi="Garamond"/>
                <w:b/>
                <w:bCs/>
              </w:rPr>
              <w:t>Burimet</w:t>
            </w:r>
          </w:p>
          <w:p w14:paraId="6EDD0E1F" w14:textId="77777777" w:rsidR="002665C8" w:rsidRPr="007114AF" w:rsidRDefault="002665C8" w:rsidP="00037830">
            <w:pPr>
              <w:numPr>
                <w:ilvl w:val="0"/>
                <w:numId w:val="18"/>
              </w:numPr>
              <w:spacing w:after="0" w:line="240" w:lineRule="auto"/>
              <w:ind w:left="0" w:firstLine="0"/>
              <w:rPr>
                <w:rFonts w:ascii="Garamond" w:hAnsi="Garamond"/>
                <w:bCs/>
              </w:rPr>
            </w:pPr>
            <w:r w:rsidRPr="007114AF">
              <w:rPr>
                <w:rFonts w:ascii="Garamond" w:hAnsi="Garamond"/>
                <w:bCs/>
              </w:rPr>
              <w:t>Ministria e Turizmit dhe Mjedisit do të bashkërendojë nismën integruese, nëpërmjet sektorit të ndryshimeve klimatike që do të krijohet rishtazi.</w:t>
            </w:r>
          </w:p>
          <w:p w14:paraId="6EDD0E20" w14:textId="406706A5" w:rsidR="002665C8" w:rsidRPr="007114AF" w:rsidRDefault="002665C8" w:rsidP="00037830">
            <w:pPr>
              <w:numPr>
                <w:ilvl w:val="0"/>
                <w:numId w:val="18"/>
              </w:numPr>
              <w:spacing w:after="0" w:line="240" w:lineRule="auto"/>
              <w:ind w:left="0" w:firstLine="0"/>
              <w:rPr>
                <w:rFonts w:ascii="Garamond" w:hAnsi="Garamond"/>
                <w:b/>
                <w:bCs/>
              </w:rPr>
            </w:pPr>
            <w:r w:rsidRPr="007114AF">
              <w:rPr>
                <w:rFonts w:ascii="Garamond" w:hAnsi="Garamond"/>
                <w:bCs/>
              </w:rPr>
              <w:t xml:space="preserve">Fondet e Aderimit do të përdoren për të siguruar përputhshmërinë e asistencës financiare me politikat klimatike të BE-së. Kjo mund të çojë në konsulenca për integrimin e çështjeve të ndryshimeve klimatike. Kostot afërsisht 4 </w:t>
            </w:r>
            <w:r w:rsidR="001C47F0" w:rsidRPr="007114AF">
              <w:rPr>
                <w:rFonts w:ascii="Garamond" w:hAnsi="Garamond"/>
                <w:bCs/>
              </w:rPr>
              <w:t xml:space="preserve">milionë </w:t>
            </w:r>
            <w:r w:rsidRPr="007114AF">
              <w:rPr>
                <w:rFonts w:ascii="Garamond" w:hAnsi="Garamond"/>
                <w:bCs/>
              </w:rPr>
              <w:t>lekë në vit.</w:t>
            </w:r>
          </w:p>
        </w:tc>
      </w:tr>
    </w:tbl>
    <w:p w14:paraId="6EDD0E22" w14:textId="77777777" w:rsidR="009344C8" w:rsidRPr="007114AF" w:rsidRDefault="009344C8" w:rsidP="00EF517C">
      <w:pPr>
        <w:pStyle w:val="TEKSTI"/>
      </w:pPr>
    </w:p>
    <w:p w14:paraId="6EDD0E23" w14:textId="58F1144D" w:rsidR="00BC43B7" w:rsidRPr="007114AF" w:rsidRDefault="00BC43B7" w:rsidP="00BC43B7">
      <w:pPr>
        <w:pStyle w:val="FIGURA"/>
        <w:rPr>
          <w:lang w:eastAsia="en-US"/>
        </w:rPr>
      </w:pPr>
      <w:bookmarkStart w:id="202" w:name="_Toc484424536"/>
      <w:bookmarkStart w:id="203" w:name="_Toc479083891"/>
      <w:bookmarkStart w:id="204" w:name="_Toc483570138"/>
      <w:r w:rsidRPr="007114AF">
        <w:rPr>
          <w:lang w:eastAsia="en-US"/>
        </w:rPr>
        <w:t>6.2.3 Veprimi Prioritar</w:t>
      </w:r>
      <w:r w:rsidR="00242009" w:rsidRPr="007114AF">
        <w:rPr>
          <w:lang w:eastAsia="en-US"/>
        </w:rPr>
        <w:t xml:space="preserve"> nr. </w:t>
      </w:r>
      <w:r w:rsidRPr="007114AF">
        <w:rPr>
          <w:lang w:eastAsia="en-US"/>
        </w:rPr>
        <w:t>3</w:t>
      </w:r>
      <w:bookmarkEnd w:id="202"/>
      <w:bookmarkEnd w:id="203"/>
      <w:bookmarkEnd w:id="2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379"/>
        <w:gridCol w:w="4606"/>
      </w:tblGrid>
      <w:tr w:rsidR="006565C1" w:rsidRPr="007114AF" w14:paraId="6EDD0E29" w14:textId="77777777" w:rsidTr="00574660">
        <w:tc>
          <w:tcPr>
            <w:tcW w:w="4606" w:type="dxa"/>
            <w:gridSpan w:val="2"/>
            <w:shd w:val="clear" w:color="auto" w:fill="B6DDE8" w:themeFill="accent5" w:themeFillTint="66"/>
          </w:tcPr>
          <w:p w14:paraId="6EDD0E24" w14:textId="50FFCEA1" w:rsidR="006565C1" w:rsidRPr="007114AF" w:rsidRDefault="006565C1" w:rsidP="006565C1">
            <w:pPr>
              <w:spacing w:after="0" w:line="240" w:lineRule="auto"/>
              <w:rPr>
                <w:rFonts w:ascii="Garamond" w:hAnsi="Garamond"/>
                <w:b/>
                <w:bCs/>
              </w:rPr>
            </w:pPr>
            <w:r w:rsidRPr="007114AF">
              <w:rPr>
                <w:rFonts w:ascii="Garamond" w:hAnsi="Garamond"/>
                <w:b/>
                <w:bCs/>
              </w:rPr>
              <w:t>Titulli i Veprimit Prioritar</w:t>
            </w:r>
            <w:r w:rsidR="00242009" w:rsidRPr="007114AF">
              <w:rPr>
                <w:rFonts w:ascii="Garamond" w:hAnsi="Garamond"/>
                <w:b/>
                <w:bCs/>
              </w:rPr>
              <w:t xml:space="preserve"> nr. </w:t>
            </w:r>
            <w:r w:rsidRPr="007114AF">
              <w:rPr>
                <w:rFonts w:ascii="Garamond" w:hAnsi="Garamond"/>
                <w:b/>
                <w:bCs/>
              </w:rPr>
              <w:t xml:space="preserve">3 </w:t>
            </w:r>
          </w:p>
          <w:p w14:paraId="6EDD0E25" w14:textId="77777777" w:rsidR="006565C1" w:rsidRPr="007114AF" w:rsidRDefault="006565C1" w:rsidP="006565C1">
            <w:pPr>
              <w:spacing w:after="0" w:line="240" w:lineRule="auto"/>
              <w:rPr>
                <w:rFonts w:ascii="Garamond" w:hAnsi="Garamond"/>
                <w:b/>
                <w:bCs/>
              </w:rPr>
            </w:pPr>
            <w:r w:rsidRPr="007114AF">
              <w:rPr>
                <w:rFonts w:ascii="Garamond" w:hAnsi="Garamond"/>
                <w:b/>
                <w:bCs/>
              </w:rPr>
              <w:t>Gatishmëria financiare për klimën – Zhvillimi i kapaciteteve për financimin dhe zbatimin e NAP-it në Shqipëri.</w:t>
            </w:r>
          </w:p>
        </w:tc>
        <w:tc>
          <w:tcPr>
            <w:tcW w:w="4606" w:type="dxa"/>
            <w:shd w:val="clear" w:color="auto" w:fill="B6DDE8" w:themeFill="accent5" w:themeFillTint="66"/>
          </w:tcPr>
          <w:p w14:paraId="6EDD0E26" w14:textId="77777777" w:rsidR="006565C1" w:rsidRPr="007114AF" w:rsidRDefault="006565C1" w:rsidP="006565C1">
            <w:pPr>
              <w:spacing w:after="0" w:line="240" w:lineRule="auto"/>
              <w:rPr>
                <w:rFonts w:ascii="Garamond" w:hAnsi="Garamond"/>
                <w:b/>
                <w:bCs/>
                <w:iCs/>
              </w:rPr>
            </w:pPr>
            <w:r w:rsidRPr="007114AF">
              <w:rPr>
                <w:rFonts w:ascii="Garamond" w:hAnsi="Garamond"/>
                <w:b/>
                <w:bCs/>
                <w:iCs/>
              </w:rPr>
              <w:t>Agjencia / Ministria kryesuese përgjegjëse</w:t>
            </w:r>
          </w:p>
          <w:p w14:paraId="6EDD0E27" w14:textId="77777777" w:rsidR="006565C1" w:rsidRPr="007114AF" w:rsidRDefault="006565C1" w:rsidP="006565C1">
            <w:pPr>
              <w:spacing w:after="0" w:line="240" w:lineRule="auto"/>
              <w:rPr>
                <w:rFonts w:ascii="Garamond" w:hAnsi="Garamond"/>
                <w:b/>
                <w:bCs/>
              </w:rPr>
            </w:pPr>
            <w:r w:rsidRPr="007114AF">
              <w:rPr>
                <w:rFonts w:ascii="Garamond" w:hAnsi="Garamond"/>
                <w:b/>
                <w:bCs/>
              </w:rPr>
              <w:t xml:space="preserve">Ministria e Turizmit dhe Mjedisit </w:t>
            </w:r>
          </w:p>
          <w:p w14:paraId="6EDD0E28" w14:textId="77777777" w:rsidR="006565C1" w:rsidRPr="007114AF" w:rsidRDefault="006565C1" w:rsidP="006565C1">
            <w:pPr>
              <w:spacing w:after="0" w:line="240" w:lineRule="auto"/>
              <w:rPr>
                <w:rFonts w:ascii="Garamond" w:hAnsi="Garamond"/>
                <w:b/>
                <w:bCs/>
              </w:rPr>
            </w:pPr>
            <w:r w:rsidRPr="007114AF">
              <w:rPr>
                <w:rFonts w:ascii="Garamond" w:hAnsi="Garamond"/>
                <w:b/>
                <w:bCs/>
              </w:rPr>
              <w:t>Autoriteti Kombëtar i Përcaktuar (AKP) për Fondin e Gjelbërt të Klimës (GCF)</w:t>
            </w:r>
          </w:p>
        </w:tc>
      </w:tr>
      <w:tr w:rsidR="006565C1" w:rsidRPr="007114AF" w14:paraId="6EDD0E36" w14:textId="77777777" w:rsidTr="00574660">
        <w:tc>
          <w:tcPr>
            <w:tcW w:w="9212" w:type="dxa"/>
            <w:gridSpan w:val="3"/>
            <w:shd w:val="clear" w:color="auto" w:fill="auto"/>
          </w:tcPr>
          <w:p w14:paraId="6EDD0E2A" w14:textId="77777777" w:rsidR="006565C1" w:rsidRPr="007114AF" w:rsidRDefault="006565C1" w:rsidP="006565C1">
            <w:pPr>
              <w:spacing w:after="0" w:line="240" w:lineRule="auto"/>
              <w:rPr>
                <w:rFonts w:ascii="Garamond" w:hAnsi="Garamond"/>
                <w:b/>
                <w:bCs/>
              </w:rPr>
            </w:pPr>
            <w:r w:rsidRPr="007114AF">
              <w:rPr>
                <w:rFonts w:ascii="Garamond" w:hAnsi="Garamond"/>
                <w:b/>
                <w:bCs/>
              </w:rPr>
              <w:t>Situata ekzistuese mbi të cilën mbështetet veprimi prioritar</w:t>
            </w:r>
          </w:p>
          <w:p w14:paraId="6EDD0E2B" w14:textId="111EF4F7" w:rsidR="006565C1" w:rsidRPr="007114AF" w:rsidRDefault="006565C1" w:rsidP="006565C1">
            <w:pPr>
              <w:spacing w:after="0" w:line="240" w:lineRule="auto"/>
              <w:rPr>
                <w:rFonts w:ascii="Garamond" w:hAnsi="Garamond"/>
                <w:bCs/>
              </w:rPr>
            </w:pPr>
            <w:r w:rsidRPr="007114AF">
              <w:rPr>
                <w:rFonts w:ascii="Garamond" w:hAnsi="Garamond"/>
                <w:bCs/>
              </w:rPr>
              <w:t>Procesi i NAP-it nuk është i lidhur zyrtarisht vetëm me një burim financimi. Nëpërmjet negociatave ndërkombëtare nën Konventën Kuadër të Kombeve të Bashkuara për Ndryshimet Klimatike (UNFCCC), dhe pse në qershor të 2016, përgjatë takimit</w:t>
            </w:r>
            <w:r w:rsidR="000A2A01" w:rsidRPr="007114AF">
              <w:rPr>
                <w:rFonts w:ascii="Garamond" w:hAnsi="Garamond"/>
                <w:bCs/>
              </w:rPr>
              <w:t xml:space="preserve"> </w:t>
            </w:r>
            <w:r w:rsidR="00A2579E">
              <w:rPr>
                <w:rFonts w:ascii="Garamond" w:hAnsi="Garamond"/>
                <w:bCs/>
              </w:rPr>
              <w:t>të 13-të, bordi i</w:t>
            </w:r>
            <w:r w:rsidRPr="007114AF">
              <w:rPr>
                <w:rFonts w:ascii="Garamond" w:hAnsi="Garamond"/>
                <w:bCs/>
              </w:rPr>
              <w:t xml:space="preserve"> Fondit të Gjelbër vendosi që të ristrukturojë programin e </w:t>
            </w:r>
            <w:r w:rsidR="00A2579E" w:rsidRPr="007114AF">
              <w:rPr>
                <w:rFonts w:ascii="Garamond" w:hAnsi="Garamond"/>
                <w:bCs/>
              </w:rPr>
              <w:t>mbështetjes</w:t>
            </w:r>
            <w:r w:rsidRPr="007114AF">
              <w:rPr>
                <w:rFonts w:ascii="Garamond" w:hAnsi="Garamond"/>
                <w:bCs/>
              </w:rPr>
              <w:t xml:space="preserve"> së gatishmërisë si dhe ngritjen e një fushe aktiviteti </w:t>
            </w:r>
            <w:r w:rsidR="006B6E5B" w:rsidRPr="007114AF">
              <w:rPr>
                <w:rFonts w:ascii="Garamond" w:hAnsi="Garamond"/>
                <w:bCs/>
              </w:rPr>
              <w:t>veçanërisht</w:t>
            </w:r>
            <w:r w:rsidRPr="007114AF">
              <w:rPr>
                <w:rFonts w:ascii="Garamond" w:hAnsi="Garamond"/>
                <w:bCs/>
              </w:rPr>
              <w:t xml:space="preserve"> për</w:t>
            </w:r>
            <w:r w:rsidR="000A2A01" w:rsidRPr="007114AF">
              <w:rPr>
                <w:rFonts w:ascii="Garamond" w:hAnsi="Garamond"/>
                <w:bCs/>
              </w:rPr>
              <w:t xml:space="preserve"> </w:t>
            </w:r>
            <w:r w:rsidRPr="007114AF">
              <w:rPr>
                <w:rFonts w:ascii="Garamond" w:hAnsi="Garamond"/>
                <w:bCs/>
              </w:rPr>
              <w:t>përpilimin e raporteve të NAP-it apo proce</w:t>
            </w:r>
            <w:r w:rsidR="00A2579E">
              <w:rPr>
                <w:rFonts w:ascii="Garamond" w:hAnsi="Garamond"/>
                <w:bCs/>
              </w:rPr>
              <w:t>se</w:t>
            </w:r>
            <w:r w:rsidRPr="007114AF">
              <w:rPr>
                <w:rFonts w:ascii="Garamond" w:hAnsi="Garamond"/>
                <w:bCs/>
              </w:rPr>
              <w:t xml:space="preserve">ve te tjera përshtatëse për vendet në zhvillim. Bazuar në këtë vendim, një dritare e re mundësie është hapur dhe rreth 3 </w:t>
            </w:r>
            <w:r w:rsidR="001C47F0" w:rsidRPr="007114AF">
              <w:rPr>
                <w:rFonts w:ascii="Garamond" w:hAnsi="Garamond"/>
                <w:bCs/>
              </w:rPr>
              <w:t xml:space="preserve">milionë </w:t>
            </w:r>
            <w:r w:rsidRPr="007114AF">
              <w:rPr>
                <w:rFonts w:ascii="Garamond" w:hAnsi="Garamond"/>
                <w:bCs/>
              </w:rPr>
              <w:t>dollarë mund të merren për secilin vend, në kuadër të përgatitjes së planeve kombëtare të përshtatjes,</w:t>
            </w:r>
            <w:r w:rsidR="000A2A01" w:rsidRPr="007114AF">
              <w:rPr>
                <w:rFonts w:ascii="Garamond" w:hAnsi="Garamond"/>
                <w:bCs/>
              </w:rPr>
              <w:t xml:space="preserve"> </w:t>
            </w:r>
            <w:r w:rsidRPr="007114AF">
              <w:rPr>
                <w:rFonts w:ascii="Garamond" w:hAnsi="Garamond"/>
                <w:bCs/>
              </w:rPr>
              <w:t xml:space="preserve">nëpërmjet programit të gatishmërisë për përshtatje. </w:t>
            </w:r>
          </w:p>
          <w:p w14:paraId="6EDD0E2C" w14:textId="334CC288" w:rsidR="006565C1" w:rsidRPr="007114AF" w:rsidRDefault="006565C1" w:rsidP="006565C1">
            <w:pPr>
              <w:spacing w:after="0" w:line="240" w:lineRule="auto"/>
              <w:rPr>
                <w:rFonts w:ascii="Garamond" w:hAnsi="Garamond"/>
                <w:bCs/>
                <w:iCs/>
              </w:rPr>
            </w:pPr>
            <w:r w:rsidRPr="007114AF">
              <w:rPr>
                <w:rFonts w:ascii="Garamond" w:hAnsi="Garamond"/>
                <w:bCs/>
              </w:rPr>
              <w:t>Veprimet Prioritare të paraqitura në dokumentin e NAP-it shqiptar kanë nevojë për financim që të zbatohen. Duke q</w:t>
            </w:r>
            <w:r w:rsidR="006B6E5B">
              <w:rPr>
                <w:rFonts w:ascii="Garamond" w:hAnsi="Garamond"/>
                <w:bCs/>
              </w:rPr>
              <w:t>e</w:t>
            </w:r>
            <w:r w:rsidRPr="007114AF">
              <w:rPr>
                <w:rFonts w:ascii="Garamond" w:hAnsi="Garamond"/>
                <w:bCs/>
              </w:rPr>
              <w:t>në se efektet e ndryshimeve klimatike sa vijnë e po rriten me kalimin e viteve, dhe në mënyrë</w:t>
            </w:r>
            <w:r w:rsidR="006B6E5B">
              <w:rPr>
                <w:rFonts w:ascii="Garamond" w:hAnsi="Garamond"/>
                <w:bCs/>
              </w:rPr>
              <w:t xml:space="preserve"> </w:t>
            </w:r>
            <w:r w:rsidRPr="007114AF">
              <w:rPr>
                <w:rFonts w:ascii="Garamond" w:hAnsi="Garamond"/>
                <w:bCs/>
              </w:rPr>
              <w:t>që të ndalohen ndryshimet e mëdha transformuese në sektorë, Shqipëria ka nevojë të kërkojë mbështetje financiare si afatshkurtër, afatmesëm dhe afatgjatë për t</w:t>
            </w:r>
            <w:r w:rsidR="00D10DAB" w:rsidRPr="007114AF">
              <w:rPr>
                <w:rFonts w:ascii="Garamond" w:hAnsi="Garamond"/>
                <w:bCs/>
              </w:rPr>
              <w:t>’</w:t>
            </w:r>
            <w:r w:rsidRPr="007114AF">
              <w:rPr>
                <w:rFonts w:ascii="Garamond" w:hAnsi="Garamond"/>
                <w:bCs/>
              </w:rPr>
              <w:t>iu përshtatur këtyre efekteve.</w:t>
            </w:r>
            <w:r w:rsidR="000A2A01" w:rsidRPr="007114AF">
              <w:rPr>
                <w:rFonts w:ascii="Garamond" w:hAnsi="Garamond"/>
                <w:bCs/>
              </w:rPr>
              <w:t xml:space="preserve"> </w:t>
            </w:r>
            <w:r w:rsidRPr="007114AF">
              <w:rPr>
                <w:rFonts w:ascii="Garamond" w:hAnsi="Garamond"/>
                <w:bCs/>
                <w:iCs/>
              </w:rPr>
              <w:t>Kategoritë e ndryshme të burimeve dhe mjeteve financiare do të jenë të rëndësishme për Shqipërinë, të tilla si:</w:t>
            </w:r>
          </w:p>
          <w:p w14:paraId="6EDD0E2D" w14:textId="77777777" w:rsidR="006565C1" w:rsidRPr="007114AF" w:rsidRDefault="006565C1" w:rsidP="006565C1">
            <w:pPr>
              <w:spacing w:after="0" w:line="240" w:lineRule="auto"/>
              <w:rPr>
                <w:rFonts w:ascii="Garamond" w:hAnsi="Garamond"/>
                <w:bCs/>
                <w:iCs/>
              </w:rPr>
            </w:pPr>
            <w:r w:rsidRPr="007114AF">
              <w:rPr>
                <w:rFonts w:ascii="Garamond" w:hAnsi="Garamond"/>
                <w:bCs/>
                <w:iCs/>
              </w:rPr>
              <w:t>Publike dhe/ose burime private;</w:t>
            </w:r>
          </w:p>
          <w:p w14:paraId="6EDD0E2E" w14:textId="77777777" w:rsidR="006565C1" w:rsidRPr="007114AF" w:rsidRDefault="006565C1" w:rsidP="006565C1">
            <w:pPr>
              <w:spacing w:after="0" w:line="240" w:lineRule="auto"/>
              <w:rPr>
                <w:rFonts w:ascii="Garamond" w:hAnsi="Garamond"/>
                <w:bCs/>
                <w:iCs/>
              </w:rPr>
            </w:pPr>
            <w:r w:rsidRPr="007114AF">
              <w:rPr>
                <w:rFonts w:ascii="Garamond" w:hAnsi="Garamond"/>
                <w:bCs/>
                <w:iCs/>
              </w:rPr>
              <w:t xml:space="preserve"> Burimet e brendshme buxhetore dhe/ose ndërkombëtare;</w:t>
            </w:r>
          </w:p>
          <w:p w14:paraId="6EDD0E2F" w14:textId="45E6AAEF" w:rsidR="006565C1" w:rsidRPr="007114AF" w:rsidRDefault="006565C1" w:rsidP="006565C1">
            <w:pPr>
              <w:spacing w:after="0" w:line="240" w:lineRule="auto"/>
              <w:rPr>
                <w:rFonts w:ascii="Garamond" w:hAnsi="Garamond"/>
                <w:bCs/>
                <w:iCs/>
              </w:rPr>
            </w:pPr>
            <w:r w:rsidRPr="007114AF">
              <w:rPr>
                <w:rFonts w:ascii="Garamond" w:hAnsi="Garamond"/>
                <w:bCs/>
                <w:iCs/>
              </w:rPr>
              <w:t>Projekte të mundshme në fushë dhe/ose programe të tjera të fushës;</w:t>
            </w:r>
          </w:p>
          <w:p w14:paraId="6EDD0E30" w14:textId="77777777" w:rsidR="006565C1" w:rsidRPr="007114AF" w:rsidRDefault="006565C1" w:rsidP="006565C1">
            <w:pPr>
              <w:spacing w:after="0" w:line="240" w:lineRule="auto"/>
              <w:rPr>
                <w:rFonts w:ascii="Garamond" w:hAnsi="Garamond"/>
                <w:bCs/>
                <w:iCs/>
              </w:rPr>
            </w:pPr>
            <w:r w:rsidRPr="007114AF">
              <w:rPr>
                <w:rFonts w:ascii="Garamond" w:hAnsi="Garamond"/>
                <w:bCs/>
                <w:iCs/>
              </w:rPr>
              <w:t xml:space="preserve"> Burimet për investime dhe/ose shpenzimet operative.</w:t>
            </w:r>
          </w:p>
          <w:p w14:paraId="6EDD0E31" w14:textId="2BF4B469" w:rsidR="006565C1" w:rsidRPr="007114AF" w:rsidRDefault="006565C1" w:rsidP="006565C1">
            <w:pPr>
              <w:spacing w:after="0" w:line="240" w:lineRule="auto"/>
              <w:rPr>
                <w:rFonts w:ascii="Garamond" w:hAnsi="Garamond"/>
                <w:bCs/>
              </w:rPr>
            </w:pPr>
            <w:r w:rsidRPr="007114AF">
              <w:rPr>
                <w:rFonts w:ascii="Garamond" w:hAnsi="Garamond"/>
                <w:bCs/>
                <w:iCs/>
              </w:rPr>
              <w:t>Shqipëria ka nevojë të bëjë në mënyrë urgjente rregullimet institucionale për të q</w:t>
            </w:r>
            <w:r w:rsidR="00492051">
              <w:rPr>
                <w:rFonts w:ascii="Garamond" w:hAnsi="Garamond"/>
                <w:bCs/>
                <w:iCs/>
              </w:rPr>
              <w:t>e</w:t>
            </w:r>
            <w:r w:rsidRPr="007114AF">
              <w:rPr>
                <w:rFonts w:ascii="Garamond" w:hAnsi="Garamond"/>
                <w:bCs/>
                <w:iCs/>
              </w:rPr>
              <w:t xml:space="preserve">në e aftë të hyjë në financimet e kërkuara dhe të duhura, qofshin këto kombëtare apo ndërkombëtare, si dhe të gjejë kanalet e e financimit të implementimit të NAP-it. Për këtë arsye, është përpiluar dhe dokumenti </w:t>
            </w:r>
            <w:r w:rsidR="00492051">
              <w:rPr>
                <w:rFonts w:ascii="Garamond" w:hAnsi="Garamond"/>
                <w:bCs/>
                <w:iCs/>
              </w:rPr>
              <w:t>i</w:t>
            </w:r>
            <w:r w:rsidR="000A2A01" w:rsidRPr="007114AF">
              <w:rPr>
                <w:rFonts w:ascii="Garamond" w:hAnsi="Garamond"/>
                <w:bCs/>
                <w:iCs/>
              </w:rPr>
              <w:t xml:space="preserve"> </w:t>
            </w:r>
            <w:r w:rsidRPr="007114AF">
              <w:rPr>
                <w:rFonts w:ascii="Garamond" w:hAnsi="Garamond"/>
                <w:bCs/>
                <w:iCs/>
              </w:rPr>
              <w:t>financimit</w:t>
            </w:r>
            <w:r w:rsidR="00492051">
              <w:rPr>
                <w:rFonts w:ascii="Garamond" w:hAnsi="Garamond"/>
                <w:bCs/>
                <w:iCs/>
              </w:rPr>
              <w:t xml:space="preserve"> </w:t>
            </w:r>
            <w:r w:rsidRPr="007114AF">
              <w:rPr>
                <w:rFonts w:ascii="Garamond" w:hAnsi="Garamond"/>
                <w:bCs/>
                <w:iCs/>
              </w:rPr>
              <w:t>(në aneksin IV)</w:t>
            </w:r>
            <w:r w:rsidRPr="007114AF">
              <w:rPr>
                <w:rFonts w:ascii="Garamond" w:hAnsi="Garamond"/>
                <w:bCs/>
              </w:rPr>
              <w:t>.</w:t>
            </w:r>
          </w:p>
          <w:p w14:paraId="6EDD0E32" w14:textId="37E7305B" w:rsidR="006565C1" w:rsidRPr="007114AF" w:rsidRDefault="006565C1" w:rsidP="006565C1">
            <w:pPr>
              <w:spacing w:after="0" w:line="240" w:lineRule="auto"/>
              <w:rPr>
                <w:rFonts w:ascii="Garamond" w:hAnsi="Garamond"/>
                <w:bCs/>
                <w:iCs/>
              </w:rPr>
            </w:pPr>
            <w:r w:rsidRPr="007114AF">
              <w:rPr>
                <w:rFonts w:ascii="Garamond" w:hAnsi="Garamond"/>
                <w:bCs/>
                <w:iCs/>
              </w:rPr>
              <w:t xml:space="preserve">Ky Veprim Prioritar është </w:t>
            </w:r>
            <w:r w:rsidR="00C8189C">
              <w:rPr>
                <w:rFonts w:ascii="Garamond" w:hAnsi="Garamond"/>
                <w:bCs/>
                <w:iCs/>
              </w:rPr>
              <w:t>i</w:t>
            </w:r>
            <w:r w:rsidRPr="007114AF">
              <w:rPr>
                <w:rFonts w:ascii="Garamond" w:hAnsi="Garamond"/>
                <w:bCs/>
                <w:iCs/>
              </w:rPr>
              <w:t xml:space="preserve"> lidhur ngushtësisht me</w:t>
            </w:r>
            <w:r w:rsidR="000A2A01" w:rsidRPr="007114AF">
              <w:rPr>
                <w:rFonts w:ascii="Garamond" w:hAnsi="Garamond"/>
                <w:bCs/>
                <w:iCs/>
              </w:rPr>
              <w:t xml:space="preserve"> </w:t>
            </w:r>
            <w:r w:rsidRPr="007114AF">
              <w:rPr>
                <w:rFonts w:ascii="Garamond" w:hAnsi="Garamond"/>
                <w:bCs/>
                <w:iCs/>
              </w:rPr>
              <w:t>këtë dokument financiar dhe nëpërmjet zbatimit të tij synohet përparimi i të gjitha veprimeve</w:t>
            </w:r>
            <w:r w:rsidR="000A2A01" w:rsidRPr="007114AF">
              <w:rPr>
                <w:rFonts w:ascii="Garamond" w:hAnsi="Garamond"/>
                <w:bCs/>
                <w:iCs/>
              </w:rPr>
              <w:t xml:space="preserve"> </w:t>
            </w:r>
            <w:r w:rsidRPr="007114AF">
              <w:rPr>
                <w:rFonts w:ascii="Garamond" w:hAnsi="Garamond"/>
                <w:bCs/>
                <w:iCs/>
              </w:rPr>
              <w:t>prioritare të NAP-it.</w:t>
            </w:r>
            <w:r w:rsidR="000A2A01" w:rsidRPr="007114AF">
              <w:rPr>
                <w:rFonts w:ascii="Garamond" w:hAnsi="Garamond"/>
                <w:bCs/>
                <w:iCs/>
              </w:rPr>
              <w:t xml:space="preserve"> </w:t>
            </w:r>
          </w:p>
          <w:p w14:paraId="6EDD0E33" w14:textId="77777777" w:rsidR="006565C1" w:rsidRPr="007114AF" w:rsidRDefault="006565C1" w:rsidP="006565C1">
            <w:pPr>
              <w:spacing w:after="0" w:line="240" w:lineRule="auto"/>
              <w:rPr>
                <w:rFonts w:ascii="Garamond" w:hAnsi="Garamond"/>
                <w:bCs/>
                <w:iCs/>
              </w:rPr>
            </w:pPr>
            <w:r w:rsidRPr="007114AF">
              <w:rPr>
                <w:rFonts w:ascii="Garamond" w:hAnsi="Garamond"/>
                <w:bCs/>
                <w:iCs/>
              </w:rPr>
              <w:t xml:space="preserve">Veprimi prioritar fokusohet në dy fusha: </w:t>
            </w:r>
          </w:p>
          <w:p w14:paraId="6EDD0E34" w14:textId="77777777" w:rsidR="006565C1" w:rsidRPr="007114AF" w:rsidRDefault="006565C1" w:rsidP="006565C1">
            <w:pPr>
              <w:tabs>
                <w:tab w:val="left" w:pos="180"/>
              </w:tabs>
              <w:spacing w:after="0" w:line="240" w:lineRule="auto"/>
              <w:rPr>
                <w:rFonts w:ascii="Garamond" w:hAnsi="Garamond"/>
                <w:bCs/>
                <w:iCs/>
              </w:rPr>
            </w:pPr>
            <w:r w:rsidRPr="007114AF">
              <w:rPr>
                <w:rFonts w:ascii="Garamond" w:hAnsi="Garamond"/>
                <w:bCs/>
                <w:iCs/>
              </w:rPr>
              <w:t>1. Aksesimi i buxhetit publik për zbatimin e aktiviteteve të NAP-it.</w:t>
            </w:r>
          </w:p>
          <w:p w14:paraId="6EDD0E35" w14:textId="7AF17AE1" w:rsidR="006565C1" w:rsidRPr="007114AF" w:rsidRDefault="006565C1" w:rsidP="00492051">
            <w:pPr>
              <w:tabs>
                <w:tab w:val="left" w:pos="180"/>
              </w:tabs>
              <w:spacing w:after="0" w:line="240" w:lineRule="auto"/>
              <w:rPr>
                <w:rFonts w:ascii="Garamond" w:hAnsi="Garamond"/>
                <w:bCs/>
                <w:iCs/>
              </w:rPr>
            </w:pPr>
            <w:r w:rsidRPr="007114AF">
              <w:rPr>
                <w:rFonts w:ascii="Garamond" w:hAnsi="Garamond"/>
                <w:bCs/>
                <w:iCs/>
              </w:rPr>
              <w:t>2. Aksesimi i burimeve të mundshme Ndërkombëtare të Financimit (të identifikuara në dokumentin e financimit), veçanërisht aksesimin e Fondit të Gjelbër të Klimës (GCF).</w:t>
            </w:r>
          </w:p>
        </w:tc>
      </w:tr>
      <w:tr w:rsidR="006565C1" w:rsidRPr="007114AF" w14:paraId="6EDD0E3E" w14:textId="77777777" w:rsidTr="00574660">
        <w:tc>
          <w:tcPr>
            <w:tcW w:w="9212" w:type="dxa"/>
            <w:gridSpan w:val="3"/>
            <w:shd w:val="clear" w:color="auto" w:fill="auto"/>
          </w:tcPr>
          <w:p w14:paraId="6EDD0E37" w14:textId="77777777" w:rsidR="006565C1" w:rsidRPr="007114AF" w:rsidRDefault="006565C1" w:rsidP="006565C1">
            <w:pPr>
              <w:spacing w:after="0" w:line="240" w:lineRule="auto"/>
              <w:rPr>
                <w:rFonts w:ascii="Garamond" w:hAnsi="Garamond"/>
                <w:b/>
                <w:bCs/>
              </w:rPr>
            </w:pPr>
            <w:r w:rsidRPr="007114AF">
              <w:rPr>
                <w:rFonts w:ascii="Garamond" w:hAnsi="Garamond"/>
                <w:b/>
                <w:bCs/>
              </w:rPr>
              <w:t>Arsyetimi / objektivat / treguesit</w:t>
            </w:r>
          </w:p>
          <w:p w14:paraId="6EDD0E38" w14:textId="6D56B40E" w:rsidR="006565C1" w:rsidRPr="007114AF" w:rsidRDefault="006565C1" w:rsidP="006565C1">
            <w:pPr>
              <w:spacing w:after="0" w:line="240" w:lineRule="auto"/>
              <w:rPr>
                <w:rFonts w:ascii="Garamond" w:hAnsi="Garamond"/>
                <w:bCs/>
              </w:rPr>
            </w:pPr>
            <w:r w:rsidRPr="007114AF">
              <w:rPr>
                <w:rFonts w:ascii="Garamond" w:hAnsi="Garamond"/>
                <w:bCs/>
              </w:rPr>
              <w:t>AKP-ja do të luajë një rol të rëndësishëm në vlerësimin dhe menaxhimin e financave klimatike. Mbështetja sistematike nëpërmjet zhvillimit të kapaciteteve dhe asistencës teknike, do t</w:t>
            </w:r>
            <w:r w:rsidR="00D10DAB" w:rsidRPr="007114AF">
              <w:rPr>
                <w:rFonts w:ascii="Garamond" w:hAnsi="Garamond"/>
                <w:bCs/>
              </w:rPr>
              <w:t>’</w:t>
            </w:r>
            <w:r w:rsidRPr="007114AF">
              <w:rPr>
                <w:rFonts w:ascii="Garamond" w:hAnsi="Garamond"/>
                <w:bCs/>
              </w:rPr>
              <w:t>i japë mundësi Shqipërisë të integrojë produktet e NAP-it në planifikimin dhe buxhetimin kombëtar, si edhe ta rrisë mundësinë e Shqipërisë për të aksesuar fondet klimatike ndërkombëtare.</w:t>
            </w:r>
          </w:p>
          <w:p w14:paraId="6EDD0E39" w14:textId="77777777" w:rsidR="006565C1" w:rsidRPr="007114AF" w:rsidRDefault="006565C1" w:rsidP="00037830">
            <w:pPr>
              <w:numPr>
                <w:ilvl w:val="0"/>
                <w:numId w:val="45"/>
              </w:numPr>
              <w:spacing w:after="0" w:line="240" w:lineRule="auto"/>
              <w:ind w:left="0" w:firstLine="0"/>
              <w:rPr>
                <w:rFonts w:ascii="Garamond" w:hAnsi="Garamond"/>
                <w:bCs/>
              </w:rPr>
            </w:pPr>
            <w:r w:rsidRPr="007114AF">
              <w:rPr>
                <w:rFonts w:ascii="Garamond" w:hAnsi="Garamond"/>
                <w:bCs/>
              </w:rPr>
              <w:t>Objektivi 1: Përdorimi me sukses i buxhetit publik të Shqipërisë për financimin e zbatimit të NAP-it.</w:t>
            </w:r>
          </w:p>
          <w:p w14:paraId="6EDD0E3A" w14:textId="4FE19F32" w:rsidR="006565C1" w:rsidRPr="007114AF" w:rsidRDefault="006565C1" w:rsidP="00037830">
            <w:pPr>
              <w:numPr>
                <w:ilvl w:val="0"/>
                <w:numId w:val="56"/>
              </w:numPr>
              <w:tabs>
                <w:tab w:val="left" w:pos="1890"/>
              </w:tabs>
              <w:spacing w:after="0" w:line="240" w:lineRule="auto"/>
              <w:ind w:left="0" w:firstLine="0"/>
              <w:rPr>
                <w:rFonts w:ascii="Garamond" w:hAnsi="Garamond"/>
                <w:bCs/>
              </w:rPr>
            </w:pPr>
            <w:r w:rsidRPr="007114AF">
              <w:rPr>
                <w:rFonts w:ascii="Garamond" w:hAnsi="Garamond"/>
                <w:bCs/>
              </w:rPr>
              <w:t xml:space="preserve">Treguesi 1.1: Evidencat publike tregojnë fillimisht të paktën 625 </w:t>
            </w:r>
            <w:r w:rsidR="001C47F0" w:rsidRPr="007114AF">
              <w:rPr>
                <w:rFonts w:ascii="Garamond" w:hAnsi="Garamond"/>
                <w:bCs/>
              </w:rPr>
              <w:t xml:space="preserve">milionë </w:t>
            </w:r>
            <w:r w:rsidRPr="007114AF">
              <w:rPr>
                <w:rFonts w:ascii="Garamond" w:hAnsi="Garamond"/>
                <w:bCs/>
              </w:rPr>
              <w:t>ALL</w:t>
            </w:r>
            <w:r w:rsidR="000A2A01" w:rsidRPr="007114AF">
              <w:rPr>
                <w:rFonts w:ascii="Garamond" w:hAnsi="Garamond"/>
                <w:bCs/>
              </w:rPr>
              <w:t xml:space="preserve"> </w:t>
            </w:r>
            <w:r w:rsidRPr="007114AF">
              <w:rPr>
                <w:rFonts w:ascii="Garamond" w:hAnsi="Garamond"/>
                <w:bCs/>
              </w:rPr>
              <w:t>janë shpenzuar brenda muajit janar 2018, nga buxheti publik i Shqipërisë për zbatimin e NAP-it.</w:t>
            </w:r>
          </w:p>
          <w:p w14:paraId="6EDD0E3B" w14:textId="77777777" w:rsidR="006565C1" w:rsidRPr="007114AF" w:rsidRDefault="006565C1" w:rsidP="00037830">
            <w:pPr>
              <w:numPr>
                <w:ilvl w:val="0"/>
                <w:numId w:val="45"/>
              </w:numPr>
              <w:spacing w:after="0" w:line="240" w:lineRule="auto"/>
              <w:ind w:left="0" w:firstLine="0"/>
              <w:rPr>
                <w:rFonts w:ascii="Garamond" w:hAnsi="Garamond"/>
                <w:bCs/>
              </w:rPr>
            </w:pPr>
            <w:r w:rsidRPr="007114AF">
              <w:rPr>
                <w:rFonts w:ascii="Garamond" w:hAnsi="Garamond"/>
                <w:bCs/>
              </w:rPr>
              <w:t>Objektivi 2: Fitimi i mundësisë së përfitimit të drejtpërdrejtë ose të tërthortë nga fondet e GCF-ës për zbatimin e NAP-it të Shqipërisë.</w:t>
            </w:r>
          </w:p>
          <w:p w14:paraId="6EDD0E3C" w14:textId="77777777" w:rsidR="006565C1" w:rsidRPr="007114AF" w:rsidRDefault="006565C1" w:rsidP="00037830">
            <w:pPr>
              <w:numPr>
                <w:ilvl w:val="0"/>
                <w:numId w:val="57"/>
              </w:numPr>
              <w:spacing w:after="0" w:line="240" w:lineRule="auto"/>
              <w:ind w:left="0" w:firstLine="0"/>
              <w:rPr>
                <w:rFonts w:ascii="Garamond" w:hAnsi="Garamond"/>
                <w:bCs/>
              </w:rPr>
            </w:pPr>
            <w:r w:rsidRPr="007114AF">
              <w:rPr>
                <w:rFonts w:ascii="Garamond" w:hAnsi="Garamond"/>
                <w:bCs/>
              </w:rPr>
              <w:t>Treguesi 2.1: GCF i ka dhënë Shqipërisë mbështetje financiare për aktivitetet e gatishmërisë brenda muajit dhjetor 2017.</w:t>
            </w:r>
          </w:p>
          <w:p w14:paraId="6EDD0E3D" w14:textId="650C2460" w:rsidR="006565C1" w:rsidRPr="007114AF" w:rsidRDefault="006565C1" w:rsidP="00037830">
            <w:pPr>
              <w:numPr>
                <w:ilvl w:val="0"/>
                <w:numId w:val="46"/>
              </w:numPr>
              <w:spacing w:after="0" w:line="240" w:lineRule="auto"/>
              <w:ind w:left="0" w:firstLine="0"/>
              <w:rPr>
                <w:rFonts w:ascii="Garamond" w:hAnsi="Garamond"/>
                <w:bCs/>
              </w:rPr>
            </w:pPr>
            <w:r w:rsidRPr="007114AF">
              <w:rPr>
                <w:rFonts w:ascii="Garamond" w:hAnsi="Garamond"/>
                <w:bCs/>
              </w:rPr>
              <w:t xml:space="preserve">Treguesi 2.2: Një propozim prej të paktën1250 </w:t>
            </w:r>
            <w:r w:rsidR="001C47F0" w:rsidRPr="007114AF">
              <w:rPr>
                <w:rFonts w:ascii="Garamond" w:hAnsi="Garamond"/>
                <w:bCs/>
              </w:rPr>
              <w:t xml:space="preserve">milionë </w:t>
            </w:r>
            <w:r w:rsidRPr="007114AF">
              <w:rPr>
                <w:rFonts w:ascii="Garamond" w:hAnsi="Garamond"/>
                <w:bCs/>
              </w:rPr>
              <w:t>ALL për zbatimin e NAP-it të Shqipërisë është aprovuar nga mbledhja e Këshillit të GCF-ës në muajin mars 2017.</w:t>
            </w:r>
          </w:p>
        </w:tc>
      </w:tr>
      <w:tr w:rsidR="006565C1" w:rsidRPr="007114AF" w14:paraId="6EDD0E44" w14:textId="77777777" w:rsidTr="00574660">
        <w:tc>
          <w:tcPr>
            <w:tcW w:w="9212" w:type="dxa"/>
            <w:gridSpan w:val="3"/>
            <w:shd w:val="clear" w:color="auto" w:fill="auto"/>
          </w:tcPr>
          <w:p w14:paraId="6EDD0E3F" w14:textId="77777777" w:rsidR="006565C1" w:rsidRPr="007114AF" w:rsidRDefault="006565C1" w:rsidP="006565C1">
            <w:pPr>
              <w:spacing w:after="0" w:line="240" w:lineRule="auto"/>
              <w:rPr>
                <w:rFonts w:ascii="Garamond" w:hAnsi="Garamond"/>
                <w:b/>
                <w:bCs/>
              </w:rPr>
            </w:pPr>
            <w:r w:rsidRPr="007114AF">
              <w:rPr>
                <w:rFonts w:ascii="Garamond" w:hAnsi="Garamond"/>
                <w:b/>
                <w:bCs/>
              </w:rPr>
              <w:t>Elementet dhe afatet me rëndësi të veprimit prioritar</w:t>
            </w:r>
          </w:p>
          <w:p w14:paraId="6EDD0E40" w14:textId="76CD3720" w:rsidR="006565C1" w:rsidRPr="007114AF" w:rsidRDefault="006565C1" w:rsidP="00037830">
            <w:pPr>
              <w:pStyle w:val="ListParagraph"/>
              <w:numPr>
                <w:ilvl w:val="0"/>
                <w:numId w:val="20"/>
              </w:numPr>
              <w:spacing w:before="0" w:after="0"/>
              <w:ind w:left="0" w:firstLine="0"/>
              <w:rPr>
                <w:rFonts w:ascii="Garamond" w:hAnsi="Garamond"/>
              </w:rPr>
            </w:pPr>
            <w:r w:rsidRPr="007114AF">
              <w:rPr>
                <w:rFonts w:ascii="Garamond" w:hAnsi="Garamond"/>
                <w:color w:val="000000"/>
                <w:u w:val="single"/>
              </w:rPr>
              <w:t xml:space="preserve">Krijimi i një sektori të financimit të klimës (brenda 12 muajve) </w:t>
            </w:r>
            <w:r w:rsidRPr="007114AF">
              <w:rPr>
                <w:rFonts w:ascii="Garamond" w:hAnsi="Garamond"/>
                <w:color w:val="000000"/>
              </w:rPr>
              <w:t>nëpërmjet:</w:t>
            </w:r>
            <w:r w:rsidR="000A2A01" w:rsidRPr="007114AF">
              <w:rPr>
                <w:rFonts w:ascii="Garamond" w:hAnsi="Garamond"/>
                <w:color w:val="000000"/>
              </w:rPr>
              <w:t xml:space="preserve"> </w:t>
            </w:r>
            <w:r w:rsidRPr="007114AF">
              <w:rPr>
                <w:rFonts w:ascii="Garamond" w:hAnsi="Garamond"/>
              </w:rPr>
              <w:t>zhvillimit të kapaciteteve për AKP-ën dhe njësinë e klimës pranë Ministrisë së Turizmit dhe Mjedisit, duke angazhuar palët e interesit,</w:t>
            </w:r>
            <w:r w:rsidR="00A2579E">
              <w:rPr>
                <w:rFonts w:ascii="Garamond" w:hAnsi="Garamond"/>
              </w:rPr>
              <w:t xml:space="preserve"> </w:t>
            </w:r>
            <w:r w:rsidRPr="007114AF">
              <w:rPr>
                <w:rFonts w:ascii="Garamond" w:hAnsi="Garamond"/>
              </w:rPr>
              <w:t>përfshirë edhe ato të procesit të NAP-it, kontrollit mbikëqyrës të aktiviteteve të ndryshimeve klimatike (përfshirë edhe identifikimin e shpenzimeve ekzistuese klimatike të Shqipërisë), ndërgjegjësimit dhe dhënies së informacioneve për mundësitë për financim klimatik përfshirë GCF-ën, paraqitjes së kërkesës për mbështetje të gatishmërisë nga GCF-ja, fillimit të ndërlidhjes me GCF-ën.</w:t>
            </w:r>
          </w:p>
          <w:p w14:paraId="6EDD0E41" w14:textId="53FC802B" w:rsidR="006565C1" w:rsidRPr="007114AF" w:rsidRDefault="006565C1" w:rsidP="00037830">
            <w:pPr>
              <w:numPr>
                <w:ilvl w:val="0"/>
                <w:numId w:val="20"/>
              </w:numPr>
              <w:spacing w:after="0" w:line="240" w:lineRule="auto"/>
              <w:ind w:left="0" w:firstLine="0"/>
              <w:rPr>
                <w:rFonts w:ascii="Garamond" w:hAnsi="Garamond"/>
                <w:bCs/>
                <w:color w:val="FF0000"/>
              </w:rPr>
            </w:pPr>
            <w:r w:rsidRPr="007114AF">
              <w:rPr>
                <w:rFonts w:ascii="Garamond" w:hAnsi="Garamond"/>
                <w:bCs/>
              </w:rPr>
              <w:t>Përditësimi i rregullt i mjetit (tool) të shqyrtimit të zhvilluar me dokumentin e financimit: Ky mjet (tool) i shqyrtimit është paraqitur në Aneksin 1 të dokumentit të financimit. Aty janë shqyrtuar më shumë se 40 burime potenciale financimi dhe kanë ndihmuar në përcaktimin e prioriteteve në lidhje me fushat prioritare të ndryshme të NAP-it, fillimi i hartimit të një procesi strategjik të shkallëzuar për ngritjen e kapaciteteve dhe vendosja e një historiku me organizatat partnere financuese, vlerësimi kategorive të ndryshme të financimit (p.sh. buxheti publik i Shqipërisë, asistenca zyrtare konvencionale për zhvillim nëpërmjet partnerëve për zhvillim të Shqipërisë, fondet shumëpalëshe për klimën dhe fondet nga sektori privat, që shpesh shfrytëzohen me të paktën një prej burimeve të tjera), vlerësimi paraprak i mundësive alternative të disponueshme për financimin klimatik dhe miratimi i një liste me alternativat prioritare për Shqipërinë, fillimi i përgatitjeve për t</w:t>
            </w:r>
            <w:r w:rsidR="00D10DAB" w:rsidRPr="007114AF">
              <w:rPr>
                <w:rFonts w:ascii="Garamond" w:hAnsi="Garamond"/>
                <w:bCs/>
              </w:rPr>
              <w:t>’</w:t>
            </w:r>
            <w:r w:rsidRPr="007114AF">
              <w:rPr>
                <w:rFonts w:ascii="Garamond" w:hAnsi="Garamond"/>
                <w:bCs/>
              </w:rPr>
              <w:t>i përdorur menjëherë.</w:t>
            </w:r>
          </w:p>
          <w:p w14:paraId="6EDD0E42" w14:textId="56A3C520" w:rsidR="006565C1" w:rsidRPr="007114AF" w:rsidRDefault="006565C1" w:rsidP="00037830">
            <w:pPr>
              <w:pStyle w:val="ListParagraph"/>
              <w:numPr>
                <w:ilvl w:val="0"/>
                <w:numId w:val="20"/>
              </w:numPr>
              <w:spacing w:before="0" w:after="0"/>
              <w:ind w:left="0" w:firstLine="0"/>
              <w:rPr>
                <w:rFonts w:ascii="Garamond" w:hAnsi="Garamond"/>
              </w:rPr>
            </w:pPr>
            <w:r w:rsidRPr="007114AF">
              <w:rPr>
                <w:rFonts w:ascii="Garamond" w:hAnsi="Garamond"/>
                <w:color w:val="000000"/>
                <w:u w:val="single"/>
              </w:rPr>
              <w:t>Rritja e mundësive për të marrë financim klimatik (brenda 24 muajve)</w:t>
            </w:r>
            <w:r w:rsidRPr="007114AF">
              <w:rPr>
                <w:rFonts w:ascii="Garamond" w:hAnsi="Garamond"/>
                <w:color w:val="000000"/>
              </w:rPr>
              <w:t xml:space="preserve"> nëpërmjet: </w:t>
            </w:r>
            <w:r w:rsidRPr="007114AF">
              <w:rPr>
                <w:rFonts w:ascii="Garamond" w:hAnsi="Garamond"/>
              </w:rPr>
              <w:t>sqarimit të procedurave dhe kritereve për përdorimin e alternativave prioritare të përzgjedhura ndërkombëtare të financimit, harmonizimit</w:t>
            </w:r>
            <w:r w:rsidR="000A2A01" w:rsidRPr="007114AF">
              <w:rPr>
                <w:rFonts w:ascii="Garamond" w:hAnsi="Garamond"/>
              </w:rPr>
              <w:t xml:space="preserve"> </w:t>
            </w:r>
            <w:r w:rsidRPr="007114AF">
              <w:rPr>
                <w:rFonts w:ascii="Garamond" w:hAnsi="Garamond"/>
              </w:rPr>
              <w:t>të procedurave me zbatimin e NAP-it</w:t>
            </w:r>
            <w:r w:rsidR="000A2A01" w:rsidRPr="007114AF">
              <w:rPr>
                <w:rFonts w:ascii="Garamond" w:hAnsi="Garamond"/>
              </w:rPr>
              <w:t xml:space="preserve"> </w:t>
            </w:r>
            <w:r w:rsidRPr="007114AF">
              <w:rPr>
                <w:rFonts w:ascii="Garamond" w:hAnsi="Garamond"/>
              </w:rPr>
              <w:t>shqiptar, mundësimit të një procesi bashkërendimi strategjik, ndërmjet institucioneve kombëtare dhe partnerëve për zhvillim për financimin e zbatimit të prioriteteve të NAP-it, zhvillimit të linjës së projekteve të gatshme, paraqitjes dhe dorëzimit të propozimeve.</w:t>
            </w:r>
          </w:p>
          <w:p w14:paraId="6EDD0E43" w14:textId="7FCA5623" w:rsidR="006565C1" w:rsidRPr="007114AF" w:rsidRDefault="006565C1" w:rsidP="00037830">
            <w:pPr>
              <w:numPr>
                <w:ilvl w:val="0"/>
                <w:numId w:val="20"/>
              </w:numPr>
              <w:spacing w:after="0" w:line="240" w:lineRule="auto"/>
              <w:ind w:left="0" w:firstLine="0"/>
              <w:rPr>
                <w:rFonts w:ascii="Garamond" w:hAnsi="Garamond"/>
                <w:bCs/>
              </w:rPr>
            </w:pPr>
            <w:r w:rsidRPr="007114AF">
              <w:rPr>
                <w:rFonts w:ascii="Garamond" w:hAnsi="Garamond"/>
                <w:bCs/>
                <w:u w:val="single"/>
              </w:rPr>
              <w:t xml:space="preserve">Nxjerrja e mësimeve dhe inovacioni (brenda 30 muajve) nëpërmjet: </w:t>
            </w:r>
            <w:r w:rsidRPr="007114AF">
              <w:rPr>
                <w:rFonts w:ascii="Garamond" w:hAnsi="Garamond"/>
                <w:bCs/>
              </w:rPr>
              <w:t>vendosjes së një sistemi monitorim-vlerësimi të vazhdueshëm për financimin e lidhur me klimën, dhe në veçanti për financimin e NAP-it, që integron financat e brendshme dhe jo të brendshme; vlerësimit</w:t>
            </w:r>
            <w:r w:rsidR="00A2579E">
              <w:rPr>
                <w:rFonts w:ascii="Garamond" w:hAnsi="Garamond"/>
                <w:bCs/>
              </w:rPr>
              <w:t xml:space="preserve"> </w:t>
            </w:r>
            <w:r w:rsidRPr="007114AF">
              <w:rPr>
                <w:rFonts w:ascii="Garamond" w:hAnsi="Garamond"/>
                <w:bCs/>
              </w:rPr>
              <w:t>të alternativave afatmesme për akreditimin e Subjekteve Zbatuese Kombëtare (identifikimi i kandidatëve, projektimi i masave përngritjes kapacitetesh</w:t>
            </w:r>
            <w:r w:rsidR="00A2579E">
              <w:rPr>
                <w:rFonts w:ascii="Garamond" w:hAnsi="Garamond"/>
                <w:bCs/>
              </w:rPr>
              <w:t xml:space="preserve"> </w:t>
            </w:r>
            <w:r w:rsidRPr="007114AF">
              <w:rPr>
                <w:rFonts w:ascii="Garamond" w:hAnsi="Garamond"/>
                <w:bCs/>
              </w:rPr>
              <w:t>etj.); lidhjes së financimit të përshtatjes me proceset e planifikimit dhe buxhetimit kombëtar dhe vijimit të integrimit të ndryshimeve klimatike në planifikimin shqiptar për zhvillim; fillimit</w:t>
            </w:r>
            <w:r w:rsidR="00A2579E">
              <w:rPr>
                <w:rFonts w:ascii="Garamond" w:hAnsi="Garamond"/>
                <w:bCs/>
              </w:rPr>
              <w:t xml:space="preserve"> </w:t>
            </w:r>
            <w:r w:rsidRPr="007114AF">
              <w:rPr>
                <w:rFonts w:ascii="Garamond" w:hAnsi="Garamond"/>
                <w:bCs/>
              </w:rPr>
              <w:t>të hartimit të reformave të politikave fiskale për të shfrytëzuar levën e financimit të përshkallëzuar të zbutjes rrezikut ndaj ndryshimeve klimatike dhe përshtatja ndaj saj në periudhën afatmesme.</w:t>
            </w:r>
          </w:p>
        </w:tc>
      </w:tr>
      <w:tr w:rsidR="006565C1" w:rsidRPr="007114AF" w14:paraId="6EDD0E51" w14:textId="77777777" w:rsidTr="00574660">
        <w:tc>
          <w:tcPr>
            <w:tcW w:w="3227" w:type="dxa"/>
            <w:shd w:val="clear" w:color="auto" w:fill="auto"/>
          </w:tcPr>
          <w:p w14:paraId="6EDD0E45" w14:textId="77777777" w:rsidR="006565C1" w:rsidRPr="007114AF" w:rsidRDefault="006565C1" w:rsidP="006565C1">
            <w:pPr>
              <w:tabs>
                <w:tab w:val="left" w:pos="90"/>
              </w:tabs>
              <w:spacing w:after="0" w:line="240" w:lineRule="auto"/>
              <w:rPr>
                <w:rFonts w:ascii="Garamond" w:hAnsi="Garamond"/>
                <w:b/>
                <w:bCs/>
              </w:rPr>
            </w:pPr>
            <w:r w:rsidRPr="007114AF">
              <w:rPr>
                <w:rFonts w:ascii="Garamond" w:hAnsi="Garamond"/>
                <w:b/>
                <w:bCs/>
              </w:rPr>
              <w:t>Aktorët kryesorë të përfshirë</w:t>
            </w:r>
          </w:p>
          <w:p w14:paraId="6EDD0E46" w14:textId="77777777" w:rsidR="006565C1" w:rsidRPr="007114AF" w:rsidRDefault="006565C1" w:rsidP="006565C1">
            <w:pPr>
              <w:spacing w:after="0" w:line="240" w:lineRule="auto"/>
              <w:rPr>
                <w:rFonts w:ascii="Garamond" w:hAnsi="Garamond"/>
                <w:bCs/>
              </w:rPr>
            </w:pPr>
            <w:r w:rsidRPr="007114AF">
              <w:rPr>
                <w:rFonts w:ascii="Garamond" w:hAnsi="Garamond"/>
                <w:bCs/>
              </w:rPr>
              <w:t>Ministria e Turizmit dhe Mjedisit /AKP: udhëheq për financimin ndërkombëtar.</w:t>
            </w:r>
          </w:p>
          <w:p w14:paraId="6EDD0E47" w14:textId="77777777" w:rsidR="006565C1" w:rsidRPr="007114AF" w:rsidRDefault="006565C1" w:rsidP="006565C1">
            <w:pPr>
              <w:spacing w:after="0" w:line="240" w:lineRule="auto"/>
              <w:rPr>
                <w:rFonts w:ascii="Garamond" w:hAnsi="Garamond"/>
                <w:bCs/>
              </w:rPr>
            </w:pPr>
            <w:r w:rsidRPr="007114AF">
              <w:rPr>
                <w:rFonts w:ascii="Garamond" w:hAnsi="Garamond"/>
                <w:bCs/>
              </w:rPr>
              <w:t>Ministria e Financave: udhëheq procesin e financimit të brendshëm.</w:t>
            </w:r>
          </w:p>
          <w:p w14:paraId="6EDD0E48" w14:textId="77777777" w:rsidR="006565C1" w:rsidRPr="007114AF" w:rsidRDefault="006565C1" w:rsidP="006565C1">
            <w:pPr>
              <w:spacing w:after="0" w:line="240" w:lineRule="auto"/>
              <w:rPr>
                <w:rFonts w:ascii="Garamond" w:hAnsi="Garamond"/>
                <w:bCs/>
              </w:rPr>
            </w:pPr>
            <w:r w:rsidRPr="007114AF">
              <w:rPr>
                <w:rFonts w:ascii="Garamond" w:hAnsi="Garamond"/>
                <w:bCs/>
              </w:rPr>
              <w:t>Të gjitha ministritë sektoriale të përfshira në procesin e NAP-it.</w:t>
            </w:r>
          </w:p>
          <w:p w14:paraId="6EDD0E49" w14:textId="77777777" w:rsidR="006565C1" w:rsidRPr="007114AF" w:rsidRDefault="006565C1" w:rsidP="006565C1">
            <w:pPr>
              <w:spacing w:after="0" w:line="240" w:lineRule="auto"/>
              <w:rPr>
                <w:rFonts w:ascii="Garamond" w:hAnsi="Garamond"/>
                <w:b/>
                <w:bCs/>
              </w:rPr>
            </w:pPr>
          </w:p>
        </w:tc>
        <w:tc>
          <w:tcPr>
            <w:tcW w:w="5985" w:type="dxa"/>
            <w:gridSpan w:val="2"/>
            <w:shd w:val="clear" w:color="auto" w:fill="auto"/>
          </w:tcPr>
          <w:p w14:paraId="6EDD0E4A" w14:textId="77777777" w:rsidR="006565C1" w:rsidRPr="007114AF" w:rsidRDefault="006565C1" w:rsidP="006565C1">
            <w:pPr>
              <w:spacing w:after="0" w:line="240" w:lineRule="auto"/>
              <w:rPr>
                <w:rFonts w:ascii="Garamond" w:hAnsi="Garamond"/>
                <w:b/>
                <w:bCs/>
              </w:rPr>
            </w:pPr>
            <w:r w:rsidRPr="007114AF">
              <w:rPr>
                <w:rFonts w:ascii="Garamond" w:hAnsi="Garamond"/>
                <w:b/>
                <w:bCs/>
              </w:rPr>
              <w:t>Burimet</w:t>
            </w:r>
          </w:p>
          <w:p w14:paraId="6EDD0E4B" w14:textId="164FE05A" w:rsidR="006565C1" w:rsidRPr="007114AF" w:rsidRDefault="006565C1" w:rsidP="006565C1">
            <w:pPr>
              <w:spacing w:after="0" w:line="240" w:lineRule="auto"/>
              <w:rPr>
                <w:rFonts w:ascii="Garamond" w:hAnsi="Garamond"/>
                <w:bCs/>
              </w:rPr>
            </w:pPr>
            <w:r w:rsidRPr="007114AF">
              <w:rPr>
                <w:rFonts w:ascii="Garamond" w:hAnsi="Garamond"/>
                <w:bCs/>
              </w:rPr>
              <w:t>Paketat e aktiviteteve 1-4 (shih më lart) do të kërkonin një projekt të vogël të përkushtuar në formë të asistencës teknike për ngritjen e kapaciteteve të AKP-ës/njësisë</w:t>
            </w:r>
            <w:r w:rsidR="00A2579E">
              <w:rPr>
                <w:rFonts w:ascii="Garamond" w:hAnsi="Garamond"/>
                <w:bCs/>
              </w:rPr>
              <w:t xml:space="preserve"> </w:t>
            </w:r>
            <w:r w:rsidRPr="007114AF">
              <w:rPr>
                <w:rFonts w:ascii="Garamond" w:hAnsi="Garamond"/>
                <w:bCs/>
              </w:rPr>
              <w:t>për klimën:</w:t>
            </w:r>
          </w:p>
          <w:p w14:paraId="6EDD0E4C" w14:textId="293680F6" w:rsidR="006565C1" w:rsidRPr="007114AF" w:rsidRDefault="006565C1" w:rsidP="00037830">
            <w:pPr>
              <w:numPr>
                <w:ilvl w:val="0"/>
                <w:numId w:val="19"/>
              </w:numPr>
              <w:spacing w:after="0" w:line="240" w:lineRule="auto"/>
              <w:ind w:left="0" w:firstLine="0"/>
              <w:rPr>
                <w:rFonts w:ascii="Garamond" w:hAnsi="Garamond"/>
                <w:bCs/>
              </w:rPr>
            </w:pPr>
            <w:r w:rsidRPr="007114AF">
              <w:rPr>
                <w:rFonts w:ascii="Garamond" w:hAnsi="Garamond"/>
                <w:bCs/>
              </w:rPr>
              <w:t xml:space="preserve">Buxheti: min. 37.5 </w:t>
            </w:r>
            <w:r w:rsidR="001C47F0" w:rsidRPr="007114AF">
              <w:rPr>
                <w:rFonts w:ascii="Garamond" w:hAnsi="Garamond"/>
                <w:bCs/>
              </w:rPr>
              <w:t xml:space="preserve">milionë </w:t>
            </w:r>
            <w:r w:rsidRPr="007114AF">
              <w:rPr>
                <w:rFonts w:ascii="Garamond" w:hAnsi="Garamond"/>
                <w:bCs/>
              </w:rPr>
              <w:t>lek në vit për 3 vjet;</w:t>
            </w:r>
          </w:p>
          <w:p w14:paraId="6EDD0E4D" w14:textId="2ABE1722" w:rsidR="006565C1" w:rsidRPr="007114AF" w:rsidRDefault="006565C1" w:rsidP="00037830">
            <w:pPr>
              <w:numPr>
                <w:ilvl w:val="0"/>
                <w:numId w:val="19"/>
              </w:numPr>
              <w:spacing w:after="0" w:line="240" w:lineRule="auto"/>
              <w:ind w:left="0" w:firstLine="0"/>
              <w:rPr>
                <w:rFonts w:ascii="Garamond" w:hAnsi="Garamond"/>
                <w:bCs/>
              </w:rPr>
            </w:pPr>
            <w:r w:rsidRPr="007114AF">
              <w:rPr>
                <w:rFonts w:ascii="Garamond" w:hAnsi="Garamond"/>
                <w:bCs/>
              </w:rPr>
              <w:t>Mundësitë për financim: Mbështetja nga GCF-ja për gatishmërinë, asistencë zyrtare dypalëshe për zhvillim (mbetet për t</w:t>
            </w:r>
            <w:r w:rsidR="00D10DAB" w:rsidRPr="007114AF">
              <w:rPr>
                <w:rFonts w:ascii="Garamond" w:hAnsi="Garamond"/>
                <w:bCs/>
              </w:rPr>
              <w:t>’</w:t>
            </w:r>
            <w:r w:rsidRPr="007114AF">
              <w:rPr>
                <w:rFonts w:ascii="Garamond" w:hAnsi="Garamond"/>
                <w:bCs/>
              </w:rPr>
              <w:t>u konfirmuar);</w:t>
            </w:r>
          </w:p>
          <w:p w14:paraId="6EDD0E4E" w14:textId="115EA42E" w:rsidR="006565C1" w:rsidRPr="007114AF" w:rsidRDefault="006565C1" w:rsidP="00037830">
            <w:pPr>
              <w:numPr>
                <w:ilvl w:val="0"/>
                <w:numId w:val="19"/>
              </w:numPr>
              <w:spacing w:after="0" w:line="240" w:lineRule="auto"/>
              <w:ind w:left="0" w:firstLine="0"/>
              <w:rPr>
                <w:rFonts w:ascii="Garamond" w:hAnsi="Garamond"/>
                <w:bCs/>
              </w:rPr>
            </w:pPr>
            <w:r w:rsidRPr="007114AF">
              <w:rPr>
                <w:rFonts w:ascii="Garamond" w:hAnsi="Garamond"/>
                <w:bCs/>
              </w:rPr>
              <w:t>Ekipi: Min. 1 ekspert afatgjatë i përfshirë në Ministrinë e Turizmit dhe Mjedisit në mbështetje të punës së përditshme të AKP-ës/njësisë</w:t>
            </w:r>
            <w:r w:rsidR="00A2579E">
              <w:rPr>
                <w:rFonts w:ascii="Garamond" w:hAnsi="Garamond"/>
                <w:bCs/>
              </w:rPr>
              <w:t xml:space="preserve"> </w:t>
            </w:r>
            <w:r w:rsidRPr="007114AF">
              <w:rPr>
                <w:rFonts w:ascii="Garamond" w:hAnsi="Garamond"/>
                <w:bCs/>
              </w:rPr>
              <w:t>së klimës;</w:t>
            </w:r>
          </w:p>
          <w:p w14:paraId="6EDD0E4F" w14:textId="77777777" w:rsidR="006565C1" w:rsidRPr="007114AF" w:rsidRDefault="006565C1" w:rsidP="00037830">
            <w:pPr>
              <w:numPr>
                <w:ilvl w:val="0"/>
                <w:numId w:val="19"/>
              </w:numPr>
              <w:spacing w:after="0" w:line="240" w:lineRule="auto"/>
              <w:ind w:left="0" w:firstLine="0"/>
              <w:rPr>
                <w:rFonts w:ascii="Garamond" w:hAnsi="Garamond"/>
                <w:bCs/>
              </w:rPr>
            </w:pPr>
            <w:r w:rsidRPr="007114AF">
              <w:rPr>
                <w:rFonts w:ascii="Garamond" w:hAnsi="Garamond"/>
                <w:bCs/>
              </w:rPr>
              <w:t>Trajnime dhe program pune me AKP-në dhe sektorin/njësinë e klimës (MM);</w:t>
            </w:r>
          </w:p>
          <w:p w14:paraId="6EDD0E50" w14:textId="77777777" w:rsidR="006565C1" w:rsidRPr="007114AF" w:rsidRDefault="006565C1" w:rsidP="00037830">
            <w:pPr>
              <w:numPr>
                <w:ilvl w:val="0"/>
                <w:numId w:val="19"/>
              </w:numPr>
              <w:spacing w:after="0" w:line="240" w:lineRule="auto"/>
              <w:ind w:left="0" w:firstLine="0"/>
              <w:rPr>
                <w:rFonts w:ascii="Garamond" w:hAnsi="Garamond"/>
                <w:b/>
                <w:bCs/>
              </w:rPr>
            </w:pPr>
            <w:r w:rsidRPr="007114AF">
              <w:rPr>
                <w:rFonts w:ascii="Garamond" w:hAnsi="Garamond"/>
                <w:bCs/>
              </w:rPr>
              <w:t>Konsulenca të synuara afatshkurtra për analizat e politikave dhe zhvillim i linjës së projekteve në të njëjtën linjë.</w:t>
            </w:r>
          </w:p>
        </w:tc>
      </w:tr>
    </w:tbl>
    <w:p w14:paraId="6EDD0E52" w14:textId="77777777" w:rsidR="002665C8" w:rsidRPr="007114AF" w:rsidRDefault="002665C8" w:rsidP="00BC43B7">
      <w:pPr>
        <w:pStyle w:val="FIGURA"/>
      </w:pPr>
    </w:p>
    <w:p w14:paraId="6EDD0E53" w14:textId="18F50AD0" w:rsidR="00287004" w:rsidRPr="007114AF" w:rsidRDefault="00287004" w:rsidP="00287004">
      <w:pPr>
        <w:pStyle w:val="FIGURA"/>
        <w:rPr>
          <w:lang w:eastAsia="en-US"/>
        </w:rPr>
      </w:pPr>
      <w:bookmarkStart w:id="205" w:name="_Toc470186733"/>
      <w:bookmarkStart w:id="206" w:name="_Toc481087174"/>
      <w:bookmarkStart w:id="207" w:name="_Toc484424537"/>
      <w:r w:rsidRPr="007114AF">
        <w:rPr>
          <w:lang w:eastAsia="en-US"/>
        </w:rPr>
        <w:t>6.2.4 Veprimi prioritar</w:t>
      </w:r>
      <w:r w:rsidR="00242009" w:rsidRPr="007114AF">
        <w:rPr>
          <w:lang w:eastAsia="en-US"/>
        </w:rPr>
        <w:t xml:space="preserve"> nr. </w:t>
      </w:r>
      <w:r w:rsidRPr="007114AF">
        <w:rPr>
          <w:lang w:eastAsia="en-US"/>
        </w:rPr>
        <w:t>4</w:t>
      </w:r>
      <w:bookmarkEnd w:id="205"/>
      <w:bookmarkEnd w:id="206"/>
      <w:bookmarkEnd w:id="207"/>
    </w:p>
    <w:tbl>
      <w:tblPr>
        <w:tblW w:w="0" w:type="auto"/>
        <w:tblInd w:w="98" w:type="dxa"/>
        <w:tblCellMar>
          <w:left w:w="10" w:type="dxa"/>
          <w:right w:w="10" w:type="dxa"/>
        </w:tblCellMar>
        <w:tblLook w:val="0000" w:firstRow="0" w:lastRow="0" w:firstColumn="0" w:lastColumn="0" w:noHBand="0" w:noVBand="0"/>
      </w:tblPr>
      <w:tblGrid>
        <w:gridCol w:w="3199"/>
        <w:gridCol w:w="1340"/>
        <w:gridCol w:w="4523"/>
      </w:tblGrid>
      <w:tr w:rsidR="000F4610" w:rsidRPr="007114AF" w14:paraId="6EDD0E59" w14:textId="77777777" w:rsidTr="00574660">
        <w:trPr>
          <w:trHeight w:val="1"/>
        </w:trPr>
        <w:tc>
          <w:tcPr>
            <w:tcW w:w="4539" w:type="dxa"/>
            <w:gridSpan w:val="2"/>
            <w:tcBorders>
              <w:top w:val="single" w:sz="4" w:space="0" w:color="000000"/>
              <w:left w:val="single" w:sz="4" w:space="0" w:color="000000"/>
              <w:bottom w:val="single" w:sz="4" w:space="0" w:color="000000"/>
              <w:right w:val="single" w:sz="4" w:space="0" w:color="000000"/>
            </w:tcBorders>
            <w:shd w:val="clear" w:color="auto" w:fill="B6DDE8" w:themeFill="accent5" w:themeFillTint="66"/>
            <w:tcMar>
              <w:left w:w="108" w:type="dxa"/>
              <w:right w:w="108" w:type="dxa"/>
            </w:tcMar>
          </w:tcPr>
          <w:p w14:paraId="6EDD0E54" w14:textId="767FDB8A" w:rsidR="000F4610" w:rsidRPr="007114AF" w:rsidRDefault="000F4610" w:rsidP="000F4610">
            <w:pPr>
              <w:pBdr>
                <w:bar w:val="single" w:sz="4" w:color="FF8080"/>
              </w:pBdr>
              <w:spacing w:after="0" w:line="240" w:lineRule="auto"/>
              <w:rPr>
                <w:rFonts w:ascii="Garamond" w:eastAsia="Arial" w:hAnsi="Garamond" w:cs="Arial"/>
                <w:b/>
              </w:rPr>
            </w:pPr>
            <w:r w:rsidRPr="007114AF">
              <w:rPr>
                <w:rFonts w:ascii="Garamond" w:eastAsia="Arial" w:hAnsi="Garamond" w:cs="Arial"/>
                <w:b/>
              </w:rPr>
              <w:t>Titulli i veprimit prioritar</w:t>
            </w:r>
            <w:r w:rsidR="00242009" w:rsidRPr="007114AF">
              <w:rPr>
                <w:rFonts w:ascii="Garamond" w:eastAsia="Arial" w:hAnsi="Garamond" w:cs="Arial"/>
                <w:b/>
              </w:rPr>
              <w:t xml:space="preserve"> nr. </w:t>
            </w:r>
            <w:r w:rsidRPr="007114AF">
              <w:rPr>
                <w:rFonts w:ascii="Garamond" w:eastAsia="Arial" w:hAnsi="Garamond" w:cs="Arial"/>
                <w:b/>
              </w:rPr>
              <w:t>4</w:t>
            </w:r>
          </w:p>
          <w:p w14:paraId="6EDD0E55" w14:textId="77777777" w:rsidR="000F4610" w:rsidRPr="007114AF" w:rsidRDefault="000F4610" w:rsidP="000F4610">
            <w:pPr>
              <w:pBdr>
                <w:bar w:val="single" w:sz="4" w:color="FF8080"/>
              </w:pBdr>
              <w:spacing w:after="0" w:line="240" w:lineRule="auto"/>
              <w:rPr>
                <w:rFonts w:ascii="Garamond" w:eastAsia="Arial" w:hAnsi="Garamond" w:cs="Arial"/>
                <w:b/>
              </w:rPr>
            </w:pPr>
            <w:r w:rsidRPr="007114AF">
              <w:rPr>
                <w:rFonts w:ascii="Garamond" w:eastAsia="Arial" w:hAnsi="Garamond" w:cs="Arial"/>
                <w:b/>
              </w:rPr>
              <w:t>Sistemi i monitorimit të implementimit të NAP-it</w:t>
            </w:r>
          </w:p>
          <w:p w14:paraId="6EDD0E56" w14:textId="77777777" w:rsidR="000F4610" w:rsidRPr="007114AF" w:rsidRDefault="000F4610" w:rsidP="000F4610">
            <w:pPr>
              <w:spacing w:after="0" w:line="240" w:lineRule="auto"/>
              <w:rPr>
                <w:rFonts w:ascii="Garamond" w:hAnsi="Garamond"/>
                <w:b/>
                <w:bCs/>
              </w:rPr>
            </w:pPr>
            <w:r w:rsidRPr="007114AF">
              <w:rPr>
                <w:rFonts w:ascii="Garamond" w:eastAsia="Arial" w:hAnsi="Garamond" w:cs="Arial"/>
                <w:b/>
              </w:rPr>
              <w:t>(monitorimi i mbështetur në rezultate)</w:t>
            </w:r>
          </w:p>
        </w:tc>
        <w:tc>
          <w:tcPr>
            <w:tcW w:w="4523"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left w:w="108" w:type="dxa"/>
              <w:right w:w="108" w:type="dxa"/>
            </w:tcMar>
          </w:tcPr>
          <w:p w14:paraId="6EDD0E57" w14:textId="77777777" w:rsidR="000F4610" w:rsidRPr="007114AF" w:rsidRDefault="000F4610" w:rsidP="000F4610">
            <w:pPr>
              <w:spacing w:after="0" w:line="240" w:lineRule="auto"/>
              <w:rPr>
                <w:rFonts w:ascii="Garamond" w:hAnsi="Garamond"/>
                <w:b/>
                <w:bCs/>
              </w:rPr>
            </w:pPr>
            <w:r w:rsidRPr="007114AF">
              <w:rPr>
                <w:rFonts w:ascii="Garamond" w:hAnsi="Garamond"/>
                <w:b/>
                <w:bCs/>
              </w:rPr>
              <w:t>Agjencia / Ministria kryesuese përgjegjëse</w:t>
            </w:r>
          </w:p>
          <w:p w14:paraId="6EDD0E58" w14:textId="77777777" w:rsidR="000F4610" w:rsidRPr="007114AF" w:rsidRDefault="000F4610" w:rsidP="000F4610">
            <w:pPr>
              <w:spacing w:after="0" w:line="240" w:lineRule="auto"/>
              <w:rPr>
                <w:rFonts w:ascii="Garamond" w:hAnsi="Garamond"/>
                <w:b/>
                <w:bCs/>
              </w:rPr>
            </w:pPr>
            <w:r w:rsidRPr="007114AF">
              <w:rPr>
                <w:rFonts w:ascii="Garamond" w:hAnsi="Garamond"/>
                <w:b/>
                <w:bCs/>
              </w:rPr>
              <w:t xml:space="preserve">Agjencia Kombëtare e Mjedisit / Ministria e Turizmit dhe Mjedisit </w:t>
            </w:r>
          </w:p>
        </w:tc>
      </w:tr>
      <w:tr w:rsidR="000F4610" w:rsidRPr="007114AF" w14:paraId="6EDD0E60" w14:textId="77777777" w:rsidTr="00574660">
        <w:trPr>
          <w:trHeight w:val="1"/>
        </w:trPr>
        <w:tc>
          <w:tcPr>
            <w:tcW w:w="906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D0E5A" w14:textId="77777777" w:rsidR="000F4610" w:rsidRPr="007114AF" w:rsidRDefault="000F4610" w:rsidP="000F4610">
            <w:pPr>
              <w:spacing w:after="0" w:line="240" w:lineRule="auto"/>
              <w:rPr>
                <w:rFonts w:ascii="Garamond" w:hAnsi="Garamond"/>
                <w:b/>
                <w:bCs/>
              </w:rPr>
            </w:pPr>
            <w:r w:rsidRPr="007114AF">
              <w:rPr>
                <w:rFonts w:ascii="Garamond" w:hAnsi="Garamond"/>
                <w:b/>
                <w:bCs/>
              </w:rPr>
              <w:t>Situata ekzistuese mbi të cilën mbështetet veprimi prioritar</w:t>
            </w:r>
          </w:p>
          <w:p w14:paraId="6EDD0E5B" w14:textId="4B935E6C" w:rsidR="000F4610" w:rsidRPr="007114AF" w:rsidRDefault="000F4610" w:rsidP="000F4610">
            <w:pPr>
              <w:spacing w:after="0" w:line="240" w:lineRule="auto"/>
              <w:rPr>
                <w:rFonts w:ascii="Garamond" w:hAnsi="Garamond"/>
                <w:bCs/>
              </w:rPr>
            </w:pPr>
            <w:r w:rsidRPr="007114AF">
              <w:rPr>
                <w:rFonts w:ascii="Garamond" w:hAnsi="Garamond"/>
                <w:bCs/>
              </w:rPr>
              <w:t>Monitorimi i mbështetur në rezultate i punës së qeverisë, nuk është diçka e re në Shqipëri. Një mekanizëm monitorimi i mbështetur në rezultate, është miratuar me Urdhër të Kryeministrit</w:t>
            </w:r>
            <w:r w:rsidR="00242009" w:rsidRPr="007114AF">
              <w:rPr>
                <w:rFonts w:ascii="Garamond" w:hAnsi="Garamond"/>
                <w:bCs/>
              </w:rPr>
              <w:t xml:space="preserve"> nr. </w:t>
            </w:r>
            <w:r w:rsidRPr="007114AF">
              <w:rPr>
                <w:rFonts w:ascii="Garamond" w:hAnsi="Garamond"/>
                <w:bCs/>
              </w:rPr>
              <w:t xml:space="preserve">139, datë 01.07.2010, për të monitoruar zbatimin e SKZHI-së. Ky mekanizëm është zhvilluar </w:t>
            </w:r>
            <w:r w:rsidR="000A2A01" w:rsidRPr="007114AF">
              <w:rPr>
                <w:rFonts w:ascii="Garamond" w:hAnsi="Garamond"/>
                <w:bCs/>
              </w:rPr>
              <w:t>“</w:t>
            </w:r>
            <w:r w:rsidRPr="007114AF">
              <w:rPr>
                <w:rFonts w:ascii="Garamond" w:hAnsi="Garamond"/>
                <w:bCs/>
              </w:rPr>
              <w:t>për të përmirësuar sistemin ekzistues të monitorimit – përmes zhvillimit të një raporti realist që identifikon dobësitë dhe problemet</w:t>
            </w:r>
            <w:r w:rsidR="000A2A01" w:rsidRPr="007114AF">
              <w:rPr>
                <w:rFonts w:ascii="Garamond" w:hAnsi="Garamond"/>
                <w:bCs/>
              </w:rPr>
              <w:t>”</w:t>
            </w:r>
            <w:r w:rsidRPr="007114AF">
              <w:rPr>
                <w:rFonts w:ascii="Garamond" w:hAnsi="Garamond"/>
                <w:bCs/>
              </w:rPr>
              <w:t>. Përveç kësaj, mekanizmi i monitorimit i mbështetur në rezultate evidenton: i) ku dhe kur ka probleme në zbatimin e strategjive sektoriale</w:t>
            </w:r>
            <w:r w:rsidR="000A2A01" w:rsidRPr="007114AF">
              <w:rPr>
                <w:rFonts w:ascii="Garamond" w:hAnsi="Garamond"/>
                <w:bCs/>
              </w:rPr>
              <w:t xml:space="preserve"> </w:t>
            </w:r>
            <w:r w:rsidRPr="007114AF">
              <w:rPr>
                <w:rFonts w:ascii="Garamond" w:hAnsi="Garamond"/>
                <w:bCs/>
              </w:rPr>
              <w:t>ii) si të zgjidhen këto probleme. Programe të tjera politike, si programi 300-ditor ose 600-ditor i Qeverisë, vlerësohen rregullisht dhe ofrojnë një referim shtesë për monitorimin afatshkurtër.</w:t>
            </w:r>
          </w:p>
          <w:p w14:paraId="6EDD0E5C" w14:textId="77777777" w:rsidR="000F4610" w:rsidRPr="007114AF" w:rsidRDefault="000F4610" w:rsidP="000F4610">
            <w:pPr>
              <w:spacing w:after="0" w:line="240" w:lineRule="auto"/>
              <w:rPr>
                <w:rFonts w:ascii="Garamond" w:hAnsi="Garamond"/>
                <w:bCs/>
              </w:rPr>
            </w:pPr>
            <w:r w:rsidRPr="007114AF">
              <w:rPr>
                <w:rFonts w:ascii="Garamond" w:hAnsi="Garamond"/>
                <w:bCs/>
              </w:rPr>
              <w:t>Monitorimi faktik i situatës mjedisore bëhet në kuadër të kontratave ekskluzive afatgjata, ndërmjet Ministrisë së Turizmit dhe Mjedisit/Agjencisë Kombëtare të Mjedisit dhe institucioneve të përzgjedhura. Në funksion të ndryshimeve klimatike, nuk është identifikuar ende një sistem specifik monitorimi.</w:t>
            </w:r>
          </w:p>
          <w:p w14:paraId="6EDD0E5D" w14:textId="77777777" w:rsidR="000F4610" w:rsidRPr="007114AF" w:rsidRDefault="000F4610" w:rsidP="000F4610">
            <w:pPr>
              <w:spacing w:after="0" w:line="240" w:lineRule="auto"/>
              <w:rPr>
                <w:rFonts w:ascii="Garamond" w:hAnsi="Garamond"/>
                <w:bCs/>
              </w:rPr>
            </w:pPr>
            <w:r w:rsidRPr="007114AF">
              <w:rPr>
                <w:rFonts w:ascii="Garamond" w:hAnsi="Garamond"/>
                <w:bCs/>
              </w:rPr>
              <w:t>Monitorimi i mbështetur në rezultate në lidhje me klimën që synohet të krijohet në bazë të këtij veprimi prioritar, duhet tëmbështetetnë sistemet ekzistuese të monitorimit dhe të përfshijë 2 fusha:</w:t>
            </w:r>
          </w:p>
          <w:p w14:paraId="6EDD0E5E" w14:textId="77777777" w:rsidR="000F4610" w:rsidRPr="007114AF" w:rsidRDefault="000F4610" w:rsidP="00037830">
            <w:pPr>
              <w:numPr>
                <w:ilvl w:val="0"/>
                <w:numId w:val="28"/>
              </w:numPr>
              <w:spacing w:after="0" w:line="240" w:lineRule="auto"/>
              <w:rPr>
                <w:rFonts w:ascii="Garamond" w:hAnsi="Garamond"/>
                <w:bCs/>
              </w:rPr>
            </w:pPr>
            <w:r w:rsidRPr="007114AF">
              <w:rPr>
                <w:rFonts w:ascii="Garamond" w:hAnsi="Garamond"/>
                <w:bCs/>
              </w:rPr>
              <w:t xml:space="preserve">Monitorimi i progresit të efekteve të ndryshimeve klimatike (të ashtuquajturit tregues të efektit): Këta tregues do të bazohennë informacionet e marra nga sistemet ekzistuese ose të zhvilluara rishtazi të vlerësimit, si Sistemi i Monitorimit Mjedisor të Konsoliduar për Shqipërinë (CEMSA), si edhe nga monitorimi bregdetar, hidrologjik ose meteorologjik. </w:t>
            </w:r>
          </w:p>
          <w:p w14:paraId="6EDD0E5F" w14:textId="77777777" w:rsidR="000F4610" w:rsidRPr="007114AF" w:rsidRDefault="000F4610" w:rsidP="00037830">
            <w:pPr>
              <w:numPr>
                <w:ilvl w:val="0"/>
                <w:numId w:val="28"/>
              </w:numPr>
              <w:spacing w:after="0" w:line="240" w:lineRule="auto"/>
              <w:rPr>
                <w:rFonts w:ascii="Garamond" w:hAnsi="Garamond"/>
                <w:b/>
                <w:bCs/>
              </w:rPr>
            </w:pPr>
            <w:r w:rsidRPr="007114AF">
              <w:rPr>
                <w:rFonts w:ascii="Garamond" w:hAnsi="Garamond"/>
                <w:bCs/>
              </w:rPr>
              <w:t>Monitorimi i progresit dhe suksesit të veprimeve për përshtatjen (të ashtuquajturit tregues të kundërpërgjigjes): Zhvillimi i këtyre treguesve të kundërpërgjigjes do të bazohet kryesisht te treguesit e NAP-it, si edhe në tregues të përzgjedhur nga veprimet prioritare.</w:t>
            </w:r>
          </w:p>
        </w:tc>
      </w:tr>
      <w:tr w:rsidR="000F4610" w:rsidRPr="007114AF" w14:paraId="6EDD0E69" w14:textId="77777777" w:rsidTr="00574660">
        <w:trPr>
          <w:trHeight w:val="1"/>
        </w:trPr>
        <w:tc>
          <w:tcPr>
            <w:tcW w:w="906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D0E61" w14:textId="77777777" w:rsidR="000F4610" w:rsidRPr="007114AF" w:rsidRDefault="000F4610" w:rsidP="000F4610">
            <w:pPr>
              <w:spacing w:after="0" w:line="240" w:lineRule="auto"/>
              <w:rPr>
                <w:rFonts w:ascii="Garamond" w:hAnsi="Garamond"/>
                <w:b/>
                <w:bCs/>
              </w:rPr>
            </w:pPr>
            <w:r w:rsidRPr="007114AF">
              <w:rPr>
                <w:rFonts w:ascii="Garamond" w:hAnsi="Garamond"/>
                <w:b/>
                <w:bCs/>
              </w:rPr>
              <w:t>Arsyetimi / objektivat / treguesit</w:t>
            </w:r>
          </w:p>
          <w:p w14:paraId="6EDD0E62" w14:textId="77777777" w:rsidR="000F4610" w:rsidRPr="007114AF" w:rsidRDefault="000F4610" w:rsidP="000F4610">
            <w:pPr>
              <w:spacing w:after="0" w:line="240" w:lineRule="auto"/>
              <w:rPr>
                <w:rFonts w:ascii="Garamond" w:hAnsi="Garamond"/>
                <w:bCs/>
              </w:rPr>
            </w:pPr>
            <w:r w:rsidRPr="007114AF">
              <w:rPr>
                <w:rFonts w:ascii="Garamond" w:hAnsi="Garamond"/>
                <w:bCs/>
              </w:rPr>
              <w:t>Ky veprim prioritar mbulon, si monitorimin e efekteve klimatike, ashtu edhe monitorimin e kundërpërgjigjes për një përshtatje të suksesshme.</w:t>
            </w:r>
          </w:p>
          <w:p w14:paraId="6EDD0E63" w14:textId="77777777" w:rsidR="000F4610" w:rsidRPr="007114AF" w:rsidRDefault="000F4610" w:rsidP="00037830">
            <w:pPr>
              <w:numPr>
                <w:ilvl w:val="0"/>
                <w:numId w:val="58"/>
              </w:numPr>
              <w:spacing w:after="0" w:line="240" w:lineRule="auto"/>
              <w:ind w:left="0" w:firstLine="0"/>
              <w:rPr>
                <w:rFonts w:ascii="Garamond" w:hAnsi="Garamond"/>
                <w:bCs/>
              </w:rPr>
            </w:pPr>
            <w:r w:rsidRPr="007114AF">
              <w:rPr>
                <w:rFonts w:ascii="Garamond" w:hAnsi="Garamond"/>
                <w:bCs/>
              </w:rPr>
              <w:t>Objektivi 1: Vlerësimi i progresit kundrejt objektivave për aftësitë ripërtëritëse ndaj klimës</w:t>
            </w:r>
          </w:p>
          <w:p w14:paraId="6EDD0E64" w14:textId="77777777" w:rsidR="000F4610" w:rsidRPr="007114AF" w:rsidRDefault="000F4610" w:rsidP="00037830">
            <w:pPr>
              <w:pStyle w:val="ListParagraph"/>
              <w:numPr>
                <w:ilvl w:val="0"/>
                <w:numId w:val="57"/>
              </w:numPr>
              <w:spacing w:before="0" w:after="0"/>
              <w:ind w:left="0" w:firstLine="0"/>
              <w:rPr>
                <w:rFonts w:ascii="Garamond" w:hAnsi="Garamond"/>
                <w:bCs/>
              </w:rPr>
            </w:pPr>
            <w:r w:rsidRPr="007114AF">
              <w:rPr>
                <w:rFonts w:ascii="Garamond" w:hAnsi="Garamond"/>
                <w:bCs/>
              </w:rPr>
              <w:t>Treguesi 1.1: Procesi i zbatimit të NAP-it monitorohet lidhur me arritjen e objektivave të përcaktuar të PKP-ës (rritje e kapaciteteve për të vlerësuar efektet klimatike mbulohen nga Matricat e Vlerësimit të Performancës të Mjedisit dhe nga strategji të tjera sektoriale përkatës nga SKZHI).</w:t>
            </w:r>
          </w:p>
          <w:p w14:paraId="6EDD0E65" w14:textId="77777777" w:rsidR="000F4610" w:rsidRPr="007114AF" w:rsidRDefault="000F4610" w:rsidP="00037830">
            <w:pPr>
              <w:numPr>
                <w:ilvl w:val="0"/>
                <w:numId w:val="58"/>
              </w:numPr>
              <w:spacing w:after="0" w:line="240" w:lineRule="auto"/>
              <w:ind w:left="0" w:firstLine="0"/>
              <w:rPr>
                <w:rFonts w:ascii="Garamond" w:hAnsi="Garamond"/>
                <w:bCs/>
              </w:rPr>
            </w:pPr>
            <w:r w:rsidRPr="007114AF">
              <w:rPr>
                <w:rFonts w:ascii="Garamond" w:hAnsi="Garamond"/>
                <w:bCs/>
              </w:rPr>
              <w:t>Objektivi 2: Ngritja e një sistemi monitorimi të mbështetur në rezultate për ndryshimet klimatike.</w:t>
            </w:r>
          </w:p>
          <w:p w14:paraId="6EDD0E66" w14:textId="77777777" w:rsidR="000F4610" w:rsidRPr="007114AF" w:rsidRDefault="000F4610" w:rsidP="00037830">
            <w:pPr>
              <w:pStyle w:val="ListParagraph"/>
              <w:numPr>
                <w:ilvl w:val="0"/>
                <w:numId w:val="57"/>
              </w:numPr>
              <w:spacing w:before="0" w:after="0"/>
              <w:ind w:left="0" w:firstLine="0"/>
              <w:rPr>
                <w:rFonts w:ascii="Garamond" w:hAnsi="Garamond"/>
                <w:bCs/>
              </w:rPr>
            </w:pPr>
            <w:r w:rsidRPr="007114AF">
              <w:rPr>
                <w:rFonts w:ascii="Garamond" w:hAnsi="Garamond"/>
                <w:bCs/>
              </w:rPr>
              <w:t>Treguesi 2.1: Hartohet dhe aprovohet një program monitorimi i integruar.</w:t>
            </w:r>
          </w:p>
          <w:p w14:paraId="6EDD0E67" w14:textId="2505604C" w:rsidR="000F4610" w:rsidRPr="007114AF" w:rsidRDefault="000F4610" w:rsidP="00037830">
            <w:pPr>
              <w:pStyle w:val="ListParagraph"/>
              <w:numPr>
                <w:ilvl w:val="0"/>
                <w:numId w:val="57"/>
              </w:numPr>
              <w:spacing w:before="0" w:after="0"/>
              <w:ind w:left="0" w:firstLine="0"/>
              <w:rPr>
                <w:rFonts w:ascii="Garamond" w:hAnsi="Garamond"/>
                <w:bCs/>
              </w:rPr>
            </w:pPr>
            <w:r w:rsidRPr="007114AF">
              <w:rPr>
                <w:rFonts w:ascii="Garamond" w:hAnsi="Garamond"/>
                <w:bCs/>
              </w:rPr>
              <w:t>Treguesi 2.2: Vlerësohet rregullisht një paketë treguesish (të efektit dhe</w:t>
            </w:r>
            <w:r w:rsidR="000A2A01" w:rsidRPr="007114AF">
              <w:rPr>
                <w:rFonts w:ascii="Garamond" w:hAnsi="Garamond"/>
                <w:bCs/>
              </w:rPr>
              <w:t xml:space="preserve"> </w:t>
            </w:r>
            <w:r w:rsidRPr="007114AF">
              <w:rPr>
                <w:rFonts w:ascii="Garamond" w:hAnsi="Garamond"/>
                <w:bCs/>
              </w:rPr>
              <w:t xml:space="preserve">kundërpërgjigjes). </w:t>
            </w:r>
          </w:p>
          <w:p w14:paraId="6EDD0E68" w14:textId="77777777" w:rsidR="000F4610" w:rsidRPr="007114AF" w:rsidRDefault="000F4610" w:rsidP="00037830">
            <w:pPr>
              <w:numPr>
                <w:ilvl w:val="0"/>
                <w:numId w:val="46"/>
              </w:numPr>
              <w:spacing w:after="0" w:line="240" w:lineRule="auto"/>
              <w:ind w:left="0" w:firstLine="0"/>
              <w:rPr>
                <w:rFonts w:ascii="Garamond" w:hAnsi="Garamond"/>
                <w:b/>
                <w:bCs/>
              </w:rPr>
            </w:pPr>
            <w:r w:rsidRPr="007114AF">
              <w:rPr>
                <w:rFonts w:ascii="Garamond" w:hAnsi="Garamond"/>
                <w:bCs/>
              </w:rPr>
              <w:t>Treguesi 2.3: Vendoset dhe fillon shfrytëzimi i një sistemi monitorimit të integruar për një basen lumor pilot.</w:t>
            </w:r>
          </w:p>
        </w:tc>
      </w:tr>
      <w:tr w:rsidR="000F4610" w:rsidRPr="007114AF" w14:paraId="6EDD0E7B" w14:textId="77777777" w:rsidTr="00574660">
        <w:trPr>
          <w:trHeight w:val="1"/>
        </w:trPr>
        <w:tc>
          <w:tcPr>
            <w:tcW w:w="906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D0E6A" w14:textId="77777777" w:rsidR="000F4610" w:rsidRPr="007114AF" w:rsidRDefault="000F4610" w:rsidP="000F4610">
            <w:pPr>
              <w:spacing w:after="0" w:line="240" w:lineRule="auto"/>
              <w:rPr>
                <w:rFonts w:ascii="Garamond" w:hAnsi="Garamond"/>
                <w:b/>
                <w:bCs/>
              </w:rPr>
            </w:pPr>
            <w:r w:rsidRPr="007114AF">
              <w:rPr>
                <w:rFonts w:ascii="Garamond" w:hAnsi="Garamond"/>
                <w:b/>
                <w:bCs/>
              </w:rPr>
              <w:t>Elementet kryesore dhe afatet e veprimit prioritar</w:t>
            </w:r>
          </w:p>
          <w:p w14:paraId="6EDD0E6B" w14:textId="77777777" w:rsidR="000F4610" w:rsidRPr="007114AF" w:rsidRDefault="000F4610" w:rsidP="000F4610">
            <w:pPr>
              <w:spacing w:after="0" w:line="240" w:lineRule="auto"/>
              <w:rPr>
                <w:rFonts w:ascii="Garamond" w:hAnsi="Garamond"/>
                <w:b/>
                <w:bCs/>
              </w:rPr>
            </w:pPr>
            <w:r w:rsidRPr="007114AF">
              <w:rPr>
                <w:rFonts w:ascii="Garamond" w:hAnsi="Garamond"/>
                <w:b/>
                <w:bCs/>
              </w:rPr>
              <w:t>Viti i parë</w:t>
            </w:r>
          </w:p>
          <w:p w14:paraId="6EDD0E6C" w14:textId="79295016" w:rsidR="000F4610" w:rsidRPr="007114AF" w:rsidRDefault="000F4610" w:rsidP="00037830">
            <w:pPr>
              <w:numPr>
                <w:ilvl w:val="0"/>
                <w:numId w:val="29"/>
              </w:numPr>
              <w:spacing w:after="0" w:line="240" w:lineRule="auto"/>
              <w:rPr>
                <w:rFonts w:ascii="Garamond" w:hAnsi="Garamond"/>
                <w:bCs/>
              </w:rPr>
            </w:pPr>
            <w:r w:rsidRPr="007114AF">
              <w:rPr>
                <w:rFonts w:ascii="Garamond" w:hAnsi="Garamond"/>
                <w:bCs/>
              </w:rPr>
              <w:t>Vlerësimi i situatës dhe analiza e boshllëqeve të sistemeve ekzistuese të monitorimit në lidhje me përdorueshmërinë e tyre për monitorimin e</w:t>
            </w:r>
            <w:r w:rsidR="005B1FF4">
              <w:rPr>
                <w:rFonts w:ascii="Garamond" w:hAnsi="Garamond"/>
                <w:bCs/>
              </w:rPr>
              <w:t xml:space="preserve"> </w:t>
            </w:r>
            <w:r w:rsidRPr="007114AF">
              <w:rPr>
                <w:rFonts w:ascii="Garamond" w:hAnsi="Garamond"/>
                <w:bCs/>
              </w:rPr>
              <w:t>mbështetur në rezultate.</w:t>
            </w:r>
          </w:p>
          <w:p w14:paraId="6EDD0E6D" w14:textId="77777777" w:rsidR="000F4610" w:rsidRPr="007114AF" w:rsidRDefault="000F4610" w:rsidP="00037830">
            <w:pPr>
              <w:numPr>
                <w:ilvl w:val="0"/>
                <w:numId w:val="29"/>
              </w:numPr>
              <w:spacing w:after="0" w:line="240" w:lineRule="auto"/>
              <w:rPr>
                <w:rFonts w:ascii="Garamond" w:hAnsi="Garamond"/>
                <w:bCs/>
              </w:rPr>
            </w:pPr>
            <w:r w:rsidRPr="007114AF">
              <w:rPr>
                <w:rFonts w:ascii="Garamond" w:hAnsi="Garamond"/>
                <w:bCs/>
              </w:rPr>
              <w:t>Konceptimi i sistemit të monitorimit të mbështetur në rezultate: Objektivat e monitorimit, treguesit/parametrat konkretë që duhen matur, burimet e të dhënave, përgjegjësitë dhe bashkëpunimi.</w:t>
            </w:r>
          </w:p>
          <w:p w14:paraId="6EDD0E6E" w14:textId="77777777" w:rsidR="000F4610" w:rsidRPr="007114AF" w:rsidRDefault="000F4610" w:rsidP="000F4610">
            <w:pPr>
              <w:spacing w:after="0" w:line="240" w:lineRule="auto"/>
              <w:rPr>
                <w:rFonts w:ascii="Garamond" w:hAnsi="Garamond"/>
                <w:b/>
                <w:bCs/>
              </w:rPr>
            </w:pPr>
            <w:r w:rsidRPr="007114AF">
              <w:rPr>
                <w:rFonts w:ascii="Garamond" w:hAnsi="Garamond"/>
                <w:b/>
                <w:bCs/>
              </w:rPr>
              <w:t>Viti i dytë</w:t>
            </w:r>
          </w:p>
          <w:p w14:paraId="6EDD0E6F" w14:textId="77777777" w:rsidR="000F4610" w:rsidRPr="007114AF" w:rsidRDefault="000F4610" w:rsidP="00037830">
            <w:pPr>
              <w:numPr>
                <w:ilvl w:val="0"/>
                <w:numId w:val="30"/>
              </w:numPr>
              <w:spacing w:after="0" w:line="240" w:lineRule="auto"/>
              <w:rPr>
                <w:rFonts w:ascii="Garamond" w:hAnsi="Garamond"/>
                <w:bCs/>
              </w:rPr>
            </w:pPr>
            <w:r w:rsidRPr="007114AF">
              <w:rPr>
                <w:rFonts w:ascii="Garamond" w:hAnsi="Garamond"/>
                <w:bCs/>
              </w:rPr>
              <w:t>Projektimi i hollësishëm i një sistemi monitorimi të mbështetur në rezultate përfshirë zinxhirët e rezultateve, si edhe treguesit e përcaktuar (skedat e treguesve) dhe përzgjedhja e treguesve më kryesorë. Reflektimi i 2 fazave të monitorimit të mbështetur në rezultate: Fillimi paraprak i një monitorimi qendror të mbështetur në rezultate. Zgjerimi drejt një monitorimi të gjithanshëm të mbështetur në rezultate.</w:t>
            </w:r>
          </w:p>
          <w:p w14:paraId="6EDD0E70" w14:textId="15200B76" w:rsidR="000F4610" w:rsidRPr="007114AF" w:rsidRDefault="000F4610" w:rsidP="00037830">
            <w:pPr>
              <w:numPr>
                <w:ilvl w:val="0"/>
                <w:numId w:val="30"/>
              </w:numPr>
              <w:spacing w:after="0" w:line="240" w:lineRule="auto"/>
              <w:rPr>
                <w:rFonts w:ascii="Garamond" w:hAnsi="Garamond"/>
                <w:bCs/>
              </w:rPr>
            </w:pPr>
            <w:r w:rsidRPr="007114AF">
              <w:rPr>
                <w:rFonts w:ascii="Garamond" w:hAnsi="Garamond"/>
                <w:bCs/>
              </w:rPr>
              <w:t>Ngritja e sektorëve institucional,</w:t>
            </w:r>
            <w:r w:rsidR="005B1FF4">
              <w:rPr>
                <w:rFonts w:ascii="Garamond" w:hAnsi="Garamond"/>
                <w:bCs/>
              </w:rPr>
              <w:t xml:space="preserve"> </w:t>
            </w:r>
            <w:r w:rsidRPr="007114AF">
              <w:rPr>
                <w:rFonts w:ascii="Garamond" w:hAnsi="Garamond"/>
                <w:bCs/>
              </w:rPr>
              <w:t>mbështetja teknike dhe rritja</w:t>
            </w:r>
            <w:r w:rsidR="005B1FF4">
              <w:rPr>
                <w:rFonts w:ascii="Garamond" w:hAnsi="Garamond"/>
                <w:bCs/>
              </w:rPr>
              <w:t xml:space="preserve"> </w:t>
            </w:r>
            <w:r w:rsidRPr="007114AF">
              <w:rPr>
                <w:rFonts w:ascii="Garamond" w:hAnsi="Garamond"/>
                <w:bCs/>
              </w:rPr>
              <w:t>e kapaciteteve për ngritjen e monitorimit të mbështetur në rezultate. Hartimi i një plan zbatimi.</w:t>
            </w:r>
          </w:p>
          <w:p w14:paraId="6EDD0E71" w14:textId="77777777" w:rsidR="000F4610" w:rsidRPr="007114AF" w:rsidRDefault="000F4610" w:rsidP="000F4610">
            <w:pPr>
              <w:spacing w:after="0" w:line="240" w:lineRule="auto"/>
              <w:rPr>
                <w:rFonts w:ascii="Garamond" w:hAnsi="Garamond"/>
                <w:b/>
                <w:bCs/>
              </w:rPr>
            </w:pPr>
            <w:r w:rsidRPr="007114AF">
              <w:rPr>
                <w:rFonts w:ascii="Garamond" w:hAnsi="Garamond"/>
                <w:b/>
                <w:bCs/>
              </w:rPr>
              <w:t>Viti i tretë</w:t>
            </w:r>
          </w:p>
          <w:p w14:paraId="6EDD0E72" w14:textId="77777777" w:rsidR="000F4610" w:rsidRPr="007114AF" w:rsidRDefault="000F4610" w:rsidP="00037830">
            <w:pPr>
              <w:numPr>
                <w:ilvl w:val="0"/>
                <w:numId w:val="31"/>
              </w:numPr>
              <w:spacing w:after="0" w:line="240" w:lineRule="auto"/>
              <w:rPr>
                <w:rFonts w:ascii="Garamond" w:hAnsi="Garamond"/>
                <w:bCs/>
              </w:rPr>
            </w:pPr>
            <w:r w:rsidRPr="007114AF">
              <w:rPr>
                <w:rFonts w:ascii="Garamond" w:hAnsi="Garamond"/>
                <w:bCs/>
              </w:rPr>
              <w:t>Krijimi i një sistemi monitorimi pilot / një monitorimi qendror të mbështetur në rezultate.</w:t>
            </w:r>
          </w:p>
          <w:p w14:paraId="6EDD0E73" w14:textId="77777777" w:rsidR="000F4610" w:rsidRPr="007114AF" w:rsidRDefault="000F4610" w:rsidP="00037830">
            <w:pPr>
              <w:numPr>
                <w:ilvl w:val="0"/>
                <w:numId w:val="31"/>
              </w:numPr>
              <w:spacing w:after="0" w:line="240" w:lineRule="auto"/>
              <w:rPr>
                <w:rFonts w:ascii="Garamond" w:hAnsi="Garamond"/>
                <w:bCs/>
              </w:rPr>
            </w:pPr>
            <w:r w:rsidRPr="007114AF">
              <w:rPr>
                <w:rFonts w:ascii="Garamond" w:hAnsi="Garamond"/>
                <w:bCs/>
              </w:rPr>
              <w:t>Miratimi i udhëzuesit për monitorimin e mbështetur në rezultate dhe fillimi i monitorimit.</w:t>
            </w:r>
          </w:p>
          <w:p w14:paraId="6EDD0E74" w14:textId="77777777" w:rsidR="000F4610" w:rsidRPr="007114AF" w:rsidRDefault="000F4610" w:rsidP="000F4610">
            <w:pPr>
              <w:spacing w:after="0" w:line="240" w:lineRule="auto"/>
              <w:rPr>
                <w:rFonts w:ascii="Garamond" w:hAnsi="Garamond"/>
                <w:b/>
                <w:bCs/>
              </w:rPr>
            </w:pPr>
            <w:r w:rsidRPr="007114AF">
              <w:rPr>
                <w:rFonts w:ascii="Garamond" w:hAnsi="Garamond"/>
                <w:b/>
                <w:bCs/>
              </w:rPr>
              <w:t>Viti i katërt</w:t>
            </w:r>
          </w:p>
          <w:p w14:paraId="6EDD0E75" w14:textId="699E4E28" w:rsidR="000F4610" w:rsidRPr="007114AF" w:rsidRDefault="000F4610" w:rsidP="00037830">
            <w:pPr>
              <w:numPr>
                <w:ilvl w:val="0"/>
                <w:numId w:val="32"/>
              </w:numPr>
              <w:spacing w:after="0" w:line="240" w:lineRule="auto"/>
              <w:rPr>
                <w:rFonts w:ascii="Garamond" w:hAnsi="Garamond"/>
                <w:bCs/>
              </w:rPr>
            </w:pPr>
            <w:r w:rsidRPr="007114AF">
              <w:rPr>
                <w:rFonts w:ascii="Garamond" w:hAnsi="Garamond"/>
                <w:bCs/>
              </w:rPr>
              <w:t xml:space="preserve">Përzgjedhja për vlerësime të thella, për zona </w:t>
            </w:r>
            <w:r w:rsidR="005B1FF4" w:rsidRPr="007114AF">
              <w:rPr>
                <w:rFonts w:ascii="Garamond" w:hAnsi="Garamond"/>
                <w:bCs/>
              </w:rPr>
              <w:t>veçanërisht</w:t>
            </w:r>
            <w:r w:rsidRPr="007114AF">
              <w:rPr>
                <w:rFonts w:ascii="Garamond" w:hAnsi="Garamond"/>
                <w:bCs/>
              </w:rPr>
              <w:t xml:space="preserve"> vulnerabël, ndaj ndryshimeve klimatike si:</w:t>
            </w:r>
          </w:p>
          <w:p w14:paraId="6EDD0E76" w14:textId="77777777" w:rsidR="000F4610" w:rsidRPr="007114AF" w:rsidRDefault="000F4610" w:rsidP="00037830">
            <w:pPr>
              <w:numPr>
                <w:ilvl w:val="0"/>
                <w:numId w:val="32"/>
              </w:numPr>
              <w:spacing w:after="0" w:line="240" w:lineRule="auto"/>
              <w:rPr>
                <w:rFonts w:ascii="Garamond" w:hAnsi="Garamond"/>
                <w:bCs/>
              </w:rPr>
            </w:pPr>
            <w:r w:rsidRPr="007114AF">
              <w:rPr>
                <w:rFonts w:ascii="Garamond" w:hAnsi="Garamond"/>
                <w:bCs/>
              </w:rPr>
              <w:t>zonat pranë brigjeve, plazhet, dunat dhe kanalet,</w:t>
            </w:r>
          </w:p>
          <w:p w14:paraId="6EDD0E77" w14:textId="77777777" w:rsidR="000F4610" w:rsidRPr="007114AF" w:rsidRDefault="000F4610" w:rsidP="00037830">
            <w:pPr>
              <w:numPr>
                <w:ilvl w:val="0"/>
                <w:numId w:val="32"/>
              </w:numPr>
              <w:spacing w:after="0" w:line="240" w:lineRule="auto"/>
              <w:rPr>
                <w:rFonts w:ascii="Garamond" w:hAnsi="Garamond"/>
                <w:bCs/>
              </w:rPr>
            </w:pPr>
            <w:r w:rsidRPr="007114AF">
              <w:rPr>
                <w:rFonts w:ascii="Garamond" w:hAnsi="Garamond"/>
                <w:bCs/>
              </w:rPr>
              <w:t>mekanizmat sedimentare (mbi baticë, në zonën e baticë-zbaticës dhe nën zbaticë),</w:t>
            </w:r>
          </w:p>
          <w:p w14:paraId="6EDD0E78" w14:textId="77777777" w:rsidR="000F4610" w:rsidRPr="007114AF" w:rsidRDefault="000F4610" w:rsidP="00037830">
            <w:pPr>
              <w:numPr>
                <w:ilvl w:val="0"/>
                <w:numId w:val="32"/>
              </w:numPr>
              <w:spacing w:after="0" w:line="240" w:lineRule="auto"/>
              <w:rPr>
                <w:rFonts w:ascii="Garamond" w:hAnsi="Garamond"/>
                <w:bCs/>
              </w:rPr>
            </w:pPr>
            <w:r w:rsidRPr="007114AF">
              <w:rPr>
                <w:rFonts w:ascii="Garamond" w:hAnsi="Garamond"/>
                <w:bCs/>
              </w:rPr>
              <w:t>ngritja dhe shfrytëzimi i monitorimit gjithëpërfshirës të mbështetur në rezultate,</w:t>
            </w:r>
          </w:p>
          <w:p w14:paraId="6EDD0E79" w14:textId="77777777" w:rsidR="000F4610" w:rsidRPr="007114AF" w:rsidRDefault="000F4610" w:rsidP="00037830">
            <w:pPr>
              <w:numPr>
                <w:ilvl w:val="0"/>
                <w:numId w:val="32"/>
              </w:numPr>
              <w:spacing w:after="0" w:line="240" w:lineRule="auto"/>
              <w:rPr>
                <w:rFonts w:ascii="Garamond" w:hAnsi="Garamond"/>
                <w:bCs/>
              </w:rPr>
            </w:pPr>
            <w:r w:rsidRPr="007114AF">
              <w:rPr>
                <w:rFonts w:ascii="Garamond" w:hAnsi="Garamond"/>
                <w:bCs/>
              </w:rPr>
              <w:t>përpunimi i sistemeve adekuate të raportimit për monitorimin e mbështetur në rezultate.</w:t>
            </w:r>
          </w:p>
          <w:p w14:paraId="6EDD0E7A" w14:textId="77777777" w:rsidR="000F4610" w:rsidRPr="007114AF" w:rsidRDefault="000F4610" w:rsidP="000F4610">
            <w:pPr>
              <w:spacing w:after="0" w:line="240" w:lineRule="auto"/>
              <w:rPr>
                <w:rFonts w:ascii="Garamond" w:hAnsi="Garamond"/>
                <w:bCs/>
              </w:rPr>
            </w:pPr>
            <w:r w:rsidRPr="007114AF">
              <w:rPr>
                <w:rFonts w:ascii="Garamond" w:hAnsi="Garamond"/>
                <w:bCs/>
              </w:rPr>
              <w:t>Afati gjithsej: 4 vjet</w:t>
            </w:r>
          </w:p>
        </w:tc>
      </w:tr>
      <w:tr w:rsidR="000F4610" w:rsidRPr="007114AF" w14:paraId="6EDD0E88" w14:textId="77777777" w:rsidTr="00574660">
        <w:trPr>
          <w:trHeight w:val="1"/>
        </w:trPr>
        <w:tc>
          <w:tcPr>
            <w:tcW w:w="31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D0E7C" w14:textId="77777777" w:rsidR="000F4610" w:rsidRPr="007114AF" w:rsidRDefault="000F4610" w:rsidP="000F4610">
            <w:pPr>
              <w:spacing w:after="0" w:line="240" w:lineRule="auto"/>
              <w:rPr>
                <w:rFonts w:ascii="Garamond" w:hAnsi="Garamond"/>
                <w:b/>
                <w:bCs/>
              </w:rPr>
            </w:pPr>
            <w:r w:rsidRPr="007114AF">
              <w:rPr>
                <w:rFonts w:ascii="Garamond" w:hAnsi="Garamond"/>
                <w:b/>
                <w:bCs/>
              </w:rPr>
              <w:t>Aktorët kryesorë të përfshirë</w:t>
            </w:r>
          </w:p>
          <w:p w14:paraId="6EDD0E7D" w14:textId="77777777" w:rsidR="000F4610" w:rsidRPr="007114AF" w:rsidRDefault="000F4610" w:rsidP="000F4610">
            <w:pPr>
              <w:spacing w:after="0" w:line="240" w:lineRule="auto"/>
              <w:rPr>
                <w:rFonts w:ascii="Garamond" w:hAnsi="Garamond"/>
                <w:bCs/>
              </w:rPr>
            </w:pPr>
            <w:r w:rsidRPr="007114AF">
              <w:rPr>
                <w:rFonts w:ascii="Garamond" w:hAnsi="Garamond"/>
                <w:bCs/>
              </w:rPr>
              <w:t>Ministria e Turizmit dhe Mjedisit / Agjencia Kombëtare e Mjedisit</w:t>
            </w:r>
          </w:p>
          <w:p w14:paraId="6EDD0E7E" w14:textId="77777777" w:rsidR="000F4610" w:rsidRPr="007114AF" w:rsidRDefault="000F4610" w:rsidP="000F4610">
            <w:pPr>
              <w:spacing w:after="0" w:line="240" w:lineRule="auto"/>
              <w:rPr>
                <w:rFonts w:ascii="Garamond" w:hAnsi="Garamond"/>
                <w:bCs/>
              </w:rPr>
            </w:pPr>
            <w:r w:rsidRPr="007114AF">
              <w:rPr>
                <w:rFonts w:ascii="Garamond" w:hAnsi="Garamond"/>
                <w:bCs/>
              </w:rPr>
              <w:t>Ministria për Evropën dhe Punët e Jashtme</w:t>
            </w:r>
          </w:p>
          <w:p w14:paraId="6EDD0E7F" w14:textId="77777777" w:rsidR="000F4610" w:rsidRPr="007114AF" w:rsidRDefault="000F4610" w:rsidP="000F4610">
            <w:pPr>
              <w:spacing w:after="0" w:line="240" w:lineRule="auto"/>
              <w:rPr>
                <w:rFonts w:ascii="Garamond" w:hAnsi="Garamond"/>
                <w:bCs/>
              </w:rPr>
            </w:pPr>
            <w:r w:rsidRPr="007114AF">
              <w:rPr>
                <w:rFonts w:ascii="Garamond" w:hAnsi="Garamond"/>
                <w:bCs/>
              </w:rPr>
              <w:t>Ministria e Infrastrukturës dhe Energjisë / Shërbimi Gjeologjik Shqiptar</w:t>
            </w:r>
          </w:p>
          <w:p w14:paraId="6EDD0E80" w14:textId="77777777" w:rsidR="000F4610" w:rsidRPr="007114AF" w:rsidRDefault="000F4610" w:rsidP="000F4610">
            <w:pPr>
              <w:spacing w:after="0" w:line="240" w:lineRule="auto"/>
              <w:rPr>
                <w:rFonts w:ascii="Garamond" w:hAnsi="Garamond"/>
                <w:bCs/>
              </w:rPr>
            </w:pPr>
            <w:r w:rsidRPr="007114AF">
              <w:rPr>
                <w:rFonts w:ascii="Garamond" w:hAnsi="Garamond"/>
                <w:bCs/>
              </w:rPr>
              <w:t>IGJEUM-i</w:t>
            </w:r>
          </w:p>
          <w:p w14:paraId="6EDD0E81" w14:textId="77777777" w:rsidR="000F4610" w:rsidRPr="007114AF" w:rsidRDefault="000F4610" w:rsidP="000F4610">
            <w:pPr>
              <w:spacing w:after="0" w:line="240" w:lineRule="auto"/>
              <w:rPr>
                <w:rFonts w:ascii="Garamond" w:hAnsi="Garamond"/>
                <w:b/>
                <w:bCs/>
              </w:rPr>
            </w:pPr>
            <w:r w:rsidRPr="007114AF">
              <w:rPr>
                <w:rFonts w:ascii="Garamond" w:hAnsi="Garamond"/>
                <w:bCs/>
              </w:rPr>
              <w:t>Institucione të tjerë relevante dhe ekspertë</w:t>
            </w:r>
          </w:p>
        </w:tc>
        <w:tc>
          <w:tcPr>
            <w:tcW w:w="586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D0E82" w14:textId="77777777" w:rsidR="000F4610" w:rsidRPr="007114AF" w:rsidRDefault="000F4610" w:rsidP="000F4610">
            <w:pPr>
              <w:spacing w:after="0" w:line="240" w:lineRule="auto"/>
              <w:rPr>
                <w:rFonts w:ascii="Garamond" w:hAnsi="Garamond"/>
                <w:b/>
                <w:bCs/>
              </w:rPr>
            </w:pPr>
            <w:r w:rsidRPr="007114AF">
              <w:rPr>
                <w:rFonts w:ascii="Garamond" w:hAnsi="Garamond"/>
                <w:b/>
                <w:bCs/>
              </w:rPr>
              <w:t>Burimet</w:t>
            </w:r>
          </w:p>
          <w:p w14:paraId="6EDD0E83" w14:textId="75C6BBDB" w:rsidR="000F4610" w:rsidRPr="007114AF" w:rsidRDefault="000F4610" w:rsidP="00037830">
            <w:pPr>
              <w:numPr>
                <w:ilvl w:val="0"/>
                <w:numId w:val="33"/>
              </w:numPr>
              <w:spacing w:after="0" w:line="240" w:lineRule="auto"/>
              <w:rPr>
                <w:rFonts w:ascii="Garamond" w:hAnsi="Garamond"/>
                <w:bCs/>
              </w:rPr>
            </w:pPr>
            <w:r w:rsidRPr="007114AF">
              <w:rPr>
                <w:rFonts w:ascii="Garamond" w:hAnsi="Garamond"/>
                <w:bCs/>
              </w:rPr>
              <w:t xml:space="preserve">Vlera gjithsej 688 </w:t>
            </w:r>
            <w:r w:rsidR="001C47F0" w:rsidRPr="007114AF">
              <w:rPr>
                <w:rFonts w:ascii="Garamond" w:hAnsi="Garamond"/>
                <w:bCs/>
              </w:rPr>
              <w:t xml:space="preserve">milionë </w:t>
            </w:r>
            <w:r w:rsidRPr="007114AF">
              <w:rPr>
                <w:rFonts w:ascii="Garamond" w:hAnsi="Garamond"/>
                <w:bCs/>
              </w:rPr>
              <w:t>lekë</w:t>
            </w:r>
          </w:p>
          <w:p w14:paraId="6EDD0E84" w14:textId="071E8798" w:rsidR="000F4610" w:rsidRPr="007114AF" w:rsidRDefault="000F4610" w:rsidP="00037830">
            <w:pPr>
              <w:numPr>
                <w:ilvl w:val="0"/>
                <w:numId w:val="33"/>
              </w:numPr>
              <w:spacing w:after="0" w:line="240" w:lineRule="auto"/>
              <w:rPr>
                <w:rFonts w:ascii="Garamond" w:hAnsi="Garamond"/>
                <w:bCs/>
              </w:rPr>
            </w:pPr>
            <w:r w:rsidRPr="007114AF">
              <w:rPr>
                <w:rFonts w:ascii="Garamond" w:hAnsi="Garamond"/>
                <w:bCs/>
              </w:rPr>
              <w:t>Viti i parë 75 milion</w:t>
            </w:r>
            <w:r w:rsidR="005B1FF4">
              <w:rPr>
                <w:rFonts w:ascii="Garamond" w:hAnsi="Garamond"/>
                <w:bCs/>
              </w:rPr>
              <w:t xml:space="preserve">ë </w:t>
            </w:r>
            <w:r w:rsidRPr="007114AF">
              <w:rPr>
                <w:rFonts w:ascii="Garamond" w:hAnsi="Garamond"/>
                <w:bCs/>
              </w:rPr>
              <w:t>lekë</w:t>
            </w:r>
          </w:p>
          <w:p w14:paraId="6EDD0E85" w14:textId="79B9BAF4" w:rsidR="000F4610" w:rsidRPr="007114AF" w:rsidRDefault="000F4610" w:rsidP="00037830">
            <w:pPr>
              <w:numPr>
                <w:ilvl w:val="0"/>
                <w:numId w:val="33"/>
              </w:numPr>
              <w:spacing w:after="0" w:line="240" w:lineRule="auto"/>
              <w:rPr>
                <w:rFonts w:ascii="Garamond" w:hAnsi="Garamond"/>
                <w:bCs/>
              </w:rPr>
            </w:pPr>
            <w:r w:rsidRPr="007114AF">
              <w:rPr>
                <w:rFonts w:ascii="Garamond" w:hAnsi="Garamond"/>
                <w:bCs/>
              </w:rPr>
              <w:t xml:space="preserve">Viti i dytë 150 </w:t>
            </w:r>
            <w:r w:rsidR="001C47F0" w:rsidRPr="007114AF">
              <w:rPr>
                <w:rFonts w:ascii="Garamond" w:hAnsi="Garamond"/>
                <w:bCs/>
              </w:rPr>
              <w:t xml:space="preserve">milionë </w:t>
            </w:r>
            <w:r w:rsidRPr="007114AF">
              <w:rPr>
                <w:rFonts w:ascii="Garamond" w:hAnsi="Garamond"/>
                <w:bCs/>
              </w:rPr>
              <w:t>lekë</w:t>
            </w:r>
          </w:p>
          <w:p w14:paraId="6EDD0E86" w14:textId="4AF09577" w:rsidR="000F4610" w:rsidRPr="007114AF" w:rsidRDefault="000F4610" w:rsidP="00037830">
            <w:pPr>
              <w:numPr>
                <w:ilvl w:val="0"/>
                <w:numId w:val="33"/>
              </w:numPr>
              <w:spacing w:after="0" w:line="240" w:lineRule="auto"/>
              <w:rPr>
                <w:rFonts w:ascii="Garamond" w:hAnsi="Garamond"/>
                <w:bCs/>
              </w:rPr>
            </w:pPr>
            <w:r w:rsidRPr="007114AF">
              <w:rPr>
                <w:rFonts w:ascii="Garamond" w:hAnsi="Garamond"/>
                <w:bCs/>
              </w:rPr>
              <w:t xml:space="preserve">Viti i tretë 200 </w:t>
            </w:r>
            <w:r w:rsidR="001C47F0" w:rsidRPr="007114AF">
              <w:rPr>
                <w:rFonts w:ascii="Garamond" w:hAnsi="Garamond"/>
                <w:bCs/>
              </w:rPr>
              <w:t xml:space="preserve">milionë </w:t>
            </w:r>
            <w:r w:rsidRPr="007114AF">
              <w:rPr>
                <w:rFonts w:ascii="Garamond" w:hAnsi="Garamond"/>
                <w:bCs/>
              </w:rPr>
              <w:t>lekë</w:t>
            </w:r>
          </w:p>
          <w:p w14:paraId="6EDD0E87" w14:textId="22EFB5E5" w:rsidR="000F4610" w:rsidRPr="007114AF" w:rsidRDefault="000F4610" w:rsidP="00037830">
            <w:pPr>
              <w:numPr>
                <w:ilvl w:val="0"/>
                <w:numId w:val="33"/>
              </w:numPr>
              <w:spacing w:after="0" w:line="240" w:lineRule="auto"/>
              <w:rPr>
                <w:rFonts w:ascii="Garamond" w:hAnsi="Garamond"/>
                <w:b/>
                <w:bCs/>
              </w:rPr>
            </w:pPr>
            <w:r w:rsidRPr="007114AF">
              <w:rPr>
                <w:rFonts w:ascii="Garamond" w:hAnsi="Garamond"/>
                <w:bCs/>
              </w:rPr>
              <w:t xml:space="preserve">Viti i katërt 262 </w:t>
            </w:r>
            <w:r w:rsidR="001C47F0" w:rsidRPr="007114AF">
              <w:rPr>
                <w:rFonts w:ascii="Garamond" w:hAnsi="Garamond"/>
                <w:bCs/>
              </w:rPr>
              <w:t xml:space="preserve">milionë </w:t>
            </w:r>
            <w:r w:rsidRPr="007114AF">
              <w:rPr>
                <w:rFonts w:ascii="Garamond" w:hAnsi="Garamond"/>
                <w:bCs/>
              </w:rPr>
              <w:t>lekë</w:t>
            </w:r>
          </w:p>
        </w:tc>
      </w:tr>
    </w:tbl>
    <w:p w14:paraId="6EDD0E89" w14:textId="77777777" w:rsidR="006565C1" w:rsidRPr="007114AF" w:rsidRDefault="006565C1" w:rsidP="006565C1">
      <w:pPr>
        <w:pStyle w:val="FIGURA"/>
        <w:jc w:val="left"/>
      </w:pPr>
    </w:p>
    <w:p w14:paraId="6EDD0E8A" w14:textId="0965D992" w:rsidR="00812F95" w:rsidRPr="007114AF" w:rsidRDefault="00812F95" w:rsidP="00812F95">
      <w:pPr>
        <w:pStyle w:val="FIGURA"/>
        <w:rPr>
          <w:lang w:eastAsia="en-US"/>
        </w:rPr>
      </w:pPr>
      <w:bookmarkStart w:id="208" w:name="_Toc484424538"/>
      <w:bookmarkStart w:id="209" w:name="_Toc479083893"/>
      <w:bookmarkStart w:id="210" w:name="_Toc483570140"/>
      <w:r w:rsidRPr="007114AF">
        <w:rPr>
          <w:lang w:eastAsia="en-US"/>
        </w:rPr>
        <w:t>6.2.5 Veprimi Prioritar</w:t>
      </w:r>
      <w:r w:rsidR="00242009" w:rsidRPr="007114AF">
        <w:rPr>
          <w:lang w:eastAsia="en-US"/>
        </w:rPr>
        <w:t xml:space="preserve"> nr. </w:t>
      </w:r>
      <w:r w:rsidRPr="007114AF">
        <w:rPr>
          <w:lang w:eastAsia="en-US"/>
        </w:rPr>
        <w:t>5</w:t>
      </w:r>
      <w:bookmarkEnd w:id="208"/>
      <w:bookmarkEnd w:id="209"/>
      <w:bookmarkEnd w:id="210"/>
    </w:p>
    <w:tbl>
      <w:tblPr>
        <w:tblW w:w="0" w:type="auto"/>
        <w:tblInd w:w="98" w:type="dxa"/>
        <w:tblCellMar>
          <w:left w:w="10" w:type="dxa"/>
          <w:right w:w="10" w:type="dxa"/>
        </w:tblCellMar>
        <w:tblLook w:val="0000" w:firstRow="0" w:lastRow="0" w:firstColumn="0" w:lastColumn="0" w:noHBand="0" w:noVBand="0"/>
      </w:tblPr>
      <w:tblGrid>
        <w:gridCol w:w="3198"/>
        <w:gridCol w:w="1342"/>
        <w:gridCol w:w="4522"/>
      </w:tblGrid>
      <w:tr w:rsidR="00812F95" w:rsidRPr="007114AF" w14:paraId="6EDD0E8F" w14:textId="77777777" w:rsidTr="00574660">
        <w:trPr>
          <w:trHeight w:val="1"/>
        </w:trPr>
        <w:tc>
          <w:tcPr>
            <w:tcW w:w="4540" w:type="dxa"/>
            <w:gridSpan w:val="2"/>
            <w:tcBorders>
              <w:top w:val="single" w:sz="4" w:space="0" w:color="000000"/>
              <w:left w:val="single" w:sz="4" w:space="0" w:color="000000"/>
              <w:bottom w:val="single" w:sz="4" w:space="0" w:color="000000"/>
              <w:right w:val="single" w:sz="4" w:space="0" w:color="000000"/>
            </w:tcBorders>
            <w:shd w:val="clear" w:color="auto" w:fill="B6DDE8" w:themeFill="accent5" w:themeFillTint="66"/>
            <w:tcMar>
              <w:left w:w="108" w:type="dxa"/>
              <w:right w:w="108" w:type="dxa"/>
            </w:tcMar>
          </w:tcPr>
          <w:p w14:paraId="6EDD0E8B" w14:textId="0FE09522" w:rsidR="00812F95" w:rsidRPr="007114AF" w:rsidRDefault="00812F95" w:rsidP="00812F95">
            <w:pPr>
              <w:pBdr>
                <w:bar w:val="single" w:sz="4" w:color="FF8080"/>
              </w:pBdr>
              <w:spacing w:after="0" w:line="240" w:lineRule="auto"/>
              <w:rPr>
                <w:rFonts w:ascii="Garamond" w:eastAsia="Arial" w:hAnsi="Garamond" w:cs="Arial"/>
                <w:b/>
                <w:lang w:eastAsia="de-DE"/>
              </w:rPr>
            </w:pPr>
            <w:r w:rsidRPr="007114AF">
              <w:rPr>
                <w:rFonts w:ascii="Garamond" w:eastAsia="Arial" w:hAnsi="Garamond" w:cs="Arial"/>
                <w:b/>
                <w:lang w:eastAsia="de-DE"/>
              </w:rPr>
              <w:t>Titulli i veprimit prioritar</w:t>
            </w:r>
            <w:r w:rsidR="00242009" w:rsidRPr="007114AF">
              <w:rPr>
                <w:rFonts w:ascii="Garamond" w:eastAsia="Arial" w:hAnsi="Garamond" w:cs="Arial"/>
                <w:b/>
                <w:lang w:eastAsia="de-DE"/>
              </w:rPr>
              <w:t xml:space="preserve"> nr. </w:t>
            </w:r>
            <w:r w:rsidRPr="007114AF">
              <w:rPr>
                <w:rFonts w:ascii="Garamond" w:eastAsia="Arial" w:hAnsi="Garamond" w:cs="Arial"/>
                <w:b/>
                <w:lang w:eastAsia="de-DE"/>
              </w:rPr>
              <w:t>5</w:t>
            </w:r>
          </w:p>
          <w:p w14:paraId="6EDD0E8C" w14:textId="77777777" w:rsidR="00812F95" w:rsidRPr="007114AF" w:rsidRDefault="00812F95" w:rsidP="00812F95">
            <w:pPr>
              <w:spacing w:after="0" w:line="240" w:lineRule="auto"/>
              <w:rPr>
                <w:rFonts w:ascii="Garamond" w:hAnsi="Garamond"/>
                <w:b/>
                <w:bCs/>
              </w:rPr>
            </w:pPr>
            <w:r w:rsidRPr="007114AF">
              <w:rPr>
                <w:rFonts w:ascii="Garamond" w:eastAsia="Arial" w:hAnsi="Garamond" w:cs="Arial"/>
                <w:b/>
                <w:lang w:eastAsia="de-DE"/>
              </w:rPr>
              <w:t>Nisma për informim dhe përfshirje të publikut</w:t>
            </w:r>
          </w:p>
        </w:tc>
        <w:tc>
          <w:tcPr>
            <w:tcW w:w="4522"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left w:w="108" w:type="dxa"/>
              <w:right w:w="108" w:type="dxa"/>
            </w:tcMar>
          </w:tcPr>
          <w:p w14:paraId="6EDD0E8D" w14:textId="77777777" w:rsidR="00812F95" w:rsidRPr="007114AF" w:rsidRDefault="00812F95" w:rsidP="00812F95">
            <w:pPr>
              <w:pBdr>
                <w:bar w:val="single" w:sz="4" w:color="FF8080"/>
              </w:pBdr>
              <w:spacing w:after="0" w:line="240" w:lineRule="auto"/>
              <w:rPr>
                <w:rFonts w:ascii="Garamond" w:eastAsia="Arial" w:hAnsi="Garamond" w:cs="Arial"/>
                <w:b/>
                <w:lang w:eastAsia="de-DE"/>
              </w:rPr>
            </w:pPr>
            <w:r w:rsidRPr="007114AF">
              <w:rPr>
                <w:rFonts w:ascii="Garamond" w:eastAsia="Arial" w:hAnsi="Garamond" w:cs="Arial"/>
                <w:b/>
                <w:lang w:eastAsia="de-DE"/>
              </w:rPr>
              <w:t>Agjencia / Ministria kryesuese përgjegjëse</w:t>
            </w:r>
          </w:p>
          <w:p w14:paraId="6EDD0E8E" w14:textId="77777777" w:rsidR="00812F95" w:rsidRPr="007114AF" w:rsidRDefault="00812F95" w:rsidP="00812F95">
            <w:pPr>
              <w:spacing w:after="0" w:line="240" w:lineRule="auto"/>
              <w:rPr>
                <w:rFonts w:ascii="Garamond" w:hAnsi="Garamond"/>
                <w:b/>
                <w:bCs/>
              </w:rPr>
            </w:pPr>
            <w:r w:rsidRPr="007114AF">
              <w:rPr>
                <w:rFonts w:ascii="Garamond" w:eastAsia="Arial" w:hAnsi="Garamond" w:cs="Arial"/>
                <w:b/>
                <w:lang w:eastAsia="de-DE"/>
              </w:rPr>
              <w:t xml:space="preserve">Ministria e Turizmit dhe Mjedisit </w:t>
            </w:r>
          </w:p>
        </w:tc>
      </w:tr>
      <w:tr w:rsidR="00812F95" w:rsidRPr="007114AF" w14:paraId="6EDD0E93" w14:textId="77777777" w:rsidTr="00574660">
        <w:trPr>
          <w:trHeight w:val="1"/>
        </w:trPr>
        <w:tc>
          <w:tcPr>
            <w:tcW w:w="906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D0E90" w14:textId="77777777" w:rsidR="00812F95" w:rsidRPr="007114AF" w:rsidRDefault="00812F95" w:rsidP="00812F95">
            <w:pPr>
              <w:spacing w:after="0" w:line="240" w:lineRule="auto"/>
              <w:rPr>
                <w:rFonts w:ascii="Garamond" w:hAnsi="Garamond"/>
                <w:b/>
                <w:bCs/>
              </w:rPr>
            </w:pPr>
            <w:r w:rsidRPr="007114AF">
              <w:rPr>
                <w:rFonts w:ascii="Garamond" w:hAnsi="Garamond"/>
                <w:b/>
                <w:bCs/>
              </w:rPr>
              <w:t>Situata ekzistuese mbi të cilën mbështetet veprimi prioritar</w:t>
            </w:r>
          </w:p>
          <w:p w14:paraId="6EDD0E91" w14:textId="77777777" w:rsidR="00812F95" w:rsidRPr="007114AF" w:rsidRDefault="00812F95" w:rsidP="00812F95">
            <w:pPr>
              <w:spacing w:after="0" w:line="240" w:lineRule="auto"/>
              <w:rPr>
                <w:rFonts w:ascii="Garamond" w:hAnsi="Garamond"/>
                <w:bCs/>
              </w:rPr>
            </w:pPr>
            <w:r w:rsidRPr="007114AF">
              <w:rPr>
                <w:rFonts w:ascii="Garamond" w:hAnsi="Garamond"/>
                <w:bCs/>
              </w:rPr>
              <w:t>Pavarësisht nga aktivitetet në rritje për ndërgjegjësimin e publikut për çështjet mjedisore në përgjithësi, çështja e ndryshimeve klimatike është ende pasive në Shqipëri, madje, dhe në nivel të vendimmarrësve të politikave, nuk ka njohuri të thella për ndryshimet klimatike dhe çështjet e lidhura me të.</w:t>
            </w:r>
          </w:p>
          <w:p w14:paraId="6EDD0E92" w14:textId="77777777" w:rsidR="00812F95" w:rsidRPr="007114AF" w:rsidRDefault="00812F95" w:rsidP="00812F95">
            <w:pPr>
              <w:spacing w:after="0" w:line="240" w:lineRule="auto"/>
              <w:rPr>
                <w:rFonts w:ascii="Garamond" w:hAnsi="Garamond"/>
                <w:b/>
                <w:bCs/>
              </w:rPr>
            </w:pPr>
            <w:r w:rsidRPr="007114AF">
              <w:rPr>
                <w:rFonts w:ascii="Garamond" w:hAnsi="Garamond"/>
                <w:bCs/>
              </w:rPr>
              <w:t>Rezultatet e një studimi kanë treguar se, pavarësisht punës së kryer për ndërgjegjësimin, komunikimin, trajnimin dhe edukimin e lidhur me ndryshimet klimatike, ka nevojë për ndërhyrje madhore të tjera. Këto duhet të fillohen me një strategji komunikimi, e cila mund të ndryshojë sjelljen e përgjithshme dhe mënyrat se si bëhen gjërat. Veprimi i nevojshëm përfshin zhvillim të mëtejshëm të kapaciteteve të institucioneve në nivel qendror dhe vendor, për të qenë në gjendje të projektojnë dhe zbatojnë kundërpërgjigjet e duhura ndaj ndryshimeve klimatike.</w:t>
            </w:r>
          </w:p>
        </w:tc>
      </w:tr>
      <w:tr w:rsidR="00812F95" w:rsidRPr="007114AF" w14:paraId="6EDD0E99" w14:textId="77777777" w:rsidTr="00574660">
        <w:trPr>
          <w:trHeight w:val="1"/>
        </w:trPr>
        <w:tc>
          <w:tcPr>
            <w:tcW w:w="906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D0E94" w14:textId="77777777" w:rsidR="00812F95" w:rsidRPr="007114AF" w:rsidRDefault="00812F95" w:rsidP="00812F95">
            <w:pPr>
              <w:spacing w:after="0" w:line="240" w:lineRule="auto"/>
              <w:rPr>
                <w:rFonts w:ascii="Garamond" w:hAnsi="Garamond"/>
                <w:b/>
                <w:bCs/>
              </w:rPr>
            </w:pPr>
            <w:r w:rsidRPr="007114AF">
              <w:rPr>
                <w:rFonts w:ascii="Garamond" w:hAnsi="Garamond"/>
                <w:b/>
                <w:bCs/>
              </w:rPr>
              <w:t>Arsyetimi / objektivat / treguesit</w:t>
            </w:r>
          </w:p>
          <w:p w14:paraId="6EDD0E95" w14:textId="77777777" w:rsidR="00812F95" w:rsidRPr="007114AF" w:rsidRDefault="00812F95" w:rsidP="00037830">
            <w:pPr>
              <w:pStyle w:val="ListParagraph"/>
              <w:numPr>
                <w:ilvl w:val="0"/>
                <w:numId w:val="58"/>
              </w:numPr>
              <w:spacing w:before="0" w:after="0"/>
              <w:ind w:left="0" w:firstLine="0"/>
              <w:rPr>
                <w:rFonts w:ascii="Garamond" w:eastAsia="Arial" w:hAnsi="Garamond"/>
                <w:bCs/>
              </w:rPr>
            </w:pPr>
            <w:r w:rsidRPr="007114AF">
              <w:rPr>
                <w:rFonts w:ascii="Garamond" w:eastAsia="Arial" w:hAnsi="Garamond"/>
                <w:bCs/>
              </w:rPr>
              <w:t>Objektivi 1: Rritja e kapaciteteve të institucioneve publike përkatëse.</w:t>
            </w:r>
          </w:p>
          <w:p w14:paraId="6EDD0E96" w14:textId="77777777" w:rsidR="00812F95" w:rsidRPr="007114AF" w:rsidRDefault="00812F95" w:rsidP="00037830">
            <w:pPr>
              <w:numPr>
                <w:ilvl w:val="0"/>
                <w:numId w:val="74"/>
              </w:numPr>
              <w:spacing w:after="0" w:line="240" w:lineRule="auto"/>
              <w:rPr>
                <w:rFonts w:ascii="Garamond" w:hAnsi="Garamond"/>
                <w:bCs/>
              </w:rPr>
            </w:pPr>
            <w:r w:rsidRPr="007114AF">
              <w:rPr>
                <w:rFonts w:ascii="Garamond" w:hAnsi="Garamond"/>
                <w:bCs/>
              </w:rPr>
              <w:t>Treguesi 1.1: Përmirësimi i nivelit të njohurive mbi ndryshimet klimatike në institucionet publike të lidhura me veprimin për klimën.</w:t>
            </w:r>
          </w:p>
          <w:p w14:paraId="6EDD0E97" w14:textId="77777777" w:rsidR="00812F95" w:rsidRPr="007114AF" w:rsidRDefault="00812F95" w:rsidP="00037830">
            <w:pPr>
              <w:pStyle w:val="ListParagraph"/>
              <w:numPr>
                <w:ilvl w:val="0"/>
                <w:numId w:val="58"/>
              </w:numPr>
              <w:spacing w:before="0" w:after="0"/>
              <w:ind w:left="0" w:firstLine="0"/>
              <w:rPr>
                <w:rFonts w:ascii="Garamond" w:eastAsia="Arial" w:hAnsi="Garamond"/>
                <w:bCs/>
              </w:rPr>
            </w:pPr>
            <w:r w:rsidRPr="007114AF">
              <w:rPr>
                <w:rFonts w:ascii="Garamond" w:eastAsia="Arial" w:hAnsi="Garamond"/>
                <w:bCs/>
              </w:rPr>
              <w:t>Objektivi 2: Rritja e ndërgjegjësimit dhe përfshirjes për ndryshimet klimatike në grupet e shoqërisë civile.</w:t>
            </w:r>
          </w:p>
          <w:p w14:paraId="6EDD0E98" w14:textId="77777777" w:rsidR="00812F95" w:rsidRPr="007114AF" w:rsidRDefault="00812F95" w:rsidP="00037830">
            <w:pPr>
              <w:pStyle w:val="ListParagraph"/>
              <w:numPr>
                <w:ilvl w:val="0"/>
                <w:numId w:val="59"/>
              </w:numPr>
              <w:spacing w:before="0" w:after="0"/>
              <w:ind w:left="0" w:firstLine="0"/>
              <w:rPr>
                <w:rFonts w:ascii="Garamond" w:hAnsi="Garamond"/>
                <w:b/>
                <w:bCs/>
              </w:rPr>
            </w:pPr>
            <w:r w:rsidRPr="007114AF">
              <w:rPr>
                <w:rFonts w:ascii="Garamond" w:eastAsiaTheme="minorEastAsia" w:hAnsi="Garamond" w:cstheme="minorBidi"/>
                <w:bCs/>
                <w:lang w:eastAsia="it-IT"/>
              </w:rPr>
              <w:t>Treguesi 2.1</w:t>
            </w:r>
            <w:r w:rsidRPr="007114AF">
              <w:rPr>
                <w:rFonts w:ascii="Garamond" w:eastAsiaTheme="minorEastAsia" w:hAnsi="Garamond" w:cstheme="minorBidi"/>
                <w:b/>
                <w:bCs/>
                <w:lang w:eastAsia="it-IT"/>
              </w:rPr>
              <w:t xml:space="preserve">: </w:t>
            </w:r>
            <w:r w:rsidRPr="007114AF">
              <w:rPr>
                <w:rFonts w:ascii="Garamond" w:eastAsiaTheme="minorEastAsia" w:hAnsi="Garamond" w:cstheme="minorBidi"/>
                <w:bCs/>
                <w:lang w:eastAsia="it-IT"/>
              </w:rPr>
              <w:t>Përfshirja publike e komuniteteve dhe grupeve të shoqërisë civile e orienton një plan veprimi për pjesëmarrjen dhe përfshirjen e publikut.</w:t>
            </w:r>
          </w:p>
        </w:tc>
      </w:tr>
      <w:tr w:rsidR="00812F95" w:rsidRPr="007114AF" w14:paraId="6EDD0EAB" w14:textId="77777777" w:rsidTr="00574660">
        <w:trPr>
          <w:trHeight w:val="1"/>
        </w:trPr>
        <w:tc>
          <w:tcPr>
            <w:tcW w:w="906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D0E9A" w14:textId="2F83B678" w:rsidR="00812F95" w:rsidRPr="007114AF" w:rsidRDefault="00812F95" w:rsidP="00812F95">
            <w:pPr>
              <w:spacing w:after="0" w:line="240" w:lineRule="auto"/>
              <w:rPr>
                <w:rFonts w:ascii="Garamond" w:hAnsi="Garamond"/>
                <w:b/>
                <w:bCs/>
              </w:rPr>
            </w:pPr>
            <w:r w:rsidRPr="007114AF">
              <w:rPr>
                <w:rFonts w:ascii="Garamond" w:hAnsi="Garamond"/>
                <w:b/>
                <w:bCs/>
              </w:rPr>
              <w:t>Elementet kryesorë dhe afatet</w:t>
            </w:r>
            <w:r w:rsidR="000A2A01" w:rsidRPr="007114AF">
              <w:rPr>
                <w:rFonts w:ascii="Garamond" w:hAnsi="Garamond"/>
                <w:b/>
                <w:bCs/>
              </w:rPr>
              <w:t xml:space="preserve"> </w:t>
            </w:r>
            <w:r w:rsidRPr="007114AF">
              <w:rPr>
                <w:rFonts w:ascii="Garamond" w:hAnsi="Garamond"/>
                <w:b/>
                <w:bCs/>
              </w:rPr>
              <w:t>e veprimit prioritar</w:t>
            </w:r>
          </w:p>
          <w:p w14:paraId="6EDD0E9B" w14:textId="77777777" w:rsidR="00812F95" w:rsidRPr="007114AF" w:rsidRDefault="00812F95" w:rsidP="00812F95">
            <w:pPr>
              <w:spacing w:after="0" w:line="240" w:lineRule="auto"/>
              <w:rPr>
                <w:rFonts w:ascii="Garamond" w:hAnsi="Garamond"/>
                <w:bCs/>
              </w:rPr>
            </w:pPr>
            <w:r w:rsidRPr="007114AF">
              <w:rPr>
                <w:rFonts w:ascii="Garamond" w:hAnsi="Garamond"/>
                <w:bCs/>
              </w:rPr>
              <w:t>Përmes disa drejtimeve të punës, ky veprim prioritar siguron zhvillim të kapaciteteve për institucionet publike, punë përfshirëse, nëpërmjet institucioneve arsimore, angazhimin e shoqërisë civile, si edhe shërbime informimi për sektorët ekonomikë. Secili drejtim i punës i përshkruar më poshtë, përfshin fazën e konceptimit (viti 1) dhe fazën e zbatimit (viti 2 + 3).</w:t>
            </w:r>
          </w:p>
          <w:p w14:paraId="6EDD0E9C" w14:textId="77777777"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Ngritja e kapaciteteve për institucionet shtetërore.</w:t>
            </w:r>
          </w:p>
          <w:p w14:paraId="6EDD0E9D" w14:textId="77777777"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Dhënia e mbështetjes institucionale të njësisë së sapo krijuar të ndryshimeve klimatike pranë Ministrisë së Turizmit dhe Mjedisit.</w:t>
            </w:r>
          </w:p>
          <w:p w14:paraId="6EDD0E9E" w14:textId="77777777"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Përmirësimi i komunikimit ndërmjet institucionet publike dhe shpërndarja e informacioneve klimatike te to.</w:t>
            </w:r>
          </w:p>
          <w:p w14:paraId="6EDD0E9F" w14:textId="77777777"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Kryerja e një vlerësimi të nevojave për trajnim dhe dhënia e kontributeve të synuara trajnuese të personelit përkatës të institucioneve publike.</w:t>
            </w:r>
          </w:p>
          <w:p w14:paraId="6EDD0EA0" w14:textId="59E5927A"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Përfshirja</w:t>
            </w:r>
            <w:r w:rsidR="000A2A01" w:rsidRPr="007114AF">
              <w:rPr>
                <w:rFonts w:ascii="Garamond" w:hAnsi="Garamond"/>
                <w:bCs/>
              </w:rPr>
              <w:t xml:space="preserve"> </w:t>
            </w:r>
            <w:r w:rsidRPr="007114AF">
              <w:rPr>
                <w:rFonts w:ascii="Garamond" w:hAnsi="Garamond"/>
                <w:bCs/>
              </w:rPr>
              <w:t>nëpërmjet institucioneve arsimore.</w:t>
            </w:r>
          </w:p>
          <w:p w14:paraId="6EDD0EA1" w14:textId="0B4EA216"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Hartimi i moduleve edukuese mbi</w:t>
            </w:r>
            <w:r w:rsidR="005B1FF4">
              <w:rPr>
                <w:rFonts w:ascii="Garamond" w:hAnsi="Garamond"/>
                <w:bCs/>
              </w:rPr>
              <w:t xml:space="preserve"> </w:t>
            </w:r>
            <w:r w:rsidRPr="007114AF">
              <w:rPr>
                <w:rFonts w:ascii="Garamond" w:hAnsi="Garamond"/>
                <w:bCs/>
              </w:rPr>
              <w:t>ndryshimet klimatike dhe prezantimi i fushatave në shkolla.</w:t>
            </w:r>
          </w:p>
          <w:p w14:paraId="6EDD0EA2" w14:textId="62ACDABD"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Përfshirja e njohurive mbi</w:t>
            </w:r>
            <w:r w:rsidR="005B1FF4">
              <w:rPr>
                <w:rFonts w:ascii="Garamond" w:hAnsi="Garamond"/>
                <w:bCs/>
              </w:rPr>
              <w:t xml:space="preserve"> </w:t>
            </w:r>
            <w:r w:rsidRPr="007114AF">
              <w:rPr>
                <w:rFonts w:ascii="Garamond" w:hAnsi="Garamond"/>
                <w:bCs/>
              </w:rPr>
              <w:t>ndryshimet klimatike në programet mësimore përkatëse.</w:t>
            </w:r>
          </w:p>
          <w:p w14:paraId="6EDD0EA3" w14:textId="77777777"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Puna përfshirëse dhe angazhimi me shoqërinë civile.</w:t>
            </w:r>
          </w:p>
          <w:p w14:paraId="6EDD0EA4" w14:textId="1C508012"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Hartimi i një plani veprimi për pjesëmarrjen dhe përfshirjen e</w:t>
            </w:r>
            <w:r w:rsidR="005B1FF4">
              <w:rPr>
                <w:rFonts w:ascii="Garamond" w:hAnsi="Garamond"/>
                <w:bCs/>
              </w:rPr>
              <w:t xml:space="preserve"> </w:t>
            </w:r>
            <w:r w:rsidRPr="007114AF">
              <w:rPr>
                <w:rFonts w:ascii="Garamond" w:hAnsi="Garamond"/>
                <w:bCs/>
              </w:rPr>
              <w:t>publikut.</w:t>
            </w:r>
          </w:p>
          <w:p w14:paraId="6EDD0EA5" w14:textId="77777777"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Organizimi i dëgjesave dhe debateve publike për aktivitetet e lidhura me përshtatjen.</w:t>
            </w:r>
          </w:p>
          <w:p w14:paraId="6EDD0EA6" w14:textId="574DEC3C"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Rritje e ndërgjegjësimit nëpërmjet fushatave (mediave, organizatave të shoqërisë civile etj</w:t>
            </w:r>
            <w:r w:rsidR="005B1FF4">
              <w:rPr>
                <w:rFonts w:ascii="Garamond" w:hAnsi="Garamond"/>
                <w:bCs/>
              </w:rPr>
              <w:t>.</w:t>
            </w:r>
            <w:r w:rsidRPr="007114AF">
              <w:rPr>
                <w:rFonts w:ascii="Garamond" w:hAnsi="Garamond"/>
                <w:bCs/>
              </w:rPr>
              <w:t>).</w:t>
            </w:r>
          </w:p>
          <w:p w14:paraId="6EDD0EA7" w14:textId="77777777"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Zhvillimi i aktiviteteve konkrete të promovimit (p.sh. nëpërmjet konkurseve, aktiviteteve publike).</w:t>
            </w:r>
          </w:p>
          <w:p w14:paraId="6EDD0EA8" w14:textId="77777777"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Shpërndarje e informacionit në sektorët ekonomikë përkatës.</w:t>
            </w:r>
          </w:p>
          <w:p w14:paraId="6EDD0EA9" w14:textId="77777777" w:rsidR="00812F95" w:rsidRPr="007114AF" w:rsidRDefault="00812F95" w:rsidP="00037830">
            <w:pPr>
              <w:numPr>
                <w:ilvl w:val="0"/>
                <w:numId w:val="44"/>
              </w:numPr>
              <w:spacing w:after="0" w:line="240" w:lineRule="auto"/>
              <w:rPr>
                <w:rFonts w:ascii="Garamond" w:hAnsi="Garamond"/>
                <w:bCs/>
              </w:rPr>
            </w:pPr>
            <w:r w:rsidRPr="007114AF">
              <w:rPr>
                <w:rFonts w:ascii="Garamond" w:hAnsi="Garamond"/>
                <w:bCs/>
              </w:rPr>
              <w:t>Përfshirja e informacioneve klimatike në shërbimet mbështetëse për bujqit.</w:t>
            </w:r>
          </w:p>
          <w:p w14:paraId="6EDD0EAA" w14:textId="77777777" w:rsidR="00812F95" w:rsidRPr="007114AF" w:rsidRDefault="00812F95" w:rsidP="00812F95">
            <w:pPr>
              <w:spacing w:after="0" w:line="240" w:lineRule="auto"/>
              <w:rPr>
                <w:rFonts w:ascii="Garamond" w:hAnsi="Garamond"/>
                <w:bCs/>
              </w:rPr>
            </w:pPr>
            <w:r w:rsidRPr="007114AF">
              <w:rPr>
                <w:rFonts w:ascii="Garamond" w:hAnsi="Garamond"/>
                <w:bCs/>
              </w:rPr>
              <w:t>Afati 3-4 vjet</w:t>
            </w:r>
          </w:p>
        </w:tc>
      </w:tr>
      <w:tr w:rsidR="00812F95" w:rsidRPr="007114AF" w14:paraId="6EDD0EB6" w14:textId="77777777" w:rsidTr="00574660">
        <w:trPr>
          <w:trHeight w:val="1"/>
        </w:trPr>
        <w:tc>
          <w:tcPr>
            <w:tcW w:w="31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D0EAC" w14:textId="77777777" w:rsidR="00812F95" w:rsidRPr="007114AF" w:rsidRDefault="00812F95" w:rsidP="00812F95">
            <w:pPr>
              <w:pBdr>
                <w:bar w:val="single" w:sz="4" w:color="FF8080"/>
              </w:pBdr>
              <w:spacing w:after="0" w:line="240" w:lineRule="auto"/>
              <w:rPr>
                <w:rFonts w:ascii="Garamond" w:eastAsia="Arial" w:hAnsi="Garamond" w:cs="Arial"/>
                <w:b/>
                <w:lang w:eastAsia="de-DE"/>
              </w:rPr>
            </w:pPr>
            <w:r w:rsidRPr="007114AF">
              <w:rPr>
                <w:rFonts w:ascii="Garamond" w:eastAsia="Arial" w:hAnsi="Garamond" w:cs="Arial"/>
                <w:b/>
                <w:lang w:eastAsia="de-DE"/>
              </w:rPr>
              <w:t>Aktorët kryesorë të përfshirë</w:t>
            </w:r>
          </w:p>
          <w:p w14:paraId="6EDD0EAD" w14:textId="77777777" w:rsidR="00812F95" w:rsidRPr="007114AF" w:rsidRDefault="00812F95" w:rsidP="00812F95">
            <w:pPr>
              <w:pBdr>
                <w:bar w:val="single" w:sz="4" w:color="FF8080"/>
              </w:pBdr>
              <w:spacing w:after="0" w:line="240" w:lineRule="auto"/>
              <w:rPr>
                <w:rFonts w:ascii="Garamond" w:eastAsia="Arial" w:hAnsi="Garamond" w:cs="Arial"/>
                <w:lang w:eastAsia="de-DE"/>
              </w:rPr>
            </w:pPr>
            <w:r w:rsidRPr="007114AF">
              <w:rPr>
                <w:rFonts w:ascii="Garamond" w:eastAsia="Arial" w:hAnsi="Garamond" w:cs="Arial"/>
                <w:lang w:eastAsia="de-DE"/>
              </w:rPr>
              <w:t xml:space="preserve">Ministria e Turizmit dhe Mjedisit </w:t>
            </w:r>
          </w:p>
          <w:p w14:paraId="6EDD0EAE" w14:textId="77777777" w:rsidR="00812F95" w:rsidRPr="007114AF" w:rsidRDefault="00812F95" w:rsidP="00812F95">
            <w:pPr>
              <w:pBdr>
                <w:bar w:val="single" w:sz="4" w:color="FF8080"/>
              </w:pBdr>
              <w:spacing w:after="0" w:line="240" w:lineRule="auto"/>
              <w:rPr>
                <w:rFonts w:ascii="Garamond" w:eastAsia="Arial" w:hAnsi="Garamond" w:cs="Arial"/>
                <w:lang w:eastAsia="de-DE"/>
              </w:rPr>
            </w:pPr>
            <w:r w:rsidRPr="007114AF">
              <w:rPr>
                <w:rFonts w:ascii="Garamond" w:eastAsia="Arial" w:hAnsi="Garamond" w:cs="Arial"/>
                <w:lang w:eastAsia="de-DE"/>
              </w:rPr>
              <w:t>Ministria e Arsimit Sportit dhe Rinisë</w:t>
            </w:r>
          </w:p>
          <w:p w14:paraId="6EDD0EAF" w14:textId="77777777" w:rsidR="00812F95" w:rsidRPr="007114AF" w:rsidRDefault="00812F95" w:rsidP="00812F95">
            <w:pPr>
              <w:pBdr>
                <w:bar w:val="single" w:sz="4" w:color="FF8080"/>
              </w:pBdr>
              <w:spacing w:after="0" w:line="240" w:lineRule="auto"/>
              <w:contextualSpacing/>
              <w:rPr>
                <w:rFonts w:ascii="Garamond" w:eastAsia="Arial" w:hAnsi="Garamond" w:cs="Arial"/>
                <w:shd w:val="clear" w:color="auto" w:fill="00FFFF"/>
                <w:lang w:eastAsia="de-DE"/>
              </w:rPr>
            </w:pPr>
            <w:r w:rsidRPr="007114AF">
              <w:rPr>
                <w:rFonts w:ascii="Garamond" w:eastAsia="Arial" w:hAnsi="Garamond" w:cs="Arial"/>
                <w:lang w:eastAsia="de-DE"/>
              </w:rPr>
              <w:t>PNUD-i</w:t>
            </w:r>
          </w:p>
          <w:p w14:paraId="6EDD0EB0" w14:textId="77777777" w:rsidR="00812F95" w:rsidRPr="007114AF" w:rsidRDefault="00812F95" w:rsidP="00812F95">
            <w:pPr>
              <w:pBdr>
                <w:bar w:val="single" w:sz="4" w:color="FF8080"/>
              </w:pBdr>
              <w:spacing w:after="0" w:line="240" w:lineRule="auto"/>
              <w:rPr>
                <w:rFonts w:ascii="Garamond" w:eastAsia="Arial" w:hAnsi="Garamond" w:cs="Arial"/>
                <w:lang w:eastAsia="de-DE"/>
              </w:rPr>
            </w:pPr>
            <w:r w:rsidRPr="007114AF">
              <w:rPr>
                <w:rFonts w:ascii="Garamond" w:eastAsia="Arial" w:hAnsi="Garamond" w:cs="Arial"/>
                <w:lang w:eastAsia="de-DE"/>
              </w:rPr>
              <w:t>Universitetet</w:t>
            </w:r>
          </w:p>
          <w:p w14:paraId="6EDD0EB1" w14:textId="77777777" w:rsidR="00812F95" w:rsidRPr="007114AF" w:rsidRDefault="00812F95" w:rsidP="00812F95">
            <w:pPr>
              <w:pBdr>
                <w:bar w:val="single" w:sz="4" w:color="FF8080"/>
              </w:pBdr>
              <w:spacing w:after="0" w:line="240" w:lineRule="auto"/>
              <w:rPr>
                <w:rFonts w:ascii="Garamond" w:eastAsia="Arial" w:hAnsi="Garamond" w:cs="Arial"/>
                <w:lang w:eastAsia="de-DE"/>
              </w:rPr>
            </w:pPr>
            <w:r w:rsidRPr="007114AF">
              <w:rPr>
                <w:rFonts w:ascii="Garamond" w:eastAsia="Arial" w:hAnsi="Garamond" w:cs="Arial"/>
                <w:lang w:eastAsia="de-DE"/>
              </w:rPr>
              <w:t>Mediat</w:t>
            </w:r>
          </w:p>
          <w:p w14:paraId="6EDD0EB2" w14:textId="77777777" w:rsidR="00812F95" w:rsidRPr="007114AF" w:rsidRDefault="00812F95" w:rsidP="00812F95">
            <w:pPr>
              <w:spacing w:after="0" w:line="240" w:lineRule="auto"/>
              <w:rPr>
                <w:rFonts w:ascii="Garamond" w:hAnsi="Garamond"/>
                <w:b/>
                <w:bCs/>
              </w:rPr>
            </w:pPr>
            <w:r w:rsidRPr="007114AF">
              <w:rPr>
                <w:rFonts w:ascii="Garamond" w:eastAsia="Arial" w:hAnsi="Garamond" w:cs="Arial"/>
                <w:lang w:eastAsia="de-DE"/>
              </w:rPr>
              <w:t>OJQ-ët</w:t>
            </w:r>
          </w:p>
        </w:tc>
        <w:tc>
          <w:tcPr>
            <w:tcW w:w="58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D0EB3" w14:textId="77777777" w:rsidR="00812F95" w:rsidRPr="007114AF" w:rsidRDefault="00812F95" w:rsidP="00812F95">
            <w:pPr>
              <w:pBdr>
                <w:bar w:val="single" w:sz="4" w:color="FF8080"/>
              </w:pBdr>
              <w:spacing w:after="0" w:line="240" w:lineRule="auto"/>
              <w:rPr>
                <w:rFonts w:ascii="Garamond" w:eastAsia="Arial" w:hAnsi="Garamond" w:cs="Arial"/>
                <w:b/>
                <w:lang w:eastAsia="de-DE"/>
              </w:rPr>
            </w:pPr>
            <w:r w:rsidRPr="007114AF">
              <w:rPr>
                <w:rFonts w:ascii="Garamond" w:eastAsia="Arial" w:hAnsi="Garamond" w:cs="Arial"/>
                <w:b/>
                <w:lang w:eastAsia="de-DE"/>
              </w:rPr>
              <w:t>Burimet</w:t>
            </w:r>
          </w:p>
          <w:p w14:paraId="6EDD0EB4" w14:textId="69DF4950" w:rsidR="00812F95" w:rsidRPr="007114AF" w:rsidRDefault="00812F95" w:rsidP="00037830">
            <w:pPr>
              <w:numPr>
                <w:ilvl w:val="0"/>
                <w:numId w:val="55"/>
              </w:numPr>
              <w:tabs>
                <w:tab w:val="left" w:pos="360"/>
              </w:tabs>
              <w:spacing w:after="0" w:line="240" w:lineRule="auto"/>
              <w:rPr>
                <w:rFonts w:ascii="Garamond" w:eastAsia="Arial" w:hAnsi="Garamond" w:cs="Arial"/>
                <w:lang w:eastAsia="de-DE"/>
              </w:rPr>
            </w:pPr>
            <w:r w:rsidRPr="007114AF">
              <w:rPr>
                <w:rFonts w:ascii="Garamond" w:eastAsia="Arial" w:hAnsi="Garamond" w:cs="Arial"/>
                <w:lang w:eastAsia="de-DE"/>
              </w:rPr>
              <w:t xml:space="preserve">93.75 </w:t>
            </w:r>
            <w:r w:rsidR="001C47F0" w:rsidRPr="007114AF">
              <w:rPr>
                <w:rFonts w:ascii="Garamond" w:eastAsia="Arial" w:hAnsi="Garamond" w:cs="Arial"/>
                <w:lang w:eastAsia="de-DE"/>
              </w:rPr>
              <w:t xml:space="preserve">milionë </w:t>
            </w:r>
            <w:r w:rsidRPr="007114AF">
              <w:rPr>
                <w:rFonts w:ascii="Garamond" w:eastAsia="Arial" w:hAnsi="Garamond" w:cs="Arial"/>
                <w:lang w:eastAsia="de-DE"/>
              </w:rPr>
              <w:t>lekë</w:t>
            </w:r>
          </w:p>
          <w:p w14:paraId="6EDD0EB5" w14:textId="77777777" w:rsidR="00812F95" w:rsidRPr="007114AF" w:rsidRDefault="00812F95" w:rsidP="00812F95">
            <w:pPr>
              <w:spacing w:after="0" w:line="240" w:lineRule="auto"/>
              <w:rPr>
                <w:rFonts w:ascii="Garamond" w:hAnsi="Garamond"/>
                <w:b/>
                <w:bCs/>
              </w:rPr>
            </w:pPr>
          </w:p>
        </w:tc>
      </w:tr>
    </w:tbl>
    <w:p w14:paraId="6EDD0EB7" w14:textId="77777777" w:rsidR="000F4610" w:rsidRPr="007114AF" w:rsidRDefault="000F4610" w:rsidP="00812F95">
      <w:pPr>
        <w:pStyle w:val="FIGURA"/>
      </w:pPr>
    </w:p>
    <w:p w14:paraId="6EDD0EB8" w14:textId="0343E7E7" w:rsidR="00DD7619" w:rsidRPr="007114AF" w:rsidRDefault="00DD7619" w:rsidP="00DD7619">
      <w:pPr>
        <w:pStyle w:val="FIGURA"/>
        <w:rPr>
          <w:lang w:eastAsia="en-US"/>
        </w:rPr>
      </w:pPr>
      <w:bookmarkStart w:id="211" w:name="_Toc481087176"/>
      <w:bookmarkStart w:id="212" w:name="_Toc484424539"/>
      <w:bookmarkStart w:id="213" w:name="_Toc479083894"/>
      <w:bookmarkStart w:id="214" w:name="_Toc479926086"/>
      <w:r w:rsidRPr="007114AF">
        <w:rPr>
          <w:lang w:eastAsia="en-US"/>
        </w:rPr>
        <w:t>6.2.6 Veprimi Prioritar</w:t>
      </w:r>
      <w:r w:rsidR="00242009" w:rsidRPr="007114AF">
        <w:rPr>
          <w:lang w:eastAsia="en-US"/>
        </w:rPr>
        <w:t xml:space="preserve"> nr. </w:t>
      </w:r>
      <w:r w:rsidRPr="007114AF">
        <w:rPr>
          <w:lang w:eastAsia="en-US"/>
        </w:rPr>
        <w:t>6</w:t>
      </w:r>
      <w:bookmarkEnd w:id="211"/>
      <w:bookmarkEnd w:id="212"/>
      <w:bookmarkEnd w:id="213"/>
      <w:bookmarkEnd w:id="2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DD7619" w:rsidRPr="007114AF" w14:paraId="6EDD0EBD" w14:textId="77777777" w:rsidTr="00574660">
        <w:tc>
          <w:tcPr>
            <w:tcW w:w="4606" w:type="dxa"/>
            <w:shd w:val="clear" w:color="auto" w:fill="B6DDE8" w:themeFill="accent5" w:themeFillTint="66"/>
          </w:tcPr>
          <w:p w14:paraId="6EDD0EB9" w14:textId="36D9CD7C" w:rsidR="00DD7619" w:rsidRPr="007114AF" w:rsidRDefault="00DD7619" w:rsidP="00DD7619">
            <w:pPr>
              <w:spacing w:after="0" w:line="240" w:lineRule="auto"/>
              <w:rPr>
                <w:rFonts w:ascii="Garamond" w:hAnsi="Garamond"/>
                <w:b/>
                <w:bCs/>
              </w:rPr>
            </w:pPr>
            <w:r w:rsidRPr="007114AF">
              <w:rPr>
                <w:rFonts w:ascii="Garamond" w:hAnsi="Garamond"/>
                <w:b/>
                <w:bCs/>
              </w:rPr>
              <w:t>Titulli</w:t>
            </w:r>
            <w:r w:rsidR="00B117BF">
              <w:rPr>
                <w:rFonts w:ascii="Garamond" w:hAnsi="Garamond"/>
                <w:b/>
                <w:bCs/>
              </w:rPr>
              <w:t xml:space="preserve"> </w:t>
            </w:r>
            <w:r w:rsidRPr="007114AF">
              <w:rPr>
                <w:rFonts w:ascii="Garamond" w:hAnsi="Garamond"/>
                <w:b/>
                <w:bCs/>
              </w:rPr>
              <w:t>i veprimit prioritar</w:t>
            </w:r>
            <w:r w:rsidR="00242009" w:rsidRPr="007114AF">
              <w:rPr>
                <w:rFonts w:ascii="Garamond" w:hAnsi="Garamond"/>
                <w:b/>
                <w:bCs/>
              </w:rPr>
              <w:t xml:space="preserve"> nr. </w:t>
            </w:r>
            <w:r w:rsidRPr="007114AF">
              <w:rPr>
                <w:rFonts w:ascii="Garamond" w:hAnsi="Garamond"/>
                <w:b/>
                <w:bCs/>
              </w:rPr>
              <w:t>6</w:t>
            </w:r>
          </w:p>
          <w:p w14:paraId="6EDD0EBA" w14:textId="77777777" w:rsidR="00DD7619" w:rsidRPr="007114AF" w:rsidRDefault="00DD7619" w:rsidP="00DD7619">
            <w:pPr>
              <w:spacing w:after="0" w:line="240" w:lineRule="auto"/>
              <w:rPr>
                <w:rFonts w:ascii="Garamond" w:hAnsi="Garamond"/>
                <w:b/>
                <w:bCs/>
              </w:rPr>
            </w:pPr>
            <w:r w:rsidRPr="007114AF">
              <w:rPr>
                <w:rFonts w:ascii="Garamond" w:hAnsi="Garamond"/>
                <w:b/>
                <w:bCs/>
              </w:rPr>
              <w:t>Nisma për ngritjen e kapaciteteve për përshtatjen ndaj ndryshimeve klimatike</w:t>
            </w:r>
          </w:p>
        </w:tc>
        <w:tc>
          <w:tcPr>
            <w:tcW w:w="4606" w:type="dxa"/>
            <w:shd w:val="clear" w:color="auto" w:fill="B6DDE8" w:themeFill="accent5" w:themeFillTint="66"/>
          </w:tcPr>
          <w:p w14:paraId="6EDD0EBB" w14:textId="77777777" w:rsidR="00DD7619" w:rsidRPr="007114AF" w:rsidRDefault="00DD7619" w:rsidP="00DD7619">
            <w:pPr>
              <w:spacing w:after="0" w:line="240" w:lineRule="auto"/>
              <w:rPr>
                <w:rFonts w:ascii="Garamond" w:hAnsi="Garamond"/>
                <w:b/>
                <w:bCs/>
              </w:rPr>
            </w:pPr>
            <w:r w:rsidRPr="007114AF">
              <w:rPr>
                <w:rFonts w:ascii="Garamond" w:hAnsi="Garamond"/>
                <w:b/>
                <w:bCs/>
              </w:rPr>
              <w:t>Agjencia / Ministria kryesuese përgjegjëse</w:t>
            </w:r>
          </w:p>
          <w:p w14:paraId="6EDD0EBC" w14:textId="77777777" w:rsidR="00DD7619" w:rsidRPr="007114AF" w:rsidRDefault="00DD7619" w:rsidP="00DD7619">
            <w:pPr>
              <w:spacing w:after="0" w:line="240" w:lineRule="auto"/>
              <w:rPr>
                <w:rFonts w:ascii="Garamond" w:hAnsi="Garamond"/>
                <w:b/>
                <w:bCs/>
              </w:rPr>
            </w:pPr>
            <w:r w:rsidRPr="007114AF">
              <w:rPr>
                <w:rFonts w:ascii="Garamond" w:hAnsi="Garamond"/>
                <w:b/>
                <w:bCs/>
              </w:rPr>
              <w:t xml:space="preserve">Ministria e Turizmit dhe Mjedisit </w:t>
            </w:r>
          </w:p>
        </w:tc>
      </w:tr>
      <w:tr w:rsidR="00DD7619" w:rsidRPr="007114AF" w14:paraId="6EDD0EC3" w14:textId="77777777" w:rsidTr="00574660">
        <w:tc>
          <w:tcPr>
            <w:tcW w:w="9212" w:type="dxa"/>
            <w:gridSpan w:val="2"/>
            <w:shd w:val="clear" w:color="auto" w:fill="auto"/>
          </w:tcPr>
          <w:p w14:paraId="6EDD0EBE" w14:textId="77777777" w:rsidR="00DD7619" w:rsidRPr="007114AF" w:rsidRDefault="00DD7619" w:rsidP="00DD7619">
            <w:pPr>
              <w:spacing w:after="0" w:line="240" w:lineRule="auto"/>
              <w:rPr>
                <w:rFonts w:ascii="Garamond" w:hAnsi="Garamond"/>
                <w:b/>
                <w:bCs/>
              </w:rPr>
            </w:pPr>
            <w:r w:rsidRPr="007114AF">
              <w:rPr>
                <w:rFonts w:ascii="Garamond" w:hAnsi="Garamond"/>
                <w:b/>
                <w:bCs/>
              </w:rPr>
              <w:t>Situata ekzistuese mbi të cilën mbështetet veprimi prioritar</w:t>
            </w:r>
          </w:p>
          <w:p w14:paraId="6EDD0EBF" w14:textId="322B09EE" w:rsidR="00DD7619" w:rsidRPr="007114AF" w:rsidRDefault="00DD7619" w:rsidP="00DD7619">
            <w:pPr>
              <w:spacing w:after="0" w:line="240" w:lineRule="auto"/>
              <w:rPr>
                <w:rFonts w:ascii="Garamond" w:hAnsi="Garamond"/>
                <w:bCs/>
              </w:rPr>
            </w:pPr>
            <w:r w:rsidRPr="007114AF">
              <w:rPr>
                <w:rFonts w:ascii="Garamond" w:hAnsi="Garamond"/>
                <w:bCs/>
              </w:rPr>
              <w:t>Përshtatja ndaj ndryshimeve klimatike, si një qasje relativisht e re, ende nuk mbështetet me kapacitete adekuate në vend. Vlerësimi i situatës, kryer me instrumentin SNAP (shih kapitullin 3 të dokumentit të NAP-it), ka identifikuar nevoja të konsiderueshme për ngritjen</w:t>
            </w:r>
            <w:r w:rsidR="006A01EE">
              <w:rPr>
                <w:rFonts w:ascii="Garamond" w:hAnsi="Garamond"/>
                <w:bCs/>
              </w:rPr>
              <w:t xml:space="preserve"> </w:t>
            </w:r>
            <w:r w:rsidRPr="007114AF">
              <w:rPr>
                <w:rFonts w:ascii="Garamond" w:hAnsi="Garamond"/>
                <w:bCs/>
              </w:rPr>
              <w:t>e kapaciteteve njerëzore dhe institucionale. Planifikimi dhe zbatimi i përshtatjes nënkupton nevojën për kapacitete institucionale dhe aftësi individuale në institucione të ndryshme dhe në disa nivele administrative (që nga politikat e deri në nivel operativ). Aftësitë individuale të nevojshme nuk lidhen thjesht me njohuri teknike për ndryshimet klimatike, por po aq edhe me aftësitë në drejtim dhe pjesëmarrje, aq të nevojshme për të arritur ndryshimin.</w:t>
            </w:r>
          </w:p>
          <w:p w14:paraId="6EDD0EC0" w14:textId="77777777" w:rsidR="00DD7619" w:rsidRPr="007114AF" w:rsidRDefault="00DD7619" w:rsidP="00DD7619">
            <w:pPr>
              <w:spacing w:after="0" w:line="240" w:lineRule="auto"/>
              <w:rPr>
                <w:rFonts w:ascii="Garamond" w:hAnsi="Garamond"/>
                <w:bCs/>
              </w:rPr>
            </w:pPr>
            <w:r w:rsidRPr="007114AF">
              <w:rPr>
                <w:rFonts w:ascii="Garamond" w:hAnsi="Garamond"/>
                <w:bCs/>
              </w:rPr>
              <w:t>Në lidhje me këtë koncept, janë prezantuar qasjet e para për zhvillim të kapaciteteve, në kuadër të fazave të para të procesit të NAP-it:</w:t>
            </w:r>
          </w:p>
          <w:p w14:paraId="6EDD0EC1" w14:textId="77777777" w:rsidR="00DD7619" w:rsidRPr="007114AF" w:rsidRDefault="00DD7619" w:rsidP="00037830">
            <w:pPr>
              <w:numPr>
                <w:ilvl w:val="0"/>
                <w:numId w:val="21"/>
              </w:numPr>
              <w:spacing w:after="0" w:line="240" w:lineRule="auto"/>
              <w:ind w:left="0" w:firstLine="0"/>
              <w:rPr>
                <w:rFonts w:ascii="Garamond" w:hAnsi="Garamond"/>
                <w:bCs/>
              </w:rPr>
            </w:pPr>
            <w:r w:rsidRPr="007114AF">
              <w:rPr>
                <w:rFonts w:ascii="Garamond" w:hAnsi="Garamond"/>
                <w:bCs/>
              </w:rPr>
              <w:t>Kontribut në formën e trajnimit mbi bazat e përshtatjes ndaj ndryshimeve klimatike, në të kuptuarit konceptual për procesin e NAP-it, si dhe mbi integrimin, u dha më 17 shkurt 2015.</w:t>
            </w:r>
          </w:p>
          <w:p w14:paraId="6EDD0EC2" w14:textId="77777777" w:rsidR="00DD7619" w:rsidRPr="007114AF" w:rsidRDefault="00DD7619" w:rsidP="00037830">
            <w:pPr>
              <w:numPr>
                <w:ilvl w:val="0"/>
                <w:numId w:val="21"/>
              </w:numPr>
              <w:spacing w:after="0" w:line="240" w:lineRule="auto"/>
              <w:ind w:left="0" w:firstLine="0"/>
              <w:rPr>
                <w:rFonts w:ascii="Garamond" w:hAnsi="Garamond"/>
                <w:b/>
                <w:bCs/>
              </w:rPr>
            </w:pPr>
            <w:r w:rsidRPr="007114AF">
              <w:rPr>
                <w:rFonts w:ascii="Garamond" w:hAnsi="Garamond"/>
                <w:bCs/>
              </w:rPr>
              <w:t>Një trajnim tjetër për mundësinë e aksesimit të financave të klimës u zhvillua më 8 shtator 2015.</w:t>
            </w:r>
          </w:p>
        </w:tc>
      </w:tr>
      <w:tr w:rsidR="00DD7619" w:rsidRPr="007114AF" w14:paraId="6EDD0EC9" w14:textId="77777777" w:rsidTr="00574660">
        <w:tc>
          <w:tcPr>
            <w:tcW w:w="9212" w:type="dxa"/>
            <w:gridSpan w:val="2"/>
            <w:shd w:val="clear" w:color="auto" w:fill="auto"/>
          </w:tcPr>
          <w:p w14:paraId="6EDD0EC4" w14:textId="77777777" w:rsidR="00DD7619" w:rsidRPr="007114AF" w:rsidRDefault="00DD7619" w:rsidP="00DD7619">
            <w:pPr>
              <w:spacing w:after="0" w:line="240" w:lineRule="auto"/>
              <w:rPr>
                <w:rFonts w:ascii="Garamond" w:hAnsi="Garamond"/>
                <w:b/>
                <w:bCs/>
              </w:rPr>
            </w:pPr>
            <w:r w:rsidRPr="007114AF">
              <w:rPr>
                <w:rFonts w:ascii="Garamond" w:hAnsi="Garamond"/>
                <w:b/>
                <w:bCs/>
              </w:rPr>
              <w:t>Situata ekzistuese mbi të cilën mbështetet veprimi prioritar</w:t>
            </w:r>
          </w:p>
          <w:p w14:paraId="6EDD0EC5" w14:textId="0D4F50C2" w:rsidR="00DD7619" w:rsidRPr="007114AF" w:rsidRDefault="00DD7619" w:rsidP="00DD7619">
            <w:pPr>
              <w:spacing w:after="0" w:line="240" w:lineRule="auto"/>
              <w:rPr>
                <w:rFonts w:ascii="Garamond" w:hAnsi="Garamond"/>
                <w:bCs/>
              </w:rPr>
            </w:pPr>
            <w:r w:rsidRPr="007114AF">
              <w:rPr>
                <w:rFonts w:ascii="Garamond" w:hAnsi="Garamond"/>
                <w:bCs/>
              </w:rPr>
              <w:t>Përshtatja ndaj ndryshimeve klimatike, si një qasje relativisht e re, ende nuk mbështetet me kapacitete adekuate në vend. Vlerësimi i situatës, kryer me instrumentin SNAP (shih kapitullin 3 të dokumentit të NAP-it), ka identifikuar nevoja të konsiderueshme për ngritjen</w:t>
            </w:r>
            <w:r w:rsidR="00B117BF">
              <w:rPr>
                <w:rFonts w:ascii="Garamond" w:hAnsi="Garamond"/>
                <w:bCs/>
              </w:rPr>
              <w:t xml:space="preserve"> </w:t>
            </w:r>
            <w:r w:rsidRPr="007114AF">
              <w:rPr>
                <w:rFonts w:ascii="Garamond" w:hAnsi="Garamond"/>
                <w:bCs/>
              </w:rPr>
              <w:t>e kapaciteteve njerëzore dhe institucionale. Planifikimi dhe zbatimi i përshtatjes nënkupton nevojën për kapacitete institucionale dhe aftësi individuale në institucione të ndryshme dhe në disa nivele administrative (që nga politikat e deri në nivel operativ). Aftësitë individuale të nevojshme nuk lidhen thjesht me njohuri teknike për ndryshimet klimatike, por po aq edhe me aftësitë në drejtim dhe pjesëmarrje, aq të nevojshme për të arritur ndryshimin.</w:t>
            </w:r>
          </w:p>
          <w:p w14:paraId="6EDD0EC6" w14:textId="77777777" w:rsidR="00DD7619" w:rsidRPr="007114AF" w:rsidRDefault="00DD7619" w:rsidP="00DD7619">
            <w:pPr>
              <w:spacing w:after="0" w:line="240" w:lineRule="auto"/>
              <w:rPr>
                <w:rFonts w:ascii="Garamond" w:hAnsi="Garamond"/>
                <w:bCs/>
              </w:rPr>
            </w:pPr>
            <w:r w:rsidRPr="007114AF">
              <w:rPr>
                <w:rFonts w:ascii="Garamond" w:hAnsi="Garamond"/>
                <w:bCs/>
              </w:rPr>
              <w:t>Në lidhje me këtë koncept, janë prezantuar qasjet e para për zhvillim të kapaciteteve në kuadër të fazave të para të procesit të NAP-it:</w:t>
            </w:r>
          </w:p>
          <w:p w14:paraId="6EDD0EC7" w14:textId="77777777" w:rsidR="00DD7619" w:rsidRPr="007114AF" w:rsidRDefault="00DD7619" w:rsidP="00037830">
            <w:pPr>
              <w:numPr>
                <w:ilvl w:val="0"/>
                <w:numId w:val="21"/>
              </w:numPr>
              <w:spacing w:after="0" w:line="240" w:lineRule="auto"/>
              <w:ind w:left="0" w:firstLine="0"/>
              <w:rPr>
                <w:rFonts w:ascii="Garamond" w:hAnsi="Garamond"/>
                <w:bCs/>
              </w:rPr>
            </w:pPr>
            <w:r w:rsidRPr="007114AF">
              <w:rPr>
                <w:rFonts w:ascii="Garamond" w:hAnsi="Garamond"/>
                <w:bCs/>
              </w:rPr>
              <w:t>Kontribut në formën e trajnimit mbi bazat e përshtatjes ndaj ndryshimeve klimatike, në të kuptuarit konceptual për procesin e NAP-it, si dhe mbi integrimin, u dha më 17 shkurt 2015.</w:t>
            </w:r>
          </w:p>
          <w:p w14:paraId="6EDD0EC8" w14:textId="77777777" w:rsidR="00DD7619" w:rsidRPr="007114AF" w:rsidRDefault="00DD7619" w:rsidP="00037830">
            <w:pPr>
              <w:numPr>
                <w:ilvl w:val="0"/>
                <w:numId w:val="21"/>
              </w:numPr>
              <w:spacing w:after="0" w:line="240" w:lineRule="auto"/>
              <w:ind w:left="0" w:firstLine="0"/>
              <w:rPr>
                <w:rFonts w:ascii="Garamond" w:hAnsi="Garamond"/>
                <w:b/>
                <w:bCs/>
              </w:rPr>
            </w:pPr>
            <w:r w:rsidRPr="007114AF">
              <w:rPr>
                <w:rFonts w:ascii="Garamond" w:hAnsi="Garamond"/>
                <w:bCs/>
              </w:rPr>
              <w:t>Një trajnim tjetër për mundësinë e aksesimit të financave të klimës u zhvillua më 8 shtator 2015.</w:t>
            </w:r>
          </w:p>
        </w:tc>
      </w:tr>
      <w:tr w:rsidR="00DD7619" w:rsidRPr="007114AF" w14:paraId="6EDD0ECE" w14:textId="77777777" w:rsidTr="00574660">
        <w:tc>
          <w:tcPr>
            <w:tcW w:w="9212" w:type="dxa"/>
            <w:gridSpan w:val="2"/>
            <w:shd w:val="clear" w:color="auto" w:fill="auto"/>
          </w:tcPr>
          <w:p w14:paraId="6EDD0ECA" w14:textId="14E52DA8" w:rsidR="00DD7619" w:rsidRPr="007114AF" w:rsidRDefault="00DD7619" w:rsidP="00DD7619">
            <w:pPr>
              <w:spacing w:after="0" w:line="240" w:lineRule="auto"/>
              <w:rPr>
                <w:rFonts w:ascii="Garamond" w:hAnsi="Garamond"/>
                <w:b/>
                <w:bCs/>
              </w:rPr>
            </w:pPr>
            <w:r w:rsidRPr="007114AF">
              <w:rPr>
                <w:rFonts w:ascii="Garamond" w:hAnsi="Garamond"/>
                <w:b/>
                <w:bCs/>
              </w:rPr>
              <w:t>Elementet kryesorë dhe afatet</w:t>
            </w:r>
            <w:r w:rsidR="000A2A01" w:rsidRPr="007114AF">
              <w:rPr>
                <w:rFonts w:ascii="Garamond" w:hAnsi="Garamond"/>
                <w:b/>
                <w:bCs/>
              </w:rPr>
              <w:t xml:space="preserve"> </w:t>
            </w:r>
            <w:r w:rsidRPr="007114AF">
              <w:rPr>
                <w:rFonts w:ascii="Garamond" w:hAnsi="Garamond"/>
                <w:b/>
                <w:bCs/>
              </w:rPr>
              <w:t>e veprimit prioritar</w:t>
            </w:r>
          </w:p>
          <w:p w14:paraId="6EDD0ECB" w14:textId="77777777" w:rsidR="00DD7619" w:rsidRPr="007114AF" w:rsidRDefault="00DD7619" w:rsidP="00037830">
            <w:pPr>
              <w:numPr>
                <w:ilvl w:val="0"/>
                <w:numId w:val="21"/>
              </w:numPr>
              <w:spacing w:after="0" w:line="240" w:lineRule="auto"/>
              <w:ind w:left="0" w:firstLine="0"/>
              <w:rPr>
                <w:rFonts w:ascii="Garamond" w:hAnsi="Garamond"/>
                <w:bCs/>
              </w:rPr>
            </w:pPr>
            <w:r w:rsidRPr="007114AF">
              <w:rPr>
                <w:rFonts w:ascii="Garamond" w:hAnsi="Garamond"/>
                <w:bCs/>
              </w:rPr>
              <w:t>Veprimi 1 (12/2018): Ministria e Turizmit dhe Mjedisit do të hartojë një plan koherent trajnimi me mbështetjen e donatorëve që janë aktivë në këtë fushë. Plani i trajnimit do të përcaktojë se cilat boshllëqe në njohuri do të trajtohen për cilin veprim të procesit të NAP-it. Plani do të përcaktojë edhe burimet dhe mbështetjen për kontributet e trajnimit.</w:t>
            </w:r>
          </w:p>
          <w:p w14:paraId="6EDD0ECC" w14:textId="0F460C37" w:rsidR="00DD7619" w:rsidRPr="007114AF" w:rsidRDefault="00DD7619" w:rsidP="00037830">
            <w:pPr>
              <w:numPr>
                <w:ilvl w:val="0"/>
                <w:numId w:val="21"/>
              </w:numPr>
              <w:spacing w:after="0" w:line="240" w:lineRule="auto"/>
              <w:ind w:left="0" w:firstLine="0"/>
              <w:rPr>
                <w:rFonts w:ascii="Garamond" w:hAnsi="Garamond"/>
                <w:bCs/>
              </w:rPr>
            </w:pPr>
            <w:r w:rsidRPr="007114AF">
              <w:rPr>
                <w:rFonts w:ascii="Garamond" w:hAnsi="Garamond"/>
                <w:bCs/>
              </w:rPr>
              <w:t>Veprimi 2 (2018): Do të zhvillohen trajnime të synuara për tema të përzgjedhura sipas planit të trajnimit. Trajnimet do të ndjekin konceptet didaktike interaktive konceptuale</w:t>
            </w:r>
            <w:r w:rsidR="00B117BF">
              <w:rPr>
                <w:rFonts w:ascii="Garamond" w:hAnsi="Garamond"/>
                <w:bCs/>
              </w:rPr>
              <w:t xml:space="preserve"> </w:t>
            </w:r>
            <w:r w:rsidRPr="007114AF">
              <w:rPr>
                <w:rFonts w:ascii="Garamond" w:hAnsi="Garamond"/>
                <w:bCs/>
              </w:rPr>
              <w:t>dhe do të sigurojnë që të kenë shumë lidhje me punën praktike të pjesëmarrësve.</w:t>
            </w:r>
          </w:p>
          <w:p w14:paraId="6EDD0ECD" w14:textId="31C936BF" w:rsidR="00DD7619" w:rsidRPr="007114AF" w:rsidRDefault="00DD7619" w:rsidP="00B117BF">
            <w:pPr>
              <w:numPr>
                <w:ilvl w:val="0"/>
                <w:numId w:val="21"/>
              </w:numPr>
              <w:spacing w:after="0" w:line="240" w:lineRule="auto"/>
              <w:ind w:left="0" w:firstLine="0"/>
              <w:rPr>
                <w:rFonts w:ascii="Garamond" w:hAnsi="Garamond"/>
                <w:bCs/>
              </w:rPr>
            </w:pPr>
            <w:r w:rsidRPr="007114AF">
              <w:rPr>
                <w:rFonts w:ascii="Garamond" w:hAnsi="Garamond"/>
                <w:bCs/>
              </w:rPr>
              <w:t>Veprimi 3 (2018 + 2019): Do të mbështeten disa masa të përzgjedhura dhe në bazë të kërkesës për zhvillimine kapaciteteve institucionale gjatë procesit të NAP-it. Ndër temat mund të përfshihen: zhvillimi i mekanizmave të përpunimit dhe vlerësimit të të dhënave të lidhura me ndryshimet klimatike, mbështetje e kapaciteteve institucionale për financimin klimatik, zhvillimi i kapaciteteve për përgjigjen ndaj situatave të jashtëzakonshme, sidomos në fushën e menaxhimit të rrezikut të përmbytjeve, zhvillimi i kapaciteteve për AKP-ën dhe sektorin e klimës pranë Ministrisë së Turizmit dhe Mjedisit, zhvillimi i veprimeve rregullatore, për shembull për standardet për të pa</w:t>
            </w:r>
            <w:r w:rsidR="00B117BF">
              <w:rPr>
                <w:rFonts w:ascii="Garamond" w:hAnsi="Garamond"/>
                <w:bCs/>
              </w:rPr>
              <w:t>s</w:t>
            </w:r>
            <w:r w:rsidRPr="007114AF">
              <w:rPr>
                <w:rFonts w:ascii="Garamond" w:hAnsi="Garamond"/>
                <w:bCs/>
              </w:rPr>
              <w:t>ur një infrastrukturë me aftësi rimëkëmbëse.</w:t>
            </w:r>
          </w:p>
        </w:tc>
      </w:tr>
      <w:tr w:rsidR="00DD7619" w:rsidRPr="007114AF" w14:paraId="6EDD0ED6" w14:textId="77777777" w:rsidTr="00574660">
        <w:tc>
          <w:tcPr>
            <w:tcW w:w="4606" w:type="dxa"/>
            <w:shd w:val="clear" w:color="auto" w:fill="auto"/>
          </w:tcPr>
          <w:p w14:paraId="6EDD0ECF" w14:textId="77777777" w:rsidR="00DD7619" w:rsidRPr="007114AF" w:rsidRDefault="00DD7619" w:rsidP="00DD7619">
            <w:pPr>
              <w:spacing w:after="0" w:line="240" w:lineRule="auto"/>
              <w:rPr>
                <w:rFonts w:ascii="Garamond" w:hAnsi="Garamond"/>
                <w:b/>
                <w:bCs/>
              </w:rPr>
            </w:pPr>
            <w:r w:rsidRPr="007114AF">
              <w:rPr>
                <w:rFonts w:ascii="Garamond" w:hAnsi="Garamond"/>
                <w:b/>
                <w:bCs/>
              </w:rPr>
              <w:t>Aktorët kryesorë të përfshirë</w:t>
            </w:r>
          </w:p>
          <w:p w14:paraId="6EDD0ED0" w14:textId="77777777" w:rsidR="00DD7619" w:rsidRPr="007114AF" w:rsidRDefault="00DD7619" w:rsidP="00DD7619">
            <w:pPr>
              <w:spacing w:after="0" w:line="240" w:lineRule="auto"/>
              <w:rPr>
                <w:rFonts w:ascii="Garamond" w:hAnsi="Garamond"/>
                <w:bCs/>
              </w:rPr>
            </w:pPr>
            <w:r w:rsidRPr="007114AF">
              <w:rPr>
                <w:rFonts w:ascii="Garamond" w:hAnsi="Garamond"/>
                <w:bCs/>
              </w:rPr>
              <w:t>Ministria e Turizmit dhe Mjedisit (udhëheq)</w:t>
            </w:r>
          </w:p>
          <w:p w14:paraId="6EDD0ED1" w14:textId="77777777" w:rsidR="00DD7619" w:rsidRPr="007114AF" w:rsidRDefault="00DD7619" w:rsidP="00DD7619">
            <w:pPr>
              <w:spacing w:after="0" w:line="240" w:lineRule="auto"/>
              <w:rPr>
                <w:rFonts w:ascii="Garamond" w:hAnsi="Garamond"/>
                <w:bCs/>
              </w:rPr>
            </w:pPr>
            <w:r w:rsidRPr="007114AF">
              <w:rPr>
                <w:rFonts w:ascii="Garamond" w:hAnsi="Garamond"/>
                <w:bCs/>
              </w:rPr>
              <w:t>Sektorë të Ministrive të linjës(marrin pjesë)</w:t>
            </w:r>
          </w:p>
          <w:p w14:paraId="6EDD0ED2" w14:textId="77777777" w:rsidR="00DD7619" w:rsidRPr="007114AF" w:rsidRDefault="00DD7619" w:rsidP="00DD7619">
            <w:pPr>
              <w:spacing w:after="0" w:line="240" w:lineRule="auto"/>
              <w:rPr>
                <w:rFonts w:ascii="Garamond" w:hAnsi="Garamond"/>
                <w:bCs/>
              </w:rPr>
            </w:pPr>
            <w:r w:rsidRPr="007114AF">
              <w:rPr>
                <w:rFonts w:ascii="Garamond" w:hAnsi="Garamond"/>
                <w:bCs/>
              </w:rPr>
              <w:t>Agjencitë donatore (marrin pjesë)</w:t>
            </w:r>
          </w:p>
          <w:p w14:paraId="6EDD0ED3" w14:textId="77777777" w:rsidR="00DD7619" w:rsidRPr="007114AF" w:rsidRDefault="00DD7619" w:rsidP="00DD7619">
            <w:pPr>
              <w:spacing w:after="0" w:line="240" w:lineRule="auto"/>
              <w:rPr>
                <w:rFonts w:ascii="Garamond" w:hAnsi="Garamond"/>
                <w:bCs/>
              </w:rPr>
            </w:pPr>
            <w:r w:rsidRPr="007114AF">
              <w:rPr>
                <w:rFonts w:ascii="Garamond" w:hAnsi="Garamond"/>
                <w:bCs/>
              </w:rPr>
              <w:t>Konsulentë / ekspertë (marrin pjesë)</w:t>
            </w:r>
          </w:p>
        </w:tc>
        <w:tc>
          <w:tcPr>
            <w:tcW w:w="4606" w:type="dxa"/>
            <w:shd w:val="clear" w:color="auto" w:fill="auto"/>
          </w:tcPr>
          <w:p w14:paraId="6EDD0ED4" w14:textId="77777777" w:rsidR="00DD7619" w:rsidRPr="007114AF" w:rsidRDefault="00DD7619" w:rsidP="00DD7619">
            <w:pPr>
              <w:spacing w:after="0" w:line="240" w:lineRule="auto"/>
              <w:rPr>
                <w:rFonts w:ascii="Garamond" w:hAnsi="Garamond"/>
                <w:b/>
                <w:bCs/>
              </w:rPr>
            </w:pPr>
            <w:r w:rsidRPr="007114AF">
              <w:rPr>
                <w:rFonts w:ascii="Garamond" w:hAnsi="Garamond"/>
                <w:b/>
                <w:bCs/>
              </w:rPr>
              <w:t>Burimet</w:t>
            </w:r>
          </w:p>
          <w:p w14:paraId="6EDD0ED5" w14:textId="17EE67E3" w:rsidR="00DD7619" w:rsidRPr="007114AF" w:rsidRDefault="00DD7619" w:rsidP="00DD7619">
            <w:pPr>
              <w:spacing w:after="0" w:line="240" w:lineRule="auto"/>
              <w:rPr>
                <w:rFonts w:ascii="Garamond" w:hAnsi="Garamond"/>
                <w:b/>
                <w:bCs/>
              </w:rPr>
            </w:pPr>
            <w:r w:rsidRPr="007114AF">
              <w:rPr>
                <w:rFonts w:ascii="Garamond" w:hAnsi="Garamond"/>
                <w:bCs/>
              </w:rPr>
              <w:t xml:space="preserve">246.000 </w:t>
            </w:r>
            <w:r w:rsidR="001C47F0" w:rsidRPr="007114AF">
              <w:rPr>
                <w:rFonts w:ascii="Garamond" w:hAnsi="Garamond"/>
                <w:bCs/>
              </w:rPr>
              <w:t xml:space="preserve">milionë </w:t>
            </w:r>
            <w:r w:rsidRPr="007114AF">
              <w:rPr>
                <w:rFonts w:ascii="Garamond" w:hAnsi="Garamond"/>
                <w:bCs/>
              </w:rPr>
              <w:t xml:space="preserve">lekë, MTM-ja nëpërmjet GCF-ës Qendrës së Mbështetjes së Gatishmërisë. </w:t>
            </w:r>
          </w:p>
        </w:tc>
      </w:tr>
    </w:tbl>
    <w:p w14:paraId="6EDD0ED7" w14:textId="77777777" w:rsidR="00812F95" w:rsidRPr="007114AF" w:rsidRDefault="00812F95" w:rsidP="00DD7619">
      <w:pPr>
        <w:pStyle w:val="FIGURA"/>
      </w:pPr>
    </w:p>
    <w:p w14:paraId="6EDD0ED8" w14:textId="6D8B80E9" w:rsidR="007208DB" w:rsidRPr="007114AF" w:rsidRDefault="007208DB" w:rsidP="007208DB">
      <w:pPr>
        <w:pStyle w:val="FIGURA"/>
        <w:rPr>
          <w:lang w:eastAsia="en-US"/>
        </w:rPr>
      </w:pPr>
      <w:bookmarkStart w:id="215" w:name="_Toc479083895"/>
      <w:bookmarkStart w:id="216" w:name="_Toc483570142"/>
      <w:bookmarkStart w:id="217" w:name="_Toc484424540"/>
      <w:r w:rsidRPr="007114AF">
        <w:rPr>
          <w:lang w:eastAsia="en-US"/>
        </w:rPr>
        <w:t>6.2.7 Veprimi Prioritar</w:t>
      </w:r>
      <w:r w:rsidR="00242009" w:rsidRPr="007114AF">
        <w:rPr>
          <w:lang w:eastAsia="en-US"/>
        </w:rPr>
        <w:t xml:space="preserve"> nr. </w:t>
      </w:r>
      <w:r w:rsidRPr="007114AF">
        <w:rPr>
          <w:lang w:eastAsia="en-US"/>
        </w:rPr>
        <w:t>7</w:t>
      </w:r>
      <w:bookmarkEnd w:id="215"/>
      <w:bookmarkEnd w:id="216"/>
      <w:bookmarkEnd w:id="21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FE3179" w:rsidRPr="007114AF" w14:paraId="6EDD0EDE" w14:textId="77777777" w:rsidTr="00574660">
        <w:tc>
          <w:tcPr>
            <w:tcW w:w="4606" w:type="dxa"/>
            <w:shd w:val="clear" w:color="auto" w:fill="B6DDE8" w:themeFill="accent5" w:themeFillTint="66"/>
          </w:tcPr>
          <w:p w14:paraId="6EDD0ED9" w14:textId="13BB6DA9" w:rsidR="00FE3179" w:rsidRPr="007114AF" w:rsidRDefault="00FE3179" w:rsidP="00FE3179">
            <w:pPr>
              <w:tabs>
                <w:tab w:val="left" w:pos="0"/>
              </w:tabs>
              <w:spacing w:after="0" w:line="240" w:lineRule="auto"/>
              <w:rPr>
                <w:rFonts w:ascii="Garamond" w:hAnsi="Garamond"/>
                <w:b/>
                <w:bCs/>
              </w:rPr>
            </w:pPr>
            <w:r w:rsidRPr="007114AF">
              <w:rPr>
                <w:rFonts w:ascii="Garamond" w:hAnsi="Garamond"/>
                <w:b/>
                <w:bCs/>
              </w:rPr>
              <w:t>Titulli i veprimit prioritar</w:t>
            </w:r>
            <w:r w:rsidR="00242009" w:rsidRPr="007114AF">
              <w:rPr>
                <w:rFonts w:ascii="Garamond" w:hAnsi="Garamond"/>
                <w:b/>
                <w:bCs/>
              </w:rPr>
              <w:t xml:space="preserve"> nr. </w:t>
            </w:r>
            <w:r w:rsidRPr="007114AF">
              <w:rPr>
                <w:rFonts w:ascii="Garamond" w:hAnsi="Garamond"/>
                <w:b/>
                <w:bCs/>
              </w:rPr>
              <w:t>7</w:t>
            </w:r>
          </w:p>
          <w:p w14:paraId="6EDD0EDA" w14:textId="77777777" w:rsidR="00FE3179" w:rsidRPr="007114AF" w:rsidRDefault="00FE3179" w:rsidP="00FE3179">
            <w:pPr>
              <w:pStyle w:val="ListParagraph"/>
              <w:numPr>
                <w:ilvl w:val="0"/>
                <w:numId w:val="0"/>
              </w:numPr>
              <w:tabs>
                <w:tab w:val="left" w:pos="0"/>
              </w:tabs>
              <w:spacing w:before="0" w:after="0"/>
              <w:rPr>
                <w:rFonts w:ascii="Garamond" w:hAnsi="Garamond"/>
                <w:b/>
                <w:bCs/>
              </w:rPr>
            </w:pPr>
            <w:r w:rsidRPr="007114AF">
              <w:rPr>
                <w:rFonts w:ascii="Garamond" w:hAnsi="Garamond"/>
                <w:b/>
                <w:bCs/>
              </w:rPr>
              <w:t>Ujitje, kullim dhe mbrojtje nga përmbytjet me aftësi ripërtëritëse kundrejt ndryshimeve të klimës</w:t>
            </w:r>
          </w:p>
        </w:tc>
        <w:tc>
          <w:tcPr>
            <w:tcW w:w="4606" w:type="dxa"/>
            <w:shd w:val="clear" w:color="auto" w:fill="B6DDE8" w:themeFill="accent5" w:themeFillTint="66"/>
          </w:tcPr>
          <w:p w14:paraId="6EDD0EDB" w14:textId="77777777" w:rsidR="00FE3179" w:rsidRPr="007114AF" w:rsidRDefault="00FE3179" w:rsidP="00FE3179">
            <w:pPr>
              <w:spacing w:after="0" w:line="240" w:lineRule="auto"/>
              <w:rPr>
                <w:rFonts w:ascii="Garamond" w:hAnsi="Garamond"/>
                <w:b/>
                <w:bCs/>
              </w:rPr>
            </w:pPr>
            <w:r w:rsidRPr="007114AF">
              <w:rPr>
                <w:rFonts w:ascii="Garamond" w:hAnsi="Garamond"/>
                <w:b/>
                <w:bCs/>
              </w:rPr>
              <w:t>Agjencia / Ministria kryesuese përgjegjëse</w:t>
            </w:r>
          </w:p>
          <w:p w14:paraId="6EDD0EDC" w14:textId="77777777" w:rsidR="00FE3179" w:rsidRPr="007114AF" w:rsidRDefault="00FE3179" w:rsidP="00FE3179">
            <w:pPr>
              <w:spacing w:after="0" w:line="240" w:lineRule="auto"/>
              <w:rPr>
                <w:rFonts w:ascii="Garamond" w:hAnsi="Garamond"/>
                <w:b/>
                <w:bCs/>
              </w:rPr>
            </w:pPr>
            <w:r w:rsidRPr="007114AF">
              <w:rPr>
                <w:rFonts w:ascii="Garamond" w:hAnsi="Garamond"/>
                <w:b/>
                <w:bCs/>
              </w:rPr>
              <w:t>Ministria e Bujqësisë dhe Zhvillimit Rural</w:t>
            </w:r>
          </w:p>
          <w:p w14:paraId="6EDD0EDD" w14:textId="77777777" w:rsidR="00FE3179" w:rsidRPr="007114AF" w:rsidRDefault="00FE3179" w:rsidP="00FE3179">
            <w:pPr>
              <w:spacing w:after="0" w:line="240" w:lineRule="auto"/>
              <w:rPr>
                <w:rFonts w:ascii="Garamond" w:hAnsi="Garamond"/>
                <w:b/>
                <w:bCs/>
              </w:rPr>
            </w:pPr>
          </w:p>
        </w:tc>
      </w:tr>
      <w:tr w:rsidR="00FE3179" w:rsidRPr="007114AF" w14:paraId="6EDD0EE5" w14:textId="77777777" w:rsidTr="00574660">
        <w:tc>
          <w:tcPr>
            <w:tcW w:w="9212" w:type="dxa"/>
            <w:gridSpan w:val="2"/>
            <w:shd w:val="clear" w:color="auto" w:fill="auto"/>
          </w:tcPr>
          <w:p w14:paraId="6EDD0EDF" w14:textId="77777777" w:rsidR="00FE3179" w:rsidRPr="007114AF" w:rsidRDefault="00FE3179" w:rsidP="00FE3179">
            <w:pPr>
              <w:spacing w:after="0" w:line="240" w:lineRule="auto"/>
              <w:rPr>
                <w:rFonts w:ascii="Garamond" w:hAnsi="Garamond"/>
                <w:b/>
                <w:bCs/>
              </w:rPr>
            </w:pPr>
            <w:r w:rsidRPr="007114AF">
              <w:rPr>
                <w:rFonts w:ascii="Garamond" w:hAnsi="Garamond"/>
                <w:b/>
                <w:bCs/>
              </w:rPr>
              <w:t>Situata ekzistuese mbi të cilën mbështetet veprimi prioritar</w:t>
            </w:r>
          </w:p>
          <w:p w14:paraId="6EDD0EE0" w14:textId="03B8B4E4" w:rsidR="00FE3179" w:rsidRPr="007114AF" w:rsidRDefault="00FE3179" w:rsidP="00FE3179">
            <w:pPr>
              <w:spacing w:after="0" w:line="240" w:lineRule="auto"/>
              <w:rPr>
                <w:rFonts w:ascii="Garamond" w:hAnsi="Garamond"/>
                <w:bCs/>
              </w:rPr>
            </w:pPr>
            <w:r w:rsidRPr="007114AF">
              <w:rPr>
                <w:rFonts w:ascii="Garamond" w:hAnsi="Garamond"/>
                <w:bCs/>
              </w:rPr>
              <w:t>Gjatë 50 viteve të fundit (1951</w:t>
            </w:r>
            <w:r w:rsidR="005F7711">
              <w:rPr>
                <w:rFonts w:ascii="Garamond" w:hAnsi="Garamond"/>
                <w:bCs/>
              </w:rPr>
              <w:t>–</w:t>
            </w:r>
            <w:r w:rsidRPr="007114AF">
              <w:rPr>
                <w:rFonts w:ascii="Garamond" w:hAnsi="Garamond"/>
                <w:bCs/>
              </w:rPr>
              <w:t>2001), është regjistruar një rritje e temperaturave prej afërsisht 0,3°C në mbarë vendin. Si pasojë e ndryshimeve klimatike, priten dukuri më të shpeshta të motit ekstrem, si temperatura të larta, thatësirë e zgjatur, përmbytje, rrëshqitje më të mëdha toke dhe rrezik zjarri. Këto ndryshime klimatike do të ndikojnë fuqimisht te produktiviteti rural dhe të ardhurat. Në Shqipëri, prodhimi i të lashtave dhe i bimëve frutore ka një rëndësi më të madhe, krahasuar me blegtorinë</w:t>
            </w:r>
          </w:p>
          <w:p w14:paraId="6EDD0EE1" w14:textId="60004A18" w:rsidR="00FE3179" w:rsidRPr="007114AF" w:rsidRDefault="00FE3179" w:rsidP="00FE3179">
            <w:pPr>
              <w:spacing w:after="0" w:line="240" w:lineRule="auto"/>
              <w:rPr>
                <w:rFonts w:ascii="Garamond" w:hAnsi="Garamond"/>
                <w:bCs/>
              </w:rPr>
            </w:pPr>
            <w:r w:rsidRPr="007114AF">
              <w:rPr>
                <w:rFonts w:ascii="Garamond" w:hAnsi="Garamond"/>
                <w:bCs/>
              </w:rPr>
              <w:t>Veprimi</w:t>
            </w:r>
            <w:r w:rsidR="00242009" w:rsidRPr="007114AF">
              <w:rPr>
                <w:rFonts w:ascii="Garamond" w:hAnsi="Garamond"/>
                <w:bCs/>
              </w:rPr>
              <w:t xml:space="preserve"> nr. </w:t>
            </w:r>
            <w:r w:rsidRPr="007114AF">
              <w:rPr>
                <w:rFonts w:ascii="Garamond" w:hAnsi="Garamond"/>
                <w:bCs/>
              </w:rPr>
              <w:t>7.1: Duke qenë se ndryshimet klimatike do të kenë ndikim në shumë kultura bujqësore, nevojiten njohuri të qarta për sasinë e ujit që u duhet bimëve për konsumim. Kështu, duhet të llogaritet bilanci ujor (sasia e ujit të pranishëm</w:t>
            </w:r>
            <w:r w:rsidR="00B117BF">
              <w:rPr>
                <w:rFonts w:ascii="Garamond" w:hAnsi="Garamond"/>
                <w:bCs/>
              </w:rPr>
              <w:t xml:space="preserve"> </w:t>
            </w:r>
            <w:r w:rsidRPr="007114AF">
              <w:rPr>
                <w:rFonts w:ascii="Garamond" w:hAnsi="Garamond"/>
                <w:bCs/>
              </w:rPr>
              <w:t>dhe sasia e ujit që nevojitet nga bimët) për të gjetur ide dhe propozime për përshtatjen ndaj ndryshimit klimatik.</w:t>
            </w:r>
          </w:p>
          <w:p w14:paraId="6EDD0EE2" w14:textId="401FD15A" w:rsidR="00FE3179" w:rsidRPr="007114AF" w:rsidRDefault="00FE3179" w:rsidP="00FE3179">
            <w:pPr>
              <w:spacing w:after="0" w:line="240" w:lineRule="auto"/>
              <w:rPr>
                <w:rFonts w:ascii="Garamond" w:hAnsi="Garamond"/>
                <w:bCs/>
              </w:rPr>
            </w:pPr>
            <w:r w:rsidRPr="007114AF">
              <w:rPr>
                <w:rFonts w:ascii="Garamond" w:hAnsi="Garamond"/>
                <w:bCs/>
              </w:rPr>
              <w:t>Veprimi</w:t>
            </w:r>
            <w:r w:rsidR="00242009" w:rsidRPr="007114AF">
              <w:rPr>
                <w:rFonts w:ascii="Garamond" w:hAnsi="Garamond"/>
                <w:bCs/>
              </w:rPr>
              <w:t xml:space="preserve"> nr. </w:t>
            </w:r>
            <w:r w:rsidRPr="007114AF">
              <w:rPr>
                <w:rFonts w:ascii="Garamond" w:hAnsi="Garamond"/>
                <w:bCs/>
              </w:rPr>
              <w:t>7.2: Ndryshimet klimatike kërkojnë modernizim dhe reformim të strukturave për të bërë një përdorim më efikas të ujit, një menaxhim më intensiv, si edhe procedura financiare më të besueshme. Ky veprim mund të ndahet në dy fusha kryesore: njëra fushë për kullimin dhe tjetra për përmbytjet:</w:t>
            </w:r>
          </w:p>
          <w:p w14:paraId="6EDD0EE3" w14:textId="77777777" w:rsidR="00FE3179" w:rsidRPr="007114AF" w:rsidRDefault="00FE3179" w:rsidP="00037830">
            <w:pPr>
              <w:numPr>
                <w:ilvl w:val="0"/>
                <w:numId w:val="34"/>
              </w:numPr>
              <w:spacing w:after="0" w:line="240" w:lineRule="auto"/>
              <w:ind w:left="0" w:firstLine="0"/>
              <w:rPr>
                <w:rFonts w:ascii="Garamond" w:hAnsi="Garamond"/>
                <w:bCs/>
              </w:rPr>
            </w:pPr>
            <w:r w:rsidRPr="007114AF">
              <w:rPr>
                <w:rFonts w:ascii="Garamond" w:hAnsi="Garamond"/>
                <w:bCs/>
              </w:rPr>
              <w:t xml:space="preserve">Sa u takon përmbytjeve, kjo fushë mund të lidhet me administrimin e lumenjve dhe me sigurinë e digave. Kapaciteti i digës ka rënë rreth 45% për shkak të mbushjes së vëllimit me sediment, dhe kështu është rritur edhe rrezikui përmbytjeve. Rritja e shpeshtësisë së përmbytjeve dhe shkallës së tyre kërkon ndryshime (përmirësim) të infrastrukturave të mbrojtjes nga përmbytjet (rritje e efikasitetit të digave, duke mirëmbajtur digat ekzistuese dhe duke ndërtuar diga të reja, si dhe përmirësim i sigurisë së digave) si dhe gjetjen e burimeve të reja ujore. Për përmbytjet e shkaktuara nga lumenjtë është e rëndësishme të bëhet një administrim më i mirë i lumenjve, përfshirë modelimin hidraulik, sipas qasjeve dhe sistemeve kompjuterike më të reja. </w:t>
            </w:r>
          </w:p>
          <w:p w14:paraId="6EDD0EE4" w14:textId="77777777" w:rsidR="00FE3179" w:rsidRPr="007114AF" w:rsidRDefault="00FE3179" w:rsidP="00037830">
            <w:pPr>
              <w:numPr>
                <w:ilvl w:val="0"/>
                <w:numId w:val="34"/>
              </w:numPr>
              <w:spacing w:after="0" w:line="240" w:lineRule="auto"/>
              <w:ind w:left="0" w:firstLine="0"/>
              <w:rPr>
                <w:rFonts w:ascii="Garamond" w:hAnsi="Garamond"/>
                <w:bCs/>
                <w:i/>
              </w:rPr>
            </w:pPr>
            <w:r w:rsidRPr="007114AF">
              <w:rPr>
                <w:rFonts w:ascii="Garamond" w:hAnsi="Garamond"/>
                <w:bCs/>
              </w:rPr>
              <w:t>Sa i takon kullimit, është shumë e rëndësishme të gjenden mënyra dhe teknologji të reja për përmirësimin e rrjeteve të kullimit. Kjo duhet të përfshijë mirëmbajtjen dhe pastrimin e kanaleve ekzistuese të ujitjes si edhe hapjen e kanaleve të reja.</w:t>
            </w:r>
          </w:p>
        </w:tc>
      </w:tr>
      <w:tr w:rsidR="00FE3179" w:rsidRPr="007114AF" w14:paraId="6EDD0EE9" w14:textId="77777777" w:rsidTr="00574660">
        <w:tc>
          <w:tcPr>
            <w:tcW w:w="9212" w:type="dxa"/>
            <w:gridSpan w:val="2"/>
            <w:shd w:val="clear" w:color="auto" w:fill="auto"/>
          </w:tcPr>
          <w:p w14:paraId="6EDD0EE6" w14:textId="77777777" w:rsidR="00FE3179" w:rsidRPr="007114AF" w:rsidRDefault="00FE3179" w:rsidP="00FE3179">
            <w:pPr>
              <w:spacing w:after="0" w:line="240" w:lineRule="auto"/>
              <w:rPr>
                <w:rFonts w:ascii="Garamond" w:hAnsi="Garamond"/>
                <w:b/>
                <w:bCs/>
              </w:rPr>
            </w:pPr>
            <w:r w:rsidRPr="007114AF">
              <w:rPr>
                <w:rFonts w:ascii="Garamond" w:hAnsi="Garamond"/>
                <w:b/>
                <w:bCs/>
              </w:rPr>
              <w:t>Arsyetimi / objektivat / treguesit</w:t>
            </w:r>
          </w:p>
          <w:p w14:paraId="6EDD0EE7" w14:textId="77777777" w:rsidR="00FE3179" w:rsidRPr="007114AF" w:rsidRDefault="00FE3179" w:rsidP="00FE3179">
            <w:pPr>
              <w:tabs>
                <w:tab w:val="left" w:pos="0"/>
              </w:tabs>
              <w:spacing w:after="0" w:line="240" w:lineRule="auto"/>
              <w:rPr>
                <w:rFonts w:ascii="Garamond" w:hAnsi="Garamond"/>
                <w:bCs/>
              </w:rPr>
            </w:pPr>
            <w:r w:rsidRPr="007114AF">
              <w:rPr>
                <w:rFonts w:ascii="Garamond" w:hAnsi="Garamond"/>
                <w:bCs/>
              </w:rPr>
              <w:t>Objektivi 1: Përmirësimi i llogaritjes së nevojave për ujë dhe potencialit furnizues për kulturat bujqësore, duke mbajtur në konsideratë efektet nga ndryshimet klimatike.</w:t>
            </w:r>
          </w:p>
          <w:p w14:paraId="6EDD0EE8" w14:textId="29C8C216" w:rsidR="00FE3179" w:rsidRPr="007114AF" w:rsidRDefault="00FE3179" w:rsidP="00FE3179">
            <w:pPr>
              <w:tabs>
                <w:tab w:val="left" w:pos="0"/>
              </w:tabs>
              <w:spacing w:after="0" w:line="240" w:lineRule="auto"/>
              <w:rPr>
                <w:rFonts w:ascii="Garamond" w:hAnsi="Garamond"/>
                <w:bCs/>
              </w:rPr>
            </w:pPr>
            <w:r w:rsidRPr="007114AF">
              <w:rPr>
                <w:rFonts w:ascii="Garamond" w:hAnsi="Garamond"/>
                <w:bCs/>
              </w:rPr>
              <w:t>Objektivi 2: Përmirësimi i infrastrukturës dhe mirëmbajtja e saj për t</w:t>
            </w:r>
            <w:r w:rsidR="00D10DAB" w:rsidRPr="007114AF">
              <w:rPr>
                <w:rFonts w:ascii="Garamond" w:hAnsi="Garamond"/>
                <w:bCs/>
              </w:rPr>
              <w:t>’</w:t>
            </w:r>
            <w:r w:rsidRPr="007114AF">
              <w:rPr>
                <w:rFonts w:ascii="Garamond" w:hAnsi="Garamond"/>
                <w:bCs/>
              </w:rPr>
              <w:t>u bërë ballë ndryshimeve në regjimin e reshjeve dhe sedimentit të shkaktuara nga ndryshimet klimatike (kullimi, siguria e digave dhe përmbytjet).</w:t>
            </w:r>
          </w:p>
        </w:tc>
      </w:tr>
      <w:tr w:rsidR="00FE3179" w:rsidRPr="007114AF" w14:paraId="6EDD0EF9" w14:textId="77777777" w:rsidTr="00574660">
        <w:tc>
          <w:tcPr>
            <w:tcW w:w="9212" w:type="dxa"/>
            <w:gridSpan w:val="2"/>
            <w:shd w:val="clear" w:color="auto" w:fill="auto"/>
          </w:tcPr>
          <w:p w14:paraId="6EDD0EEA" w14:textId="43C2081B" w:rsidR="00FE3179" w:rsidRPr="007114AF" w:rsidRDefault="00FE3179" w:rsidP="00FE3179">
            <w:pPr>
              <w:spacing w:after="0" w:line="240" w:lineRule="auto"/>
              <w:rPr>
                <w:rFonts w:ascii="Garamond" w:hAnsi="Garamond"/>
                <w:b/>
                <w:bCs/>
              </w:rPr>
            </w:pPr>
            <w:r w:rsidRPr="007114AF">
              <w:rPr>
                <w:rFonts w:ascii="Garamond" w:hAnsi="Garamond"/>
                <w:b/>
                <w:bCs/>
              </w:rPr>
              <w:t>Elementet kryesorë dhe afatet</w:t>
            </w:r>
            <w:r w:rsidR="000A2A01" w:rsidRPr="007114AF">
              <w:rPr>
                <w:rFonts w:ascii="Garamond" w:hAnsi="Garamond"/>
                <w:b/>
                <w:bCs/>
              </w:rPr>
              <w:t xml:space="preserve"> </w:t>
            </w:r>
            <w:r w:rsidRPr="007114AF">
              <w:rPr>
                <w:rFonts w:ascii="Garamond" w:hAnsi="Garamond"/>
                <w:b/>
                <w:bCs/>
              </w:rPr>
              <w:t>e veprimit prioritar</w:t>
            </w:r>
          </w:p>
          <w:p w14:paraId="6EDD0EEB" w14:textId="77777777" w:rsidR="00FE3179" w:rsidRPr="007114AF" w:rsidRDefault="00FE3179" w:rsidP="00FE3179">
            <w:pPr>
              <w:spacing w:after="0" w:line="240" w:lineRule="auto"/>
              <w:rPr>
                <w:rFonts w:ascii="Garamond" w:hAnsi="Garamond"/>
                <w:bCs/>
              </w:rPr>
            </w:pPr>
            <w:r w:rsidRPr="007114AF">
              <w:rPr>
                <w:rFonts w:ascii="Garamond" w:hAnsi="Garamond"/>
                <w:bCs/>
              </w:rPr>
              <w:t>Veprimi 7.1:</w:t>
            </w:r>
          </w:p>
          <w:p w14:paraId="6EDD0EEC" w14:textId="77777777"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 xml:space="preserve">Llogaritja e nevojave për ujë të bimëve sipas një metodike të re (përditësim i formulave ekzistuese ose përdorim i formulave të reja). </w:t>
            </w:r>
          </w:p>
          <w:p w14:paraId="6EDD0EED" w14:textId="12B504E3"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 xml:space="preserve">Zhvillim i një plani për pakësimin e erozionit nëpërmjet bimëve (buxheti 270 </w:t>
            </w:r>
            <w:r w:rsidR="001C47F0" w:rsidRPr="007114AF">
              <w:rPr>
                <w:rFonts w:ascii="Garamond" w:hAnsi="Garamond"/>
                <w:bCs/>
              </w:rPr>
              <w:t xml:space="preserve">milionë </w:t>
            </w:r>
            <w:r w:rsidRPr="007114AF">
              <w:rPr>
                <w:rFonts w:ascii="Garamond" w:hAnsi="Garamond"/>
                <w:bCs/>
              </w:rPr>
              <w:t>lekë). Studim fizibilitetimbiburimet ujore ekzistuese, 626 rezervuarë ujitjeje duhen kontrolluar për sasinë reale të ujit që mund të mbledhin, gjendjen e digave të ujitjes dhe përdorimin e ardhshëm të digave. (buxheti 97 milionë euro).</w:t>
            </w:r>
          </w:p>
          <w:p w14:paraId="6EDD0EEE" w14:textId="77777777"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Forcimii strukturave dhe ngritja e kapaciteteve të IGJEUM-it për krijimine një sistemi për shkëmbimin e të dhënave hidrologjike.</w:t>
            </w:r>
          </w:p>
          <w:p w14:paraId="6EDD0EEF" w14:textId="77777777" w:rsidR="00FE3179" w:rsidRPr="007114AF" w:rsidRDefault="00FE3179" w:rsidP="00FE3179">
            <w:pPr>
              <w:spacing w:after="0" w:line="240" w:lineRule="auto"/>
              <w:rPr>
                <w:rFonts w:ascii="Garamond" w:hAnsi="Garamond"/>
                <w:bCs/>
              </w:rPr>
            </w:pPr>
            <w:r w:rsidRPr="007114AF">
              <w:rPr>
                <w:rFonts w:ascii="Garamond" w:hAnsi="Garamond"/>
                <w:bCs/>
              </w:rPr>
              <w:t>Veprimi 7.2:</w:t>
            </w:r>
          </w:p>
          <w:p w14:paraId="6EDD0EF0" w14:textId="39453B49"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 xml:space="preserve">Riorganizimi i strukturave të monitorimit të përmbytjeve (2018-2020, buxheti 72 </w:t>
            </w:r>
            <w:r w:rsidR="001C47F0" w:rsidRPr="007114AF">
              <w:rPr>
                <w:rFonts w:ascii="Garamond" w:hAnsi="Garamond"/>
                <w:bCs/>
              </w:rPr>
              <w:t xml:space="preserve">milionë </w:t>
            </w:r>
            <w:r w:rsidRPr="007114AF">
              <w:rPr>
                <w:rFonts w:ascii="Garamond" w:hAnsi="Garamond"/>
                <w:bCs/>
              </w:rPr>
              <w:t>lekë).</w:t>
            </w:r>
          </w:p>
          <w:p w14:paraId="6EDD0EF1" w14:textId="12B6BAD5"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Krijimi i strukturave të kontrollit teknik të infrastrukturave të mbrojtjes nga përmbytjet (2017-mes i vitit 2018, buxheti 60</w:t>
            </w:r>
            <w:r w:rsidR="001C47F0" w:rsidRPr="007114AF">
              <w:rPr>
                <w:rFonts w:ascii="Garamond" w:hAnsi="Garamond"/>
                <w:bCs/>
              </w:rPr>
              <w:t xml:space="preserve">milionë </w:t>
            </w:r>
            <w:r w:rsidRPr="007114AF">
              <w:rPr>
                <w:rFonts w:ascii="Garamond" w:hAnsi="Garamond"/>
                <w:bCs/>
              </w:rPr>
              <w:t>lekë).</w:t>
            </w:r>
          </w:p>
          <w:p w14:paraId="6EDD0EF2" w14:textId="78143990"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 xml:space="preserve">Forcimii strukturave të monitorimit të sigurisë së digave (2018-2020, buxheti 10 </w:t>
            </w:r>
            <w:r w:rsidR="001C47F0" w:rsidRPr="007114AF">
              <w:rPr>
                <w:rFonts w:ascii="Garamond" w:hAnsi="Garamond"/>
                <w:bCs/>
              </w:rPr>
              <w:t xml:space="preserve">milionë </w:t>
            </w:r>
            <w:r w:rsidRPr="007114AF">
              <w:rPr>
                <w:rFonts w:ascii="Garamond" w:hAnsi="Garamond"/>
                <w:bCs/>
              </w:rPr>
              <w:t>lekë)</w:t>
            </w:r>
          </w:p>
          <w:p w14:paraId="6EDD0EF3" w14:textId="5710EDF1"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 xml:space="preserve">Harta të mbrojtjes nga përmbytjet në rast çarjedige (2019-2020, buxheti 10 </w:t>
            </w:r>
            <w:r w:rsidR="001C47F0" w:rsidRPr="007114AF">
              <w:rPr>
                <w:rFonts w:ascii="Garamond" w:hAnsi="Garamond"/>
                <w:bCs/>
              </w:rPr>
              <w:t xml:space="preserve">milionë </w:t>
            </w:r>
            <w:r w:rsidRPr="007114AF">
              <w:rPr>
                <w:rFonts w:ascii="Garamond" w:hAnsi="Garamond"/>
                <w:bCs/>
              </w:rPr>
              <w:t>lekë).</w:t>
            </w:r>
          </w:p>
          <w:p w14:paraId="6EDD0EF4" w14:textId="6F933555"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 xml:space="preserve">Zhvillimi i një sistemi trajnimi dhe certifikimi për punonjësit që punojnë në sektorin e ujitje-kullimit (2017-2018, buxheti 75 </w:t>
            </w:r>
            <w:r w:rsidR="001C47F0" w:rsidRPr="007114AF">
              <w:rPr>
                <w:rFonts w:ascii="Garamond" w:hAnsi="Garamond"/>
                <w:bCs/>
              </w:rPr>
              <w:t xml:space="preserve">milionë </w:t>
            </w:r>
            <w:r w:rsidRPr="007114AF">
              <w:rPr>
                <w:rFonts w:ascii="Garamond" w:hAnsi="Garamond"/>
                <w:bCs/>
              </w:rPr>
              <w:t>lekë).</w:t>
            </w:r>
          </w:p>
          <w:p w14:paraId="6EDD0EF5" w14:textId="17F9AB24"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 xml:space="preserve">Rehabilitimi dhe rritja e sigurisë së 210 digave, sipas studimit të BB-ës të vitit 2009 (900 </w:t>
            </w:r>
            <w:r w:rsidR="001C47F0" w:rsidRPr="007114AF">
              <w:rPr>
                <w:rFonts w:ascii="Garamond" w:hAnsi="Garamond"/>
                <w:bCs/>
              </w:rPr>
              <w:t xml:space="preserve">milionë </w:t>
            </w:r>
            <w:r w:rsidRPr="007114AF">
              <w:rPr>
                <w:rFonts w:ascii="Garamond" w:hAnsi="Garamond"/>
                <w:bCs/>
              </w:rPr>
              <w:t>lekë).</w:t>
            </w:r>
          </w:p>
          <w:p w14:paraId="6EDD0EF6" w14:textId="5E53F42F"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 xml:space="preserve">Ngritje e një sistemi trajnimi dhe certifikimi për punonjësit që punojnë në sektorin e erozionit (2017-mes i vitit 2018, buxheti 7.5 </w:t>
            </w:r>
            <w:r w:rsidR="001C47F0" w:rsidRPr="007114AF">
              <w:rPr>
                <w:rFonts w:ascii="Garamond" w:hAnsi="Garamond"/>
                <w:bCs/>
              </w:rPr>
              <w:t xml:space="preserve">milionë </w:t>
            </w:r>
            <w:r w:rsidRPr="007114AF">
              <w:rPr>
                <w:rFonts w:ascii="Garamond" w:hAnsi="Garamond"/>
                <w:bCs/>
              </w:rPr>
              <w:t>lekë).</w:t>
            </w:r>
          </w:p>
          <w:p w14:paraId="6EDD0EF7" w14:textId="7E4FF3A8" w:rsidR="00FE3179" w:rsidRPr="007114AF" w:rsidRDefault="00FE3179" w:rsidP="00037830">
            <w:pPr>
              <w:numPr>
                <w:ilvl w:val="0"/>
                <w:numId w:val="36"/>
              </w:numPr>
              <w:spacing w:after="0" w:line="240" w:lineRule="auto"/>
              <w:ind w:left="0" w:firstLine="0"/>
              <w:rPr>
                <w:rFonts w:ascii="Garamond" w:hAnsi="Garamond"/>
                <w:bCs/>
              </w:rPr>
            </w:pPr>
            <w:r w:rsidRPr="007114AF">
              <w:rPr>
                <w:rFonts w:ascii="Garamond" w:hAnsi="Garamond"/>
                <w:bCs/>
              </w:rPr>
              <w:t xml:space="preserve">Fuqizimi i strukturave për ndërhyrjet dhe veprat e marrjes së ujit në shtratin e lumenjve (buxheti 60 </w:t>
            </w:r>
            <w:r w:rsidR="001C47F0" w:rsidRPr="007114AF">
              <w:rPr>
                <w:rFonts w:ascii="Garamond" w:hAnsi="Garamond"/>
                <w:bCs/>
              </w:rPr>
              <w:t xml:space="preserve">milionë </w:t>
            </w:r>
            <w:r w:rsidRPr="007114AF">
              <w:rPr>
                <w:rFonts w:ascii="Garamond" w:hAnsi="Garamond"/>
                <w:bCs/>
              </w:rPr>
              <w:t>lekë).</w:t>
            </w:r>
          </w:p>
          <w:p w14:paraId="6EDD0EF8" w14:textId="220B7C57" w:rsidR="00FE3179" w:rsidRPr="007114AF" w:rsidRDefault="00FE3179" w:rsidP="00037830">
            <w:pPr>
              <w:numPr>
                <w:ilvl w:val="0"/>
                <w:numId w:val="36"/>
              </w:numPr>
              <w:spacing w:after="0" w:line="240" w:lineRule="auto"/>
              <w:ind w:left="0" w:firstLine="0"/>
              <w:rPr>
                <w:rFonts w:ascii="Garamond" w:hAnsi="Garamond"/>
                <w:b/>
                <w:bCs/>
              </w:rPr>
            </w:pPr>
            <w:r w:rsidRPr="007114AF">
              <w:rPr>
                <w:rFonts w:ascii="Garamond" w:hAnsi="Garamond"/>
                <w:bCs/>
              </w:rPr>
              <w:t xml:space="preserve">Studime dhe projekte zbatimi për ndërtimin e strukturave të mbrojtjes nga përmbytjet (2017-2027, buxheti 280 </w:t>
            </w:r>
            <w:r w:rsidR="001C47F0" w:rsidRPr="007114AF">
              <w:rPr>
                <w:rFonts w:ascii="Garamond" w:hAnsi="Garamond"/>
                <w:bCs/>
              </w:rPr>
              <w:t xml:space="preserve">milionë </w:t>
            </w:r>
            <w:r w:rsidRPr="007114AF">
              <w:rPr>
                <w:rFonts w:ascii="Garamond" w:hAnsi="Garamond"/>
                <w:bCs/>
              </w:rPr>
              <w:t>lekë).</w:t>
            </w:r>
          </w:p>
        </w:tc>
      </w:tr>
      <w:tr w:rsidR="00FE3179" w:rsidRPr="007114AF" w14:paraId="6EDD0F04" w14:textId="77777777" w:rsidTr="00574660">
        <w:tc>
          <w:tcPr>
            <w:tcW w:w="4606" w:type="dxa"/>
            <w:shd w:val="clear" w:color="auto" w:fill="auto"/>
          </w:tcPr>
          <w:p w14:paraId="6EDD0EFA" w14:textId="77777777" w:rsidR="00FE3179" w:rsidRPr="007114AF" w:rsidRDefault="00FE3179" w:rsidP="00FE3179">
            <w:pPr>
              <w:spacing w:after="0" w:line="240" w:lineRule="auto"/>
              <w:rPr>
                <w:rFonts w:ascii="Garamond" w:hAnsi="Garamond"/>
                <w:b/>
                <w:bCs/>
              </w:rPr>
            </w:pPr>
            <w:r w:rsidRPr="007114AF">
              <w:rPr>
                <w:rFonts w:ascii="Garamond" w:hAnsi="Garamond"/>
                <w:b/>
                <w:bCs/>
              </w:rPr>
              <w:t>Aktorët kryesorë të përfshirë</w:t>
            </w:r>
          </w:p>
          <w:p w14:paraId="6EDD0EFB" w14:textId="77777777" w:rsidR="00FE3179" w:rsidRPr="007114AF" w:rsidRDefault="00FE3179" w:rsidP="00FE3179">
            <w:pPr>
              <w:spacing w:after="0" w:line="240" w:lineRule="auto"/>
              <w:rPr>
                <w:rFonts w:ascii="Garamond" w:hAnsi="Garamond"/>
                <w:bCs/>
              </w:rPr>
            </w:pPr>
            <w:r w:rsidRPr="007114AF">
              <w:rPr>
                <w:rFonts w:ascii="Garamond" w:hAnsi="Garamond"/>
                <w:bCs/>
              </w:rPr>
              <w:t>Roli udhëheqës i përket MBZHR-së dhe Drejtoritë e Ujitjes dhe të Kullimit në mbarë vendin, Autoritetit Kombëtar të Ushqimit.</w:t>
            </w:r>
          </w:p>
          <w:p w14:paraId="6EDD0EFC" w14:textId="77777777" w:rsidR="00FE3179" w:rsidRPr="007114AF" w:rsidRDefault="00FE3179" w:rsidP="00FE3179">
            <w:pPr>
              <w:spacing w:after="0" w:line="240" w:lineRule="auto"/>
              <w:rPr>
                <w:rFonts w:ascii="Garamond" w:hAnsi="Garamond"/>
                <w:bCs/>
              </w:rPr>
            </w:pPr>
            <w:r w:rsidRPr="007114AF">
              <w:rPr>
                <w:rFonts w:ascii="Garamond" w:hAnsi="Garamond"/>
                <w:bCs/>
              </w:rPr>
              <w:t>Aktorët e tjerë që do të marrin pjesë janë:</w:t>
            </w:r>
          </w:p>
          <w:p w14:paraId="6EDD0EFD" w14:textId="77777777" w:rsidR="00FE3179" w:rsidRPr="007114AF" w:rsidRDefault="00FE3179" w:rsidP="00FE3179">
            <w:pPr>
              <w:spacing w:after="0" w:line="240" w:lineRule="auto"/>
              <w:rPr>
                <w:rFonts w:ascii="Garamond" w:hAnsi="Garamond"/>
                <w:bCs/>
              </w:rPr>
            </w:pPr>
            <w:r w:rsidRPr="007114AF">
              <w:rPr>
                <w:rFonts w:ascii="Garamond" w:hAnsi="Garamond"/>
                <w:bCs/>
              </w:rPr>
              <w:t>Njësitë e vetqeverisjes Vendore / bashkitë që janë përgjegjëse për parandalimin e përmbytjeve në territorin e tyre dhe për masat që duhen marrë në rast përmbytjeje.</w:t>
            </w:r>
          </w:p>
          <w:p w14:paraId="6EDD0EFE" w14:textId="77777777" w:rsidR="00FE3179" w:rsidRPr="007114AF" w:rsidRDefault="00FE3179" w:rsidP="00FE3179">
            <w:pPr>
              <w:spacing w:after="0" w:line="240" w:lineRule="auto"/>
              <w:rPr>
                <w:rFonts w:ascii="Garamond" w:hAnsi="Garamond"/>
                <w:b/>
                <w:bCs/>
              </w:rPr>
            </w:pPr>
            <w:r w:rsidRPr="007114AF">
              <w:rPr>
                <w:rFonts w:ascii="Garamond" w:hAnsi="Garamond"/>
                <w:bCs/>
              </w:rPr>
              <w:t>Kompanitë që përdorin dhe konsumojnë ujë të cilat janë përgjegjëse për mirëmbajtjen dhe pastrimin e kanaleve të kullimit në territorin ku ushtron aktivitet shoqëria.</w:t>
            </w:r>
          </w:p>
        </w:tc>
        <w:tc>
          <w:tcPr>
            <w:tcW w:w="4606" w:type="dxa"/>
            <w:shd w:val="clear" w:color="auto" w:fill="auto"/>
          </w:tcPr>
          <w:p w14:paraId="6EDD0EFF" w14:textId="77777777" w:rsidR="00FE3179" w:rsidRPr="007114AF" w:rsidRDefault="00FE3179" w:rsidP="00FE3179">
            <w:pPr>
              <w:spacing w:after="0" w:line="240" w:lineRule="auto"/>
              <w:rPr>
                <w:rFonts w:ascii="Garamond" w:hAnsi="Garamond"/>
                <w:b/>
                <w:bCs/>
              </w:rPr>
            </w:pPr>
            <w:r w:rsidRPr="007114AF">
              <w:rPr>
                <w:rFonts w:ascii="Garamond" w:hAnsi="Garamond"/>
                <w:b/>
                <w:bCs/>
              </w:rPr>
              <w:t>Burimet</w:t>
            </w:r>
          </w:p>
          <w:p w14:paraId="6EDD0F00" w14:textId="5E5BE168" w:rsidR="00FE3179" w:rsidRPr="007114AF" w:rsidRDefault="00FE3179" w:rsidP="00FE3179">
            <w:pPr>
              <w:spacing w:after="0" w:line="240" w:lineRule="auto"/>
              <w:rPr>
                <w:rFonts w:ascii="Garamond" w:hAnsi="Garamond"/>
                <w:bCs/>
              </w:rPr>
            </w:pPr>
            <w:r w:rsidRPr="007114AF">
              <w:rPr>
                <w:rFonts w:ascii="Garamond" w:hAnsi="Garamond"/>
                <w:bCs/>
              </w:rPr>
              <w:t>Vlerësimetbuxhetore janë paraqitur më lart, sipas veprimeve</w:t>
            </w:r>
            <w:r w:rsidR="000A2A01" w:rsidRPr="007114AF">
              <w:rPr>
                <w:rFonts w:ascii="Garamond" w:hAnsi="Garamond"/>
                <w:bCs/>
              </w:rPr>
              <w:t xml:space="preserve"> </w:t>
            </w:r>
            <w:r w:rsidRPr="007114AF">
              <w:rPr>
                <w:rFonts w:ascii="Garamond" w:hAnsi="Garamond"/>
                <w:bCs/>
              </w:rPr>
              <w:t>kryesore. Fondet e nevojshme mund të gjenden si vijon:</w:t>
            </w:r>
          </w:p>
          <w:p w14:paraId="6EDD0F01" w14:textId="77777777" w:rsidR="00FE3179" w:rsidRPr="007114AF" w:rsidRDefault="00FE3179" w:rsidP="00037830">
            <w:pPr>
              <w:numPr>
                <w:ilvl w:val="0"/>
                <w:numId w:val="37"/>
              </w:numPr>
              <w:spacing w:after="0" w:line="240" w:lineRule="auto"/>
              <w:ind w:left="0" w:firstLine="0"/>
              <w:rPr>
                <w:rFonts w:ascii="Garamond" w:hAnsi="Garamond"/>
                <w:bCs/>
              </w:rPr>
            </w:pPr>
            <w:r w:rsidRPr="007114AF">
              <w:rPr>
                <w:rFonts w:ascii="Garamond" w:hAnsi="Garamond"/>
                <w:bCs/>
              </w:rPr>
              <w:t>Fonde të brendshme (shtetërore) kryesisht për masat e buta dhe zhvillimin e kapaciteteve njerëzore.</w:t>
            </w:r>
          </w:p>
          <w:p w14:paraId="6EDD0F02" w14:textId="77777777" w:rsidR="00FE3179" w:rsidRPr="007114AF" w:rsidRDefault="00FE3179" w:rsidP="00037830">
            <w:pPr>
              <w:numPr>
                <w:ilvl w:val="0"/>
                <w:numId w:val="37"/>
              </w:numPr>
              <w:spacing w:after="0" w:line="240" w:lineRule="auto"/>
              <w:ind w:left="0" w:firstLine="0"/>
              <w:rPr>
                <w:rFonts w:ascii="Garamond" w:hAnsi="Garamond"/>
                <w:bCs/>
              </w:rPr>
            </w:pPr>
            <w:r w:rsidRPr="007114AF">
              <w:rPr>
                <w:rFonts w:ascii="Garamond" w:hAnsi="Garamond"/>
                <w:bCs/>
              </w:rPr>
              <w:t>Mbështetje nga donatorët e nevojshme në fushën e investimeve.</w:t>
            </w:r>
          </w:p>
          <w:p w14:paraId="6EDD0F03" w14:textId="77777777" w:rsidR="00FE3179" w:rsidRPr="007114AF" w:rsidRDefault="00FE3179" w:rsidP="00FE3179">
            <w:pPr>
              <w:spacing w:after="0" w:line="240" w:lineRule="auto"/>
              <w:rPr>
                <w:rFonts w:ascii="Garamond" w:hAnsi="Garamond"/>
                <w:b/>
                <w:bCs/>
              </w:rPr>
            </w:pPr>
          </w:p>
        </w:tc>
      </w:tr>
    </w:tbl>
    <w:p w14:paraId="6EDD0F05" w14:textId="77777777" w:rsidR="00DD7619" w:rsidRPr="007114AF" w:rsidRDefault="00DD7619" w:rsidP="007208DB">
      <w:pPr>
        <w:pStyle w:val="FIGURA"/>
      </w:pPr>
    </w:p>
    <w:p w14:paraId="6EDD0F06" w14:textId="226B28AF" w:rsidR="007C3B3B" w:rsidRPr="007114AF" w:rsidRDefault="007C3B3B" w:rsidP="007C3B3B">
      <w:pPr>
        <w:pStyle w:val="FIGURA"/>
        <w:rPr>
          <w:lang w:eastAsia="en-US"/>
        </w:rPr>
      </w:pPr>
      <w:bookmarkStart w:id="218" w:name="_Toc484424541"/>
      <w:bookmarkStart w:id="219" w:name="_Toc479083896"/>
      <w:bookmarkStart w:id="220" w:name="_Toc483570143"/>
      <w:r w:rsidRPr="007114AF">
        <w:rPr>
          <w:lang w:eastAsia="en-US"/>
        </w:rPr>
        <w:t>6.2.8 Veprimi Prioritar</w:t>
      </w:r>
      <w:r w:rsidR="00242009" w:rsidRPr="007114AF">
        <w:rPr>
          <w:lang w:eastAsia="en-US"/>
        </w:rPr>
        <w:t xml:space="preserve"> nr. </w:t>
      </w:r>
      <w:r w:rsidRPr="007114AF">
        <w:rPr>
          <w:lang w:eastAsia="en-US"/>
        </w:rPr>
        <w:t>8</w:t>
      </w:r>
      <w:bookmarkEnd w:id="218"/>
      <w:bookmarkEnd w:id="219"/>
      <w:bookmarkEnd w:id="22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7C3B3B" w:rsidRPr="007114AF" w14:paraId="6EDD0F0B" w14:textId="77777777" w:rsidTr="00574660">
        <w:tc>
          <w:tcPr>
            <w:tcW w:w="4606" w:type="dxa"/>
            <w:shd w:val="clear" w:color="auto" w:fill="B6DDE8" w:themeFill="accent5" w:themeFillTint="66"/>
          </w:tcPr>
          <w:p w14:paraId="6EDD0F07" w14:textId="7F0D1F64" w:rsidR="007C3B3B" w:rsidRPr="007114AF" w:rsidRDefault="007C3B3B" w:rsidP="007C3B3B">
            <w:pPr>
              <w:spacing w:after="0" w:line="240" w:lineRule="auto"/>
              <w:rPr>
                <w:rFonts w:ascii="Garamond" w:hAnsi="Garamond"/>
                <w:b/>
                <w:bCs/>
              </w:rPr>
            </w:pPr>
            <w:r w:rsidRPr="007114AF">
              <w:rPr>
                <w:rFonts w:ascii="Garamond" w:hAnsi="Garamond"/>
                <w:b/>
                <w:bCs/>
              </w:rPr>
              <w:t>Titulli</w:t>
            </w:r>
            <w:r w:rsidR="005F7E8B">
              <w:rPr>
                <w:rFonts w:ascii="Garamond" w:hAnsi="Garamond"/>
                <w:b/>
                <w:bCs/>
              </w:rPr>
              <w:t xml:space="preserve"> </w:t>
            </w:r>
            <w:r w:rsidRPr="007114AF">
              <w:rPr>
                <w:rFonts w:ascii="Garamond" w:hAnsi="Garamond"/>
                <w:b/>
                <w:bCs/>
              </w:rPr>
              <w:t>i veprimit prioritar</w:t>
            </w:r>
            <w:r w:rsidR="00242009" w:rsidRPr="007114AF">
              <w:rPr>
                <w:rFonts w:ascii="Garamond" w:hAnsi="Garamond"/>
                <w:b/>
                <w:bCs/>
              </w:rPr>
              <w:t xml:space="preserve"> nr. </w:t>
            </w:r>
            <w:r w:rsidRPr="007114AF">
              <w:rPr>
                <w:rFonts w:ascii="Garamond" w:hAnsi="Garamond"/>
                <w:b/>
                <w:bCs/>
              </w:rPr>
              <w:t>8</w:t>
            </w:r>
          </w:p>
          <w:p w14:paraId="6EDD0F08" w14:textId="77777777" w:rsidR="007C3B3B" w:rsidRPr="007114AF" w:rsidRDefault="007C3B3B" w:rsidP="007C3B3B">
            <w:pPr>
              <w:spacing w:after="0" w:line="240" w:lineRule="auto"/>
              <w:rPr>
                <w:rFonts w:ascii="Garamond" w:hAnsi="Garamond"/>
                <w:b/>
                <w:bCs/>
              </w:rPr>
            </w:pPr>
            <w:r w:rsidRPr="007114AF">
              <w:rPr>
                <w:rFonts w:ascii="Garamond" w:hAnsi="Garamond"/>
                <w:b/>
                <w:bCs/>
              </w:rPr>
              <w:t>Menaxhimi i integruar i burimeve ujore</w:t>
            </w:r>
          </w:p>
        </w:tc>
        <w:tc>
          <w:tcPr>
            <w:tcW w:w="4606" w:type="dxa"/>
            <w:shd w:val="clear" w:color="auto" w:fill="B6DDE8" w:themeFill="accent5" w:themeFillTint="66"/>
          </w:tcPr>
          <w:p w14:paraId="6EDD0F09" w14:textId="77777777" w:rsidR="007C3B3B" w:rsidRPr="007114AF" w:rsidRDefault="007C3B3B" w:rsidP="007C3B3B">
            <w:pPr>
              <w:spacing w:after="0" w:line="240" w:lineRule="auto"/>
              <w:rPr>
                <w:rFonts w:ascii="Garamond" w:hAnsi="Garamond"/>
                <w:b/>
                <w:bCs/>
              </w:rPr>
            </w:pPr>
            <w:r w:rsidRPr="007114AF">
              <w:rPr>
                <w:rFonts w:ascii="Garamond" w:hAnsi="Garamond"/>
                <w:b/>
                <w:bCs/>
              </w:rPr>
              <w:t>Agjencia / Ministria kryesuese përgjegjëse</w:t>
            </w:r>
          </w:p>
          <w:p w14:paraId="6EDD0F0A" w14:textId="77777777" w:rsidR="007C3B3B" w:rsidRPr="007114AF" w:rsidRDefault="007C3B3B" w:rsidP="007C3B3B">
            <w:pPr>
              <w:spacing w:after="0" w:line="240" w:lineRule="auto"/>
              <w:rPr>
                <w:rFonts w:ascii="Garamond" w:hAnsi="Garamond"/>
                <w:b/>
                <w:bCs/>
              </w:rPr>
            </w:pPr>
            <w:r w:rsidRPr="007114AF">
              <w:rPr>
                <w:rFonts w:ascii="Garamond" w:hAnsi="Garamond"/>
                <w:b/>
                <w:bCs/>
              </w:rPr>
              <w:t>Ministria e Bujqësisë dhe Zhvillimit Rural</w:t>
            </w:r>
          </w:p>
        </w:tc>
      </w:tr>
      <w:tr w:rsidR="007C3B3B" w:rsidRPr="007114AF" w14:paraId="6EDD0F10" w14:textId="77777777" w:rsidTr="00574660">
        <w:tc>
          <w:tcPr>
            <w:tcW w:w="9212" w:type="dxa"/>
            <w:gridSpan w:val="2"/>
            <w:shd w:val="clear" w:color="auto" w:fill="auto"/>
          </w:tcPr>
          <w:p w14:paraId="6EDD0F0C" w14:textId="77777777" w:rsidR="007C3B3B" w:rsidRPr="007114AF" w:rsidRDefault="007C3B3B" w:rsidP="007C3B3B">
            <w:pPr>
              <w:spacing w:after="0" w:line="240" w:lineRule="auto"/>
              <w:rPr>
                <w:rFonts w:ascii="Garamond" w:hAnsi="Garamond"/>
                <w:b/>
                <w:bCs/>
              </w:rPr>
            </w:pPr>
            <w:r w:rsidRPr="007114AF">
              <w:rPr>
                <w:rFonts w:ascii="Garamond" w:hAnsi="Garamond"/>
                <w:b/>
                <w:bCs/>
              </w:rPr>
              <w:t>Situata ekzistuese mbi të cilën mbështetet veprimi prioritar</w:t>
            </w:r>
          </w:p>
          <w:p w14:paraId="6EDD0F0D" w14:textId="2923C950" w:rsidR="007C3B3B" w:rsidRPr="007114AF" w:rsidRDefault="007C3B3B" w:rsidP="007C3B3B">
            <w:pPr>
              <w:spacing w:after="0" w:line="240" w:lineRule="auto"/>
              <w:rPr>
                <w:rFonts w:ascii="Garamond" w:hAnsi="Garamond"/>
                <w:bCs/>
              </w:rPr>
            </w:pPr>
            <w:r w:rsidRPr="007114AF">
              <w:rPr>
                <w:rFonts w:ascii="Garamond" w:hAnsi="Garamond"/>
                <w:bCs/>
              </w:rPr>
              <w:t>Strategjisë Kombëtare për Menaxhimin e Integruar të Burimeve Ujore është hartuar për periudhën 2017-2027, për të nxitur dhe bashkërenduar zhvillimin dhe administrimin e burimeve ujore, tokësore dhe burimeve të lidhura me to, për të maksimizuar mirëqenien ekonomike dhe shoqërore të lidhur me këtë fushë,</w:t>
            </w:r>
            <w:r w:rsidR="00181ADC">
              <w:rPr>
                <w:rFonts w:ascii="Garamond" w:hAnsi="Garamond"/>
                <w:bCs/>
              </w:rPr>
              <w:t xml:space="preserve"> </w:t>
            </w:r>
            <w:r w:rsidRPr="007114AF">
              <w:rPr>
                <w:rFonts w:ascii="Garamond" w:hAnsi="Garamond"/>
                <w:bCs/>
              </w:rPr>
              <w:t>në mënyrën e duhur pa kompromentuar qëndrueshmërinë në kohë të ekosistemeve jetike. Në strategji janë reflektuar efektet e ndryshimeve klimatike, për të rritur aftësinë rimëkëmbëse të burimeve ujore ndaj ndryshimeve klimatike.</w:t>
            </w:r>
          </w:p>
          <w:p w14:paraId="6EDD0F0E" w14:textId="39A4909D" w:rsidR="007C3B3B" w:rsidRPr="007114AF" w:rsidRDefault="007C3B3B" w:rsidP="007C3B3B">
            <w:pPr>
              <w:spacing w:after="0" w:line="240" w:lineRule="auto"/>
              <w:rPr>
                <w:rFonts w:ascii="Garamond" w:hAnsi="Garamond"/>
                <w:bCs/>
              </w:rPr>
            </w:pPr>
            <w:r w:rsidRPr="007114AF">
              <w:rPr>
                <w:rFonts w:ascii="Garamond" w:hAnsi="Garamond"/>
                <w:bCs/>
              </w:rPr>
              <w:t>Si e tillë, kjo strategji nuk zhvillon plane veprimi të hollësishme për sektorët e ndryshëm të ujit, por do të përfshijë një plan veprimi të përgjithshëm dhe do të shërbejë si një kuadër i përgjithshëm i politikave, që vendos kushtet për strategjitë e lidhura me sektorin e ujit. Në bazë të strategjisë, planet e monitorimit të mbështetur në rezultate do të përcaktojnë masat për basenet</w:t>
            </w:r>
            <w:r w:rsidR="000A2A01" w:rsidRPr="007114AF">
              <w:rPr>
                <w:rFonts w:ascii="Garamond" w:hAnsi="Garamond"/>
                <w:bCs/>
              </w:rPr>
              <w:t xml:space="preserve"> </w:t>
            </w:r>
            <w:r w:rsidRPr="007114AF">
              <w:rPr>
                <w:rFonts w:ascii="Garamond" w:hAnsi="Garamond"/>
                <w:bCs/>
              </w:rPr>
              <w:t xml:space="preserve">lumore. Janë prezantuar dy planet e para pilot për basenet ujëmbledhëse të Drin-Bunës dhe Semanit. Këto plane do të marrin në konsideratë efektet e ndryshimit të klimës, sidomos lidhur me rreziqet e thatësirës dhe përmbytjeve. Sa </w:t>
            </w:r>
            <w:r w:rsidR="002A539C">
              <w:rPr>
                <w:rFonts w:ascii="Garamond" w:hAnsi="Garamond"/>
                <w:bCs/>
              </w:rPr>
              <w:t>u</w:t>
            </w:r>
            <w:r w:rsidRPr="007114AF">
              <w:rPr>
                <w:rFonts w:ascii="Garamond" w:hAnsi="Garamond"/>
                <w:bCs/>
              </w:rPr>
              <w:t xml:space="preserve"> takon këtyre të fundit, këto plane do të përfitojnë nga programi i mbështetur nga GIZ-i </w:t>
            </w:r>
            <w:r w:rsidR="000A2A01" w:rsidRPr="007114AF">
              <w:rPr>
                <w:rFonts w:ascii="Garamond" w:hAnsi="Garamond"/>
                <w:bCs/>
              </w:rPr>
              <w:t>“</w:t>
            </w:r>
            <w:r w:rsidRPr="007114AF">
              <w:rPr>
                <w:rFonts w:ascii="Garamond" w:hAnsi="Garamond"/>
                <w:bCs/>
              </w:rPr>
              <w:t>Përshtatja ndaj ndryshimeve klimatike në Ballkanin Perëndimor</w:t>
            </w:r>
            <w:r w:rsidR="000A2A01" w:rsidRPr="007114AF">
              <w:rPr>
                <w:rFonts w:ascii="Garamond" w:hAnsi="Garamond"/>
                <w:bCs/>
              </w:rPr>
              <w:t>”</w:t>
            </w:r>
            <w:r w:rsidRPr="007114AF">
              <w:rPr>
                <w:rFonts w:ascii="Garamond" w:hAnsi="Garamond"/>
                <w:bCs/>
              </w:rPr>
              <w:t xml:space="preserve"> i cili flet dhe jep masa konkrete për menaxhimin e tyre. Planifikimi do të mbështetet në një modelim sistematik dhe do të ketë si rezultat propozime për ndërhyrje dhe masa konkrete.</w:t>
            </w:r>
          </w:p>
          <w:p w14:paraId="6EDD0F0F" w14:textId="4F7D819D" w:rsidR="007C3B3B" w:rsidRPr="007114AF" w:rsidRDefault="007C3B3B" w:rsidP="00C155D8">
            <w:pPr>
              <w:spacing w:after="0" w:line="240" w:lineRule="auto"/>
              <w:rPr>
                <w:rFonts w:ascii="Garamond" w:hAnsi="Garamond"/>
                <w:b/>
                <w:bCs/>
              </w:rPr>
            </w:pPr>
            <w:r w:rsidRPr="007114AF">
              <w:rPr>
                <w:rFonts w:ascii="Garamond" w:hAnsi="Garamond"/>
                <w:bCs/>
              </w:rPr>
              <w:t xml:space="preserve">Projektet për përgatitjen e Strategjisë Kombëtare për Menaxhimin e Integruar të Burimeve Ujore dhe të planeve të monitorimit të mbështetur në rezultate, mbështeten nga Banka Botërore dhe SIDA. Ekipet e projekteve përfshijnë specialistë të ndryshimeve klimatike. </w:t>
            </w:r>
            <w:r w:rsidR="00C155D8" w:rsidRPr="007114AF">
              <w:rPr>
                <w:rFonts w:ascii="Garamond" w:hAnsi="Garamond"/>
                <w:bCs/>
              </w:rPr>
              <w:t>Përveç</w:t>
            </w:r>
            <w:r w:rsidRPr="007114AF">
              <w:rPr>
                <w:rFonts w:ascii="Garamond" w:hAnsi="Garamond"/>
                <w:bCs/>
              </w:rPr>
              <w:t xml:space="preserve"> planeve të menaxhimit të baseneve lumore të lartpërmendura, janë planifikuar të përpilohen dhe 4 plane të tjera për menaxhimin e baseneve lumore të mbetura. Dy prej</w:t>
            </w:r>
            <w:r w:rsidR="00C155D8">
              <w:rPr>
                <w:rFonts w:ascii="Garamond" w:hAnsi="Garamond"/>
                <w:bCs/>
              </w:rPr>
              <w:t xml:space="preserve"> tyre (</w:t>
            </w:r>
            <w:r w:rsidRPr="007114AF">
              <w:rPr>
                <w:rFonts w:ascii="Garamond" w:hAnsi="Garamond"/>
                <w:bCs/>
              </w:rPr>
              <w:t>Vjosa dhe Mati) kanë nisur dhe janë zhvilluar pjesërisht, dhe ai i Shkumbinit është në fillimet e tij. Baseni tjetër do të fillojë direkt pas vendosjes në dispozicion të fondeve IPA. Të gjith</w:t>
            </w:r>
            <w:r w:rsidR="00C155D8">
              <w:rPr>
                <w:rFonts w:ascii="Garamond" w:hAnsi="Garamond"/>
                <w:bCs/>
              </w:rPr>
              <w:t>a</w:t>
            </w:r>
            <w:r w:rsidRPr="007114AF">
              <w:rPr>
                <w:rFonts w:ascii="Garamond" w:hAnsi="Garamond"/>
                <w:bCs/>
              </w:rPr>
              <w:t xml:space="preserve"> planet e menaxhimit të baseneve lumore do të ndjekin standardet evropiane, duke përfshirë këtu dhe kapitullin mbi ndryshimet klimatike.</w:t>
            </w:r>
          </w:p>
        </w:tc>
      </w:tr>
      <w:tr w:rsidR="007C3B3B" w:rsidRPr="007114AF" w14:paraId="6EDD0F23" w14:textId="77777777" w:rsidTr="00574660">
        <w:tc>
          <w:tcPr>
            <w:tcW w:w="9212" w:type="dxa"/>
            <w:gridSpan w:val="2"/>
            <w:shd w:val="clear" w:color="auto" w:fill="auto"/>
          </w:tcPr>
          <w:p w14:paraId="6EDD0F11" w14:textId="77777777" w:rsidR="007C3B3B" w:rsidRPr="007114AF" w:rsidRDefault="007C3B3B" w:rsidP="007C3B3B">
            <w:pPr>
              <w:spacing w:after="0" w:line="240" w:lineRule="auto"/>
              <w:rPr>
                <w:rFonts w:ascii="Garamond" w:hAnsi="Garamond"/>
                <w:b/>
                <w:bCs/>
              </w:rPr>
            </w:pPr>
            <w:r w:rsidRPr="007114AF">
              <w:rPr>
                <w:rFonts w:ascii="Garamond" w:hAnsi="Garamond"/>
                <w:b/>
                <w:bCs/>
              </w:rPr>
              <w:t>Arsyetimi / objektivat / treguesit</w:t>
            </w:r>
          </w:p>
          <w:p w14:paraId="6EDD0F12" w14:textId="77777777" w:rsidR="007C3B3B" w:rsidRPr="007114AF" w:rsidRDefault="007C3B3B" w:rsidP="007C3B3B">
            <w:pPr>
              <w:spacing w:after="0" w:line="240" w:lineRule="auto"/>
              <w:rPr>
                <w:rFonts w:ascii="Garamond" w:hAnsi="Garamond"/>
                <w:bCs/>
              </w:rPr>
            </w:pPr>
            <w:r w:rsidRPr="007114AF">
              <w:rPr>
                <w:rFonts w:ascii="Garamond" w:hAnsi="Garamond"/>
                <w:bCs/>
              </w:rPr>
              <w:t>Fokusi kryesor i veprimit prioritar është përgatitja e planeve të monitorimit të mbështetur në rezultate me qasje të orientuar nga zbatimi. Në këtë aspekt, objektivi i këtij veprimi prioritar është:</w:t>
            </w:r>
          </w:p>
          <w:p w14:paraId="6EDD0F13" w14:textId="408A1861" w:rsidR="007C3B3B" w:rsidRPr="007114AF" w:rsidRDefault="007C3B3B" w:rsidP="00037830">
            <w:pPr>
              <w:pStyle w:val="ListParagraph"/>
              <w:numPr>
                <w:ilvl w:val="0"/>
                <w:numId w:val="75"/>
              </w:numPr>
              <w:spacing w:before="0" w:after="0"/>
              <w:ind w:left="0" w:firstLine="0"/>
              <w:rPr>
                <w:rFonts w:ascii="Garamond" w:hAnsi="Garamond"/>
                <w:bCs/>
              </w:rPr>
            </w:pPr>
            <w:r w:rsidRPr="007114AF">
              <w:rPr>
                <w:rFonts w:ascii="Garamond" w:hAnsi="Garamond"/>
                <w:bCs/>
              </w:rPr>
              <w:t>Objektivi 1: Masat e përshtatjes ndaj ndryshimeve klimatike pasqyrohen në mënyrë adekuate në planin dhe procesin e zbatimit për dy plane menaxhimi të baseneve ujore</w:t>
            </w:r>
            <w:r w:rsidR="008371B3">
              <w:rPr>
                <w:rFonts w:ascii="Garamond" w:hAnsi="Garamond"/>
                <w:bCs/>
              </w:rPr>
              <w:t xml:space="preserve"> </w:t>
            </w:r>
            <w:r w:rsidRPr="007114AF">
              <w:rPr>
                <w:rFonts w:ascii="Garamond" w:hAnsi="Garamond"/>
                <w:bCs/>
              </w:rPr>
              <w:t>(Drin, Bunë dhe Seman) dhe të një të treti (plani menaxhimi i basenit ujor</w:t>
            </w:r>
            <w:r w:rsidR="005F7E8B">
              <w:rPr>
                <w:rFonts w:ascii="Garamond" w:hAnsi="Garamond"/>
                <w:bCs/>
              </w:rPr>
              <w:t xml:space="preserve"> </w:t>
            </w:r>
            <w:r w:rsidRPr="007114AF">
              <w:rPr>
                <w:rFonts w:ascii="Garamond" w:hAnsi="Garamond"/>
                <w:bCs/>
              </w:rPr>
              <w:t>për lumin Vjosë) që sapo ka filluar dhe është ende në fazën paraprake të tij.</w:t>
            </w:r>
          </w:p>
          <w:p w14:paraId="6EDD0F14" w14:textId="2CE72189" w:rsidR="007C3B3B" w:rsidRPr="007114AF" w:rsidRDefault="007C3B3B" w:rsidP="00037830">
            <w:pPr>
              <w:numPr>
                <w:ilvl w:val="0"/>
                <w:numId w:val="60"/>
              </w:numPr>
              <w:spacing w:after="0" w:line="240" w:lineRule="auto"/>
              <w:ind w:left="0" w:firstLine="0"/>
              <w:rPr>
                <w:rFonts w:ascii="Garamond" w:hAnsi="Garamond"/>
                <w:bCs/>
              </w:rPr>
            </w:pPr>
            <w:r w:rsidRPr="007114AF">
              <w:rPr>
                <w:rFonts w:ascii="Garamond" w:hAnsi="Garamond"/>
                <w:bCs/>
              </w:rPr>
              <w:t>Treguesi 1.1: Të paktën disa masa specifike të lidhura me përshtatjen përfshihen në planin e zbatimit për secilin plan menaxhimi të baseneve ujorë</w:t>
            </w:r>
            <w:r w:rsidR="005F7E8B">
              <w:rPr>
                <w:rFonts w:ascii="Garamond" w:hAnsi="Garamond"/>
                <w:bCs/>
              </w:rPr>
              <w:t xml:space="preserve"> </w:t>
            </w:r>
            <w:r w:rsidRPr="007114AF">
              <w:rPr>
                <w:rFonts w:ascii="Garamond" w:hAnsi="Garamond"/>
                <w:bCs/>
              </w:rPr>
              <w:t>si më poshtë:</w:t>
            </w:r>
          </w:p>
          <w:p w14:paraId="6EDD0F15" w14:textId="77777777" w:rsidR="007C3B3B" w:rsidRPr="007114AF" w:rsidRDefault="007C3B3B" w:rsidP="00037830">
            <w:pPr>
              <w:numPr>
                <w:ilvl w:val="0"/>
                <w:numId w:val="35"/>
              </w:numPr>
              <w:spacing w:after="0" w:line="240" w:lineRule="auto"/>
              <w:ind w:left="0" w:firstLine="0"/>
              <w:rPr>
                <w:rFonts w:ascii="Garamond" w:hAnsi="Garamond"/>
                <w:bCs/>
              </w:rPr>
            </w:pPr>
            <w:r w:rsidRPr="007114AF">
              <w:rPr>
                <w:rFonts w:ascii="Garamond" w:hAnsi="Garamond"/>
                <w:bCs/>
              </w:rPr>
              <w:t>Planifikim hapësinor i duhur</w:t>
            </w:r>
          </w:p>
          <w:p w14:paraId="6EDD0F16" w14:textId="357A38F0" w:rsidR="007C3B3B" w:rsidRPr="007114AF" w:rsidRDefault="007C3B3B" w:rsidP="00037830">
            <w:pPr>
              <w:numPr>
                <w:ilvl w:val="0"/>
                <w:numId w:val="35"/>
              </w:numPr>
              <w:spacing w:after="0" w:line="240" w:lineRule="auto"/>
              <w:ind w:left="0" w:firstLine="0"/>
              <w:rPr>
                <w:rFonts w:ascii="Garamond" w:hAnsi="Garamond"/>
                <w:bCs/>
              </w:rPr>
            </w:pPr>
            <w:r w:rsidRPr="007114AF">
              <w:rPr>
                <w:rFonts w:ascii="Garamond" w:hAnsi="Garamond"/>
                <w:bCs/>
              </w:rPr>
              <w:t>Harta të rreziqeve</w:t>
            </w:r>
            <w:r w:rsidR="005F7E8B">
              <w:rPr>
                <w:rFonts w:ascii="Garamond" w:hAnsi="Garamond"/>
                <w:bCs/>
              </w:rPr>
              <w:t xml:space="preserve"> </w:t>
            </w:r>
            <w:r w:rsidRPr="007114AF">
              <w:rPr>
                <w:rFonts w:ascii="Garamond" w:hAnsi="Garamond"/>
                <w:bCs/>
              </w:rPr>
              <w:t>të përmbytjeve dhe të thatësirës</w:t>
            </w:r>
          </w:p>
          <w:p w14:paraId="6EDD0F17" w14:textId="77777777" w:rsidR="007C3B3B" w:rsidRPr="007114AF" w:rsidRDefault="007C3B3B" w:rsidP="00037830">
            <w:pPr>
              <w:numPr>
                <w:ilvl w:val="0"/>
                <w:numId w:val="35"/>
              </w:numPr>
              <w:spacing w:after="0" w:line="240" w:lineRule="auto"/>
              <w:ind w:left="0" w:firstLine="0"/>
              <w:rPr>
                <w:rFonts w:ascii="Garamond" w:hAnsi="Garamond"/>
                <w:bCs/>
              </w:rPr>
            </w:pPr>
            <w:r w:rsidRPr="007114AF">
              <w:rPr>
                <w:rFonts w:ascii="Garamond" w:hAnsi="Garamond"/>
                <w:bCs/>
              </w:rPr>
              <w:t>Ndërgjegjësim i popullsisë për zona specifike sipas hartave të rrezikshmërisë</w:t>
            </w:r>
          </w:p>
          <w:p w14:paraId="6EDD0F18" w14:textId="77777777" w:rsidR="007C3B3B" w:rsidRPr="007114AF" w:rsidRDefault="007C3B3B" w:rsidP="00037830">
            <w:pPr>
              <w:numPr>
                <w:ilvl w:val="0"/>
                <w:numId w:val="35"/>
              </w:numPr>
              <w:spacing w:after="0" w:line="240" w:lineRule="auto"/>
              <w:ind w:left="0" w:firstLine="0"/>
              <w:rPr>
                <w:rFonts w:ascii="Garamond" w:hAnsi="Garamond"/>
                <w:bCs/>
              </w:rPr>
            </w:pPr>
            <w:r w:rsidRPr="007114AF">
              <w:rPr>
                <w:rFonts w:ascii="Garamond" w:hAnsi="Garamond"/>
                <w:bCs/>
              </w:rPr>
              <w:t>Përshtatje ndaj ndryshimeve klimatike në bujqësi</w:t>
            </w:r>
          </w:p>
          <w:p w14:paraId="6EDD0F19" w14:textId="6C55914D" w:rsidR="007C3B3B" w:rsidRPr="007114AF" w:rsidRDefault="007C3B3B" w:rsidP="00037830">
            <w:pPr>
              <w:numPr>
                <w:ilvl w:val="0"/>
                <w:numId w:val="35"/>
              </w:numPr>
              <w:spacing w:after="0" w:line="240" w:lineRule="auto"/>
              <w:ind w:left="0" w:firstLine="0"/>
              <w:rPr>
                <w:rFonts w:ascii="Garamond" w:hAnsi="Garamond"/>
                <w:bCs/>
              </w:rPr>
            </w:pPr>
            <w:r w:rsidRPr="007114AF">
              <w:rPr>
                <w:rFonts w:ascii="Garamond" w:hAnsi="Garamond"/>
                <w:bCs/>
              </w:rPr>
              <w:t>Plane të menaxhimit të rreziqeve</w:t>
            </w:r>
            <w:r w:rsidR="005F7E8B">
              <w:rPr>
                <w:rFonts w:ascii="Garamond" w:hAnsi="Garamond"/>
                <w:bCs/>
              </w:rPr>
              <w:t xml:space="preserve"> </w:t>
            </w:r>
            <w:r w:rsidRPr="007114AF">
              <w:rPr>
                <w:rFonts w:ascii="Garamond" w:hAnsi="Garamond"/>
                <w:bCs/>
              </w:rPr>
              <w:t>të përmbytjeve dhe të thatësirës.</w:t>
            </w:r>
          </w:p>
          <w:p w14:paraId="6EDD0F1A" w14:textId="77777777" w:rsidR="007C3B3B" w:rsidRPr="007114AF" w:rsidRDefault="007C3B3B" w:rsidP="00037830">
            <w:pPr>
              <w:numPr>
                <w:ilvl w:val="0"/>
                <w:numId w:val="60"/>
              </w:numPr>
              <w:spacing w:after="0" w:line="240" w:lineRule="auto"/>
              <w:ind w:left="0" w:firstLine="0"/>
              <w:rPr>
                <w:rFonts w:ascii="Garamond" w:hAnsi="Garamond"/>
                <w:bCs/>
              </w:rPr>
            </w:pPr>
            <w:r w:rsidRPr="007114AF">
              <w:rPr>
                <w:rFonts w:ascii="Garamond" w:hAnsi="Garamond"/>
                <w:bCs/>
              </w:rPr>
              <w:t>Treguesi 1.2: Procesi i zbatimit për planet e monitorimit të mbështetur në rezultate hartohet në atë mënyrë që gjatë zbatimit të pasqyrohet në mënyrë adekuate ndryshimet klimatike.</w:t>
            </w:r>
          </w:p>
          <w:p w14:paraId="6EDD0F1B" w14:textId="6B7C96D5" w:rsidR="007C3B3B" w:rsidRPr="007114AF" w:rsidRDefault="007C3B3B" w:rsidP="00037830">
            <w:pPr>
              <w:pStyle w:val="ListParagraph"/>
              <w:numPr>
                <w:ilvl w:val="0"/>
                <w:numId w:val="76"/>
              </w:numPr>
              <w:spacing w:before="0" w:after="0"/>
              <w:ind w:left="0" w:firstLine="0"/>
              <w:rPr>
                <w:rFonts w:ascii="Garamond" w:hAnsi="Garamond"/>
                <w:bCs/>
              </w:rPr>
            </w:pPr>
            <w:r w:rsidRPr="007114AF">
              <w:rPr>
                <w:rFonts w:ascii="Garamond" w:hAnsi="Garamond"/>
                <w:bCs/>
              </w:rPr>
              <w:t>Objektivi 2: Katër planet e menaxhimit të baseneve lumore janë pjesë e projektplaneve të ministrisë, nga ku, në secilin prej tyre, do të reflektohen ndryshimet klimatike në mënyrë adekuate.</w:t>
            </w:r>
            <w:r w:rsidR="000A2A01" w:rsidRPr="007114AF">
              <w:rPr>
                <w:rFonts w:ascii="Garamond" w:hAnsi="Garamond"/>
                <w:bCs/>
              </w:rPr>
              <w:t xml:space="preserve"> </w:t>
            </w:r>
          </w:p>
          <w:p w14:paraId="6EDD0F1C" w14:textId="77777777" w:rsidR="007C3B3B" w:rsidRPr="007114AF" w:rsidRDefault="007C3B3B" w:rsidP="00037830">
            <w:pPr>
              <w:numPr>
                <w:ilvl w:val="1"/>
                <w:numId w:val="47"/>
              </w:numPr>
              <w:spacing w:after="0" w:line="240" w:lineRule="auto"/>
              <w:ind w:left="0" w:firstLine="0"/>
              <w:rPr>
                <w:rFonts w:ascii="Garamond" w:hAnsi="Garamond"/>
                <w:bCs/>
              </w:rPr>
            </w:pPr>
            <w:r w:rsidRPr="007114AF">
              <w:rPr>
                <w:rFonts w:ascii="Garamond" w:hAnsi="Garamond"/>
                <w:bCs/>
              </w:rPr>
              <w:t xml:space="preserve">Treguesi 2.1: Planet e menaxhimit të baseneve lumore janë përpiluar mbi direktivën kuadër të ujit të BE-së, standardet e direktivës së përmbytjeve të BE-së, si dhe reflektojnë përshtatjen ndaj ndryshimeve të klimës në menyë adekuate. </w:t>
            </w:r>
          </w:p>
          <w:p w14:paraId="6EDD0F1D" w14:textId="77777777" w:rsidR="007C3B3B" w:rsidRPr="007114AF" w:rsidRDefault="007C3B3B" w:rsidP="00037830">
            <w:pPr>
              <w:numPr>
                <w:ilvl w:val="1"/>
                <w:numId w:val="47"/>
              </w:numPr>
              <w:spacing w:after="0" w:line="240" w:lineRule="auto"/>
              <w:ind w:left="0" w:firstLine="0"/>
              <w:rPr>
                <w:rFonts w:ascii="Garamond" w:hAnsi="Garamond"/>
                <w:bCs/>
              </w:rPr>
            </w:pPr>
            <w:r w:rsidRPr="007114AF">
              <w:rPr>
                <w:rFonts w:ascii="Garamond" w:hAnsi="Garamond"/>
                <w:bCs/>
              </w:rPr>
              <w:t>Treguesi 2.2: Planet e menaxhimit të baseneve lumore janë të përgatitur dhe ato përfshijnë dhe masa për përshtatjen ndaj ndryshimeve klimatike në to.</w:t>
            </w:r>
          </w:p>
          <w:p w14:paraId="6EDD0F1E" w14:textId="6EC6AC39" w:rsidR="007C3B3B" w:rsidRPr="007114AF" w:rsidRDefault="007C3B3B" w:rsidP="00037830">
            <w:pPr>
              <w:numPr>
                <w:ilvl w:val="1"/>
                <w:numId w:val="47"/>
              </w:numPr>
              <w:spacing w:after="0" w:line="240" w:lineRule="auto"/>
              <w:ind w:left="0" w:firstLine="0"/>
              <w:rPr>
                <w:rFonts w:ascii="Garamond" w:hAnsi="Garamond"/>
                <w:bCs/>
              </w:rPr>
            </w:pPr>
            <w:r w:rsidRPr="007114AF">
              <w:rPr>
                <w:rFonts w:ascii="Garamond" w:hAnsi="Garamond"/>
                <w:bCs/>
              </w:rPr>
              <w:t>Treguesi</w:t>
            </w:r>
            <w:r w:rsidR="000A2A01" w:rsidRPr="007114AF">
              <w:rPr>
                <w:rFonts w:ascii="Garamond" w:hAnsi="Garamond"/>
                <w:bCs/>
              </w:rPr>
              <w:t xml:space="preserve"> </w:t>
            </w:r>
            <w:r w:rsidRPr="007114AF">
              <w:rPr>
                <w:rFonts w:ascii="Garamond" w:hAnsi="Garamond"/>
                <w:bCs/>
              </w:rPr>
              <w:t>2.3: Ndryshimet klimatike do të reflektohen në mënyrë adekuate dhe në fazën e implementimit të Planeve të Menaxhimit të Baseneve Lumore.</w:t>
            </w:r>
          </w:p>
          <w:p w14:paraId="6EDD0F1F" w14:textId="77777777" w:rsidR="007C3B3B" w:rsidRPr="007114AF" w:rsidRDefault="007C3B3B" w:rsidP="00037830">
            <w:pPr>
              <w:numPr>
                <w:ilvl w:val="1"/>
                <w:numId w:val="47"/>
              </w:numPr>
              <w:spacing w:after="0" w:line="240" w:lineRule="auto"/>
              <w:ind w:left="0" w:firstLine="0"/>
              <w:rPr>
                <w:rFonts w:ascii="Garamond" w:hAnsi="Garamond"/>
                <w:bCs/>
              </w:rPr>
            </w:pPr>
            <w:r w:rsidRPr="007114AF">
              <w:rPr>
                <w:rFonts w:ascii="Garamond" w:hAnsi="Garamond"/>
                <w:bCs/>
              </w:rPr>
              <w:t xml:space="preserve">Treguesi 2.4: Forcimi institucional dhe ngritjen e kapaciteteve në drejtim të përgatitjes së planit të menaxhimit të baseneve lumore është arritur. </w:t>
            </w:r>
          </w:p>
          <w:p w14:paraId="6EDD0F20" w14:textId="77777777" w:rsidR="007C3B3B" w:rsidRPr="007114AF" w:rsidRDefault="007C3B3B" w:rsidP="00037830">
            <w:pPr>
              <w:numPr>
                <w:ilvl w:val="1"/>
                <w:numId w:val="47"/>
              </w:numPr>
              <w:spacing w:after="0" w:line="240" w:lineRule="auto"/>
              <w:ind w:left="0" w:firstLine="0"/>
              <w:rPr>
                <w:rFonts w:ascii="Garamond" w:hAnsi="Garamond"/>
                <w:bCs/>
              </w:rPr>
            </w:pPr>
            <w:r w:rsidRPr="007114AF">
              <w:rPr>
                <w:rFonts w:ascii="Garamond" w:hAnsi="Garamond"/>
                <w:bCs/>
              </w:rPr>
              <w:t xml:space="preserve">Treguesi 2.5: Ndryshimet e klimës janë pasqyruar dhe/ose janë pjesë e Vlerësimit Strategjik Mjedisor për secilin nga basenet lumore. </w:t>
            </w:r>
          </w:p>
          <w:p w14:paraId="6EDD0F21" w14:textId="77777777" w:rsidR="007C3B3B" w:rsidRPr="007114AF" w:rsidRDefault="007C3B3B" w:rsidP="00037830">
            <w:pPr>
              <w:numPr>
                <w:ilvl w:val="1"/>
                <w:numId w:val="47"/>
              </w:numPr>
              <w:spacing w:after="0" w:line="240" w:lineRule="auto"/>
              <w:ind w:left="0" w:firstLine="0"/>
              <w:rPr>
                <w:rFonts w:ascii="Garamond" w:hAnsi="Garamond"/>
                <w:bCs/>
              </w:rPr>
            </w:pPr>
            <w:r w:rsidRPr="007114AF">
              <w:rPr>
                <w:rFonts w:ascii="Garamond" w:hAnsi="Garamond"/>
                <w:bCs/>
              </w:rPr>
              <w:t>Treguesi 2.6: Efekti ndërkufitar i ndryshimeve klimatike është marrë parasysh.</w:t>
            </w:r>
          </w:p>
          <w:p w14:paraId="6EDD0F22" w14:textId="77777777" w:rsidR="007C3B3B" w:rsidRPr="007114AF" w:rsidRDefault="007C3B3B" w:rsidP="00037830">
            <w:pPr>
              <w:numPr>
                <w:ilvl w:val="0"/>
                <w:numId w:val="47"/>
              </w:numPr>
              <w:spacing w:after="0" w:line="240" w:lineRule="auto"/>
              <w:ind w:left="0" w:firstLine="0"/>
              <w:rPr>
                <w:rFonts w:ascii="Garamond" w:hAnsi="Garamond"/>
                <w:b/>
                <w:bCs/>
              </w:rPr>
            </w:pPr>
            <w:r w:rsidRPr="007114AF">
              <w:rPr>
                <w:rFonts w:ascii="Garamond" w:hAnsi="Garamond"/>
                <w:bCs/>
              </w:rPr>
              <w:t>Treguesi 2.7: Ndryshimet e klimës janë marrë në konsideratë gjithashtu dhe nga komisionet ndërkufitare për basenet përkatëse.</w:t>
            </w:r>
          </w:p>
        </w:tc>
      </w:tr>
      <w:tr w:rsidR="007C3B3B" w:rsidRPr="007114AF" w14:paraId="6EDD0F29" w14:textId="77777777" w:rsidTr="00574660">
        <w:tc>
          <w:tcPr>
            <w:tcW w:w="9212" w:type="dxa"/>
            <w:gridSpan w:val="2"/>
            <w:shd w:val="clear" w:color="auto" w:fill="auto"/>
          </w:tcPr>
          <w:p w14:paraId="6EDD0F24" w14:textId="77777777" w:rsidR="007C3B3B" w:rsidRPr="007114AF" w:rsidRDefault="007C3B3B" w:rsidP="007C3B3B">
            <w:pPr>
              <w:spacing w:after="0" w:line="240" w:lineRule="auto"/>
              <w:rPr>
                <w:rFonts w:ascii="Garamond" w:hAnsi="Garamond"/>
                <w:b/>
                <w:bCs/>
              </w:rPr>
            </w:pPr>
            <w:r w:rsidRPr="007114AF">
              <w:rPr>
                <w:rFonts w:ascii="Garamond" w:hAnsi="Garamond"/>
                <w:b/>
                <w:bCs/>
              </w:rPr>
              <w:t>Elementet dhe afatet me rëndësi të veprimit prioritar</w:t>
            </w:r>
          </w:p>
          <w:p w14:paraId="6EDD0F25" w14:textId="2FD7B218" w:rsidR="007C3B3B" w:rsidRPr="007114AF" w:rsidRDefault="007C3B3B" w:rsidP="007C3B3B">
            <w:pPr>
              <w:tabs>
                <w:tab w:val="left" w:pos="0"/>
              </w:tabs>
              <w:spacing w:after="0" w:line="240" w:lineRule="auto"/>
              <w:rPr>
                <w:rFonts w:ascii="Garamond" w:hAnsi="Garamond"/>
                <w:bCs/>
              </w:rPr>
            </w:pPr>
            <w:r w:rsidRPr="007114AF">
              <w:rPr>
                <w:rFonts w:ascii="Garamond" w:hAnsi="Garamond"/>
                <w:bCs/>
              </w:rPr>
              <w:t xml:space="preserve">Veprimi 1 (gjatë gjithë vitit 2017): Ekspertë të ndryshimeve klimatike (p.sh. të përfshirë në projektin e GIZ-it </w:t>
            </w:r>
            <w:r w:rsidR="000A2A01" w:rsidRPr="007114AF">
              <w:rPr>
                <w:rFonts w:ascii="Garamond" w:hAnsi="Garamond"/>
                <w:bCs/>
              </w:rPr>
              <w:t>“</w:t>
            </w:r>
            <w:r w:rsidRPr="007114AF">
              <w:rPr>
                <w:rFonts w:ascii="Garamond" w:hAnsi="Garamond"/>
                <w:bCs/>
              </w:rPr>
              <w:t>Përshtatja ndaj ndryshimeve klimatike në Ballkanin Perëndimor</w:t>
            </w:r>
            <w:r w:rsidR="000A2A01" w:rsidRPr="007114AF">
              <w:rPr>
                <w:rFonts w:ascii="Garamond" w:hAnsi="Garamond"/>
                <w:bCs/>
              </w:rPr>
              <w:t>”</w:t>
            </w:r>
            <w:r w:rsidRPr="007114AF">
              <w:rPr>
                <w:rFonts w:ascii="Garamond" w:hAnsi="Garamond"/>
                <w:bCs/>
              </w:rPr>
              <w:t>) do të përfshihen në procesin e konsultimit, për të shfrytëzuar përvojat në proceset e përshtatjes në Shqipëri dhe për të dhënë më shumë orientim mbi përgatitjen e planeve të menaxhimit të baseneve ujore lidhur me aspektin e ndryshimeve klimatike.</w:t>
            </w:r>
          </w:p>
          <w:p w14:paraId="6EDD0F26" w14:textId="1776F62B" w:rsidR="007C3B3B" w:rsidRPr="007114AF" w:rsidRDefault="007C3B3B" w:rsidP="007C3B3B">
            <w:pPr>
              <w:tabs>
                <w:tab w:val="left" w:pos="0"/>
              </w:tabs>
              <w:spacing w:after="0" w:line="240" w:lineRule="auto"/>
              <w:rPr>
                <w:rFonts w:ascii="Garamond" w:hAnsi="Garamond"/>
                <w:bCs/>
              </w:rPr>
            </w:pPr>
            <w:r w:rsidRPr="007114AF">
              <w:rPr>
                <w:rFonts w:ascii="Garamond" w:hAnsi="Garamond"/>
                <w:bCs/>
              </w:rPr>
              <w:t>Veprimi 2 (fund i vitit 2017): Lista e masave të propozuara do të vlerësohet në këndvështrimin e ndryshimeve klimatike (për shembull një vlerësim strategjik mjedisor ku merren parasysh ndryshimet klimatike) dhe një VKM-je të mundshme (mbetet ende për t</w:t>
            </w:r>
            <w:r w:rsidR="00D10DAB" w:rsidRPr="007114AF">
              <w:rPr>
                <w:rFonts w:ascii="Garamond" w:hAnsi="Garamond"/>
                <w:bCs/>
              </w:rPr>
              <w:t>’</w:t>
            </w:r>
            <w:r w:rsidRPr="007114AF">
              <w:rPr>
                <w:rFonts w:ascii="Garamond" w:hAnsi="Garamond"/>
                <w:bCs/>
              </w:rPr>
              <w:t>u vendosur).</w:t>
            </w:r>
          </w:p>
          <w:p w14:paraId="6EDD0F27" w14:textId="6C28F910" w:rsidR="007C3B3B" w:rsidRPr="007114AF" w:rsidRDefault="007C3B3B" w:rsidP="007C3B3B">
            <w:pPr>
              <w:tabs>
                <w:tab w:val="left" w:pos="0"/>
              </w:tabs>
              <w:spacing w:after="0" w:line="240" w:lineRule="auto"/>
              <w:rPr>
                <w:rFonts w:ascii="Garamond" w:hAnsi="Garamond"/>
                <w:bCs/>
              </w:rPr>
            </w:pPr>
            <w:r w:rsidRPr="007114AF">
              <w:rPr>
                <w:rFonts w:ascii="Garamond" w:hAnsi="Garamond"/>
                <w:bCs/>
              </w:rPr>
              <w:t>Veprimi 3 (2017): Procesi i zbatimit për planet e menaxhimit të baseneve ujore</w:t>
            </w:r>
            <w:r w:rsidR="00C155D8">
              <w:rPr>
                <w:rFonts w:ascii="Garamond" w:hAnsi="Garamond"/>
                <w:bCs/>
              </w:rPr>
              <w:t xml:space="preserve"> </w:t>
            </w:r>
            <w:r w:rsidRPr="007114AF">
              <w:rPr>
                <w:rFonts w:ascii="Garamond" w:hAnsi="Garamond"/>
                <w:bCs/>
              </w:rPr>
              <w:t>do të hartohet në atë mënyrë që, gjatë zbatimit, të pasqyrohen në mënyrë adekuate ndryshimet klimatike.</w:t>
            </w:r>
          </w:p>
          <w:p w14:paraId="6EDD0F28" w14:textId="1AB24148" w:rsidR="007C3B3B" w:rsidRPr="007114AF" w:rsidRDefault="007C3B3B" w:rsidP="007C3B3B">
            <w:pPr>
              <w:spacing w:after="0" w:line="240" w:lineRule="auto"/>
              <w:rPr>
                <w:rFonts w:ascii="Garamond" w:hAnsi="Garamond"/>
                <w:b/>
                <w:bCs/>
              </w:rPr>
            </w:pPr>
            <w:r w:rsidRPr="007114AF">
              <w:rPr>
                <w:rFonts w:ascii="Garamond" w:hAnsi="Garamond"/>
                <w:bCs/>
              </w:rPr>
              <w:t>Veprimi 4 (Përafërsisht 2020): Katër planet e tjera të menaxhimit të baseneve lumore do të fillojnë fazën e ideim – projektimit</w:t>
            </w:r>
            <w:r w:rsidR="000A2A01" w:rsidRPr="007114AF">
              <w:rPr>
                <w:rFonts w:ascii="Garamond" w:hAnsi="Garamond"/>
                <w:bCs/>
              </w:rPr>
              <w:t xml:space="preserve"> </w:t>
            </w:r>
            <w:r w:rsidRPr="007114AF">
              <w:rPr>
                <w:rFonts w:ascii="Garamond" w:hAnsi="Garamond"/>
                <w:bCs/>
              </w:rPr>
              <w:t>dhe ndryshimet klimatike do të reflektohen, si në fazën e hartimit dhe në fazën e dizenjimit.</w:t>
            </w:r>
          </w:p>
        </w:tc>
      </w:tr>
      <w:tr w:rsidR="007C3B3B" w:rsidRPr="007114AF" w14:paraId="6EDD0F30" w14:textId="77777777" w:rsidTr="00574660">
        <w:tc>
          <w:tcPr>
            <w:tcW w:w="4606" w:type="dxa"/>
            <w:shd w:val="clear" w:color="auto" w:fill="auto"/>
          </w:tcPr>
          <w:p w14:paraId="6EDD0F2A" w14:textId="77777777" w:rsidR="007C3B3B" w:rsidRPr="007114AF" w:rsidRDefault="007C3B3B" w:rsidP="007C3B3B">
            <w:pPr>
              <w:spacing w:after="0" w:line="240" w:lineRule="auto"/>
              <w:rPr>
                <w:rFonts w:ascii="Garamond" w:hAnsi="Garamond"/>
                <w:b/>
                <w:bCs/>
              </w:rPr>
            </w:pPr>
            <w:r w:rsidRPr="007114AF">
              <w:rPr>
                <w:rFonts w:ascii="Garamond" w:hAnsi="Garamond"/>
                <w:b/>
                <w:bCs/>
              </w:rPr>
              <w:t>Aktorët kryesorë të përfshirë</w:t>
            </w:r>
          </w:p>
          <w:p w14:paraId="6EDD0F2B" w14:textId="77777777" w:rsidR="007C3B3B" w:rsidRPr="007114AF" w:rsidRDefault="007C3B3B" w:rsidP="007C3B3B">
            <w:pPr>
              <w:spacing w:after="0" w:line="240" w:lineRule="auto"/>
              <w:rPr>
                <w:rFonts w:ascii="Garamond" w:hAnsi="Garamond"/>
                <w:bCs/>
              </w:rPr>
            </w:pPr>
            <w:r w:rsidRPr="007114AF">
              <w:rPr>
                <w:rFonts w:ascii="Garamond" w:hAnsi="Garamond"/>
                <w:bCs/>
              </w:rPr>
              <w:t>Strategjia Kombëtare për Menaxhimin e Integruar të Burimeve Ujore dhe Planet e Menaxhimit të Baseneve Lumore do të drejtohen Këshilli Kombëtar i Ujit që do të shoqërohet nga një grup i menaxhimit të integruar të politikave.</w:t>
            </w:r>
          </w:p>
          <w:p w14:paraId="6EDD0F2C" w14:textId="017D9C57" w:rsidR="007C3B3B" w:rsidRPr="007114AF" w:rsidRDefault="007C3B3B" w:rsidP="007C3B3B">
            <w:pPr>
              <w:spacing w:after="0" w:line="240" w:lineRule="auto"/>
              <w:rPr>
                <w:rFonts w:ascii="Garamond" w:hAnsi="Garamond"/>
                <w:b/>
                <w:bCs/>
              </w:rPr>
            </w:pPr>
            <w:r w:rsidRPr="007114AF">
              <w:rPr>
                <w:rFonts w:ascii="Garamond" w:hAnsi="Garamond"/>
                <w:bCs/>
              </w:rPr>
              <w:t>Partnerë të tjerë të përfshirë: Ministria e Brendshme, Ministria e Turizmit dhe Mjedisit</w:t>
            </w:r>
            <w:r w:rsidR="003F649E" w:rsidRPr="007114AF">
              <w:rPr>
                <w:rFonts w:ascii="Garamond" w:hAnsi="Garamond"/>
                <w:bCs/>
              </w:rPr>
              <w:t>,</w:t>
            </w:r>
            <w:r w:rsidRPr="007114AF">
              <w:rPr>
                <w:rFonts w:ascii="Garamond" w:hAnsi="Garamond"/>
                <w:bCs/>
              </w:rPr>
              <w:t xml:space="preserve"> Ministria e Infrastrukturës dhe Energjisë, Bashkitë dhe Njësitë e Vet</w:t>
            </w:r>
            <w:r w:rsidR="00C155D8">
              <w:rPr>
                <w:rFonts w:ascii="Garamond" w:hAnsi="Garamond"/>
                <w:bCs/>
              </w:rPr>
              <w:t>ë</w:t>
            </w:r>
            <w:r w:rsidRPr="007114AF">
              <w:rPr>
                <w:rFonts w:ascii="Garamond" w:hAnsi="Garamond"/>
                <w:bCs/>
              </w:rPr>
              <w:t xml:space="preserve">qeverisjes Vendore. </w:t>
            </w:r>
          </w:p>
        </w:tc>
        <w:tc>
          <w:tcPr>
            <w:tcW w:w="4606" w:type="dxa"/>
            <w:shd w:val="clear" w:color="auto" w:fill="auto"/>
          </w:tcPr>
          <w:p w14:paraId="6EDD0F2D" w14:textId="77777777" w:rsidR="007C3B3B" w:rsidRPr="007114AF" w:rsidRDefault="007C3B3B" w:rsidP="007C3B3B">
            <w:pPr>
              <w:spacing w:after="0" w:line="240" w:lineRule="auto"/>
              <w:rPr>
                <w:rFonts w:ascii="Garamond" w:hAnsi="Garamond"/>
                <w:b/>
                <w:bCs/>
              </w:rPr>
            </w:pPr>
            <w:r w:rsidRPr="007114AF">
              <w:rPr>
                <w:rFonts w:ascii="Garamond" w:hAnsi="Garamond"/>
                <w:b/>
                <w:bCs/>
              </w:rPr>
              <w:t>Burimet</w:t>
            </w:r>
          </w:p>
          <w:p w14:paraId="6EDD0F2E" w14:textId="01C27CE1" w:rsidR="007C3B3B" w:rsidRPr="007114AF" w:rsidRDefault="007C3B3B" w:rsidP="007C3B3B">
            <w:pPr>
              <w:spacing w:after="0" w:line="240" w:lineRule="auto"/>
              <w:rPr>
                <w:rFonts w:ascii="Garamond" w:hAnsi="Garamond"/>
                <w:bCs/>
              </w:rPr>
            </w:pPr>
            <w:r w:rsidRPr="007114AF">
              <w:rPr>
                <w:rFonts w:ascii="Garamond" w:hAnsi="Garamond"/>
                <w:bCs/>
              </w:rPr>
              <w:t>Projekti për përgatitjen e strategjisë po zbatohet nga</w:t>
            </w:r>
            <w:r w:rsidR="000A2A01" w:rsidRPr="007114AF">
              <w:rPr>
                <w:rFonts w:ascii="Garamond" w:hAnsi="Garamond"/>
                <w:bCs/>
              </w:rPr>
              <w:t xml:space="preserve"> </w:t>
            </w:r>
            <w:r w:rsidRPr="007114AF">
              <w:rPr>
                <w:rFonts w:ascii="Garamond" w:hAnsi="Garamond"/>
                <w:bCs/>
              </w:rPr>
              <w:t>Ministria përgjegjëse për bujqësinë dhe financohet nga një hua e BB/IBRD</w:t>
            </w:r>
            <w:r w:rsidR="00242009" w:rsidRPr="007114AF">
              <w:rPr>
                <w:rFonts w:ascii="Garamond" w:hAnsi="Garamond"/>
                <w:bCs/>
              </w:rPr>
              <w:t>,</w:t>
            </w:r>
            <w:r w:rsidRPr="007114AF">
              <w:rPr>
                <w:rFonts w:ascii="Garamond" w:hAnsi="Garamond"/>
                <w:bCs/>
              </w:rPr>
              <w:t xml:space="preserve"> si edhe nga grante të SIDA-s. Sa u takon planeve të menaxhimit të pellgjeve lumore (2 prej të cilëve) shuma është 174.5 </w:t>
            </w:r>
            <w:r w:rsidR="001C47F0" w:rsidRPr="007114AF">
              <w:rPr>
                <w:rFonts w:ascii="Garamond" w:hAnsi="Garamond"/>
                <w:bCs/>
              </w:rPr>
              <w:t xml:space="preserve">milionë </w:t>
            </w:r>
            <w:r w:rsidRPr="007114AF">
              <w:rPr>
                <w:rFonts w:ascii="Garamond" w:hAnsi="Garamond"/>
                <w:bCs/>
              </w:rPr>
              <w:t>lekë.</w:t>
            </w:r>
          </w:p>
          <w:p w14:paraId="6EDD0F2F" w14:textId="5969B249" w:rsidR="007C3B3B" w:rsidRPr="007114AF" w:rsidRDefault="007C3B3B" w:rsidP="007C3B3B">
            <w:pPr>
              <w:spacing w:after="0" w:line="240" w:lineRule="auto"/>
              <w:rPr>
                <w:rFonts w:ascii="Garamond" w:hAnsi="Garamond"/>
                <w:b/>
                <w:bCs/>
              </w:rPr>
            </w:pPr>
            <w:r w:rsidRPr="007114AF">
              <w:rPr>
                <w:rFonts w:ascii="Garamond" w:hAnsi="Garamond"/>
                <w:bCs/>
              </w:rPr>
              <w:t xml:space="preserve">Burimet financiare për PMBL-ën do të sigurohen nga donatorë dhe shuma e përafërt për një plan menaxhimi do të jetë 217.5 </w:t>
            </w:r>
            <w:r w:rsidR="001C47F0" w:rsidRPr="007114AF">
              <w:rPr>
                <w:rFonts w:ascii="Garamond" w:hAnsi="Garamond"/>
                <w:bCs/>
              </w:rPr>
              <w:t xml:space="preserve">milionë </w:t>
            </w:r>
            <w:r w:rsidRPr="007114AF">
              <w:rPr>
                <w:rFonts w:ascii="Garamond" w:hAnsi="Garamond"/>
                <w:bCs/>
              </w:rPr>
              <w:t>lekë</w:t>
            </w:r>
            <w:r w:rsidR="000A2A01" w:rsidRPr="007114AF">
              <w:rPr>
                <w:rFonts w:ascii="Garamond" w:hAnsi="Garamond"/>
                <w:bCs/>
              </w:rPr>
              <w:t xml:space="preserve"> </w:t>
            </w:r>
            <w:r w:rsidRPr="007114AF">
              <w:rPr>
                <w:rFonts w:ascii="Garamond" w:hAnsi="Garamond"/>
                <w:bCs/>
              </w:rPr>
              <w:t>+-20% (në varësi të basenit lumor dhe karakteristikave të tij).</w:t>
            </w:r>
          </w:p>
        </w:tc>
      </w:tr>
    </w:tbl>
    <w:p w14:paraId="6EDD0F31" w14:textId="77777777" w:rsidR="00FE3179" w:rsidRPr="007114AF" w:rsidRDefault="00FE3179" w:rsidP="007C3B3B">
      <w:pPr>
        <w:pStyle w:val="FIGURA"/>
      </w:pPr>
    </w:p>
    <w:p w14:paraId="6EDD0F32" w14:textId="104BC53A" w:rsidR="00B92318" w:rsidRPr="007114AF" w:rsidRDefault="00B92318" w:rsidP="00B92318">
      <w:pPr>
        <w:pStyle w:val="FIGURA"/>
        <w:rPr>
          <w:lang w:eastAsia="en-US"/>
        </w:rPr>
      </w:pPr>
      <w:bookmarkStart w:id="221" w:name="_Toc484424542"/>
      <w:bookmarkStart w:id="222" w:name="_Toc479083897"/>
      <w:bookmarkStart w:id="223" w:name="_Toc483570144"/>
      <w:r w:rsidRPr="007114AF">
        <w:rPr>
          <w:lang w:eastAsia="en-US"/>
        </w:rPr>
        <w:t>6.2.9 Veprimi Prioritar</w:t>
      </w:r>
      <w:r w:rsidR="00242009" w:rsidRPr="007114AF">
        <w:rPr>
          <w:lang w:eastAsia="en-US"/>
        </w:rPr>
        <w:t xml:space="preserve"> nr. </w:t>
      </w:r>
      <w:r w:rsidRPr="007114AF">
        <w:rPr>
          <w:lang w:eastAsia="en-US"/>
        </w:rPr>
        <w:t>9</w:t>
      </w:r>
      <w:bookmarkEnd w:id="221"/>
      <w:bookmarkEnd w:id="222"/>
      <w:bookmarkEnd w:id="22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B92318" w:rsidRPr="007114AF" w14:paraId="6EDD0F3B" w14:textId="77777777" w:rsidTr="00574660">
        <w:tc>
          <w:tcPr>
            <w:tcW w:w="4606" w:type="dxa"/>
            <w:shd w:val="clear" w:color="auto" w:fill="B6DDE8" w:themeFill="accent5" w:themeFillTint="66"/>
          </w:tcPr>
          <w:p w14:paraId="6EDD0F33" w14:textId="4AE36E67" w:rsidR="00B92318" w:rsidRPr="007114AF" w:rsidRDefault="00B92318" w:rsidP="00B92318">
            <w:pPr>
              <w:spacing w:after="0" w:line="240" w:lineRule="auto"/>
              <w:rPr>
                <w:rFonts w:ascii="Garamond" w:hAnsi="Garamond"/>
                <w:b/>
                <w:bCs/>
              </w:rPr>
            </w:pPr>
            <w:r w:rsidRPr="007114AF">
              <w:rPr>
                <w:rFonts w:ascii="Garamond" w:hAnsi="Garamond"/>
                <w:b/>
                <w:bCs/>
              </w:rPr>
              <w:t>Titulli</w:t>
            </w:r>
            <w:r w:rsidR="00C155D8">
              <w:rPr>
                <w:rFonts w:ascii="Garamond" w:hAnsi="Garamond"/>
                <w:b/>
                <w:bCs/>
              </w:rPr>
              <w:t xml:space="preserve"> </w:t>
            </w:r>
            <w:r w:rsidRPr="007114AF">
              <w:rPr>
                <w:rFonts w:ascii="Garamond" w:hAnsi="Garamond"/>
                <w:b/>
                <w:bCs/>
              </w:rPr>
              <w:t>i veprimit prioritar</w:t>
            </w:r>
            <w:r w:rsidR="00242009" w:rsidRPr="007114AF">
              <w:rPr>
                <w:rFonts w:ascii="Garamond" w:hAnsi="Garamond"/>
                <w:b/>
                <w:bCs/>
              </w:rPr>
              <w:t xml:space="preserve"> nr. </w:t>
            </w:r>
            <w:r w:rsidRPr="007114AF">
              <w:rPr>
                <w:rFonts w:ascii="Garamond" w:hAnsi="Garamond"/>
                <w:b/>
                <w:bCs/>
              </w:rPr>
              <w:t>9</w:t>
            </w:r>
          </w:p>
          <w:p w14:paraId="6EDD0F34" w14:textId="77777777" w:rsidR="00B92318" w:rsidRPr="007114AF" w:rsidRDefault="00B92318" w:rsidP="00B92318">
            <w:pPr>
              <w:spacing w:after="0" w:line="240" w:lineRule="auto"/>
              <w:rPr>
                <w:rFonts w:ascii="Garamond" w:hAnsi="Garamond"/>
                <w:b/>
                <w:bCs/>
              </w:rPr>
            </w:pPr>
            <w:r w:rsidRPr="007114AF">
              <w:rPr>
                <w:rFonts w:ascii="Garamond" w:hAnsi="Garamond"/>
                <w:b/>
                <w:bCs/>
              </w:rPr>
              <w:t>Përshtatja në sektorin bujqësor:</w:t>
            </w:r>
          </w:p>
          <w:p w14:paraId="6EDD0F35" w14:textId="77777777" w:rsidR="00B92318" w:rsidRPr="007114AF" w:rsidRDefault="00B92318" w:rsidP="00037830">
            <w:pPr>
              <w:numPr>
                <w:ilvl w:val="0"/>
                <w:numId w:val="27"/>
              </w:numPr>
              <w:spacing w:after="0" w:line="240" w:lineRule="auto"/>
              <w:ind w:left="0" w:firstLine="0"/>
              <w:rPr>
                <w:rFonts w:ascii="Garamond" w:hAnsi="Garamond"/>
                <w:b/>
                <w:bCs/>
              </w:rPr>
            </w:pPr>
            <w:r w:rsidRPr="007114AF">
              <w:rPr>
                <w:rFonts w:ascii="Garamond" w:hAnsi="Garamond"/>
                <w:b/>
                <w:bCs/>
              </w:rPr>
              <w:t>Mbrojtja e fermës</w:t>
            </w:r>
          </w:p>
          <w:p w14:paraId="6EDD0F36" w14:textId="120F331F" w:rsidR="00B92318" w:rsidRPr="007114AF" w:rsidRDefault="00B92318" w:rsidP="00037830">
            <w:pPr>
              <w:numPr>
                <w:ilvl w:val="0"/>
                <w:numId w:val="27"/>
              </w:numPr>
              <w:spacing w:after="0" w:line="240" w:lineRule="auto"/>
              <w:ind w:left="0" w:firstLine="0"/>
              <w:rPr>
                <w:rFonts w:ascii="Garamond" w:hAnsi="Garamond"/>
                <w:b/>
                <w:bCs/>
              </w:rPr>
            </w:pPr>
            <w:r w:rsidRPr="007114AF">
              <w:rPr>
                <w:rFonts w:ascii="Garamond" w:hAnsi="Garamond"/>
                <w:b/>
                <w:bCs/>
              </w:rPr>
              <w:t>Administrimi i prodhi</w:t>
            </w:r>
            <w:r w:rsidR="00C155D8">
              <w:rPr>
                <w:rFonts w:ascii="Garamond" w:hAnsi="Garamond"/>
                <w:b/>
                <w:bCs/>
              </w:rPr>
              <w:t>mi</w:t>
            </w:r>
            <w:r w:rsidRPr="007114AF">
              <w:rPr>
                <w:rFonts w:ascii="Garamond" w:hAnsi="Garamond"/>
                <w:b/>
                <w:bCs/>
              </w:rPr>
              <w:t>t bujqësorë</w:t>
            </w:r>
          </w:p>
          <w:p w14:paraId="6EDD0F37" w14:textId="77777777" w:rsidR="00B92318" w:rsidRPr="007114AF" w:rsidRDefault="00B92318" w:rsidP="00037830">
            <w:pPr>
              <w:numPr>
                <w:ilvl w:val="0"/>
                <w:numId w:val="27"/>
              </w:numPr>
              <w:spacing w:after="0" w:line="240" w:lineRule="auto"/>
              <w:ind w:left="0" w:firstLine="0"/>
              <w:rPr>
                <w:rFonts w:ascii="Garamond" w:hAnsi="Garamond"/>
                <w:b/>
                <w:bCs/>
              </w:rPr>
            </w:pPr>
            <w:r w:rsidRPr="007114AF">
              <w:rPr>
                <w:rFonts w:ascii="Garamond" w:hAnsi="Garamond"/>
                <w:b/>
                <w:bCs/>
              </w:rPr>
              <w:t>Sistemet e informacionit</w:t>
            </w:r>
          </w:p>
          <w:p w14:paraId="6EDD0F38" w14:textId="77777777" w:rsidR="00B92318" w:rsidRPr="007114AF" w:rsidRDefault="00B92318" w:rsidP="00037830">
            <w:pPr>
              <w:numPr>
                <w:ilvl w:val="0"/>
                <w:numId w:val="27"/>
              </w:numPr>
              <w:spacing w:after="0" w:line="240" w:lineRule="auto"/>
              <w:ind w:left="0" w:firstLine="0"/>
              <w:rPr>
                <w:rFonts w:ascii="Garamond" w:hAnsi="Garamond"/>
                <w:b/>
                <w:bCs/>
              </w:rPr>
            </w:pPr>
            <w:r w:rsidRPr="007114AF">
              <w:rPr>
                <w:rFonts w:ascii="Garamond" w:hAnsi="Garamond"/>
                <w:b/>
                <w:bCs/>
              </w:rPr>
              <w:t>Menaxhimi i blegtorisë</w:t>
            </w:r>
          </w:p>
        </w:tc>
        <w:tc>
          <w:tcPr>
            <w:tcW w:w="4606" w:type="dxa"/>
            <w:shd w:val="clear" w:color="auto" w:fill="B6DDE8" w:themeFill="accent5" w:themeFillTint="66"/>
          </w:tcPr>
          <w:p w14:paraId="6EDD0F39" w14:textId="77777777" w:rsidR="00B92318" w:rsidRPr="007114AF" w:rsidRDefault="00B92318" w:rsidP="00B92318">
            <w:pPr>
              <w:spacing w:after="0" w:line="240" w:lineRule="auto"/>
              <w:rPr>
                <w:rFonts w:ascii="Garamond" w:hAnsi="Garamond"/>
                <w:b/>
                <w:bCs/>
              </w:rPr>
            </w:pPr>
            <w:r w:rsidRPr="007114AF">
              <w:rPr>
                <w:rFonts w:ascii="Garamond" w:hAnsi="Garamond"/>
                <w:b/>
                <w:bCs/>
              </w:rPr>
              <w:t>Agjencia / Ministria kryesuese përgjegjëse</w:t>
            </w:r>
          </w:p>
          <w:p w14:paraId="6EDD0F3A" w14:textId="77777777" w:rsidR="00B92318" w:rsidRPr="007114AF" w:rsidRDefault="00B92318" w:rsidP="00B92318">
            <w:pPr>
              <w:spacing w:after="0" w:line="240" w:lineRule="auto"/>
              <w:rPr>
                <w:rFonts w:ascii="Garamond" w:hAnsi="Garamond"/>
                <w:b/>
                <w:bCs/>
              </w:rPr>
            </w:pPr>
            <w:r w:rsidRPr="007114AF">
              <w:rPr>
                <w:rFonts w:ascii="Garamond" w:hAnsi="Garamond"/>
                <w:b/>
                <w:bCs/>
              </w:rPr>
              <w:t>Ministria e Bujqësisë dhe Zhvillimit Rural</w:t>
            </w:r>
          </w:p>
        </w:tc>
      </w:tr>
      <w:tr w:rsidR="00B92318" w:rsidRPr="007114AF" w14:paraId="6EDD0F43" w14:textId="77777777" w:rsidTr="00574660">
        <w:tc>
          <w:tcPr>
            <w:tcW w:w="9212" w:type="dxa"/>
            <w:gridSpan w:val="2"/>
            <w:shd w:val="clear" w:color="auto" w:fill="auto"/>
          </w:tcPr>
          <w:p w14:paraId="6EDD0F3C" w14:textId="77777777" w:rsidR="00B92318" w:rsidRPr="007114AF" w:rsidRDefault="00B92318" w:rsidP="00B92318">
            <w:pPr>
              <w:spacing w:after="0" w:line="240" w:lineRule="auto"/>
              <w:rPr>
                <w:rFonts w:ascii="Garamond" w:hAnsi="Garamond"/>
                <w:b/>
                <w:bCs/>
              </w:rPr>
            </w:pPr>
            <w:r w:rsidRPr="007114AF">
              <w:rPr>
                <w:rFonts w:ascii="Garamond" w:hAnsi="Garamond"/>
                <w:b/>
                <w:bCs/>
              </w:rPr>
              <w:t>Situata ekzistuese mbi të cilën mbështetet veprimi prioritar</w:t>
            </w:r>
          </w:p>
          <w:p w14:paraId="6EDD0F3D" w14:textId="77777777" w:rsidR="00B92318" w:rsidRPr="007114AF" w:rsidRDefault="00B92318" w:rsidP="00B92318">
            <w:pPr>
              <w:spacing w:after="0" w:line="240" w:lineRule="auto"/>
              <w:rPr>
                <w:rFonts w:ascii="Garamond" w:hAnsi="Garamond"/>
                <w:bCs/>
              </w:rPr>
            </w:pPr>
            <w:r w:rsidRPr="007114AF">
              <w:rPr>
                <w:rFonts w:ascii="Garamond" w:hAnsi="Garamond"/>
                <w:bCs/>
              </w:rPr>
              <w:t xml:space="preserve">Efektet e ndryshimeve klimatike po ndihen përditë e më shumë në të gjithë sektorët dhe sidomos në bujqësi, që është një prej sektorëve më të rëndësishëm në ekonominë e vendit. Kontributi ekonomik kryesor për Shqipërinë vjen përmes bujqësisë, prandaj zonat rurale në vend luajnë një rol të rëndësishëm në këtë proces. Nëse nuk përdoret asnjë masë përshtatjeje, ndryshimet stinore do të cënojnë kulturat dhe blegtorinë. </w:t>
            </w:r>
          </w:p>
          <w:p w14:paraId="6EDD0F3E" w14:textId="2CF29319" w:rsidR="00B92318" w:rsidRPr="007114AF" w:rsidRDefault="00B92318" w:rsidP="00B92318">
            <w:pPr>
              <w:spacing w:after="0" w:line="240" w:lineRule="auto"/>
              <w:rPr>
                <w:rFonts w:ascii="Garamond" w:hAnsi="Garamond"/>
                <w:bCs/>
              </w:rPr>
            </w:pPr>
            <w:r w:rsidRPr="007114AF">
              <w:rPr>
                <w:rFonts w:ascii="Garamond" w:hAnsi="Garamond"/>
                <w:b/>
                <w:bCs/>
              </w:rPr>
              <w:t>Veprimi</w:t>
            </w:r>
            <w:r w:rsidR="00242009" w:rsidRPr="007114AF">
              <w:rPr>
                <w:rFonts w:ascii="Garamond" w:hAnsi="Garamond"/>
                <w:b/>
                <w:bCs/>
              </w:rPr>
              <w:t xml:space="preserve"> nr. </w:t>
            </w:r>
            <w:r w:rsidRPr="007114AF">
              <w:rPr>
                <w:rFonts w:ascii="Garamond" w:hAnsi="Garamond"/>
                <w:b/>
                <w:bCs/>
              </w:rPr>
              <w:t>1:</w:t>
            </w:r>
            <w:r w:rsidR="00D10DAB" w:rsidRPr="007114AF">
              <w:rPr>
                <w:rFonts w:ascii="Garamond" w:hAnsi="Garamond"/>
                <w:b/>
                <w:bCs/>
              </w:rPr>
              <w:t xml:space="preserve"> </w:t>
            </w:r>
            <w:r w:rsidRPr="007114AF">
              <w:rPr>
                <w:rFonts w:ascii="Garamond" w:hAnsi="Garamond"/>
                <w:bCs/>
              </w:rPr>
              <w:t>Rritja e temperaturave do t</w:t>
            </w:r>
            <w:r w:rsidR="00D10DAB" w:rsidRPr="007114AF">
              <w:rPr>
                <w:rFonts w:ascii="Garamond" w:hAnsi="Garamond"/>
                <w:bCs/>
              </w:rPr>
              <w:t>’</w:t>
            </w:r>
            <w:r w:rsidRPr="007114AF">
              <w:rPr>
                <w:rFonts w:ascii="Garamond" w:hAnsi="Garamond"/>
                <w:bCs/>
              </w:rPr>
              <w:t>i zgjasë stinët. Pritet një rritje e përqendrimit të CO</w:t>
            </w:r>
            <w:r w:rsidRPr="007114AF">
              <w:rPr>
                <w:rFonts w:ascii="Garamond" w:hAnsi="Garamond"/>
                <w:bCs/>
                <w:vertAlign w:val="subscript"/>
              </w:rPr>
              <w:t>2</w:t>
            </w:r>
            <w:r w:rsidRPr="007114AF">
              <w:rPr>
                <w:rFonts w:ascii="Garamond" w:hAnsi="Garamond"/>
                <w:bCs/>
              </w:rPr>
              <w:t>, që do të prekë edhe rritjen e bimëve, si edhe në varësi të zonës, do të ketë një rritje të sasisë së shirave, rritje të erozionit të tokës dhe një ndryshim të burimeve ujore. Për këto arsye, nevojitet një mbrojtje e madhee fermave dhe disa prej konstatimeve që dalin në dritë lidhen kryesisht me mënyrat alternative për sistemet e përdorura nga fermeret</w:t>
            </w:r>
            <w:r w:rsidR="003F649E" w:rsidRPr="007114AF">
              <w:rPr>
                <w:rFonts w:ascii="Garamond" w:hAnsi="Garamond"/>
                <w:bCs/>
              </w:rPr>
              <w:t>,</w:t>
            </w:r>
            <w:r w:rsidRPr="007114AF">
              <w:rPr>
                <w:rFonts w:ascii="Garamond" w:hAnsi="Garamond"/>
                <w:bCs/>
              </w:rPr>
              <w:t xml:space="preserve"> si rritja e numrit të serrave, tuneleve dhe barrierave bimore, sistemeve të mbrojtjes nga breshëri etj.)</w:t>
            </w:r>
            <w:r w:rsidR="004A4D86" w:rsidRPr="007114AF">
              <w:rPr>
                <w:rFonts w:ascii="Garamond" w:hAnsi="Garamond"/>
                <w:bCs/>
              </w:rPr>
              <w:t>.</w:t>
            </w:r>
          </w:p>
          <w:p w14:paraId="6EDD0F3F" w14:textId="70CA402F" w:rsidR="00B92318" w:rsidRPr="007114AF" w:rsidRDefault="00B92318" w:rsidP="00B92318">
            <w:pPr>
              <w:spacing w:after="0" w:line="240" w:lineRule="auto"/>
              <w:rPr>
                <w:rFonts w:ascii="Garamond" w:hAnsi="Garamond"/>
                <w:bCs/>
                <w:iCs/>
              </w:rPr>
            </w:pPr>
            <w:r w:rsidRPr="007114AF">
              <w:rPr>
                <w:rFonts w:ascii="Garamond" w:hAnsi="Garamond"/>
                <w:b/>
                <w:bCs/>
              </w:rPr>
              <w:t>Veprimi</w:t>
            </w:r>
            <w:r w:rsidR="00242009" w:rsidRPr="007114AF">
              <w:rPr>
                <w:rFonts w:ascii="Garamond" w:hAnsi="Garamond"/>
                <w:b/>
                <w:bCs/>
              </w:rPr>
              <w:t xml:space="preserve"> nr. </w:t>
            </w:r>
            <w:r w:rsidRPr="007114AF">
              <w:rPr>
                <w:rFonts w:ascii="Garamond" w:hAnsi="Garamond"/>
                <w:b/>
                <w:bCs/>
              </w:rPr>
              <w:t>2:</w:t>
            </w:r>
            <w:r w:rsidRPr="007114AF">
              <w:rPr>
                <w:rFonts w:ascii="Garamond" w:hAnsi="Garamond"/>
                <w:bCs/>
              </w:rPr>
              <w:t xml:space="preserve"> Rënia e sasisë së reshjeve dhe rritja e luhatshmërisë së tyre, si edhe rritja e temperaturave dhe e shpeshtësisë së dukurive të motit ekstrem, do të kenë si rezultat pakësim të sasisë, sigurisë dhe cilësisë, sa u takon kulturave bujqësore, mosrritje të tyre, dhe në zona të veçanta, edhe erozion të tokës. Kulturat e rrushit dhe ullirit, të cilat në Shqipëri janë kultura ujëdashëse, kanë një potencial të lartë t</w:t>
            </w:r>
            <w:r w:rsidR="00D10DAB" w:rsidRPr="007114AF">
              <w:rPr>
                <w:rFonts w:ascii="Garamond" w:hAnsi="Garamond"/>
                <w:bCs/>
              </w:rPr>
              <w:t>’</w:t>
            </w:r>
            <w:r w:rsidRPr="007114AF">
              <w:rPr>
                <w:rFonts w:ascii="Garamond" w:hAnsi="Garamond"/>
                <w:bCs/>
              </w:rPr>
              <w:t>u bjerë rendimenti. foragjeret për bagëti, gruri dhe jonxha kanë një potencial të lartë për rritje të rendimentit, për shkak të pasojave pozitive të rritjes së temperaturave dhe zgjatjes së sezonit të rritjes. Rendimenti i domates së fushës mund të bjerë paksa. Ekziston potenciali për pasoja më të konsiderueshme te kulturat e perimeve dhe frutave, si shalqiri, të cilat mund të vuajnë nga temperaturat e larta dhe thatësira, sidomos gjatë periudhave</w:t>
            </w:r>
            <w:r w:rsidR="000A2A01" w:rsidRPr="007114AF">
              <w:rPr>
                <w:rFonts w:ascii="Garamond" w:hAnsi="Garamond"/>
                <w:bCs/>
              </w:rPr>
              <w:t xml:space="preserve"> </w:t>
            </w:r>
            <w:r w:rsidRPr="007114AF">
              <w:rPr>
                <w:rFonts w:ascii="Garamond" w:hAnsi="Garamond"/>
                <w:bCs/>
              </w:rPr>
              <w:t>të rëndësishme të rritjes së tyre. Për pasojë, shumë prej masave të përshtatjes klimatike të cilat duhen identifikuar do të kenë efekte të menjëhershme për rritjene rendimentit, si edhe për përmirësimin e aftësisë rimëkëmbëse ndaj ndryshimeve klimatike në të ardhmen. Në këtë kuadër, është e rëndësishme të sigurohen varietete farash me aftësi më të lartë përshtatëse ndaj klimës së ndryshuar, të optimizohen plehrat bujqësore, të përmirësohen dhe përshtaten teknikat e kultivimit, të përgatiten modele të kulturave bujqësore, të rehabilitohet dhe përmirësohet sistemi i ujitjes dhe kullimit (shih veprimin prioritar 8) etj.</w:t>
            </w:r>
          </w:p>
          <w:p w14:paraId="6EDD0F40" w14:textId="0B24B382" w:rsidR="00B92318" w:rsidRPr="007114AF" w:rsidRDefault="00B92318" w:rsidP="00B92318">
            <w:pPr>
              <w:spacing w:after="0" w:line="240" w:lineRule="auto"/>
              <w:rPr>
                <w:rFonts w:ascii="Garamond" w:hAnsi="Garamond"/>
                <w:bCs/>
                <w:iCs/>
              </w:rPr>
            </w:pPr>
            <w:r w:rsidRPr="007114AF">
              <w:rPr>
                <w:rFonts w:ascii="Garamond" w:hAnsi="Garamond"/>
                <w:b/>
                <w:bCs/>
              </w:rPr>
              <w:t>Veprimi</w:t>
            </w:r>
            <w:r w:rsidR="00242009" w:rsidRPr="007114AF">
              <w:rPr>
                <w:rFonts w:ascii="Garamond" w:hAnsi="Garamond"/>
                <w:b/>
                <w:bCs/>
              </w:rPr>
              <w:t xml:space="preserve"> nr. </w:t>
            </w:r>
            <w:r w:rsidRPr="007114AF">
              <w:rPr>
                <w:rFonts w:ascii="Garamond" w:hAnsi="Garamond"/>
                <w:b/>
                <w:bCs/>
              </w:rPr>
              <w:t>3:</w:t>
            </w:r>
            <w:r w:rsidRPr="007114AF">
              <w:rPr>
                <w:rFonts w:ascii="Garamond" w:hAnsi="Garamond"/>
                <w:bCs/>
                <w:iCs/>
              </w:rPr>
              <w:t xml:space="preserve"> Masat e efektshme të përshtatjes kanë nevojë për informacion më të mirë programatik. Një pjesë e madhe e kapacitetit për përshtatjen, varet nga një nivel i lartë funksionaliteti i të dhënave (të dhënat hidrometeorologjike dhe ato gjeohapësinore, në mënyrë që të sigurohet mbështetje e fermerëve). Tani për tani, në Shqipëri ekzistojnë këto sisteme, por ato duhen përmirësuar për të rritur mundësitë e </w:t>
            </w:r>
            <w:r w:rsidR="00D565A2" w:rsidRPr="007114AF">
              <w:rPr>
                <w:rFonts w:ascii="Garamond" w:hAnsi="Garamond"/>
                <w:bCs/>
                <w:iCs/>
              </w:rPr>
              <w:t xml:space="preserve">fermerëve </w:t>
            </w:r>
            <w:r w:rsidRPr="007114AF">
              <w:rPr>
                <w:rFonts w:ascii="Garamond" w:hAnsi="Garamond"/>
                <w:bCs/>
                <w:iCs/>
              </w:rPr>
              <w:t xml:space="preserve">për të marrë informacionin e gatshëm dhe për të shfrytëzuar teknologjinë më të fundit, për përshtatjen ndaj ndryshimeve klimatike, për të përmirësuar shpërndarjen e të dhënave hidrometeorologjike, potencialin kullues dhe përshtatshmërinë e kulturave bujqësore. </w:t>
            </w:r>
          </w:p>
          <w:p w14:paraId="6EDD0F41" w14:textId="7446E49A" w:rsidR="00B92318" w:rsidRPr="007114AF" w:rsidRDefault="00B92318" w:rsidP="00B92318">
            <w:pPr>
              <w:spacing w:after="0" w:line="240" w:lineRule="auto"/>
              <w:rPr>
                <w:rFonts w:ascii="Garamond" w:hAnsi="Garamond"/>
                <w:bCs/>
              </w:rPr>
            </w:pPr>
            <w:r w:rsidRPr="007114AF">
              <w:rPr>
                <w:rFonts w:ascii="Garamond" w:hAnsi="Garamond"/>
                <w:b/>
                <w:bCs/>
              </w:rPr>
              <w:t>Veprimi</w:t>
            </w:r>
            <w:r w:rsidR="00242009" w:rsidRPr="007114AF">
              <w:rPr>
                <w:rFonts w:ascii="Garamond" w:hAnsi="Garamond"/>
                <w:b/>
                <w:bCs/>
              </w:rPr>
              <w:t xml:space="preserve"> nr. </w:t>
            </w:r>
            <w:r w:rsidRPr="007114AF">
              <w:rPr>
                <w:rFonts w:ascii="Garamond" w:hAnsi="Garamond"/>
                <w:b/>
                <w:bCs/>
              </w:rPr>
              <w:t>4:</w:t>
            </w:r>
            <w:r w:rsidRPr="007114AF">
              <w:rPr>
                <w:rFonts w:ascii="Garamond" w:hAnsi="Garamond"/>
                <w:bCs/>
              </w:rPr>
              <w:t xml:space="preserve"> Ndryshimet klimatike paraqesin një rrezik madhor edhe sa i takon blegtorisë. Rritja e temperaturave mund të ndikoj</w:t>
            </w:r>
            <w:r w:rsidR="00D565A2" w:rsidRPr="007114AF">
              <w:rPr>
                <w:rFonts w:ascii="Garamond" w:hAnsi="Garamond"/>
                <w:bCs/>
              </w:rPr>
              <w:t>ë</w:t>
            </w:r>
            <w:r w:rsidRPr="007114AF">
              <w:rPr>
                <w:rFonts w:ascii="Garamond" w:hAnsi="Garamond"/>
                <w:bCs/>
              </w:rPr>
              <w:t xml:space="preserve"> n</w:t>
            </w:r>
            <w:r w:rsidR="0000517F">
              <w:rPr>
                <w:rFonts w:ascii="Garamond" w:hAnsi="Garamond"/>
                <w:bCs/>
              </w:rPr>
              <w:t>ë</w:t>
            </w:r>
            <w:r w:rsidRPr="007114AF">
              <w:rPr>
                <w:rFonts w:ascii="Garamond" w:hAnsi="Garamond"/>
                <w:bCs/>
              </w:rPr>
              <w:t xml:space="preserve"> produktivitetin në blegtori ose mund të rrisë shkallën e vdekshmërisë në raste ekstreme t</w:t>
            </w:r>
            <w:r w:rsidR="00D565A2" w:rsidRPr="007114AF">
              <w:rPr>
                <w:rFonts w:ascii="Garamond" w:hAnsi="Garamond"/>
                <w:bCs/>
              </w:rPr>
              <w:t>ë</w:t>
            </w:r>
            <w:r w:rsidRPr="007114AF">
              <w:rPr>
                <w:rFonts w:ascii="Garamond" w:hAnsi="Garamond"/>
                <w:bCs/>
              </w:rPr>
              <w:t xml:space="preserve"> klim</w:t>
            </w:r>
            <w:r w:rsidR="00D565A2" w:rsidRPr="007114AF">
              <w:rPr>
                <w:rFonts w:ascii="Garamond" w:hAnsi="Garamond"/>
                <w:bCs/>
              </w:rPr>
              <w:t>ë</w:t>
            </w:r>
            <w:r w:rsidRPr="007114AF">
              <w:rPr>
                <w:rFonts w:ascii="Garamond" w:hAnsi="Garamond"/>
                <w:bCs/>
              </w:rPr>
              <w:t>s. Rritja e temperaturave dhe ndryshimi i sasis</w:t>
            </w:r>
            <w:r w:rsidR="00D565A2" w:rsidRPr="007114AF">
              <w:rPr>
                <w:rFonts w:ascii="Garamond" w:hAnsi="Garamond"/>
                <w:bCs/>
              </w:rPr>
              <w:t>ë</w:t>
            </w:r>
            <w:r w:rsidR="000A2A01" w:rsidRPr="007114AF">
              <w:rPr>
                <w:rFonts w:ascii="Garamond" w:hAnsi="Garamond"/>
                <w:bCs/>
              </w:rPr>
              <w:t xml:space="preserve"> </w:t>
            </w:r>
            <w:r w:rsidRPr="007114AF">
              <w:rPr>
                <w:rFonts w:ascii="Garamond" w:hAnsi="Garamond"/>
                <w:bCs/>
              </w:rPr>
              <w:t>së reshjeve mund të rrisë përhapjen e sëmundjeve ekzistuese vektoriale dhe përhapjen e makroparazitëve, shoqëruar dhe me përhapjen e sëmundjeve të reja. Në ndikimet indirekte të ndryshimeve klimatike n</w:t>
            </w:r>
            <w:r w:rsidR="0000517F">
              <w:rPr>
                <w:rFonts w:ascii="Garamond" w:hAnsi="Garamond"/>
                <w:bCs/>
              </w:rPr>
              <w:t>ë</w:t>
            </w:r>
            <w:r w:rsidRPr="007114AF">
              <w:rPr>
                <w:rFonts w:ascii="Garamond" w:hAnsi="Garamond"/>
                <w:bCs/>
              </w:rPr>
              <w:t xml:space="preserve"> blegtori</w:t>
            </w:r>
            <w:r w:rsidR="000A2A01" w:rsidRPr="007114AF">
              <w:rPr>
                <w:rFonts w:ascii="Garamond" w:hAnsi="Garamond"/>
                <w:bCs/>
              </w:rPr>
              <w:t xml:space="preserve"> </w:t>
            </w:r>
            <w:r w:rsidRPr="007114AF">
              <w:rPr>
                <w:rFonts w:ascii="Garamond" w:hAnsi="Garamond"/>
                <w:bCs/>
              </w:rPr>
              <w:t>përfshihet ndikimi n</w:t>
            </w:r>
            <w:r w:rsidR="0000517F">
              <w:rPr>
                <w:rFonts w:ascii="Garamond" w:hAnsi="Garamond"/>
                <w:bCs/>
              </w:rPr>
              <w:t>ë</w:t>
            </w:r>
            <w:r w:rsidRPr="007114AF">
              <w:rPr>
                <w:rFonts w:ascii="Garamond" w:hAnsi="Garamond"/>
                <w:bCs/>
              </w:rPr>
              <w:t xml:space="preserve"> mjaftueshm</w:t>
            </w:r>
            <w:r w:rsidR="00D565A2" w:rsidRPr="007114AF">
              <w:rPr>
                <w:rFonts w:ascii="Garamond" w:hAnsi="Garamond"/>
                <w:bCs/>
              </w:rPr>
              <w:t>ë</w:t>
            </w:r>
            <w:r w:rsidRPr="007114AF">
              <w:rPr>
                <w:rFonts w:ascii="Garamond" w:hAnsi="Garamond"/>
                <w:bCs/>
              </w:rPr>
              <w:t>rin</w:t>
            </w:r>
            <w:r w:rsidR="00D565A2" w:rsidRPr="007114AF">
              <w:rPr>
                <w:rFonts w:ascii="Garamond" w:hAnsi="Garamond"/>
                <w:bCs/>
              </w:rPr>
              <w:t>ë</w:t>
            </w:r>
            <w:r w:rsidRPr="007114AF">
              <w:rPr>
                <w:rFonts w:ascii="Garamond" w:hAnsi="Garamond"/>
                <w:bCs/>
              </w:rPr>
              <w:t xml:space="preserve"> e ushqimit p</w:t>
            </w:r>
            <w:r w:rsidR="00D565A2" w:rsidRPr="007114AF">
              <w:rPr>
                <w:rFonts w:ascii="Garamond" w:hAnsi="Garamond"/>
                <w:bCs/>
              </w:rPr>
              <w:t>ë</w:t>
            </w:r>
            <w:r w:rsidRPr="007114AF">
              <w:rPr>
                <w:rFonts w:ascii="Garamond" w:hAnsi="Garamond"/>
                <w:bCs/>
              </w:rPr>
              <w:t>r kafsh</w:t>
            </w:r>
            <w:r w:rsidR="00D565A2" w:rsidRPr="007114AF">
              <w:rPr>
                <w:rFonts w:ascii="Garamond" w:hAnsi="Garamond"/>
                <w:bCs/>
              </w:rPr>
              <w:t>ë</w:t>
            </w:r>
            <w:r w:rsidR="000A2A01" w:rsidRPr="007114AF">
              <w:rPr>
                <w:rFonts w:ascii="Garamond" w:hAnsi="Garamond"/>
                <w:bCs/>
              </w:rPr>
              <w:t xml:space="preserve"> </w:t>
            </w:r>
            <w:r w:rsidRPr="007114AF">
              <w:rPr>
                <w:rFonts w:ascii="Garamond" w:hAnsi="Garamond"/>
                <w:bCs/>
              </w:rPr>
              <w:t>(sidomos misri i cili</w:t>
            </w:r>
            <w:r w:rsidR="00A97D51" w:rsidRPr="007114AF">
              <w:rPr>
                <w:rFonts w:ascii="Garamond" w:hAnsi="Garamond"/>
                <w:bCs/>
              </w:rPr>
              <w:t xml:space="preserve"> </w:t>
            </w:r>
            <w:r w:rsidRPr="007114AF">
              <w:rPr>
                <w:rFonts w:ascii="Garamond" w:hAnsi="Garamond"/>
                <w:bCs/>
              </w:rPr>
              <w:t>kërkon</w:t>
            </w:r>
            <w:r w:rsidR="00D565A2" w:rsidRPr="007114AF">
              <w:rPr>
                <w:rFonts w:ascii="Garamond" w:hAnsi="Garamond"/>
                <w:bCs/>
              </w:rPr>
              <w:t xml:space="preserve"> </w:t>
            </w:r>
            <w:r w:rsidRPr="007114AF">
              <w:rPr>
                <w:rFonts w:ascii="Garamond" w:hAnsi="Garamond"/>
                <w:bCs/>
              </w:rPr>
              <w:t>sasi të mëdha uji, duke qenë se është burimi kryesor i koncentratit të përdorur si ushqim p</w:t>
            </w:r>
            <w:r w:rsidR="00D565A2" w:rsidRPr="007114AF">
              <w:rPr>
                <w:rFonts w:ascii="Garamond" w:hAnsi="Garamond"/>
                <w:bCs/>
              </w:rPr>
              <w:t>ë</w:t>
            </w:r>
            <w:r w:rsidRPr="007114AF">
              <w:rPr>
                <w:rFonts w:ascii="Garamond" w:hAnsi="Garamond"/>
                <w:bCs/>
              </w:rPr>
              <w:t>r kafsh</w:t>
            </w:r>
            <w:r w:rsidR="00D565A2" w:rsidRPr="007114AF">
              <w:rPr>
                <w:rFonts w:ascii="Garamond" w:hAnsi="Garamond"/>
                <w:bCs/>
              </w:rPr>
              <w:t>ë</w:t>
            </w:r>
            <w:r w:rsidRPr="007114AF">
              <w:rPr>
                <w:rFonts w:ascii="Garamond" w:hAnsi="Garamond"/>
                <w:bCs/>
              </w:rPr>
              <w:t>t.</w:t>
            </w:r>
          </w:p>
          <w:p w14:paraId="6EDD0F42" w14:textId="77777777" w:rsidR="00B92318" w:rsidRPr="007114AF" w:rsidRDefault="00B92318" w:rsidP="00B92318">
            <w:pPr>
              <w:spacing w:after="0" w:line="240" w:lineRule="auto"/>
              <w:rPr>
                <w:rFonts w:ascii="Garamond" w:hAnsi="Garamond"/>
                <w:b/>
                <w:bCs/>
              </w:rPr>
            </w:pPr>
            <w:r w:rsidRPr="007114AF">
              <w:rPr>
                <w:rFonts w:ascii="Garamond" w:hAnsi="Garamond"/>
                <w:bCs/>
              </w:rPr>
              <w:t>Brenda vitit 2040, priten humbje në rreth 35% në prodhimin e pulave dhe gjedhëve, për shkak të temperaturave të pritshme tejet të larta. Për këtë arsye, ka rëndësi ngritja e mjediseve të standardizuara për strehimin e bagëtive, monitorimi dhe mbajtja në kontroll e përhapjes së sëmundjeve ekzistuese vektoriale dhe të makroparazitëve, mirëmbajtja dhe riparimi i infrastrukturës ujitëse etj.</w:t>
            </w:r>
          </w:p>
        </w:tc>
      </w:tr>
      <w:tr w:rsidR="00B92318" w:rsidRPr="007114AF" w14:paraId="6EDD0F54" w14:textId="77777777" w:rsidTr="00574660">
        <w:tc>
          <w:tcPr>
            <w:tcW w:w="9212" w:type="dxa"/>
            <w:gridSpan w:val="2"/>
            <w:shd w:val="clear" w:color="auto" w:fill="auto"/>
          </w:tcPr>
          <w:p w14:paraId="6EDD0F44" w14:textId="77777777" w:rsidR="00B92318" w:rsidRPr="007114AF" w:rsidRDefault="00B92318" w:rsidP="00B92318">
            <w:pPr>
              <w:spacing w:after="0" w:line="240" w:lineRule="auto"/>
              <w:rPr>
                <w:rFonts w:ascii="Garamond" w:hAnsi="Garamond"/>
                <w:b/>
                <w:bCs/>
              </w:rPr>
            </w:pPr>
            <w:r w:rsidRPr="007114AF">
              <w:rPr>
                <w:rFonts w:ascii="Garamond" w:hAnsi="Garamond"/>
                <w:b/>
                <w:bCs/>
              </w:rPr>
              <w:t>Arsyetimi / objektivat / treguesit</w:t>
            </w:r>
          </w:p>
          <w:p w14:paraId="6EDD0F45" w14:textId="77777777" w:rsidR="00B92318" w:rsidRPr="007114AF" w:rsidRDefault="00B92318" w:rsidP="00B92318">
            <w:pPr>
              <w:spacing w:after="0" w:line="240" w:lineRule="auto"/>
              <w:rPr>
                <w:rFonts w:ascii="Garamond" w:hAnsi="Garamond"/>
                <w:bCs/>
              </w:rPr>
            </w:pPr>
            <w:r w:rsidRPr="007114AF">
              <w:rPr>
                <w:rFonts w:ascii="Garamond" w:hAnsi="Garamond"/>
                <w:bCs/>
              </w:rPr>
              <w:t>Ky veprim prioritar trajton përshtatjen ndaj ndryshimeve klimatike në bujqësi, në katër fusha. Prandaj, edhe objektivat për këtë veprim prioritar janë hartuar sipas fushave të identifikuara.</w:t>
            </w:r>
          </w:p>
          <w:p w14:paraId="6EDD0F46" w14:textId="3A07B85B" w:rsidR="00B92318" w:rsidRPr="007114AF" w:rsidRDefault="00B92318" w:rsidP="00B92318">
            <w:pPr>
              <w:spacing w:after="0" w:line="240" w:lineRule="auto"/>
              <w:rPr>
                <w:rFonts w:ascii="Garamond" w:hAnsi="Garamond"/>
                <w:bCs/>
              </w:rPr>
            </w:pPr>
            <w:r w:rsidRPr="007114AF">
              <w:rPr>
                <w:rFonts w:ascii="Garamond" w:hAnsi="Garamond"/>
                <w:bCs/>
              </w:rPr>
              <w:t>Veprimi</w:t>
            </w:r>
            <w:r w:rsidR="00242009" w:rsidRPr="007114AF">
              <w:rPr>
                <w:rFonts w:ascii="Garamond" w:hAnsi="Garamond"/>
                <w:bCs/>
              </w:rPr>
              <w:t xml:space="preserve"> nr. </w:t>
            </w:r>
            <w:r w:rsidRPr="007114AF">
              <w:rPr>
                <w:rFonts w:ascii="Garamond" w:hAnsi="Garamond"/>
                <w:bCs/>
              </w:rPr>
              <w:t>1</w:t>
            </w:r>
          </w:p>
          <w:p w14:paraId="6EDD0F47" w14:textId="04B48403" w:rsidR="00B92318" w:rsidRPr="007114AF" w:rsidRDefault="00B92318" w:rsidP="00037830">
            <w:pPr>
              <w:numPr>
                <w:ilvl w:val="0"/>
                <w:numId w:val="62"/>
              </w:numPr>
              <w:spacing w:after="0" w:line="240" w:lineRule="auto"/>
              <w:ind w:left="0" w:firstLine="0"/>
              <w:rPr>
                <w:rFonts w:ascii="Garamond" w:hAnsi="Garamond"/>
                <w:bCs/>
              </w:rPr>
            </w:pPr>
            <w:r w:rsidRPr="007114AF">
              <w:rPr>
                <w:rFonts w:ascii="Garamond" w:hAnsi="Garamond"/>
                <w:bCs/>
              </w:rPr>
              <w:t xml:space="preserve"> Objektivi 1: Fermat </w:t>
            </w:r>
            <w:r w:rsidR="00AA3BEF" w:rsidRPr="007114AF">
              <w:rPr>
                <w:rFonts w:ascii="Garamond" w:hAnsi="Garamond"/>
                <w:bCs/>
              </w:rPr>
              <w:t>bujqësore</w:t>
            </w:r>
            <w:r w:rsidR="000A2A01" w:rsidRPr="007114AF">
              <w:rPr>
                <w:rFonts w:ascii="Garamond" w:hAnsi="Garamond"/>
                <w:bCs/>
              </w:rPr>
              <w:t xml:space="preserve"> </w:t>
            </w:r>
            <w:r w:rsidRPr="007114AF">
              <w:rPr>
                <w:rFonts w:ascii="Garamond" w:hAnsi="Garamond"/>
                <w:bCs/>
              </w:rPr>
              <w:t xml:space="preserve">përdorin me sukses infrastrukturën mbrojtëse, me një kosto totale prej 800 </w:t>
            </w:r>
            <w:r w:rsidR="001C47F0" w:rsidRPr="007114AF">
              <w:rPr>
                <w:rFonts w:ascii="Garamond" w:hAnsi="Garamond"/>
                <w:bCs/>
              </w:rPr>
              <w:t xml:space="preserve">milionë </w:t>
            </w:r>
            <w:r w:rsidRPr="007114AF">
              <w:rPr>
                <w:rFonts w:ascii="Garamond" w:hAnsi="Garamond"/>
                <w:bCs/>
              </w:rPr>
              <w:t>lekësh</w:t>
            </w:r>
          </w:p>
          <w:p w14:paraId="6EDD0F48" w14:textId="3251A84B" w:rsidR="00B92318" w:rsidRPr="007114AF" w:rsidRDefault="00B92318" w:rsidP="00037830">
            <w:pPr>
              <w:numPr>
                <w:ilvl w:val="0"/>
                <w:numId w:val="63"/>
              </w:numPr>
              <w:spacing w:after="0" w:line="240" w:lineRule="auto"/>
              <w:ind w:left="0" w:firstLine="0"/>
              <w:rPr>
                <w:rFonts w:ascii="Garamond" w:hAnsi="Garamond"/>
                <w:bCs/>
              </w:rPr>
            </w:pPr>
            <w:r w:rsidRPr="007114AF">
              <w:rPr>
                <w:rFonts w:ascii="Garamond" w:hAnsi="Garamond"/>
                <w:bCs/>
              </w:rPr>
              <w:t xml:space="preserve">Treguesi 1:Numer </w:t>
            </w:r>
            <w:r w:rsidR="00AA3BEF" w:rsidRPr="007114AF">
              <w:rPr>
                <w:rFonts w:ascii="Garamond" w:hAnsi="Garamond"/>
                <w:bCs/>
              </w:rPr>
              <w:t>i</w:t>
            </w:r>
            <w:r w:rsidRPr="007114AF">
              <w:rPr>
                <w:rFonts w:ascii="Garamond" w:hAnsi="Garamond"/>
                <w:bCs/>
              </w:rPr>
              <w:t xml:space="preserve"> konsideruesh</w:t>
            </w:r>
            <w:r w:rsidR="00C155D8">
              <w:rPr>
                <w:rFonts w:ascii="Garamond" w:hAnsi="Garamond"/>
                <w:bCs/>
              </w:rPr>
              <w:t>ë</w:t>
            </w:r>
            <w:r w:rsidRPr="007114AF">
              <w:rPr>
                <w:rFonts w:ascii="Garamond" w:hAnsi="Garamond"/>
                <w:bCs/>
              </w:rPr>
              <w:t>m</w:t>
            </w:r>
            <w:r w:rsidR="000A2A01" w:rsidRPr="007114AF">
              <w:rPr>
                <w:rFonts w:ascii="Garamond" w:hAnsi="Garamond"/>
                <w:bCs/>
              </w:rPr>
              <w:t xml:space="preserve"> </w:t>
            </w:r>
            <w:r w:rsidRPr="007114AF">
              <w:rPr>
                <w:rFonts w:ascii="Garamond" w:hAnsi="Garamond"/>
                <w:bCs/>
              </w:rPr>
              <w:t>fermash jan</w:t>
            </w:r>
            <w:r w:rsidR="00AA3BEF" w:rsidRPr="007114AF">
              <w:rPr>
                <w:rFonts w:ascii="Garamond" w:hAnsi="Garamond"/>
                <w:bCs/>
              </w:rPr>
              <w:t>ë</w:t>
            </w:r>
            <w:r w:rsidRPr="007114AF">
              <w:rPr>
                <w:rFonts w:ascii="Garamond" w:hAnsi="Garamond"/>
                <w:bCs/>
              </w:rPr>
              <w:t xml:space="preserve"> mbështetur</w:t>
            </w:r>
            <w:r w:rsidR="000A2A01" w:rsidRPr="007114AF">
              <w:rPr>
                <w:rFonts w:ascii="Garamond" w:hAnsi="Garamond"/>
                <w:bCs/>
              </w:rPr>
              <w:t xml:space="preserve"> </w:t>
            </w:r>
            <w:r w:rsidRPr="007114AF">
              <w:rPr>
                <w:rFonts w:ascii="Garamond" w:hAnsi="Garamond"/>
                <w:bCs/>
              </w:rPr>
              <w:t>financiarisht për nd</w:t>
            </w:r>
            <w:r w:rsidR="00AA3BEF" w:rsidRPr="007114AF">
              <w:rPr>
                <w:rFonts w:ascii="Garamond" w:hAnsi="Garamond"/>
                <w:bCs/>
              </w:rPr>
              <w:t>ë</w:t>
            </w:r>
            <w:r w:rsidRPr="007114AF">
              <w:rPr>
                <w:rFonts w:ascii="Garamond" w:hAnsi="Garamond"/>
                <w:bCs/>
              </w:rPr>
              <w:t>rtimin</w:t>
            </w:r>
            <w:r w:rsidR="000A2A01" w:rsidRPr="007114AF">
              <w:rPr>
                <w:rFonts w:ascii="Garamond" w:hAnsi="Garamond"/>
                <w:bCs/>
              </w:rPr>
              <w:t xml:space="preserve"> </w:t>
            </w:r>
            <w:r w:rsidRPr="007114AF">
              <w:rPr>
                <w:rFonts w:ascii="Garamond" w:hAnsi="Garamond"/>
                <w:bCs/>
              </w:rPr>
              <w:t>e infrastrukturës mbrojtëse, si p.sh. ndërtimi i serrave, tuneleve, sistemeve të mbrojtjes nga breshëri.</w:t>
            </w:r>
          </w:p>
          <w:p w14:paraId="6EDD0F49" w14:textId="6D546AC4" w:rsidR="00B92318" w:rsidRPr="007114AF" w:rsidRDefault="00B92318" w:rsidP="00B92318">
            <w:pPr>
              <w:spacing w:after="0" w:line="240" w:lineRule="auto"/>
              <w:rPr>
                <w:rFonts w:ascii="Garamond" w:hAnsi="Garamond"/>
                <w:bCs/>
              </w:rPr>
            </w:pPr>
            <w:r w:rsidRPr="007114AF">
              <w:rPr>
                <w:rFonts w:ascii="Garamond" w:hAnsi="Garamond"/>
                <w:bCs/>
              </w:rPr>
              <w:t>Veprimi</w:t>
            </w:r>
            <w:r w:rsidR="00242009" w:rsidRPr="007114AF">
              <w:rPr>
                <w:rFonts w:ascii="Garamond" w:hAnsi="Garamond"/>
                <w:bCs/>
              </w:rPr>
              <w:t xml:space="preserve"> nr. </w:t>
            </w:r>
            <w:r w:rsidRPr="007114AF">
              <w:rPr>
                <w:rFonts w:ascii="Garamond" w:hAnsi="Garamond"/>
                <w:bCs/>
              </w:rPr>
              <w:t>2</w:t>
            </w:r>
          </w:p>
          <w:p w14:paraId="6EDD0F4A" w14:textId="01B206D0" w:rsidR="00B92318" w:rsidRPr="007114AF" w:rsidRDefault="00B92318" w:rsidP="00037830">
            <w:pPr>
              <w:numPr>
                <w:ilvl w:val="0"/>
                <w:numId w:val="64"/>
              </w:numPr>
              <w:spacing w:after="0" w:line="240" w:lineRule="auto"/>
              <w:ind w:left="0" w:firstLine="0"/>
              <w:rPr>
                <w:rFonts w:ascii="Garamond" w:hAnsi="Garamond"/>
                <w:bCs/>
              </w:rPr>
            </w:pPr>
            <w:r w:rsidRPr="007114AF">
              <w:rPr>
                <w:rFonts w:ascii="Garamond" w:hAnsi="Garamond"/>
                <w:bCs/>
              </w:rPr>
              <w:t>Objektivi 2: fermer</w:t>
            </w:r>
            <w:r w:rsidR="00AA3BEF" w:rsidRPr="007114AF">
              <w:rPr>
                <w:rFonts w:ascii="Garamond" w:hAnsi="Garamond"/>
                <w:bCs/>
              </w:rPr>
              <w:t>ë</w:t>
            </w:r>
            <w:r w:rsidRPr="007114AF">
              <w:rPr>
                <w:rFonts w:ascii="Garamond" w:hAnsi="Garamond"/>
                <w:bCs/>
              </w:rPr>
              <w:t>t përdorin teknologji bujq</w:t>
            </w:r>
            <w:r w:rsidR="00AA3BEF" w:rsidRPr="007114AF">
              <w:rPr>
                <w:rFonts w:ascii="Garamond" w:hAnsi="Garamond"/>
                <w:bCs/>
              </w:rPr>
              <w:t>ë</w:t>
            </w:r>
            <w:r w:rsidRPr="007114AF">
              <w:rPr>
                <w:rFonts w:ascii="Garamond" w:hAnsi="Garamond"/>
                <w:bCs/>
              </w:rPr>
              <w:t>sore t</w:t>
            </w:r>
            <w:r w:rsidR="00AA3BEF" w:rsidRPr="007114AF">
              <w:rPr>
                <w:rFonts w:ascii="Garamond" w:hAnsi="Garamond"/>
                <w:bCs/>
              </w:rPr>
              <w:t>ë</w:t>
            </w:r>
            <w:r w:rsidRPr="007114AF">
              <w:rPr>
                <w:rFonts w:ascii="Garamond" w:hAnsi="Garamond"/>
                <w:bCs/>
              </w:rPr>
              <w:t xml:space="preserve"> reja për menaxhimin</w:t>
            </w:r>
            <w:r w:rsidR="00C155D8">
              <w:rPr>
                <w:rFonts w:ascii="Garamond" w:hAnsi="Garamond"/>
                <w:bCs/>
              </w:rPr>
              <w:t xml:space="preserve"> </w:t>
            </w:r>
            <w:r w:rsidRPr="007114AF">
              <w:rPr>
                <w:rFonts w:ascii="Garamond" w:hAnsi="Garamond"/>
                <w:bCs/>
              </w:rPr>
              <w:t>e prodhimit</w:t>
            </w:r>
            <w:r w:rsidR="000A2A01" w:rsidRPr="007114AF">
              <w:rPr>
                <w:rFonts w:ascii="Garamond" w:hAnsi="Garamond"/>
                <w:bCs/>
              </w:rPr>
              <w:t xml:space="preserve"> </w:t>
            </w:r>
            <w:r w:rsidRPr="007114AF">
              <w:rPr>
                <w:rFonts w:ascii="Garamond" w:hAnsi="Garamond"/>
                <w:bCs/>
              </w:rPr>
              <w:t xml:space="preserve">të kulturave bujqësore. </w:t>
            </w:r>
          </w:p>
          <w:p w14:paraId="6EDD0F4B" w14:textId="5A77E7DD" w:rsidR="00B92318" w:rsidRPr="007114AF" w:rsidRDefault="00B92318" w:rsidP="00037830">
            <w:pPr>
              <w:numPr>
                <w:ilvl w:val="0"/>
                <w:numId w:val="61"/>
              </w:numPr>
              <w:spacing w:after="0" w:line="240" w:lineRule="auto"/>
              <w:ind w:left="0" w:firstLine="0"/>
              <w:rPr>
                <w:rFonts w:ascii="Garamond" w:hAnsi="Garamond"/>
                <w:bCs/>
              </w:rPr>
            </w:pPr>
            <w:r w:rsidRPr="007114AF">
              <w:rPr>
                <w:rFonts w:ascii="Garamond" w:hAnsi="Garamond"/>
                <w:bCs/>
              </w:rPr>
              <w:t xml:space="preserve">Treguesi 2.1: Një numër i caktuar teknologjish </w:t>
            </w:r>
            <w:r w:rsidR="00AA3BEF" w:rsidRPr="007114AF">
              <w:rPr>
                <w:rFonts w:ascii="Garamond" w:hAnsi="Garamond"/>
                <w:bCs/>
              </w:rPr>
              <w:t>bujqësore</w:t>
            </w:r>
            <w:r w:rsidRPr="007114AF">
              <w:rPr>
                <w:rFonts w:ascii="Garamond" w:hAnsi="Garamond"/>
                <w:bCs/>
              </w:rPr>
              <w:t xml:space="preserve"> të reja p</w:t>
            </w:r>
            <w:r w:rsidR="00AA3BEF" w:rsidRPr="007114AF">
              <w:rPr>
                <w:rFonts w:ascii="Garamond" w:hAnsi="Garamond"/>
                <w:bCs/>
              </w:rPr>
              <w:t>ë</w:t>
            </w:r>
            <w:r w:rsidRPr="007114AF">
              <w:rPr>
                <w:rFonts w:ascii="Garamond" w:hAnsi="Garamond"/>
                <w:bCs/>
              </w:rPr>
              <w:t>r prodhimin e</w:t>
            </w:r>
            <w:r w:rsidR="000A2A01" w:rsidRPr="007114AF">
              <w:rPr>
                <w:rFonts w:ascii="Garamond" w:hAnsi="Garamond"/>
                <w:bCs/>
              </w:rPr>
              <w:t xml:space="preserve"> </w:t>
            </w:r>
            <w:r w:rsidRPr="007114AF">
              <w:rPr>
                <w:rFonts w:ascii="Garamond" w:hAnsi="Garamond"/>
                <w:bCs/>
              </w:rPr>
              <w:t>kulturave bujqësore janë vënë në zbatim.</w:t>
            </w:r>
          </w:p>
          <w:p w14:paraId="6EDD0F4C" w14:textId="1DCD589C" w:rsidR="00B92318" w:rsidRPr="007114AF" w:rsidRDefault="00B92318" w:rsidP="00037830">
            <w:pPr>
              <w:numPr>
                <w:ilvl w:val="0"/>
                <w:numId w:val="61"/>
              </w:numPr>
              <w:spacing w:after="0" w:line="240" w:lineRule="auto"/>
              <w:ind w:left="0" w:firstLine="0"/>
              <w:rPr>
                <w:rFonts w:ascii="Garamond" w:hAnsi="Garamond"/>
                <w:bCs/>
              </w:rPr>
            </w:pPr>
            <w:r w:rsidRPr="007114AF">
              <w:rPr>
                <w:rFonts w:ascii="Garamond" w:hAnsi="Garamond"/>
                <w:bCs/>
              </w:rPr>
              <w:t xml:space="preserve">Treguesi 2.2: Rritje e kapaciteteve njerëzorë dhe institucionale </w:t>
            </w:r>
            <w:r w:rsidR="00AA3BEF" w:rsidRPr="007114AF">
              <w:rPr>
                <w:rFonts w:ascii="Garamond" w:hAnsi="Garamond"/>
                <w:bCs/>
              </w:rPr>
              <w:t>nëpërmjet</w:t>
            </w:r>
            <w:r w:rsidRPr="007114AF">
              <w:rPr>
                <w:rFonts w:ascii="Garamond" w:hAnsi="Garamond"/>
                <w:bCs/>
              </w:rPr>
              <w:t xml:space="preserve"> trajnimeve</w:t>
            </w:r>
            <w:r w:rsidR="000A2A01" w:rsidRPr="007114AF">
              <w:rPr>
                <w:rFonts w:ascii="Garamond" w:hAnsi="Garamond"/>
                <w:bCs/>
              </w:rPr>
              <w:t xml:space="preserve"> </w:t>
            </w:r>
            <w:r w:rsidRPr="007114AF">
              <w:rPr>
                <w:rFonts w:ascii="Garamond" w:hAnsi="Garamond"/>
                <w:bCs/>
              </w:rPr>
              <w:t xml:space="preserve">të zhvilluara për </w:t>
            </w:r>
            <w:r w:rsidR="00AA3BEF" w:rsidRPr="007114AF">
              <w:rPr>
                <w:rFonts w:ascii="Garamond" w:hAnsi="Garamond"/>
                <w:bCs/>
              </w:rPr>
              <w:t>fermerët</w:t>
            </w:r>
            <w:r w:rsidRPr="007114AF">
              <w:rPr>
                <w:rFonts w:ascii="Garamond" w:hAnsi="Garamond"/>
                <w:bCs/>
              </w:rPr>
              <w:t xml:space="preserve"> dhe institucionet bujqësore.</w:t>
            </w:r>
          </w:p>
          <w:p w14:paraId="6EDD0F4D" w14:textId="02D687F3" w:rsidR="00B92318" w:rsidRPr="007114AF" w:rsidRDefault="00B92318" w:rsidP="00B92318">
            <w:pPr>
              <w:spacing w:after="0" w:line="240" w:lineRule="auto"/>
              <w:rPr>
                <w:rFonts w:ascii="Garamond" w:hAnsi="Garamond"/>
                <w:bCs/>
              </w:rPr>
            </w:pPr>
            <w:r w:rsidRPr="007114AF">
              <w:rPr>
                <w:rFonts w:ascii="Garamond" w:hAnsi="Garamond"/>
                <w:bCs/>
              </w:rPr>
              <w:t>Veprimi</w:t>
            </w:r>
            <w:r w:rsidR="00242009" w:rsidRPr="007114AF">
              <w:rPr>
                <w:rFonts w:ascii="Garamond" w:hAnsi="Garamond"/>
                <w:bCs/>
              </w:rPr>
              <w:t xml:space="preserve"> nr. </w:t>
            </w:r>
            <w:r w:rsidRPr="007114AF">
              <w:rPr>
                <w:rFonts w:ascii="Garamond" w:hAnsi="Garamond"/>
                <w:bCs/>
              </w:rPr>
              <w:t xml:space="preserve">3: </w:t>
            </w:r>
          </w:p>
          <w:p w14:paraId="6EDD0F4E" w14:textId="362CBB98" w:rsidR="00B92318" w:rsidRPr="007114AF" w:rsidRDefault="00B92318" w:rsidP="00037830">
            <w:pPr>
              <w:numPr>
                <w:ilvl w:val="0"/>
                <w:numId w:val="64"/>
              </w:numPr>
              <w:spacing w:after="0" w:line="240" w:lineRule="auto"/>
              <w:ind w:left="0" w:firstLine="0"/>
              <w:rPr>
                <w:rFonts w:ascii="Garamond" w:hAnsi="Garamond"/>
                <w:bCs/>
              </w:rPr>
            </w:pPr>
            <w:r w:rsidRPr="007114AF">
              <w:rPr>
                <w:rFonts w:ascii="Garamond" w:hAnsi="Garamond"/>
                <w:bCs/>
              </w:rPr>
              <w:t xml:space="preserve">Objektivi 3: Përmirësimi </w:t>
            </w:r>
            <w:r w:rsidR="00AA3BEF" w:rsidRPr="007114AF">
              <w:rPr>
                <w:rFonts w:ascii="Garamond" w:hAnsi="Garamond"/>
                <w:bCs/>
              </w:rPr>
              <w:t>mundësisë</w:t>
            </w:r>
            <w:r w:rsidRPr="007114AF">
              <w:rPr>
                <w:rFonts w:ascii="Garamond" w:hAnsi="Garamond"/>
                <w:bCs/>
              </w:rPr>
              <w:t xml:space="preserve"> s</w:t>
            </w:r>
            <w:r w:rsidR="00AA3BEF" w:rsidRPr="007114AF">
              <w:rPr>
                <w:rFonts w:ascii="Garamond" w:hAnsi="Garamond"/>
                <w:bCs/>
              </w:rPr>
              <w:t>ë</w:t>
            </w:r>
            <w:r w:rsidR="000A2A01" w:rsidRPr="007114AF">
              <w:rPr>
                <w:rFonts w:ascii="Garamond" w:hAnsi="Garamond"/>
                <w:bCs/>
              </w:rPr>
              <w:t xml:space="preserve"> </w:t>
            </w:r>
            <w:r w:rsidRPr="007114AF">
              <w:rPr>
                <w:rFonts w:ascii="Garamond" w:hAnsi="Garamond"/>
                <w:bCs/>
              </w:rPr>
              <w:t>marrjes s</w:t>
            </w:r>
            <w:r w:rsidR="00AA3BEF" w:rsidRPr="007114AF">
              <w:rPr>
                <w:rFonts w:ascii="Garamond" w:hAnsi="Garamond"/>
                <w:bCs/>
              </w:rPr>
              <w:t>ë</w:t>
            </w:r>
            <w:r w:rsidRPr="007114AF">
              <w:rPr>
                <w:rFonts w:ascii="Garamond" w:hAnsi="Garamond"/>
                <w:bCs/>
              </w:rPr>
              <w:t xml:space="preserve"> të dhënave mbi motin dhe burimet ujore me një kosto,</w:t>
            </w:r>
            <w:r w:rsidR="000A2A01" w:rsidRPr="007114AF">
              <w:rPr>
                <w:rFonts w:ascii="Garamond" w:hAnsi="Garamond"/>
                <w:bCs/>
              </w:rPr>
              <w:t xml:space="preserve"> </w:t>
            </w:r>
            <w:r w:rsidRPr="007114AF">
              <w:rPr>
                <w:rFonts w:ascii="Garamond" w:hAnsi="Garamond"/>
                <w:bCs/>
              </w:rPr>
              <w:t>vetëm për indikatorin 3.2, 15 milion</w:t>
            </w:r>
            <w:r w:rsidR="00AA3BEF" w:rsidRPr="007114AF">
              <w:rPr>
                <w:rFonts w:ascii="Garamond" w:hAnsi="Garamond"/>
                <w:bCs/>
              </w:rPr>
              <w:t>ë</w:t>
            </w:r>
            <w:r w:rsidRPr="007114AF">
              <w:rPr>
                <w:rFonts w:ascii="Garamond" w:hAnsi="Garamond"/>
                <w:bCs/>
              </w:rPr>
              <w:t xml:space="preserve"> lekë. </w:t>
            </w:r>
          </w:p>
          <w:p w14:paraId="6EDD0F4F" w14:textId="0FA74E1A" w:rsidR="00B92318" w:rsidRPr="007114AF" w:rsidRDefault="00B92318" w:rsidP="00037830">
            <w:pPr>
              <w:numPr>
                <w:ilvl w:val="0"/>
                <w:numId w:val="65"/>
              </w:numPr>
              <w:spacing w:after="0" w:line="240" w:lineRule="auto"/>
              <w:ind w:left="0" w:firstLine="0"/>
              <w:rPr>
                <w:rFonts w:ascii="Garamond" w:hAnsi="Garamond"/>
                <w:bCs/>
              </w:rPr>
            </w:pPr>
            <w:r w:rsidRPr="007114AF">
              <w:rPr>
                <w:rFonts w:ascii="Garamond" w:hAnsi="Garamond"/>
                <w:bCs/>
              </w:rPr>
              <w:t>Treguesi 3.1: ngritja e</w:t>
            </w:r>
            <w:r w:rsidR="000A2A01" w:rsidRPr="007114AF">
              <w:rPr>
                <w:rFonts w:ascii="Garamond" w:hAnsi="Garamond"/>
                <w:bCs/>
              </w:rPr>
              <w:t xml:space="preserve"> </w:t>
            </w:r>
            <w:r w:rsidRPr="007114AF">
              <w:rPr>
                <w:rFonts w:ascii="Garamond" w:hAnsi="Garamond"/>
                <w:bCs/>
              </w:rPr>
              <w:t>një sistemi për aksesimin dhe marrjen e të dhënave hidrometeorologjike dhe burimet ujore.</w:t>
            </w:r>
          </w:p>
          <w:p w14:paraId="6EDD0F50" w14:textId="562479B1" w:rsidR="00B92318" w:rsidRPr="007114AF" w:rsidRDefault="00B92318" w:rsidP="00037830">
            <w:pPr>
              <w:numPr>
                <w:ilvl w:val="0"/>
                <w:numId w:val="65"/>
              </w:numPr>
              <w:spacing w:after="0" w:line="240" w:lineRule="auto"/>
              <w:ind w:left="0" w:firstLine="0"/>
              <w:rPr>
                <w:rFonts w:ascii="Garamond" w:hAnsi="Garamond"/>
                <w:bCs/>
              </w:rPr>
            </w:pPr>
            <w:r w:rsidRPr="007114AF">
              <w:rPr>
                <w:rFonts w:ascii="Garamond" w:hAnsi="Garamond"/>
                <w:bCs/>
              </w:rPr>
              <w:t>Treguesi 3.2: Përmirësimi i</w:t>
            </w:r>
            <w:r w:rsidR="000A2A01" w:rsidRPr="007114AF">
              <w:rPr>
                <w:rFonts w:ascii="Garamond" w:hAnsi="Garamond"/>
                <w:bCs/>
              </w:rPr>
              <w:t xml:space="preserve"> </w:t>
            </w:r>
            <w:r w:rsidRPr="007114AF">
              <w:rPr>
                <w:rFonts w:ascii="Garamond" w:hAnsi="Garamond"/>
                <w:bCs/>
              </w:rPr>
              <w:t>kapaciteteve njerëzore dhe institucionale mbi</w:t>
            </w:r>
            <w:r w:rsidR="000A2A01" w:rsidRPr="007114AF">
              <w:rPr>
                <w:rFonts w:ascii="Garamond" w:hAnsi="Garamond"/>
                <w:bCs/>
              </w:rPr>
              <w:t xml:space="preserve"> </w:t>
            </w:r>
            <w:r w:rsidRPr="007114AF">
              <w:rPr>
                <w:rFonts w:ascii="Garamond" w:hAnsi="Garamond"/>
                <w:bCs/>
              </w:rPr>
              <w:t>praktikat më të mira për përshtatjen ndaj ndryshimeve klimatike dhe</w:t>
            </w:r>
            <w:r w:rsidR="000A2A01" w:rsidRPr="007114AF">
              <w:rPr>
                <w:rFonts w:ascii="Garamond" w:hAnsi="Garamond"/>
                <w:bCs/>
              </w:rPr>
              <w:t xml:space="preserve"> </w:t>
            </w:r>
            <w:r w:rsidRPr="007114AF">
              <w:rPr>
                <w:rFonts w:ascii="Garamond" w:hAnsi="Garamond"/>
                <w:bCs/>
              </w:rPr>
              <w:t>kontrollin e</w:t>
            </w:r>
            <w:r w:rsidR="000A2A01" w:rsidRPr="007114AF">
              <w:rPr>
                <w:rFonts w:ascii="Garamond" w:hAnsi="Garamond"/>
                <w:bCs/>
              </w:rPr>
              <w:t xml:space="preserve"> </w:t>
            </w:r>
            <w:r w:rsidRPr="007114AF">
              <w:rPr>
                <w:rFonts w:ascii="Garamond" w:hAnsi="Garamond"/>
                <w:bCs/>
              </w:rPr>
              <w:t xml:space="preserve">dëmtuesve. Kosto 15 </w:t>
            </w:r>
            <w:r w:rsidR="001C47F0" w:rsidRPr="007114AF">
              <w:rPr>
                <w:rFonts w:ascii="Garamond" w:hAnsi="Garamond"/>
                <w:bCs/>
              </w:rPr>
              <w:t xml:space="preserve">milionë </w:t>
            </w:r>
            <w:r w:rsidRPr="007114AF">
              <w:rPr>
                <w:rFonts w:ascii="Garamond" w:hAnsi="Garamond"/>
                <w:bCs/>
              </w:rPr>
              <w:t>lekë</w:t>
            </w:r>
          </w:p>
          <w:p w14:paraId="6EDD0F51" w14:textId="1AC66D29" w:rsidR="00B92318" w:rsidRPr="007114AF" w:rsidRDefault="00B92318" w:rsidP="00B92318">
            <w:pPr>
              <w:spacing w:after="0" w:line="240" w:lineRule="auto"/>
              <w:rPr>
                <w:rFonts w:ascii="Garamond" w:hAnsi="Garamond"/>
                <w:bCs/>
              </w:rPr>
            </w:pPr>
            <w:r w:rsidRPr="007114AF">
              <w:rPr>
                <w:rFonts w:ascii="Garamond" w:hAnsi="Garamond"/>
                <w:bCs/>
              </w:rPr>
              <w:t>Veprimi</w:t>
            </w:r>
            <w:r w:rsidR="00242009" w:rsidRPr="007114AF">
              <w:rPr>
                <w:rFonts w:ascii="Garamond" w:hAnsi="Garamond"/>
                <w:bCs/>
              </w:rPr>
              <w:t xml:space="preserve"> nr. </w:t>
            </w:r>
            <w:r w:rsidRPr="007114AF">
              <w:rPr>
                <w:rFonts w:ascii="Garamond" w:hAnsi="Garamond"/>
                <w:bCs/>
              </w:rPr>
              <w:t xml:space="preserve">4: </w:t>
            </w:r>
          </w:p>
          <w:p w14:paraId="6EDD0F52" w14:textId="4F39B556" w:rsidR="00B92318" w:rsidRPr="007114AF" w:rsidRDefault="00B92318" w:rsidP="00037830">
            <w:pPr>
              <w:numPr>
                <w:ilvl w:val="0"/>
                <w:numId w:val="64"/>
              </w:numPr>
              <w:spacing w:after="0" w:line="240" w:lineRule="auto"/>
              <w:ind w:left="0" w:firstLine="0"/>
              <w:rPr>
                <w:rFonts w:ascii="Garamond" w:hAnsi="Garamond"/>
                <w:bCs/>
              </w:rPr>
            </w:pPr>
            <w:r w:rsidRPr="007114AF">
              <w:rPr>
                <w:rFonts w:ascii="Garamond" w:hAnsi="Garamond"/>
                <w:bCs/>
              </w:rPr>
              <w:t xml:space="preserve">Objektivi 4: sigurimi </w:t>
            </w:r>
            <w:r w:rsidR="00AA3BEF" w:rsidRPr="007114AF">
              <w:rPr>
                <w:rFonts w:ascii="Garamond" w:hAnsi="Garamond"/>
                <w:bCs/>
              </w:rPr>
              <w:t>i</w:t>
            </w:r>
            <w:r w:rsidR="000A2A01" w:rsidRPr="007114AF">
              <w:rPr>
                <w:rFonts w:ascii="Garamond" w:hAnsi="Garamond"/>
                <w:bCs/>
              </w:rPr>
              <w:t xml:space="preserve"> </w:t>
            </w:r>
            <w:r w:rsidRPr="007114AF">
              <w:rPr>
                <w:rFonts w:ascii="Garamond" w:hAnsi="Garamond"/>
                <w:bCs/>
              </w:rPr>
              <w:t>përshtatjes p</w:t>
            </w:r>
            <w:r w:rsidR="00AA3BEF" w:rsidRPr="007114AF">
              <w:rPr>
                <w:rFonts w:ascii="Garamond" w:hAnsi="Garamond"/>
                <w:bCs/>
              </w:rPr>
              <w:t>ë</w:t>
            </w:r>
            <w:r w:rsidRPr="007114AF">
              <w:rPr>
                <w:rFonts w:ascii="Garamond" w:hAnsi="Garamond"/>
                <w:bCs/>
              </w:rPr>
              <w:t>r blegtorin</w:t>
            </w:r>
            <w:r w:rsidR="00AA3BEF" w:rsidRPr="007114AF">
              <w:rPr>
                <w:rFonts w:ascii="Garamond" w:hAnsi="Garamond"/>
                <w:bCs/>
              </w:rPr>
              <w:t>ë</w:t>
            </w:r>
            <w:r w:rsidRPr="007114AF">
              <w:rPr>
                <w:rFonts w:ascii="Garamond" w:hAnsi="Garamond"/>
                <w:bCs/>
              </w:rPr>
              <w:t xml:space="preserve">, </w:t>
            </w:r>
            <w:r w:rsidR="00AA3BEF" w:rsidRPr="007114AF">
              <w:rPr>
                <w:rFonts w:ascii="Garamond" w:hAnsi="Garamond"/>
                <w:bCs/>
              </w:rPr>
              <w:t>nëpërmjet</w:t>
            </w:r>
            <w:r w:rsidRPr="007114AF">
              <w:rPr>
                <w:rFonts w:ascii="Garamond" w:hAnsi="Garamond"/>
                <w:bCs/>
              </w:rPr>
              <w:t xml:space="preserve"> përdorimit të teknologjive të përparuara me një kosto totale prej 4 miliard</w:t>
            </w:r>
            <w:r w:rsidR="001C47F0" w:rsidRPr="007114AF">
              <w:rPr>
                <w:rFonts w:ascii="Garamond" w:hAnsi="Garamond"/>
                <w:bCs/>
              </w:rPr>
              <w:t>ë</w:t>
            </w:r>
            <w:r w:rsidRPr="007114AF">
              <w:rPr>
                <w:rFonts w:ascii="Garamond" w:hAnsi="Garamond"/>
                <w:bCs/>
              </w:rPr>
              <w:t xml:space="preserve"> lekë.</w:t>
            </w:r>
          </w:p>
          <w:p w14:paraId="6EDD0F53" w14:textId="1D0ED953" w:rsidR="00B92318" w:rsidRPr="007114AF" w:rsidRDefault="00B92318" w:rsidP="00AA3BEF">
            <w:pPr>
              <w:pStyle w:val="ListParagraph"/>
              <w:numPr>
                <w:ilvl w:val="0"/>
                <w:numId w:val="66"/>
              </w:numPr>
              <w:spacing w:before="0" w:after="0"/>
              <w:ind w:left="0" w:firstLine="0"/>
              <w:rPr>
                <w:rFonts w:ascii="Garamond" w:hAnsi="Garamond"/>
                <w:b/>
                <w:bCs/>
              </w:rPr>
            </w:pPr>
            <w:r w:rsidRPr="007114AF">
              <w:rPr>
                <w:rFonts w:ascii="Garamond" w:hAnsi="Garamond"/>
                <w:bCs/>
              </w:rPr>
              <w:t>Treguesi 4.1: Një numër masash përshtatëse</w:t>
            </w:r>
            <w:r w:rsidR="000A2A01" w:rsidRPr="007114AF">
              <w:rPr>
                <w:rFonts w:ascii="Garamond" w:hAnsi="Garamond"/>
                <w:bCs/>
              </w:rPr>
              <w:t xml:space="preserve"> </w:t>
            </w:r>
            <w:r w:rsidRPr="007114AF">
              <w:rPr>
                <w:rFonts w:ascii="Garamond" w:hAnsi="Garamond"/>
                <w:bCs/>
              </w:rPr>
              <w:t xml:space="preserve">për sigurimin e ushqimit </w:t>
            </w:r>
            <w:r w:rsidR="00AA3BEF" w:rsidRPr="007114AF">
              <w:rPr>
                <w:rFonts w:ascii="Garamond" w:hAnsi="Garamond"/>
                <w:bCs/>
              </w:rPr>
              <w:t>për</w:t>
            </w:r>
            <w:r w:rsidRPr="007114AF">
              <w:rPr>
                <w:rFonts w:ascii="Garamond" w:hAnsi="Garamond"/>
                <w:bCs/>
              </w:rPr>
              <w:t xml:space="preserve"> kafsh</w:t>
            </w:r>
            <w:r w:rsidR="00AA3BEF" w:rsidRPr="007114AF">
              <w:rPr>
                <w:rFonts w:ascii="Garamond" w:hAnsi="Garamond"/>
                <w:bCs/>
              </w:rPr>
              <w:t>ë</w:t>
            </w:r>
            <w:r w:rsidRPr="007114AF">
              <w:rPr>
                <w:rFonts w:ascii="Garamond" w:hAnsi="Garamond"/>
                <w:bCs/>
              </w:rPr>
              <w:t xml:space="preserve"> janë vënë në zbatim.</w:t>
            </w:r>
          </w:p>
        </w:tc>
      </w:tr>
      <w:tr w:rsidR="00B92318" w:rsidRPr="007114AF" w14:paraId="6EDD0F73" w14:textId="77777777" w:rsidTr="00574660">
        <w:tc>
          <w:tcPr>
            <w:tcW w:w="9212" w:type="dxa"/>
            <w:gridSpan w:val="2"/>
            <w:shd w:val="clear" w:color="auto" w:fill="auto"/>
          </w:tcPr>
          <w:p w14:paraId="6EDD0F55" w14:textId="77777777" w:rsidR="00B92318" w:rsidRPr="007114AF" w:rsidRDefault="00B92318" w:rsidP="00B92318">
            <w:pPr>
              <w:spacing w:after="0" w:line="240" w:lineRule="auto"/>
              <w:rPr>
                <w:rFonts w:ascii="Garamond" w:hAnsi="Garamond"/>
                <w:b/>
                <w:bCs/>
              </w:rPr>
            </w:pPr>
            <w:r w:rsidRPr="007114AF">
              <w:rPr>
                <w:rFonts w:ascii="Garamond" w:hAnsi="Garamond"/>
                <w:b/>
                <w:bCs/>
              </w:rPr>
              <w:t>Elementet kryesore dhe afatet e prioritar</w:t>
            </w:r>
          </w:p>
          <w:p w14:paraId="6EDD0F56" w14:textId="2655A427" w:rsidR="00B92318" w:rsidRPr="007114AF" w:rsidRDefault="00B92318" w:rsidP="00B92318">
            <w:pPr>
              <w:spacing w:after="0" w:line="240" w:lineRule="auto"/>
              <w:rPr>
                <w:rFonts w:ascii="Garamond" w:hAnsi="Garamond"/>
                <w:bCs/>
              </w:rPr>
            </w:pPr>
            <w:r w:rsidRPr="007114AF">
              <w:rPr>
                <w:rFonts w:ascii="Garamond" w:hAnsi="Garamond"/>
                <w:bCs/>
              </w:rPr>
              <w:t>Veprimi.1 (2017</w:t>
            </w:r>
            <w:r w:rsidR="00191838" w:rsidRPr="007114AF">
              <w:rPr>
                <w:rFonts w:ascii="Garamond" w:hAnsi="Garamond"/>
                <w:bCs/>
              </w:rPr>
              <w:t>–</w:t>
            </w:r>
            <w:r w:rsidRPr="007114AF">
              <w:rPr>
                <w:rFonts w:ascii="Garamond" w:hAnsi="Garamond"/>
                <w:bCs/>
              </w:rPr>
              <w:t>2020):</w:t>
            </w:r>
          </w:p>
          <w:p w14:paraId="6EDD0F57" w14:textId="77777777" w:rsidR="00B92318" w:rsidRPr="007114AF" w:rsidRDefault="00B92318" w:rsidP="00037830">
            <w:pPr>
              <w:numPr>
                <w:ilvl w:val="0"/>
                <w:numId w:val="38"/>
              </w:numPr>
              <w:spacing w:after="0" w:line="240" w:lineRule="auto"/>
              <w:ind w:left="0" w:firstLine="0"/>
              <w:rPr>
                <w:rFonts w:ascii="Garamond" w:hAnsi="Garamond"/>
                <w:bCs/>
              </w:rPr>
            </w:pPr>
            <w:r w:rsidRPr="007114AF">
              <w:rPr>
                <w:rFonts w:ascii="Garamond" w:hAnsi="Garamond"/>
                <w:bCs/>
              </w:rPr>
              <w:t xml:space="preserve">Ndërtimi i sistemeve të mbrojtjes nga breshëri (përdorimi i teknikës </w:t>
            </w:r>
            <w:r w:rsidRPr="007114AF">
              <w:rPr>
                <w:rFonts w:ascii="Garamond" w:hAnsi="Garamond"/>
                <w:bCs/>
                <w:i/>
              </w:rPr>
              <w:t>me re artificiale</w:t>
            </w:r>
            <w:r w:rsidRPr="007114AF">
              <w:rPr>
                <w:rFonts w:ascii="Garamond" w:hAnsi="Garamond"/>
                <w:bCs/>
              </w:rPr>
              <w:t>, i rrjetave mbrojtëse).</w:t>
            </w:r>
          </w:p>
          <w:p w14:paraId="6EDD0F58" w14:textId="77777777" w:rsidR="00B92318" w:rsidRPr="007114AF" w:rsidRDefault="00B92318" w:rsidP="00037830">
            <w:pPr>
              <w:numPr>
                <w:ilvl w:val="0"/>
                <w:numId w:val="38"/>
              </w:numPr>
              <w:spacing w:after="0" w:line="240" w:lineRule="auto"/>
              <w:ind w:left="0" w:firstLine="0"/>
              <w:rPr>
                <w:rFonts w:ascii="Garamond" w:hAnsi="Garamond"/>
                <w:bCs/>
              </w:rPr>
            </w:pPr>
            <w:r w:rsidRPr="007114AF">
              <w:rPr>
                <w:rFonts w:ascii="Garamond" w:hAnsi="Garamond"/>
                <w:bCs/>
              </w:rPr>
              <w:t>Mbjellja e brezave mbrojtës bimore sipas nevojës (orientuar nga ana gjeografike, aty ku ka më shumë nevojë).</w:t>
            </w:r>
          </w:p>
          <w:p w14:paraId="6EDD0F59" w14:textId="77777777" w:rsidR="00B92318" w:rsidRPr="007114AF" w:rsidRDefault="00B92318" w:rsidP="00037830">
            <w:pPr>
              <w:numPr>
                <w:ilvl w:val="0"/>
                <w:numId w:val="38"/>
              </w:numPr>
              <w:spacing w:after="0" w:line="240" w:lineRule="auto"/>
              <w:ind w:left="0" w:firstLine="0"/>
              <w:rPr>
                <w:rFonts w:ascii="Garamond" w:hAnsi="Garamond"/>
                <w:bCs/>
              </w:rPr>
            </w:pPr>
            <w:r w:rsidRPr="007114AF">
              <w:rPr>
                <w:rFonts w:ascii="Garamond" w:hAnsi="Garamond"/>
                <w:bCs/>
              </w:rPr>
              <w:t>Kalimi i kulturave bujqësore në serra.</w:t>
            </w:r>
          </w:p>
          <w:p w14:paraId="6EDD0F5A" w14:textId="2295F127" w:rsidR="00B92318" w:rsidRPr="007114AF" w:rsidRDefault="00B92318" w:rsidP="00037830">
            <w:pPr>
              <w:numPr>
                <w:ilvl w:val="0"/>
                <w:numId w:val="38"/>
              </w:numPr>
              <w:spacing w:after="0" w:line="240" w:lineRule="auto"/>
              <w:ind w:left="0" w:firstLine="0"/>
              <w:rPr>
                <w:rFonts w:ascii="Garamond" w:hAnsi="Garamond"/>
                <w:bCs/>
              </w:rPr>
            </w:pPr>
            <w:r w:rsidRPr="007114AF">
              <w:rPr>
                <w:rFonts w:ascii="Garamond" w:hAnsi="Garamond"/>
                <w:bCs/>
              </w:rPr>
              <w:t>Krijimi i barrierave vegjetative mbrojtëse,</w:t>
            </w:r>
            <w:r w:rsidR="00EC0E56" w:rsidRPr="007114AF">
              <w:rPr>
                <w:rFonts w:ascii="Garamond" w:hAnsi="Garamond"/>
                <w:bCs/>
              </w:rPr>
              <w:t xml:space="preserve"> </w:t>
            </w:r>
            <w:r w:rsidRPr="007114AF">
              <w:rPr>
                <w:rFonts w:ascii="Garamond" w:hAnsi="Garamond"/>
                <w:bCs/>
              </w:rPr>
              <w:t>gardheve për mbrojtjen nga</w:t>
            </w:r>
            <w:r w:rsidR="00EC0E56" w:rsidRPr="007114AF">
              <w:rPr>
                <w:rFonts w:ascii="Garamond" w:hAnsi="Garamond"/>
                <w:bCs/>
              </w:rPr>
              <w:t xml:space="preserve"> </w:t>
            </w:r>
            <w:r w:rsidRPr="007114AF">
              <w:rPr>
                <w:rFonts w:ascii="Garamond" w:hAnsi="Garamond"/>
                <w:bCs/>
              </w:rPr>
              <w:t>dëbora, mbulesave kundër erës, brezave pyjorë.</w:t>
            </w:r>
          </w:p>
          <w:p w14:paraId="6EDD0F5B" w14:textId="77777777" w:rsidR="00B92318" w:rsidRPr="007114AF" w:rsidRDefault="00B92318" w:rsidP="00037830">
            <w:pPr>
              <w:numPr>
                <w:ilvl w:val="0"/>
                <w:numId w:val="38"/>
              </w:numPr>
              <w:spacing w:after="0" w:line="240" w:lineRule="auto"/>
              <w:ind w:left="0" w:firstLine="0"/>
              <w:rPr>
                <w:rFonts w:ascii="Garamond" w:hAnsi="Garamond"/>
                <w:bCs/>
              </w:rPr>
            </w:pPr>
            <w:r w:rsidRPr="007114AF">
              <w:rPr>
                <w:rFonts w:ascii="Garamond" w:hAnsi="Garamond"/>
                <w:bCs/>
              </w:rPr>
              <w:t>Përdorimi i perdeve të tymit për të trajtuar brymën në fund të pranverës dhe fillim të vjeshtës.</w:t>
            </w:r>
          </w:p>
          <w:p w14:paraId="6EDD0F5C" w14:textId="500F47D5" w:rsidR="00B92318" w:rsidRPr="007114AF" w:rsidRDefault="00B92318" w:rsidP="00B92318">
            <w:pPr>
              <w:spacing w:after="0" w:line="240" w:lineRule="auto"/>
              <w:rPr>
                <w:rFonts w:ascii="Garamond" w:hAnsi="Garamond"/>
                <w:bCs/>
              </w:rPr>
            </w:pPr>
            <w:r w:rsidRPr="007114AF">
              <w:rPr>
                <w:rFonts w:ascii="Garamond" w:hAnsi="Garamond"/>
                <w:bCs/>
              </w:rPr>
              <w:t>Veprimi 2 (2017</w:t>
            </w:r>
            <w:r w:rsidR="00191838" w:rsidRPr="007114AF">
              <w:rPr>
                <w:rFonts w:ascii="Garamond" w:hAnsi="Garamond"/>
                <w:bCs/>
              </w:rPr>
              <w:t>–</w:t>
            </w:r>
            <w:r w:rsidRPr="007114AF">
              <w:rPr>
                <w:rFonts w:ascii="Garamond" w:hAnsi="Garamond"/>
                <w:bCs/>
              </w:rPr>
              <w:t xml:space="preserve">2020): </w:t>
            </w:r>
          </w:p>
          <w:p w14:paraId="6EDD0F5D" w14:textId="77777777" w:rsidR="00B92318" w:rsidRPr="007114AF" w:rsidRDefault="00B92318" w:rsidP="00037830">
            <w:pPr>
              <w:numPr>
                <w:ilvl w:val="0"/>
                <w:numId w:val="39"/>
              </w:numPr>
              <w:spacing w:after="0" w:line="240" w:lineRule="auto"/>
              <w:ind w:left="0" w:firstLine="0"/>
              <w:rPr>
                <w:rFonts w:ascii="Garamond" w:hAnsi="Garamond"/>
                <w:bCs/>
              </w:rPr>
            </w:pPr>
            <w:r w:rsidRPr="007114AF">
              <w:rPr>
                <w:rFonts w:ascii="Garamond" w:hAnsi="Garamond"/>
                <w:bCs/>
              </w:rPr>
              <w:t>Ndryshimi i teknikave të kultivimit.</w:t>
            </w:r>
          </w:p>
          <w:p w14:paraId="6EDD0F5E" w14:textId="77777777" w:rsidR="00B92318" w:rsidRPr="007114AF" w:rsidRDefault="00B92318" w:rsidP="00037830">
            <w:pPr>
              <w:numPr>
                <w:ilvl w:val="0"/>
                <w:numId w:val="39"/>
              </w:numPr>
              <w:spacing w:after="0" w:line="240" w:lineRule="auto"/>
              <w:ind w:left="0" w:firstLine="0"/>
              <w:rPr>
                <w:rFonts w:ascii="Garamond" w:hAnsi="Garamond"/>
                <w:bCs/>
              </w:rPr>
            </w:pPr>
            <w:r w:rsidRPr="007114AF">
              <w:rPr>
                <w:rFonts w:ascii="Garamond" w:hAnsi="Garamond"/>
                <w:bCs/>
              </w:rPr>
              <w:t>Punimi mbrojtësi tokës, diversifikimi dhe rrotacioni i kulturave bujqësore.</w:t>
            </w:r>
          </w:p>
          <w:p w14:paraId="6EDD0F5F" w14:textId="6D513184" w:rsidR="00B92318" w:rsidRPr="007114AF" w:rsidRDefault="00B92318" w:rsidP="00037830">
            <w:pPr>
              <w:numPr>
                <w:ilvl w:val="0"/>
                <w:numId w:val="39"/>
              </w:numPr>
              <w:spacing w:after="0" w:line="240" w:lineRule="auto"/>
              <w:ind w:left="0" w:firstLine="0"/>
              <w:rPr>
                <w:rFonts w:ascii="Garamond" w:hAnsi="Garamond"/>
                <w:bCs/>
              </w:rPr>
            </w:pPr>
            <w:r w:rsidRPr="007114AF">
              <w:rPr>
                <w:rFonts w:ascii="Garamond" w:hAnsi="Garamond"/>
                <w:bCs/>
              </w:rPr>
              <w:t>Përdorimi i varieteteve/hibridëve bujqësorë që e durojnë të nxehtin</w:t>
            </w:r>
            <w:r w:rsidR="00EC0E56" w:rsidRPr="007114AF">
              <w:rPr>
                <w:rFonts w:ascii="Garamond" w:hAnsi="Garamond"/>
                <w:bCs/>
              </w:rPr>
              <w:t xml:space="preserve"> </w:t>
            </w:r>
            <w:r w:rsidRPr="007114AF">
              <w:rPr>
                <w:rFonts w:ascii="Garamond" w:hAnsi="Garamond"/>
                <w:bCs/>
              </w:rPr>
              <w:t>dhe thatësirën.</w:t>
            </w:r>
          </w:p>
          <w:p w14:paraId="6EDD0F60" w14:textId="77777777" w:rsidR="00B92318" w:rsidRPr="007114AF" w:rsidRDefault="00B92318" w:rsidP="00037830">
            <w:pPr>
              <w:numPr>
                <w:ilvl w:val="0"/>
                <w:numId w:val="39"/>
              </w:numPr>
              <w:spacing w:after="0" w:line="240" w:lineRule="auto"/>
              <w:ind w:left="0" w:firstLine="0"/>
              <w:rPr>
                <w:rFonts w:ascii="Garamond" w:hAnsi="Garamond"/>
                <w:bCs/>
              </w:rPr>
            </w:pPr>
            <w:r w:rsidRPr="007114AF">
              <w:rPr>
                <w:rFonts w:ascii="Garamond" w:hAnsi="Garamond"/>
                <w:bCs/>
              </w:rPr>
              <w:t>Optimizimi i kohës së operacioneve (mbjelljes, faktorëve të prodhimit, ujitjes, korrjes a vjeljes).</w:t>
            </w:r>
          </w:p>
          <w:p w14:paraId="6EDD0F61" w14:textId="77777777" w:rsidR="00B92318" w:rsidRPr="007114AF" w:rsidRDefault="00B92318" w:rsidP="00037830">
            <w:pPr>
              <w:numPr>
                <w:ilvl w:val="0"/>
                <w:numId w:val="39"/>
              </w:numPr>
              <w:spacing w:after="0" w:line="240" w:lineRule="auto"/>
              <w:ind w:left="0" w:firstLine="0"/>
              <w:rPr>
                <w:rFonts w:ascii="Garamond" w:hAnsi="Garamond"/>
                <w:bCs/>
              </w:rPr>
            </w:pPr>
            <w:r w:rsidRPr="007114AF">
              <w:rPr>
                <w:rFonts w:ascii="Garamond" w:hAnsi="Garamond"/>
                <w:bCs/>
              </w:rPr>
              <w:t>Rajonalizimi i kulturave bujqësore duke marre parasysh ndikimin e ndryshimeve klimatike.</w:t>
            </w:r>
          </w:p>
          <w:p w14:paraId="6EDD0F62" w14:textId="77777777" w:rsidR="00B92318" w:rsidRPr="007114AF" w:rsidRDefault="00B92318" w:rsidP="00037830">
            <w:pPr>
              <w:numPr>
                <w:ilvl w:val="0"/>
                <w:numId w:val="39"/>
              </w:numPr>
              <w:spacing w:after="0" w:line="240" w:lineRule="auto"/>
              <w:ind w:left="0" w:firstLine="0"/>
              <w:rPr>
                <w:rFonts w:ascii="Garamond" w:hAnsi="Garamond"/>
                <w:bCs/>
              </w:rPr>
            </w:pPr>
            <w:r w:rsidRPr="007114AF">
              <w:rPr>
                <w:rFonts w:ascii="Garamond" w:hAnsi="Garamond"/>
                <w:bCs/>
              </w:rPr>
              <w:t>Rehabilitimi dhe modernizimi i infrastrukturës ujitëse.</w:t>
            </w:r>
          </w:p>
          <w:p w14:paraId="6EDD0F63" w14:textId="77777777" w:rsidR="00B92318" w:rsidRPr="007114AF" w:rsidRDefault="00B92318" w:rsidP="00037830">
            <w:pPr>
              <w:numPr>
                <w:ilvl w:val="0"/>
                <w:numId w:val="39"/>
              </w:numPr>
              <w:spacing w:after="0" w:line="240" w:lineRule="auto"/>
              <w:ind w:left="0" w:firstLine="0"/>
              <w:rPr>
                <w:rFonts w:ascii="Garamond" w:hAnsi="Garamond"/>
                <w:bCs/>
              </w:rPr>
            </w:pPr>
            <w:r w:rsidRPr="007114AF">
              <w:rPr>
                <w:rFonts w:ascii="Garamond" w:hAnsi="Garamond"/>
                <w:bCs/>
                <w:iCs/>
              </w:rPr>
              <w:t xml:space="preserve">Sigurimi i kullimit, me përparësi në ultësirën perëndimore, nëpërmjet administrimit të qëndrueshëm të sistemeve të kullimit dhe mbrojtjes nga përmbytjet. </w:t>
            </w:r>
            <w:r w:rsidRPr="007114AF">
              <w:rPr>
                <w:rFonts w:ascii="Garamond" w:hAnsi="Garamond"/>
                <w:bCs/>
              </w:rPr>
              <w:t>Rehabilitimi dhe përmirësimi i infrastrukturës ekzistuese.</w:t>
            </w:r>
          </w:p>
          <w:p w14:paraId="6EDD0F64" w14:textId="77777777" w:rsidR="00B92318" w:rsidRPr="007114AF" w:rsidRDefault="00B92318" w:rsidP="00037830">
            <w:pPr>
              <w:numPr>
                <w:ilvl w:val="0"/>
                <w:numId w:val="39"/>
              </w:numPr>
              <w:spacing w:after="0" w:line="240" w:lineRule="auto"/>
              <w:ind w:left="0" w:firstLine="0"/>
              <w:rPr>
                <w:rFonts w:ascii="Garamond" w:hAnsi="Garamond"/>
                <w:bCs/>
                <w:iCs/>
              </w:rPr>
            </w:pPr>
            <w:r w:rsidRPr="007114AF">
              <w:rPr>
                <w:rFonts w:ascii="Garamond" w:hAnsi="Garamond"/>
                <w:bCs/>
                <w:iCs/>
              </w:rPr>
              <w:t>Ofrimi i sigurimeve për bujqit në rast katastrofe.</w:t>
            </w:r>
          </w:p>
          <w:p w14:paraId="6EDD0F65" w14:textId="55BCEF99" w:rsidR="00B92318" w:rsidRPr="007114AF" w:rsidRDefault="00B92318" w:rsidP="00037830">
            <w:pPr>
              <w:numPr>
                <w:ilvl w:val="0"/>
                <w:numId w:val="39"/>
              </w:numPr>
              <w:spacing w:after="0" w:line="240" w:lineRule="auto"/>
              <w:ind w:left="0" w:firstLine="0"/>
              <w:rPr>
                <w:rFonts w:ascii="Garamond" w:hAnsi="Garamond"/>
                <w:bCs/>
                <w:iCs/>
              </w:rPr>
            </w:pPr>
            <w:r w:rsidRPr="007114AF">
              <w:rPr>
                <w:rFonts w:ascii="Garamond" w:hAnsi="Garamond"/>
                <w:bCs/>
                <w:iCs/>
              </w:rPr>
              <w:t>Rritja</w:t>
            </w:r>
            <w:r w:rsidR="00F14455" w:rsidRPr="007114AF">
              <w:rPr>
                <w:rFonts w:ascii="Garamond" w:hAnsi="Garamond"/>
                <w:bCs/>
                <w:iCs/>
              </w:rPr>
              <w:t xml:space="preserve"> </w:t>
            </w:r>
            <w:r w:rsidRPr="007114AF">
              <w:rPr>
                <w:rFonts w:ascii="Garamond" w:hAnsi="Garamond"/>
                <w:bCs/>
                <w:iCs/>
              </w:rPr>
              <w:t>e kapaciteteve të institucioneve</w:t>
            </w:r>
            <w:r w:rsidR="000A2A01" w:rsidRPr="007114AF">
              <w:rPr>
                <w:rFonts w:ascii="Garamond" w:hAnsi="Garamond"/>
                <w:bCs/>
                <w:iCs/>
              </w:rPr>
              <w:t xml:space="preserve"> </w:t>
            </w:r>
            <w:r w:rsidRPr="007114AF">
              <w:rPr>
                <w:rFonts w:ascii="Garamond" w:hAnsi="Garamond"/>
                <w:bCs/>
                <w:iCs/>
              </w:rPr>
              <w:t>kërkimore shkencore në lidhje me përshtatjen ndaj ndryshimeve klimatike.</w:t>
            </w:r>
          </w:p>
          <w:p w14:paraId="6EDD0F66" w14:textId="24B52E46" w:rsidR="00B92318" w:rsidRPr="007114AF" w:rsidRDefault="00B92318" w:rsidP="00037830">
            <w:pPr>
              <w:numPr>
                <w:ilvl w:val="0"/>
                <w:numId w:val="39"/>
              </w:numPr>
              <w:spacing w:after="0" w:line="240" w:lineRule="auto"/>
              <w:ind w:left="0" w:firstLine="0"/>
              <w:rPr>
                <w:rFonts w:ascii="Garamond" w:hAnsi="Garamond"/>
                <w:bCs/>
                <w:iCs/>
              </w:rPr>
            </w:pPr>
            <w:r w:rsidRPr="007114AF">
              <w:rPr>
                <w:rFonts w:ascii="Garamond" w:hAnsi="Garamond"/>
                <w:bCs/>
                <w:iCs/>
              </w:rPr>
              <w:t>Rritja</w:t>
            </w:r>
            <w:r w:rsidR="00F14455" w:rsidRPr="007114AF">
              <w:rPr>
                <w:rFonts w:ascii="Garamond" w:hAnsi="Garamond"/>
                <w:bCs/>
                <w:iCs/>
              </w:rPr>
              <w:t xml:space="preserve"> </w:t>
            </w:r>
            <w:r w:rsidRPr="007114AF">
              <w:rPr>
                <w:rFonts w:ascii="Garamond" w:hAnsi="Garamond"/>
                <w:bCs/>
                <w:iCs/>
              </w:rPr>
              <w:t>e kapaciteteve njerëzore të shërbimeve këshillimore dhe fermer</w:t>
            </w:r>
            <w:r w:rsidR="00F14455" w:rsidRPr="007114AF">
              <w:rPr>
                <w:rFonts w:ascii="Garamond" w:hAnsi="Garamond"/>
                <w:bCs/>
                <w:iCs/>
              </w:rPr>
              <w:t>ë</w:t>
            </w:r>
            <w:r w:rsidRPr="007114AF">
              <w:rPr>
                <w:rFonts w:ascii="Garamond" w:hAnsi="Garamond"/>
                <w:bCs/>
                <w:iCs/>
              </w:rPr>
              <w:t>ve</w:t>
            </w:r>
            <w:r w:rsidR="000A2A01" w:rsidRPr="007114AF">
              <w:rPr>
                <w:rFonts w:ascii="Garamond" w:hAnsi="Garamond"/>
                <w:bCs/>
                <w:iCs/>
              </w:rPr>
              <w:t xml:space="preserve"> </w:t>
            </w:r>
            <w:r w:rsidRPr="007114AF">
              <w:rPr>
                <w:rFonts w:ascii="Garamond" w:hAnsi="Garamond"/>
                <w:bCs/>
                <w:iCs/>
              </w:rPr>
              <w:t>nëpërmjet trajnimeve dhe seminareve.</w:t>
            </w:r>
          </w:p>
          <w:p w14:paraId="6EDD0F67" w14:textId="77777777" w:rsidR="00B92318" w:rsidRPr="007114AF" w:rsidRDefault="00B92318" w:rsidP="00B92318">
            <w:pPr>
              <w:spacing w:after="0" w:line="240" w:lineRule="auto"/>
              <w:rPr>
                <w:rFonts w:ascii="Garamond" w:hAnsi="Garamond"/>
                <w:bCs/>
              </w:rPr>
            </w:pPr>
            <w:r w:rsidRPr="007114AF">
              <w:rPr>
                <w:rFonts w:ascii="Garamond" w:hAnsi="Garamond"/>
                <w:bCs/>
              </w:rPr>
              <w:t>Veprimi 3:</w:t>
            </w:r>
          </w:p>
          <w:p w14:paraId="6EDD0F68" w14:textId="557F3E44" w:rsidR="00B92318" w:rsidRPr="007114AF" w:rsidRDefault="00B92318" w:rsidP="00037830">
            <w:pPr>
              <w:numPr>
                <w:ilvl w:val="0"/>
                <w:numId w:val="39"/>
              </w:numPr>
              <w:spacing w:after="0" w:line="240" w:lineRule="auto"/>
              <w:ind w:left="0" w:firstLine="0"/>
              <w:rPr>
                <w:rFonts w:ascii="Garamond" w:hAnsi="Garamond"/>
                <w:bCs/>
                <w:iCs/>
              </w:rPr>
            </w:pPr>
            <w:r w:rsidRPr="007114AF">
              <w:rPr>
                <w:rFonts w:ascii="Garamond" w:hAnsi="Garamond"/>
                <w:bCs/>
                <w:iCs/>
              </w:rPr>
              <w:t>Përmirësimi</w:t>
            </w:r>
            <w:r w:rsidR="000A2A01" w:rsidRPr="007114AF">
              <w:rPr>
                <w:rFonts w:ascii="Garamond" w:hAnsi="Garamond"/>
                <w:bCs/>
                <w:iCs/>
              </w:rPr>
              <w:t xml:space="preserve"> </w:t>
            </w:r>
            <w:r w:rsidRPr="007114AF">
              <w:rPr>
                <w:rFonts w:ascii="Garamond" w:hAnsi="Garamond"/>
                <w:bCs/>
                <w:iCs/>
              </w:rPr>
              <w:t>i sistemit të informimit për mbajtjen në kontroll të dëmtuesve.</w:t>
            </w:r>
          </w:p>
          <w:p w14:paraId="6EDD0F69" w14:textId="77777777" w:rsidR="00B92318" w:rsidRPr="007114AF" w:rsidRDefault="00B92318" w:rsidP="00037830">
            <w:pPr>
              <w:numPr>
                <w:ilvl w:val="0"/>
                <w:numId w:val="39"/>
              </w:numPr>
              <w:spacing w:after="0" w:line="240" w:lineRule="auto"/>
              <w:ind w:left="0" w:firstLine="0"/>
              <w:rPr>
                <w:rFonts w:ascii="Garamond" w:hAnsi="Garamond"/>
                <w:bCs/>
                <w:iCs/>
              </w:rPr>
            </w:pPr>
            <w:r w:rsidRPr="007114AF">
              <w:rPr>
                <w:rFonts w:ascii="Garamond" w:hAnsi="Garamond"/>
                <w:bCs/>
                <w:iCs/>
              </w:rPr>
              <w:t>Sigurimi i mundësisë për marrjen e informacioneve për dukuritë e motit, të dhënave nga sistemet e sinjalizimit të hershëm, të dhënave nga monitorimi etj.</w:t>
            </w:r>
          </w:p>
          <w:p w14:paraId="6EDD0F6A" w14:textId="2AA5F185" w:rsidR="00B92318" w:rsidRPr="007114AF" w:rsidRDefault="00B92318" w:rsidP="00037830">
            <w:pPr>
              <w:numPr>
                <w:ilvl w:val="0"/>
                <w:numId w:val="39"/>
              </w:numPr>
              <w:spacing w:after="0" w:line="240" w:lineRule="auto"/>
              <w:ind w:left="0" w:firstLine="0"/>
              <w:rPr>
                <w:rFonts w:ascii="Garamond" w:hAnsi="Garamond"/>
                <w:bCs/>
                <w:iCs/>
              </w:rPr>
            </w:pPr>
            <w:r w:rsidRPr="007114AF">
              <w:rPr>
                <w:rFonts w:ascii="Garamond" w:hAnsi="Garamond"/>
                <w:bCs/>
                <w:iCs/>
              </w:rPr>
              <w:t xml:space="preserve">Sigurimi i aksesit për marrjen e </w:t>
            </w:r>
            <w:r w:rsidR="003F649E" w:rsidRPr="007114AF">
              <w:rPr>
                <w:rFonts w:ascii="Garamond" w:hAnsi="Garamond"/>
                <w:bCs/>
                <w:iCs/>
              </w:rPr>
              <w:t>i</w:t>
            </w:r>
            <w:r w:rsidRPr="007114AF">
              <w:rPr>
                <w:rFonts w:ascii="Garamond" w:hAnsi="Garamond"/>
                <w:bCs/>
                <w:iCs/>
              </w:rPr>
              <w:t>nformacionit për burimet ujore ekzistuese të përdorshme.</w:t>
            </w:r>
          </w:p>
          <w:p w14:paraId="6EDD0F6B" w14:textId="7EE158E4" w:rsidR="00B92318" w:rsidRPr="007114AF" w:rsidRDefault="00B92318" w:rsidP="00B92318">
            <w:pPr>
              <w:spacing w:after="0" w:line="240" w:lineRule="auto"/>
              <w:rPr>
                <w:rFonts w:ascii="Garamond" w:hAnsi="Garamond"/>
                <w:bCs/>
              </w:rPr>
            </w:pPr>
            <w:r w:rsidRPr="007114AF">
              <w:rPr>
                <w:rFonts w:ascii="Garamond" w:hAnsi="Garamond"/>
                <w:bCs/>
              </w:rPr>
              <w:t>Veprimi 4 (2017</w:t>
            </w:r>
            <w:r w:rsidR="003F649E" w:rsidRPr="007114AF">
              <w:rPr>
                <w:rFonts w:ascii="Garamond" w:hAnsi="Garamond"/>
                <w:bCs/>
              </w:rPr>
              <w:t>–</w:t>
            </w:r>
            <w:r w:rsidRPr="007114AF">
              <w:rPr>
                <w:rFonts w:ascii="Garamond" w:hAnsi="Garamond"/>
                <w:bCs/>
              </w:rPr>
              <w:t>2020):</w:t>
            </w:r>
          </w:p>
          <w:p w14:paraId="6EDD0F6C" w14:textId="77777777" w:rsidR="00B92318" w:rsidRPr="007114AF" w:rsidRDefault="00B92318" w:rsidP="00037830">
            <w:pPr>
              <w:numPr>
                <w:ilvl w:val="0"/>
                <w:numId w:val="40"/>
              </w:numPr>
              <w:spacing w:after="0" w:line="240" w:lineRule="auto"/>
              <w:ind w:left="0" w:firstLine="0"/>
              <w:rPr>
                <w:rFonts w:ascii="Garamond" w:hAnsi="Garamond"/>
                <w:bCs/>
              </w:rPr>
            </w:pPr>
            <w:r w:rsidRPr="007114AF">
              <w:rPr>
                <w:rFonts w:ascii="Garamond" w:hAnsi="Garamond"/>
                <w:bCs/>
              </w:rPr>
              <w:t>Mbështetje financiare për mbarështimin e racave me rezistente ndaj ndryshimeve klimatike në blegtori.</w:t>
            </w:r>
          </w:p>
          <w:p w14:paraId="6EDD0F6D" w14:textId="4B21BBF5" w:rsidR="00B92318" w:rsidRPr="007114AF" w:rsidRDefault="00B92318" w:rsidP="00037830">
            <w:pPr>
              <w:numPr>
                <w:ilvl w:val="0"/>
                <w:numId w:val="40"/>
              </w:numPr>
              <w:spacing w:after="0" w:line="240" w:lineRule="auto"/>
              <w:ind w:left="0" w:firstLine="0"/>
              <w:rPr>
                <w:rFonts w:ascii="Garamond" w:hAnsi="Garamond"/>
                <w:bCs/>
              </w:rPr>
            </w:pPr>
            <w:r w:rsidRPr="007114AF">
              <w:rPr>
                <w:rFonts w:ascii="Garamond" w:hAnsi="Garamond"/>
                <w:bCs/>
              </w:rPr>
              <w:t>Monitorimi dhe mbajtja në kontroll e përhapjes së sëmundjeve ekzistuese të transmetueshme</w:t>
            </w:r>
            <w:r w:rsidR="000A2A01" w:rsidRPr="007114AF">
              <w:rPr>
                <w:rFonts w:ascii="Garamond" w:hAnsi="Garamond"/>
                <w:bCs/>
              </w:rPr>
              <w:t xml:space="preserve"> </w:t>
            </w:r>
            <w:r w:rsidRPr="007114AF">
              <w:rPr>
                <w:rFonts w:ascii="Garamond" w:hAnsi="Garamond"/>
                <w:bCs/>
              </w:rPr>
              <w:t>nëpërmjet vektorëve dhe makroparazitëve, te shoqëruara nga</w:t>
            </w:r>
            <w:r w:rsidR="000A2A01" w:rsidRPr="007114AF">
              <w:rPr>
                <w:rFonts w:ascii="Garamond" w:hAnsi="Garamond"/>
                <w:bCs/>
              </w:rPr>
              <w:t xml:space="preserve"> </w:t>
            </w:r>
            <w:r w:rsidRPr="007114AF">
              <w:rPr>
                <w:rFonts w:ascii="Garamond" w:hAnsi="Garamond"/>
                <w:bCs/>
              </w:rPr>
              <w:t>qarkullimi</w:t>
            </w:r>
            <w:r w:rsidR="003F649E" w:rsidRPr="007114AF">
              <w:rPr>
                <w:rFonts w:ascii="Garamond" w:hAnsi="Garamond"/>
                <w:bCs/>
              </w:rPr>
              <w:t xml:space="preserve"> </w:t>
            </w:r>
            <w:r w:rsidRPr="007114AF">
              <w:rPr>
                <w:rFonts w:ascii="Garamond" w:hAnsi="Garamond"/>
                <w:bCs/>
              </w:rPr>
              <w:t>i sëmundjeve të reja.</w:t>
            </w:r>
          </w:p>
          <w:p w14:paraId="6EDD0F6E" w14:textId="2D5C1888" w:rsidR="00B92318" w:rsidRPr="007114AF" w:rsidRDefault="00B92318" w:rsidP="00037830">
            <w:pPr>
              <w:numPr>
                <w:ilvl w:val="0"/>
                <w:numId w:val="40"/>
              </w:numPr>
              <w:spacing w:after="0" w:line="240" w:lineRule="auto"/>
              <w:ind w:left="0" w:firstLine="0"/>
              <w:rPr>
                <w:rFonts w:ascii="Garamond" w:hAnsi="Garamond"/>
                <w:bCs/>
              </w:rPr>
            </w:pPr>
            <w:r w:rsidRPr="007114AF">
              <w:rPr>
                <w:rFonts w:ascii="Garamond" w:hAnsi="Garamond"/>
                <w:bCs/>
              </w:rPr>
              <w:t>Mirëmbajtja dhe riparimi i infrastrukturës ujitëse, për të siguruar gatishmërinë e ujit në momentet kritike të stinës së rritjes, sidomos për misrin dhe foragjeret e tjera, për të ruajtur disponueshmerine</w:t>
            </w:r>
            <w:r w:rsidR="000A2A01" w:rsidRPr="007114AF">
              <w:rPr>
                <w:rFonts w:ascii="Garamond" w:hAnsi="Garamond"/>
                <w:bCs/>
              </w:rPr>
              <w:t xml:space="preserve"> </w:t>
            </w:r>
            <w:r w:rsidRPr="007114AF">
              <w:rPr>
                <w:rFonts w:ascii="Garamond" w:hAnsi="Garamond"/>
                <w:bCs/>
              </w:rPr>
              <w:t>e</w:t>
            </w:r>
            <w:r w:rsidR="000A2A01" w:rsidRPr="007114AF">
              <w:rPr>
                <w:rFonts w:ascii="Garamond" w:hAnsi="Garamond"/>
                <w:bCs/>
              </w:rPr>
              <w:t xml:space="preserve"> </w:t>
            </w:r>
            <w:r w:rsidRPr="007114AF">
              <w:rPr>
                <w:rFonts w:ascii="Garamond" w:hAnsi="Garamond"/>
                <w:bCs/>
              </w:rPr>
              <w:t>ushqimit p</w:t>
            </w:r>
            <w:r w:rsidR="00AA3BEF" w:rsidRPr="007114AF">
              <w:rPr>
                <w:rFonts w:ascii="Garamond" w:hAnsi="Garamond"/>
                <w:bCs/>
              </w:rPr>
              <w:t>ë</w:t>
            </w:r>
            <w:r w:rsidRPr="007114AF">
              <w:rPr>
                <w:rFonts w:ascii="Garamond" w:hAnsi="Garamond"/>
                <w:bCs/>
              </w:rPr>
              <w:t>r kafsh</w:t>
            </w:r>
            <w:r w:rsidR="00AA3BEF" w:rsidRPr="007114AF">
              <w:rPr>
                <w:rFonts w:ascii="Garamond" w:hAnsi="Garamond"/>
                <w:bCs/>
              </w:rPr>
              <w:t>ë</w:t>
            </w:r>
            <w:r w:rsidRPr="007114AF">
              <w:rPr>
                <w:rFonts w:ascii="Garamond" w:hAnsi="Garamond"/>
                <w:bCs/>
              </w:rPr>
              <w:t>.</w:t>
            </w:r>
          </w:p>
          <w:p w14:paraId="6EDD0F6F" w14:textId="0B508CB5" w:rsidR="00B92318" w:rsidRPr="007114AF" w:rsidRDefault="00B92318" w:rsidP="00037830">
            <w:pPr>
              <w:numPr>
                <w:ilvl w:val="0"/>
                <w:numId w:val="40"/>
              </w:numPr>
              <w:spacing w:after="0" w:line="240" w:lineRule="auto"/>
              <w:ind w:left="0" w:firstLine="0"/>
              <w:rPr>
                <w:rFonts w:ascii="Garamond" w:hAnsi="Garamond"/>
                <w:bCs/>
              </w:rPr>
            </w:pPr>
            <w:r w:rsidRPr="007114AF">
              <w:rPr>
                <w:rFonts w:ascii="Garamond" w:hAnsi="Garamond"/>
                <w:bCs/>
              </w:rPr>
              <w:t>Mbështetja n</w:t>
            </w:r>
            <w:r w:rsidR="003F649E" w:rsidRPr="007114AF">
              <w:rPr>
                <w:rFonts w:ascii="Garamond" w:hAnsi="Garamond"/>
                <w:bCs/>
              </w:rPr>
              <w:t>ë</w:t>
            </w:r>
            <w:r w:rsidRPr="007114AF">
              <w:rPr>
                <w:rFonts w:ascii="Garamond" w:hAnsi="Garamond"/>
                <w:bCs/>
              </w:rPr>
              <w:t xml:space="preserve"> nd</w:t>
            </w:r>
            <w:r w:rsidR="003F649E" w:rsidRPr="007114AF">
              <w:rPr>
                <w:rFonts w:ascii="Garamond" w:hAnsi="Garamond"/>
                <w:bCs/>
              </w:rPr>
              <w:t>ë</w:t>
            </w:r>
            <w:r w:rsidRPr="007114AF">
              <w:rPr>
                <w:rFonts w:ascii="Garamond" w:hAnsi="Garamond"/>
                <w:bCs/>
              </w:rPr>
              <w:t>rtimin e mjediseve të standardizuara të strehimit të bagëtive, për të siguruar mbrojtjen e tyre.</w:t>
            </w:r>
          </w:p>
          <w:p w14:paraId="6EDD0F70" w14:textId="1004A5DE" w:rsidR="00B92318" w:rsidRPr="007114AF" w:rsidRDefault="00B92318" w:rsidP="00037830">
            <w:pPr>
              <w:numPr>
                <w:ilvl w:val="0"/>
                <w:numId w:val="41"/>
              </w:numPr>
              <w:spacing w:after="0" w:line="240" w:lineRule="auto"/>
              <w:ind w:left="0" w:firstLine="0"/>
              <w:rPr>
                <w:rFonts w:ascii="Garamond" w:hAnsi="Garamond"/>
                <w:bCs/>
              </w:rPr>
            </w:pPr>
            <w:r w:rsidRPr="007114AF">
              <w:rPr>
                <w:rFonts w:ascii="Garamond" w:hAnsi="Garamond"/>
                <w:bCs/>
              </w:rPr>
              <w:t>Përmirësimi i punës kërkimore,</w:t>
            </w:r>
            <w:r w:rsidR="003F649E" w:rsidRPr="007114AF">
              <w:rPr>
                <w:rFonts w:ascii="Garamond" w:hAnsi="Garamond"/>
                <w:bCs/>
              </w:rPr>
              <w:t xml:space="preserve"> </w:t>
            </w:r>
            <w:r w:rsidRPr="007114AF">
              <w:rPr>
                <w:rFonts w:ascii="Garamond" w:hAnsi="Garamond"/>
                <w:bCs/>
              </w:rPr>
              <w:t>menaxhimit t</w:t>
            </w:r>
            <w:r w:rsidR="003F649E" w:rsidRPr="007114AF">
              <w:rPr>
                <w:rFonts w:ascii="Garamond" w:hAnsi="Garamond"/>
                <w:bCs/>
              </w:rPr>
              <w:t>ë</w:t>
            </w:r>
            <w:r w:rsidR="000A2A01" w:rsidRPr="007114AF">
              <w:rPr>
                <w:rFonts w:ascii="Garamond" w:hAnsi="Garamond"/>
                <w:bCs/>
              </w:rPr>
              <w:t xml:space="preserve"> </w:t>
            </w:r>
            <w:r w:rsidRPr="007114AF">
              <w:rPr>
                <w:rFonts w:ascii="Garamond" w:hAnsi="Garamond"/>
                <w:bCs/>
              </w:rPr>
              <w:t>blegtorisë, ushqyerjes dhe sh</w:t>
            </w:r>
            <w:r w:rsidR="003F649E" w:rsidRPr="007114AF">
              <w:rPr>
                <w:rFonts w:ascii="Garamond" w:hAnsi="Garamond"/>
                <w:bCs/>
              </w:rPr>
              <w:t>ë</w:t>
            </w:r>
            <w:r w:rsidRPr="007114AF">
              <w:rPr>
                <w:rFonts w:ascii="Garamond" w:hAnsi="Garamond"/>
                <w:bCs/>
              </w:rPr>
              <w:t>ndetit e t</w:t>
            </w:r>
            <w:r w:rsidR="003F649E" w:rsidRPr="007114AF">
              <w:rPr>
                <w:rFonts w:ascii="Garamond" w:hAnsi="Garamond"/>
                <w:bCs/>
              </w:rPr>
              <w:t>ë</w:t>
            </w:r>
            <w:r w:rsidRPr="007114AF">
              <w:rPr>
                <w:rFonts w:ascii="Garamond" w:hAnsi="Garamond"/>
                <w:bCs/>
              </w:rPr>
              <w:t xml:space="preserve"> kafsh</w:t>
            </w:r>
            <w:r w:rsidR="003F649E" w:rsidRPr="007114AF">
              <w:rPr>
                <w:rFonts w:ascii="Garamond" w:hAnsi="Garamond"/>
                <w:bCs/>
              </w:rPr>
              <w:t>ë</w:t>
            </w:r>
            <w:r w:rsidRPr="007114AF">
              <w:rPr>
                <w:rFonts w:ascii="Garamond" w:hAnsi="Garamond"/>
                <w:bCs/>
              </w:rPr>
              <w:t>ve në kushtet e ndryshimeve klimatike.</w:t>
            </w:r>
          </w:p>
          <w:p w14:paraId="6EDD0F71" w14:textId="558EE610" w:rsidR="00B92318" w:rsidRPr="007114AF" w:rsidRDefault="00B92318" w:rsidP="00037830">
            <w:pPr>
              <w:numPr>
                <w:ilvl w:val="0"/>
                <w:numId w:val="67"/>
              </w:numPr>
              <w:spacing w:after="0" w:line="240" w:lineRule="auto"/>
              <w:ind w:left="0" w:firstLine="0"/>
              <w:rPr>
                <w:rFonts w:ascii="Garamond" w:hAnsi="Garamond"/>
                <w:bCs/>
              </w:rPr>
            </w:pPr>
            <w:r w:rsidRPr="007114AF">
              <w:rPr>
                <w:rFonts w:ascii="Garamond" w:hAnsi="Garamond"/>
                <w:bCs/>
              </w:rPr>
              <w:t>Përshtatja e fermave blegtorale ndaj</w:t>
            </w:r>
            <w:r w:rsidR="000A2A01" w:rsidRPr="007114AF">
              <w:rPr>
                <w:rFonts w:ascii="Garamond" w:hAnsi="Garamond"/>
                <w:bCs/>
              </w:rPr>
              <w:t xml:space="preserve"> </w:t>
            </w:r>
            <w:r w:rsidRPr="007114AF">
              <w:rPr>
                <w:rFonts w:ascii="Garamond" w:hAnsi="Garamond"/>
                <w:bCs/>
              </w:rPr>
              <w:t>stresit klimatik. Kalimi në racat e bagëtisë që e durojnë më shumë motin e nxehtë.</w:t>
            </w:r>
          </w:p>
          <w:p w14:paraId="6EDD0F72" w14:textId="3D970FA9" w:rsidR="00B92318" w:rsidRPr="007114AF" w:rsidRDefault="00B92318" w:rsidP="003F649E">
            <w:pPr>
              <w:numPr>
                <w:ilvl w:val="0"/>
                <w:numId w:val="67"/>
              </w:numPr>
              <w:spacing w:after="0" w:line="240" w:lineRule="auto"/>
              <w:ind w:left="0" w:firstLine="0"/>
              <w:rPr>
                <w:rFonts w:ascii="Garamond" w:hAnsi="Garamond"/>
                <w:bCs/>
              </w:rPr>
            </w:pPr>
            <w:r w:rsidRPr="007114AF">
              <w:rPr>
                <w:rFonts w:ascii="Garamond" w:hAnsi="Garamond"/>
                <w:bCs/>
              </w:rPr>
              <w:t>Rritja e kapaciteteve njerëzore për përshtatjen ndaj ndryshimeve klimatike për fermer</w:t>
            </w:r>
            <w:r w:rsidR="003F649E" w:rsidRPr="007114AF">
              <w:rPr>
                <w:rFonts w:ascii="Garamond" w:hAnsi="Garamond"/>
                <w:bCs/>
              </w:rPr>
              <w:t>ë</w:t>
            </w:r>
            <w:r w:rsidRPr="007114AF">
              <w:rPr>
                <w:rFonts w:ascii="Garamond" w:hAnsi="Garamond"/>
                <w:bCs/>
              </w:rPr>
              <w:t>t, nëpërmjet trajnimeve dhe seminareve.</w:t>
            </w:r>
          </w:p>
        </w:tc>
      </w:tr>
      <w:tr w:rsidR="00B92318" w:rsidRPr="007114AF" w14:paraId="6EDD0F82" w14:textId="77777777" w:rsidTr="00574660">
        <w:tc>
          <w:tcPr>
            <w:tcW w:w="4606" w:type="dxa"/>
            <w:shd w:val="clear" w:color="auto" w:fill="auto"/>
          </w:tcPr>
          <w:p w14:paraId="6EDD0F74" w14:textId="77777777" w:rsidR="00B92318" w:rsidRPr="007114AF" w:rsidRDefault="00B92318" w:rsidP="00B92318">
            <w:pPr>
              <w:spacing w:after="0" w:line="240" w:lineRule="auto"/>
              <w:rPr>
                <w:rFonts w:ascii="Garamond" w:hAnsi="Garamond"/>
                <w:b/>
                <w:bCs/>
              </w:rPr>
            </w:pPr>
            <w:r w:rsidRPr="007114AF">
              <w:rPr>
                <w:rFonts w:ascii="Garamond" w:hAnsi="Garamond"/>
                <w:b/>
                <w:bCs/>
              </w:rPr>
              <w:t>Aktorët kryesorë të përfshirë</w:t>
            </w:r>
          </w:p>
          <w:p w14:paraId="6EDD0F75" w14:textId="77777777" w:rsidR="00B92318" w:rsidRPr="007114AF" w:rsidRDefault="00B92318" w:rsidP="00B92318">
            <w:pPr>
              <w:spacing w:after="0" w:line="240" w:lineRule="auto"/>
              <w:rPr>
                <w:rFonts w:ascii="Garamond" w:hAnsi="Garamond"/>
                <w:bCs/>
              </w:rPr>
            </w:pPr>
            <w:r w:rsidRPr="007114AF">
              <w:rPr>
                <w:rFonts w:ascii="Garamond" w:hAnsi="Garamond"/>
                <w:bCs/>
              </w:rPr>
              <w:t>MBZHR-ja</w:t>
            </w:r>
          </w:p>
          <w:p w14:paraId="6EDD0F76" w14:textId="77777777" w:rsidR="00B92318" w:rsidRPr="007114AF" w:rsidRDefault="00B92318" w:rsidP="00B92318">
            <w:pPr>
              <w:spacing w:after="0" w:line="240" w:lineRule="auto"/>
              <w:rPr>
                <w:rFonts w:ascii="Garamond" w:hAnsi="Garamond"/>
                <w:bCs/>
              </w:rPr>
            </w:pPr>
            <w:r w:rsidRPr="007114AF">
              <w:rPr>
                <w:rFonts w:ascii="Garamond" w:hAnsi="Garamond"/>
                <w:bCs/>
              </w:rPr>
              <w:t>Agjencia Rajonale e Shërbimit Veterinar dhe Mbrojtjes së Bimëve</w:t>
            </w:r>
          </w:p>
          <w:p w14:paraId="6EDD0F77" w14:textId="77777777" w:rsidR="00B92318" w:rsidRPr="007114AF" w:rsidRDefault="00B92318" w:rsidP="00B92318">
            <w:pPr>
              <w:spacing w:after="0" w:line="240" w:lineRule="auto"/>
              <w:rPr>
                <w:rFonts w:ascii="Garamond" w:hAnsi="Garamond"/>
                <w:bCs/>
              </w:rPr>
            </w:pPr>
            <w:r w:rsidRPr="007114AF">
              <w:rPr>
                <w:rFonts w:ascii="Garamond" w:hAnsi="Garamond"/>
                <w:bCs/>
              </w:rPr>
              <w:t>Agjencia Rajonale e Ekstensionit Bujqësor</w:t>
            </w:r>
          </w:p>
          <w:p w14:paraId="6EDD0F78" w14:textId="77777777" w:rsidR="00B92318" w:rsidRPr="007114AF" w:rsidRDefault="00B92318" w:rsidP="00B92318">
            <w:pPr>
              <w:spacing w:after="0" w:line="240" w:lineRule="auto"/>
              <w:rPr>
                <w:rFonts w:ascii="Garamond" w:hAnsi="Garamond"/>
                <w:bCs/>
              </w:rPr>
            </w:pPr>
            <w:r w:rsidRPr="007114AF">
              <w:rPr>
                <w:rFonts w:ascii="Garamond" w:hAnsi="Garamond"/>
                <w:bCs/>
              </w:rPr>
              <w:t>Qendra e Transferimit të Teknologjive Bujqësore (Fushë-Krujë dhe Korçë).</w:t>
            </w:r>
          </w:p>
          <w:p w14:paraId="6EDD0F79" w14:textId="77777777" w:rsidR="00B92318" w:rsidRPr="007114AF" w:rsidRDefault="00B92318" w:rsidP="00B92318">
            <w:pPr>
              <w:spacing w:after="0" w:line="240" w:lineRule="auto"/>
              <w:rPr>
                <w:rFonts w:ascii="Garamond" w:hAnsi="Garamond"/>
                <w:bCs/>
              </w:rPr>
            </w:pPr>
            <w:r w:rsidRPr="007114AF">
              <w:rPr>
                <w:rFonts w:ascii="Garamond" w:hAnsi="Garamond"/>
                <w:bCs/>
              </w:rPr>
              <w:t>Autoriteti Kombëtar i Ushqimit</w:t>
            </w:r>
          </w:p>
          <w:p w14:paraId="6EDD0F7A" w14:textId="77777777" w:rsidR="00B92318" w:rsidRPr="007114AF" w:rsidRDefault="00B92318" w:rsidP="00B92318">
            <w:pPr>
              <w:spacing w:after="0" w:line="240" w:lineRule="auto"/>
              <w:rPr>
                <w:rFonts w:ascii="Garamond" w:hAnsi="Garamond"/>
                <w:bCs/>
              </w:rPr>
            </w:pPr>
            <w:r w:rsidRPr="007114AF">
              <w:rPr>
                <w:rFonts w:ascii="Garamond" w:hAnsi="Garamond"/>
                <w:bCs/>
              </w:rPr>
              <w:t>Njësitë e vetqeverisjes vendore</w:t>
            </w:r>
          </w:p>
          <w:p w14:paraId="6EDD0F7B" w14:textId="77777777" w:rsidR="00B92318" w:rsidRPr="007114AF" w:rsidRDefault="00B92318" w:rsidP="00B92318">
            <w:pPr>
              <w:spacing w:after="0" w:line="240" w:lineRule="auto"/>
              <w:rPr>
                <w:rFonts w:ascii="Garamond" w:hAnsi="Garamond"/>
                <w:b/>
                <w:bCs/>
              </w:rPr>
            </w:pPr>
            <w:r w:rsidRPr="007114AF">
              <w:rPr>
                <w:rFonts w:ascii="Garamond" w:hAnsi="Garamond"/>
                <w:bCs/>
              </w:rPr>
              <w:t>Bujqit/ fermerët</w:t>
            </w:r>
          </w:p>
        </w:tc>
        <w:tc>
          <w:tcPr>
            <w:tcW w:w="4606" w:type="dxa"/>
            <w:shd w:val="clear" w:color="auto" w:fill="auto"/>
          </w:tcPr>
          <w:p w14:paraId="6EDD0F7C" w14:textId="77777777" w:rsidR="00B92318" w:rsidRPr="007114AF" w:rsidRDefault="00B92318" w:rsidP="00B92318">
            <w:pPr>
              <w:spacing w:after="0" w:line="240" w:lineRule="auto"/>
              <w:rPr>
                <w:rFonts w:ascii="Garamond" w:hAnsi="Garamond"/>
                <w:b/>
                <w:bCs/>
              </w:rPr>
            </w:pPr>
            <w:r w:rsidRPr="007114AF">
              <w:rPr>
                <w:rFonts w:ascii="Garamond" w:hAnsi="Garamond"/>
                <w:b/>
                <w:bCs/>
              </w:rPr>
              <w:t>Burimet</w:t>
            </w:r>
          </w:p>
          <w:p w14:paraId="6EDD0F7D" w14:textId="745585E7" w:rsidR="00B92318" w:rsidRPr="007114AF" w:rsidRDefault="00B92318" w:rsidP="00B92318">
            <w:pPr>
              <w:spacing w:after="0" w:line="240" w:lineRule="auto"/>
              <w:rPr>
                <w:rFonts w:ascii="Garamond" w:hAnsi="Garamond"/>
                <w:bCs/>
              </w:rPr>
            </w:pPr>
            <w:r w:rsidRPr="007114AF">
              <w:rPr>
                <w:rFonts w:ascii="Garamond" w:hAnsi="Garamond"/>
                <w:bCs/>
              </w:rPr>
              <w:t>Mbetet ende për t</w:t>
            </w:r>
            <w:r w:rsidR="00D10DAB" w:rsidRPr="007114AF">
              <w:rPr>
                <w:rFonts w:ascii="Garamond" w:hAnsi="Garamond"/>
                <w:bCs/>
              </w:rPr>
              <w:t>’</w:t>
            </w:r>
            <w:r w:rsidRPr="007114AF">
              <w:rPr>
                <w:rFonts w:ascii="Garamond" w:hAnsi="Garamond"/>
                <w:bCs/>
              </w:rPr>
              <w:t>u llogaritur buxheti i programit kompleks të aktiviteteve. Parashikohen këto burime financimi:</w:t>
            </w:r>
          </w:p>
          <w:p w14:paraId="6EDD0F7E" w14:textId="0CEBE157" w:rsidR="00B92318" w:rsidRPr="007114AF" w:rsidRDefault="00B92318" w:rsidP="00B92318">
            <w:pPr>
              <w:spacing w:after="0" w:line="240" w:lineRule="auto"/>
              <w:rPr>
                <w:rFonts w:ascii="Garamond" w:hAnsi="Garamond"/>
                <w:bCs/>
              </w:rPr>
            </w:pPr>
            <w:r w:rsidRPr="007114AF">
              <w:rPr>
                <w:rFonts w:ascii="Garamond" w:hAnsi="Garamond"/>
                <w:bCs/>
              </w:rPr>
              <w:t>Veprimi 1: Buxheti shtetëror 100 milion</w:t>
            </w:r>
            <w:r w:rsidR="003F649E" w:rsidRPr="007114AF">
              <w:rPr>
                <w:rFonts w:ascii="Garamond" w:hAnsi="Garamond"/>
                <w:bCs/>
              </w:rPr>
              <w:t>ë</w:t>
            </w:r>
            <w:r w:rsidRPr="007114AF">
              <w:rPr>
                <w:rFonts w:ascii="Garamond" w:hAnsi="Garamond"/>
                <w:bCs/>
              </w:rPr>
              <w:t xml:space="preserve"> lekë dhe buxheti ndërkombëtar (financime të huaja) 700 milion</w:t>
            </w:r>
            <w:r w:rsidR="001C47F0" w:rsidRPr="007114AF">
              <w:rPr>
                <w:rFonts w:ascii="Garamond" w:hAnsi="Garamond"/>
                <w:bCs/>
              </w:rPr>
              <w:t>ë</w:t>
            </w:r>
            <w:r w:rsidRPr="007114AF">
              <w:rPr>
                <w:rFonts w:ascii="Garamond" w:hAnsi="Garamond"/>
                <w:bCs/>
              </w:rPr>
              <w:t xml:space="preserve"> lekë.</w:t>
            </w:r>
          </w:p>
          <w:p w14:paraId="6EDD0F7F" w14:textId="4AD7A6A3" w:rsidR="00B92318" w:rsidRPr="007114AF" w:rsidRDefault="00B92318" w:rsidP="00B92318">
            <w:pPr>
              <w:spacing w:after="0" w:line="240" w:lineRule="auto"/>
              <w:rPr>
                <w:rFonts w:ascii="Garamond" w:hAnsi="Garamond"/>
                <w:bCs/>
              </w:rPr>
            </w:pPr>
            <w:r w:rsidRPr="007114AF">
              <w:rPr>
                <w:rFonts w:ascii="Garamond" w:hAnsi="Garamond"/>
                <w:bCs/>
              </w:rPr>
              <w:t>Veprimi 2: Buxheti shtetëror 45 milion</w:t>
            </w:r>
            <w:r w:rsidR="001C47F0" w:rsidRPr="007114AF">
              <w:rPr>
                <w:rFonts w:ascii="Garamond" w:hAnsi="Garamond"/>
                <w:bCs/>
              </w:rPr>
              <w:t>ë</w:t>
            </w:r>
            <w:r w:rsidRPr="007114AF">
              <w:rPr>
                <w:rFonts w:ascii="Garamond" w:hAnsi="Garamond"/>
                <w:bCs/>
              </w:rPr>
              <w:t xml:space="preserve"> lekë dhe 65 milion</w:t>
            </w:r>
            <w:r w:rsidR="001C47F0" w:rsidRPr="007114AF">
              <w:rPr>
                <w:rFonts w:ascii="Garamond" w:hAnsi="Garamond"/>
                <w:bCs/>
              </w:rPr>
              <w:t>ë</w:t>
            </w:r>
            <w:r w:rsidRPr="007114AF">
              <w:rPr>
                <w:rFonts w:ascii="Garamond" w:hAnsi="Garamond"/>
                <w:bCs/>
              </w:rPr>
              <w:t xml:space="preserve"> lekë financime të huaja (për shembull fonde nga IPA).</w:t>
            </w:r>
          </w:p>
          <w:p w14:paraId="6EDD0F80" w14:textId="428E7D77" w:rsidR="00B92318" w:rsidRPr="007114AF" w:rsidRDefault="00B92318" w:rsidP="00B92318">
            <w:pPr>
              <w:spacing w:after="0" w:line="240" w:lineRule="auto"/>
              <w:rPr>
                <w:rFonts w:ascii="Garamond" w:hAnsi="Garamond"/>
                <w:bCs/>
              </w:rPr>
            </w:pPr>
            <w:r w:rsidRPr="007114AF">
              <w:rPr>
                <w:rFonts w:ascii="Garamond" w:hAnsi="Garamond"/>
                <w:bCs/>
              </w:rPr>
              <w:t>Veprimi 3: Buxheti shtetëror vetëm për treguesin 3.2, 15 milion</w:t>
            </w:r>
            <w:r w:rsidR="001C47F0" w:rsidRPr="007114AF">
              <w:rPr>
                <w:rFonts w:ascii="Garamond" w:hAnsi="Garamond"/>
                <w:bCs/>
              </w:rPr>
              <w:t>ë</w:t>
            </w:r>
            <w:r w:rsidRPr="007114AF">
              <w:rPr>
                <w:rFonts w:ascii="Garamond" w:hAnsi="Garamond"/>
                <w:bCs/>
              </w:rPr>
              <w:t xml:space="preserve"> lekë. </w:t>
            </w:r>
          </w:p>
          <w:p w14:paraId="6EDD0F81" w14:textId="3F26E719" w:rsidR="00B92318" w:rsidRPr="007114AF" w:rsidRDefault="00B92318" w:rsidP="00B92318">
            <w:pPr>
              <w:spacing w:after="0" w:line="240" w:lineRule="auto"/>
              <w:rPr>
                <w:rFonts w:ascii="Garamond" w:hAnsi="Garamond"/>
                <w:b/>
                <w:bCs/>
              </w:rPr>
            </w:pPr>
            <w:r w:rsidRPr="007114AF">
              <w:rPr>
                <w:rFonts w:ascii="Garamond" w:hAnsi="Garamond"/>
                <w:bCs/>
              </w:rPr>
              <w:t>Veprimi 4: Buxheti shtetëror 1.8 miliard</w:t>
            </w:r>
            <w:r w:rsidR="00242009" w:rsidRPr="007114AF">
              <w:rPr>
                <w:rFonts w:ascii="Garamond" w:hAnsi="Garamond"/>
                <w:bCs/>
              </w:rPr>
              <w:t>ë</w:t>
            </w:r>
            <w:r w:rsidRPr="007114AF">
              <w:rPr>
                <w:rFonts w:ascii="Garamond" w:hAnsi="Garamond"/>
                <w:bCs/>
              </w:rPr>
              <w:t xml:space="preserve"> lekë dhe financime të huaja 2.2 miliard</w:t>
            </w:r>
            <w:r w:rsidR="00242009" w:rsidRPr="007114AF">
              <w:rPr>
                <w:rFonts w:ascii="Garamond" w:hAnsi="Garamond"/>
                <w:bCs/>
              </w:rPr>
              <w:t>ë</w:t>
            </w:r>
            <w:r w:rsidRPr="007114AF">
              <w:rPr>
                <w:rFonts w:ascii="Garamond" w:hAnsi="Garamond"/>
                <w:bCs/>
              </w:rPr>
              <w:t xml:space="preserve"> lekë.</w:t>
            </w:r>
          </w:p>
        </w:tc>
      </w:tr>
    </w:tbl>
    <w:p w14:paraId="6EDD0F83" w14:textId="77777777" w:rsidR="007C3B3B" w:rsidRPr="007114AF" w:rsidRDefault="007C3B3B" w:rsidP="00B92318">
      <w:pPr>
        <w:pStyle w:val="FIGURA"/>
      </w:pPr>
    </w:p>
    <w:p w14:paraId="6EDD0F84" w14:textId="562F2106" w:rsidR="00BB382B" w:rsidRPr="007114AF" w:rsidRDefault="00BB382B" w:rsidP="00BB382B">
      <w:pPr>
        <w:pStyle w:val="FIGURA"/>
        <w:rPr>
          <w:lang w:eastAsia="en-US"/>
        </w:rPr>
      </w:pPr>
      <w:bookmarkStart w:id="224" w:name="_Toc484424543"/>
      <w:bookmarkStart w:id="225" w:name="_Toc479083898"/>
      <w:bookmarkStart w:id="226" w:name="_Toc483570145"/>
      <w:r w:rsidRPr="007114AF">
        <w:rPr>
          <w:lang w:eastAsia="en-US"/>
        </w:rPr>
        <w:t>6.2.10 Veprimi Prioritar</w:t>
      </w:r>
      <w:r w:rsidR="00242009" w:rsidRPr="007114AF">
        <w:rPr>
          <w:lang w:eastAsia="en-US"/>
        </w:rPr>
        <w:t xml:space="preserve"> nr. </w:t>
      </w:r>
      <w:r w:rsidRPr="007114AF">
        <w:rPr>
          <w:lang w:eastAsia="en-US"/>
        </w:rPr>
        <w:t>10</w:t>
      </w:r>
      <w:bookmarkEnd w:id="224"/>
      <w:bookmarkEnd w:id="225"/>
      <w:bookmarkEnd w:id="2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C55AD3" w:rsidRPr="007114AF" w14:paraId="6EDD0F8A" w14:textId="77777777" w:rsidTr="00574660">
        <w:tc>
          <w:tcPr>
            <w:tcW w:w="4606" w:type="dxa"/>
            <w:shd w:val="clear" w:color="auto" w:fill="B6DDE8" w:themeFill="accent5" w:themeFillTint="66"/>
          </w:tcPr>
          <w:p w14:paraId="6EDD0F85" w14:textId="53D12E19" w:rsidR="00C55AD3" w:rsidRPr="007114AF" w:rsidRDefault="00C55AD3" w:rsidP="00C55AD3">
            <w:pPr>
              <w:spacing w:after="0" w:line="240" w:lineRule="auto"/>
              <w:rPr>
                <w:rFonts w:ascii="Garamond" w:hAnsi="Garamond"/>
                <w:b/>
                <w:bCs/>
              </w:rPr>
            </w:pPr>
            <w:r w:rsidRPr="007114AF">
              <w:rPr>
                <w:rFonts w:ascii="Garamond" w:hAnsi="Garamond"/>
                <w:b/>
                <w:bCs/>
              </w:rPr>
              <w:t>Titulli i veprimit prioritar</w:t>
            </w:r>
            <w:r w:rsidR="00242009" w:rsidRPr="007114AF">
              <w:rPr>
                <w:rFonts w:ascii="Garamond" w:hAnsi="Garamond"/>
                <w:b/>
                <w:bCs/>
              </w:rPr>
              <w:t xml:space="preserve"> nr. </w:t>
            </w:r>
            <w:r w:rsidRPr="007114AF">
              <w:rPr>
                <w:rFonts w:ascii="Garamond" w:hAnsi="Garamond"/>
                <w:b/>
                <w:bCs/>
              </w:rPr>
              <w:t>10</w:t>
            </w:r>
          </w:p>
          <w:p w14:paraId="6EDD0F86" w14:textId="77777777" w:rsidR="00C55AD3" w:rsidRPr="007114AF" w:rsidRDefault="00C55AD3" w:rsidP="00C55AD3">
            <w:pPr>
              <w:spacing w:after="0" w:line="240" w:lineRule="auto"/>
              <w:rPr>
                <w:rFonts w:ascii="Garamond" w:hAnsi="Garamond"/>
                <w:b/>
                <w:bCs/>
              </w:rPr>
            </w:pPr>
            <w:r w:rsidRPr="007114AF">
              <w:rPr>
                <w:rFonts w:ascii="Garamond" w:hAnsi="Garamond"/>
                <w:b/>
                <w:bCs/>
              </w:rPr>
              <w:t>Nxitja e zbatimit të strategjisë së përshtatjes ndaj ndryshimeve klimatike për sektorin e shëndetësisë</w:t>
            </w:r>
          </w:p>
        </w:tc>
        <w:tc>
          <w:tcPr>
            <w:tcW w:w="4606" w:type="dxa"/>
            <w:shd w:val="clear" w:color="auto" w:fill="B6DDE8" w:themeFill="accent5" w:themeFillTint="66"/>
          </w:tcPr>
          <w:p w14:paraId="6EDD0F87" w14:textId="77777777" w:rsidR="00C55AD3" w:rsidRPr="007114AF" w:rsidRDefault="00C55AD3" w:rsidP="00C55AD3">
            <w:pPr>
              <w:spacing w:after="0" w:line="240" w:lineRule="auto"/>
              <w:rPr>
                <w:rFonts w:ascii="Garamond" w:hAnsi="Garamond"/>
                <w:b/>
                <w:bCs/>
              </w:rPr>
            </w:pPr>
            <w:r w:rsidRPr="007114AF">
              <w:rPr>
                <w:rFonts w:ascii="Garamond" w:hAnsi="Garamond"/>
                <w:b/>
                <w:bCs/>
              </w:rPr>
              <w:t>Agjencia / Ministria kryesuese përgjegjëse</w:t>
            </w:r>
          </w:p>
          <w:p w14:paraId="6EDD0F88" w14:textId="275BEC1E" w:rsidR="00C55AD3" w:rsidRPr="007114AF" w:rsidRDefault="00C55AD3" w:rsidP="00C55AD3">
            <w:pPr>
              <w:spacing w:after="0" w:line="240" w:lineRule="auto"/>
              <w:rPr>
                <w:rFonts w:ascii="Garamond" w:hAnsi="Garamond"/>
                <w:b/>
                <w:bCs/>
              </w:rPr>
            </w:pPr>
            <w:r w:rsidRPr="007114AF">
              <w:rPr>
                <w:rFonts w:ascii="Garamond" w:hAnsi="Garamond"/>
                <w:b/>
                <w:bCs/>
              </w:rPr>
              <w:t>Ministria e Shëndetësisë dhe M</w:t>
            </w:r>
            <w:r w:rsidR="00EA6377">
              <w:rPr>
                <w:rFonts w:ascii="Garamond" w:hAnsi="Garamond"/>
                <w:b/>
                <w:bCs/>
              </w:rPr>
              <w:t>b</w:t>
            </w:r>
            <w:r w:rsidRPr="007114AF">
              <w:rPr>
                <w:rFonts w:ascii="Garamond" w:hAnsi="Garamond"/>
                <w:b/>
                <w:bCs/>
              </w:rPr>
              <w:t>rojtjes Sociale</w:t>
            </w:r>
          </w:p>
          <w:p w14:paraId="6EDD0F89" w14:textId="77777777" w:rsidR="00C55AD3" w:rsidRPr="007114AF" w:rsidRDefault="00C55AD3" w:rsidP="00C55AD3">
            <w:pPr>
              <w:spacing w:after="0" w:line="240" w:lineRule="auto"/>
              <w:rPr>
                <w:rFonts w:ascii="Garamond" w:hAnsi="Garamond"/>
                <w:b/>
                <w:bCs/>
              </w:rPr>
            </w:pPr>
          </w:p>
        </w:tc>
      </w:tr>
      <w:tr w:rsidR="00C55AD3" w:rsidRPr="007114AF" w14:paraId="6EDD0F8E" w14:textId="77777777" w:rsidTr="00574660">
        <w:tc>
          <w:tcPr>
            <w:tcW w:w="9212" w:type="dxa"/>
            <w:gridSpan w:val="2"/>
            <w:shd w:val="clear" w:color="auto" w:fill="auto"/>
          </w:tcPr>
          <w:p w14:paraId="6EDD0F8B" w14:textId="77777777" w:rsidR="00C55AD3" w:rsidRPr="007114AF" w:rsidRDefault="00C55AD3" w:rsidP="00C55AD3">
            <w:pPr>
              <w:spacing w:after="0" w:line="240" w:lineRule="auto"/>
              <w:rPr>
                <w:rFonts w:ascii="Garamond" w:hAnsi="Garamond"/>
                <w:b/>
                <w:bCs/>
              </w:rPr>
            </w:pPr>
            <w:r w:rsidRPr="007114AF">
              <w:rPr>
                <w:rFonts w:ascii="Garamond" w:hAnsi="Garamond"/>
                <w:b/>
                <w:bCs/>
              </w:rPr>
              <w:t>Situata ekzistuese mbi të cilën mbështetet veprimi prioritar</w:t>
            </w:r>
          </w:p>
          <w:p w14:paraId="6EDD0F8C" w14:textId="00B68AFF" w:rsidR="00C55AD3" w:rsidRPr="007114AF" w:rsidRDefault="00C55AD3" w:rsidP="00C55AD3">
            <w:pPr>
              <w:spacing w:after="0" w:line="240" w:lineRule="auto"/>
              <w:rPr>
                <w:rFonts w:ascii="Garamond" w:hAnsi="Garamond"/>
                <w:bCs/>
              </w:rPr>
            </w:pPr>
            <w:r w:rsidRPr="007114AF">
              <w:rPr>
                <w:rFonts w:ascii="Garamond" w:hAnsi="Garamond"/>
                <w:bCs/>
              </w:rPr>
              <w:t>Efektet e ndryshimeve klimatike ndihen përditë e më shumë në Shqipëri, me rritjen e temperaturave dhe ndryshimin e intensitetit të sasisë së reshjeve. Për pasojë, problemet shëndetësore të lidhura me cilësinë e ajrit (</w:t>
            </w:r>
            <w:bookmarkStart w:id="227" w:name="OLE_LINK16"/>
            <w:bookmarkStart w:id="228" w:name="OLE_LINK17"/>
            <w:r w:rsidRPr="007114AF">
              <w:rPr>
                <w:rFonts w:ascii="Garamond" w:hAnsi="Garamond"/>
                <w:bCs/>
              </w:rPr>
              <w:t>sëmundjet e aparatit të frymëmarrjes</w:t>
            </w:r>
            <w:bookmarkEnd w:id="227"/>
            <w:bookmarkEnd w:id="228"/>
            <w:r w:rsidRPr="007114AF">
              <w:rPr>
                <w:rFonts w:ascii="Garamond" w:hAnsi="Garamond"/>
                <w:bCs/>
              </w:rPr>
              <w:t>) mund të rëndohen në qytetet kryesore të Shqipërisë dhe në veçanti, në kryeqytetin e vendit. Pasojë e shtimit të ditëve të nxehta dhe valët e të nxehtit mund të jenë edhe disa vdekje të shkaktuara nga sëmundje të aparatit kardiovaskular dhe të frymëmarrjes. Si pasojë e reshjeve ekstreme, mund të ketë sëmundje, aksidente dhe dëmtime të lidhura me ujin si dhe cilësinë e tij. Pasojat e ndryshimeve klimatike tek shëndeti, mund të ndikojnë në rritjen e pabarazisë</w:t>
            </w:r>
            <w:r w:rsidR="00D64242">
              <w:rPr>
                <w:rFonts w:ascii="Garamond" w:hAnsi="Garamond"/>
                <w:bCs/>
              </w:rPr>
              <w:t xml:space="preserve"> </w:t>
            </w:r>
            <w:r w:rsidRPr="007114AF">
              <w:rPr>
                <w:rFonts w:ascii="Garamond" w:hAnsi="Garamond"/>
                <w:bCs/>
              </w:rPr>
              <w:t>në Shqipëri, ndaj ekziston nevoja për t</w:t>
            </w:r>
            <w:r w:rsidR="00D10DAB" w:rsidRPr="007114AF">
              <w:rPr>
                <w:rFonts w:ascii="Garamond" w:hAnsi="Garamond"/>
                <w:bCs/>
              </w:rPr>
              <w:t>’</w:t>
            </w:r>
            <w:r w:rsidRPr="007114AF">
              <w:rPr>
                <w:rFonts w:ascii="Garamond" w:hAnsi="Garamond"/>
                <w:bCs/>
              </w:rPr>
              <w:t>i përshtatur dhe përmirësuar kapacitetet ekzistuese në sektorin shëndetësor, për t</w:t>
            </w:r>
            <w:r w:rsidR="00D10DAB" w:rsidRPr="007114AF">
              <w:rPr>
                <w:rFonts w:ascii="Garamond" w:hAnsi="Garamond"/>
                <w:bCs/>
              </w:rPr>
              <w:t>’</w:t>
            </w:r>
            <w:r w:rsidRPr="007114AF">
              <w:rPr>
                <w:rFonts w:ascii="Garamond" w:hAnsi="Garamond"/>
                <w:bCs/>
              </w:rPr>
              <w:t>u bërë ballë sfidave të ndryshimeve klimatike dhe efekteve</w:t>
            </w:r>
            <w:r w:rsidR="00D64242">
              <w:rPr>
                <w:rFonts w:ascii="Garamond" w:hAnsi="Garamond"/>
                <w:bCs/>
              </w:rPr>
              <w:t xml:space="preserve"> </w:t>
            </w:r>
            <w:r w:rsidRPr="007114AF">
              <w:rPr>
                <w:rFonts w:ascii="Garamond" w:hAnsi="Garamond"/>
                <w:bCs/>
              </w:rPr>
              <w:t>që kanë</w:t>
            </w:r>
            <w:r w:rsidR="00D64242">
              <w:rPr>
                <w:rFonts w:ascii="Garamond" w:hAnsi="Garamond"/>
                <w:bCs/>
              </w:rPr>
              <w:t xml:space="preserve"> </w:t>
            </w:r>
            <w:r w:rsidRPr="007114AF">
              <w:rPr>
                <w:rFonts w:ascii="Garamond" w:hAnsi="Garamond"/>
                <w:bCs/>
              </w:rPr>
              <w:t>në shëndet.</w:t>
            </w:r>
          </w:p>
          <w:p w14:paraId="6EDD0F8D" w14:textId="294FF9AD" w:rsidR="00C55AD3" w:rsidRPr="007114AF" w:rsidRDefault="00C55AD3" w:rsidP="00C55AD3">
            <w:pPr>
              <w:spacing w:after="0" w:line="240" w:lineRule="auto"/>
              <w:rPr>
                <w:rFonts w:ascii="Garamond" w:hAnsi="Garamond"/>
                <w:b/>
                <w:bCs/>
              </w:rPr>
            </w:pPr>
            <w:r w:rsidRPr="007114AF">
              <w:rPr>
                <w:rFonts w:ascii="Garamond" w:hAnsi="Garamond"/>
                <w:bCs/>
              </w:rPr>
              <w:t xml:space="preserve">Pasojat e ndryshimeve klimatike në sektorin e shëndetësisë, si edhe masat e mundshme të përshtatjes, janë analizuar sistematikisht në strategjinë </w:t>
            </w:r>
            <w:r w:rsidR="000A2A01" w:rsidRPr="007114AF">
              <w:rPr>
                <w:rFonts w:ascii="Garamond" w:hAnsi="Garamond"/>
                <w:bCs/>
              </w:rPr>
              <w:t>“</w:t>
            </w:r>
            <w:r w:rsidRPr="007114AF">
              <w:rPr>
                <w:rFonts w:ascii="Garamond" w:hAnsi="Garamond"/>
                <w:bCs/>
              </w:rPr>
              <w:t>Për përshtatjen e sistemit shëndetësor ndaj ndryshimeve klimatike</w:t>
            </w:r>
            <w:r w:rsidR="000A2A01" w:rsidRPr="007114AF">
              <w:rPr>
                <w:rFonts w:ascii="Garamond" w:hAnsi="Garamond"/>
                <w:bCs/>
              </w:rPr>
              <w:t>”</w:t>
            </w:r>
            <w:r w:rsidRPr="007114AF">
              <w:rPr>
                <w:rFonts w:ascii="Garamond" w:hAnsi="Garamond"/>
                <w:bCs/>
              </w:rPr>
              <w:t xml:space="preserve"> (tetor 2011), që është edhe strategjia e parë sektoriale e gjithanshme për përshtatjen ndaj ndryshimeve klimatike në Shqipëri. Kjo strategji përfshin edhe një plan veprimi, me afate dhe përgjegjësi të përcaktuara. Gjithsesi, zbatimi në praktikë ka mbetur mbrapa dhe do të mbështetet nëpërmjet këtij veprimi prioritar.</w:t>
            </w:r>
          </w:p>
        </w:tc>
      </w:tr>
      <w:tr w:rsidR="00C55AD3" w:rsidRPr="007114AF" w14:paraId="6EDD0F94" w14:textId="77777777" w:rsidTr="00574660">
        <w:tc>
          <w:tcPr>
            <w:tcW w:w="9212" w:type="dxa"/>
            <w:gridSpan w:val="2"/>
            <w:shd w:val="clear" w:color="auto" w:fill="auto"/>
          </w:tcPr>
          <w:p w14:paraId="6EDD0F8F" w14:textId="77777777" w:rsidR="00C55AD3" w:rsidRPr="007114AF" w:rsidRDefault="00C55AD3" w:rsidP="00C55AD3">
            <w:pPr>
              <w:spacing w:after="0" w:line="240" w:lineRule="auto"/>
              <w:rPr>
                <w:rFonts w:ascii="Garamond" w:hAnsi="Garamond"/>
                <w:b/>
                <w:bCs/>
              </w:rPr>
            </w:pPr>
            <w:r w:rsidRPr="007114AF">
              <w:rPr>
                <w:rFonts w:ascii="Garamond" w:hAnsi="Garamond"/>
                <w:b/>
                <w:bCs/>
              </w:rPr>
              <w:t>Arsyetimi / objektivat / treguesit</w:t>
            </w:r>
          </w:p>
          <w:p w14:paraId="6EDD0F90" w14:textId="77777777" w:rsidR="00C55AD3" w:rsidRPr="007114AF" w:rsidRDefault="00C55AD3" w:rsidP="00037830">
            <w:pPr>
              <w:numPr>
                <w:ilvl w:val="0"/>
                <w:numId w:val="41"/>
              </w:numPr>
              <w:spacing w:after="0" w:line="240" w:lineRule="auto"/>
              <w:ind w:left="0" w:firstLine="0"/>
              <w:rPr>
                <w:rFonts w:ascii="Garamond" w:hAnsi="Garamond"/>
                <w:bCs/>
              </w:rPr>
            </w:pPr>
            <w:r w:rsidRPr="007114AF">
              <w:rPr>
                <w:rFonts w:ascii="Garamond" w:hAnsi="Garamond"/>
                <w:bCs/>
              </w:rPr>
              <w:t>Objektivi 1: Rritja e zbatimit të disa masave shëndetësore të përzgjedhura në lidhje me efektet e ndryshimeve klimatike, me fokus të veçantë tek mbajtja në kontroll e vektorëve të sëmundjeve, masat mbi shëndetin publik dhe gatishmëria për dukuritë e motit ekstrem (valët e motit të nxehtë).</w:t>
            </w:r>
          </w:p>
          <w:p w14:paraId="6EDD0F91" w14:textId="29964F4E" w:rsidR="00C55AD3" w:rsidRPr="007114AF" w:rsidRDefault="00C55AD3" w:rsidP="00037830">
            <w:pPr>
              <w:numPr>
                <w:ilvl w:val="0"/>
                <w:numId w:val="68"/>
              </w:numPr>
              <w:spacing w:after="0" w:line="240" w:lineRule="auto"/>
              <w:ind w:left="0" w:firstLine="0"/>
              <w:rPr>
                <w:rFonts w:ascii="Garamond" w:hAnsi="Garamond"/>
                <w:bCs/>
              </w:rPr>
            </w:pPr>
            <w:r w:rsidRPr="007114AF">
              <w:rPr>
                <w:rFonts w:ascii="Garamond" w:hAnsi="Garamond"/>
                <w:bCs/>
              </w:rPr>
              <w:t>Treguesi 1.1: Fushatat e lidhura me klimën përfshijnë pasojat që ka klima mbi</w:t>
            </w:r>
            <w:r w:rsidR="008D30FC" w:rsidRPr="007114AF">
              <w:rPr>
                <w:rFonts w:ascii="Garamond" w:hAnsi="Garamond"/>
                <w:bCs/>
              </w:rPr>
              <w:t xml:space="preserve"> </w:t>
            </w:r>
            <w:r w:rsidRPr="007114AF">
              <w:rPr>
                <w:rFonts w:ascii="Garamond" w:hAnsi="Garamond"/>
                <w:bCs/>
              </w:rPr>
              <w:t>shëndetin.</w:t>
            </w:r>
          </w:p>
          <w:p w14:paraId="6EDD0F92" w14:textId="05E323E8" w:rsidR="00C55AD3" w:rsidRPr="007114AF" w:rsidRDefault="00C55AD3" w:rsidP="00037830">
            <w:pPr>
              <w:numPr>
                <w:ilvl w:val="0"/>
                <w:numId w:val="68"/>
              </w:numPr>
              <w:spacing w:after="0" w:line="240" w:lineRule="auto"/>
              <w:ind w:left="0" w:firstLine="0"/>
              <w:rPr>
                <w:rFonts w:ascii="Garamond" w:hAnsi="Garamond"/>
                <w:bCs/>
              </w:rPr>
            </w:pPr>
            <w:r w:rsidRPr="007114AF">
              <w:rPr>
                <w:rFonts w:ascii="Garamond" w:hAnsi="Garamond"/>
                <w:bCs/>
              </w:rPr>
              <w:t>Treguesi 1.2: Rritja e gatishmërisë për dukuritë e motit ekstrem, nëpërmjet sistemeve të sinjalizimit të hershëm dhe qendrave</w:t>
            </w:r>
            <w:r w:rsidR="000D7C65">
              <w:rPr>
                <w:rFonts w:ascii="Garamond" w:hAnsi="Garamond"/>
                <w:bCs/>
              </w:rPr>
              <w:t xml:space="preserve"> </w:t>
            </w:r>
            <w:r w:rsidRPr="007114AF">
              <w:rPr>
                <w:rFonts w:ascii="Garamond" w:hAnsi="Garamond"/>
                <w:bCs/>
              </w:rPr>
              <w:t>të kujdesit shëndetësor parësor.</w:t>
            </w:r>
          </w:p>
          <w:p w14:paraId="6EDD0F93" w14:textId="77777777" w:rsidR="00C55AD3" w:rsidRPr="007114AF" w:rsidRDefault="00C55AD3" w:rsidP="00037830">
            <w:pPr>
              <w:numPr>
                <w:ilvl w:val="0"/>
                <w:numId w:val="68"/>
              </w:numPr>
              <w:spacing w:after="0" w:line="240" w:lineRule="auto"/>
              <w:ind w:left="0" w:firstLine="0"/>
              <w:rPr>
                <w:rFonts w:ascii="Garamond" w:hAnsi="Garamond"/>
                <w:bCs/>
              </w:rPr>
            </w:pPr>
            <w:r w:rsidRPr="007114AF">
              <w:rPr>
                <w:rFonts w:ascii="Garamond" w:hAnsi="Garamond"/>
                <w:bCs/>
              </w:rPr>
              <w:t>Treguesi 1.3: Përmirësim i masave të mbikëqyrjes dhe parandalimit të sëmundjeve ngjitëse të shkaktuara nga ndryshimet klimatike.</w:t>
            </w:r>
          </w:p>
        </w:tc>
      </w:tr>
      <w:tr w:rsidR="00C55AD3" w:rsidRPr="007114AF" w14:paraId="6EDD0FA3" w14:textId="77777777" w:rsidTr="00574660">
        <w:tc>
          <w:tcPr>
            <w:tcW w:w="9212" w:type="dxa"/>
            <w:gridSpan w:val="2"/>
            <w:shd w:val="clear" w:color="auto" w:fill="auto"/>
          </w:tcPr>
          <w:p w14:paraId="6EDD0F95" w14:textId="77777777" w:rsidR="00C55AD3" w:rsidRPr="007114AF" w:rsidRDefault="00C55AD3" w:rsidP="00C55AD3">
            <w:pPr>
              <w:spacing w:after="0" w:line="240" w:lineRule="auto"/>
              <w:rPr>
                <w:rFonts w:ascii="Garamond" w:hAnsi="Garamond"/>
                <w:b/>
                <w:bCs/>
              </w:rPr>
            </w:pPr>
            <w:r w:rsidRPr="007114AF">
              <w:rPr>
                <w:rFonts w:ascii="Garamond" w:hAnsi="Garamond"/>
                <w:b/>
                <w:bCs/>
              </w:rPr>
              <w:t>Elementet dhe afatet me rëndësi të veprimit prioritar</w:t>
            </w:r>
          </w:p>
          <w:p w14:paraId="6EDD0F96" w14:textId="37F4E65A" w:rsidR="00C55AD3" w:rsidRPr="007114AF" w:rsidRDefault="00C55AD3" w:rsidP="00037830">
            <w:pPr>
              <w:numPr>
                <w:ilvl w:val="0"/>
                <w:numId w:val="69"/>
              </w:numPr>
              <w:spacing w:after="0" w:line="240" w:lineRule="auto"/>
              <w:ind w:left="0" w:firstLine="0"/>
              <w:rPr>
                <w:rFonts w:ascii="Garamond" w:hAnsi="Garamond"/>
                <w:bCs/>
              </w:rPr>
            </w:pPr>
            <w:r w:rsidRPr="007114AF">
              <w:rPr>
                <w:rFonts w:ascii="Garamond" w:hAnsi="Garamond"/>
                <w:bCs/>
              </w:rPr>
              <w:t>Ndërgjegjësimi i publikut për efektet që kanë ndryshimet klimatike te shëndeti</w:t>
            </w:r>
          </w:p>
          <w:p w14:paraId="6EDD0F97" w14:textId="09413A4E" w:rsidR="00C55AD3" w:rsidRPr="007114AF" w:rsidRDefault="00C55AD3" w:rsidP="00037830">
            <w:pPr>
              <w:numPr>
                <w:ilvl w:val="0"/>
                <w:numId w:val="42"/>
              </w:numPr>
              <w:spacing w:after="0" w:line="240" w:lineRule="auto"/>
              <w:ind w:left="0" w:firstLine="0"/>
              <w:rPr>
                <w:rFonts w:ascii="Garamond" w:hAnsi="Garamond"/>
                <w:bCs/>
              </w:rPr>
            </w:pPr>
            <w:r w:rsidRPr="007114AF">
              <w:rPr>
                <w:rFonts w:ascii="Garamond" w:hAnsi="Garamond"/>
                <w:bCs/>
              </w:rPr>
              <w:t>Përfshirja e pasojave shëndetësore të ndryshimeve klimatike në fushatat e ndërgjegjësimit në kuadër të veprimit prioritar</w:t>
            </w:r>
            <w:r w:rsidR="00242009" w:rsidRPr="007114AF">
              <w:rPr>
                <w:rFonts w:ascii="Garamond" w:hAnsi="Garamond"/>
                <w:bCs/>
              </w:rPr>
              <w:t xml:space="preserve"> nr. </w:t>
            </w:r>
            <w:r w:rsidRPr="007114AF">
              <w:rPr>
                <w:rFonts w:ascii="Garamond" w:hAnsi="Garamond"/>
                <w:bCs/>
              </w:rPr>
              <w:t>6.</w:t>
            </w:r>
          </w:p>
          <w:p w14:paraId="6EDD0F98" w14:textId="22B784D8" w:rsidR="00C55AD3" w:rsidRPr="007114AF" w:rsidRDefault="00C55AD3" w:rsidP="00C55AD3">
            <w:pPr>
              <w:spacing w:after="0" w:line="240" w:lineRule="auto"/>
              <w:rPr>
                <w:rFonts w:ascii="Garamond" w:hAnsi="Garamond"/>
                <w:bCs/>
              </w:rPr>
            </w:pPr>
            <w:r w:rsidRPr="007114AF">
              <w:rPr>
                <w:rFonts w:ascii="Garamond" w:hAnsi="Garamond"/>
                <w:bCs/>
              </w:rPr>
              <w:t>2. Gatishmëria mbi</w:t>
            </w:r>
            <w:r w:rsidR="0073297C">
              <w:rPr>
                <w:rFonts w:ascii="Garamond" w:hAnsi="Garamond"/>
                <w:bCs/>
              </w:rPr>
              <w:t xml:space="preserve"> </w:t>
            </w:r>
            <w:r w:rsidRPr="007114AF">
              <w:rPr>
                <w:rFonts w:ascii="Garamond" w:hAnsi="Garamond"/>
                <w:bCs/>
              </w:rPr>
              <w:t>dukuritë ekstreme të motit të lidhura me klimën</w:t>
            </w:r>
          </w:p>
          <w:p w14:paraId="6EDD0F99" w14:textId="29E220B7" w:rsidR="00C55AD3" w:rsidRPr="007114AF" w:rsidRDefault="00C55AD3" w:rsidP="00037830">
            <w:pPr>
              <w:numPr>
                <w:ilvl w:val="0"/>
                <w:numId w:val="42"/>
              </w:numPr>
              <w:spacing w:after="0" w:line="240" w:lineRule="auto"/>
              <w:ind w:left="0" w:firstLine="0"/>
              <w:rPr>
                <w:rFonts w:ascii="Garamond" w:hAnsi="Garamond"/>
                <w:bCs/>
              </w:rPr>
            </w:pPr>
            <w:r w:rsidRPr="007114AF">
              <w:rPr>
                <w:rFonts w:ascii="Garamond" w:hAnsi="Garamond"/>
                <w:bCs/>
              </w:rPr>
              <w:t>Ofrimi i trajnimeve për profesionistë të përzgjedhur të shëndetit</w:t>
            </w:r>
            <w:r w:rsidR="00D31C24">
              <w:rPr>
                <w:rFonts w:ascii="Garamond" w:hAnsi="Garamond"/>
                <w:bCs/>
              </w:rPr>
              <w:t xml:space="preserve"> </w:t>
            </w:r>
            <w:r w:rsidRPr="007114AF">
              <w:rPr>
                <w:rFonts w:ascii="Garamond" w:hAnsi="Garamond"/>
                <w:bCs/>
              </w:rPr>
              <w:t>(2013</w:t>
            </w:r>
            <w:r w:rsidR="00D31C24">
              <w:rPr>
                <w:rFonts w:ascii="Garamond" w:hAnsi="Garamond"/>
                <w:bCs/>
              </w:rPr>
              <w:t>–</w:t>
            </w:r>
            <w:r w:rsidRPr="007114AF">
              <w:rPr>
                <w:rFonts w:ascii="Garamond" w:hAnsi="Garamond"/>
                <w:bCs/>
              </w:rPr>
              <w:t>2021)</w:t>
            </w:r>
          </w:p>
          <w:p w14:paraId="6EDD0F9A" w14:textId="18BA9C20" w:rsidR="00C55AD3" w:rsidRPr="007114AF" w:rsidRDefault="00C55AD3" w:rsidP="00037830">
            <w:pPr>
              <w:numPr>
                <w:ilvl w:val="0"/>
                <w:numId w:val="42"/>
              </w:numPr>
              <w:spacing w:after="0" w:line="240" w:lineRule="auto"/>
              <w:ind w:left="0" w:firstLine="0"/>
              <w:rPr>
                <w:rFonts w:ascii="Garamond" w:hAnsi="Garamond"/>
                <w:bCs/>
              </w:rPr>
            </w:pPr>
            <w:r w:rsidRPr="007114AF">
              <w:rPr>
                <w:rFonts w:ascii="Garamond" w:hAnsi="Garamond"/>
                <w:bCs/>
              </w:rPr>
              <w:t>Informimi i komuniteteve në kohë dhe sistematikisht për valët e mundshme të të nxehtit. (2012</w:t>
            </w:r>
            <w:r w:rsidR="00D31C24">
              <w:rPr>
                <w:rFonts w:ascii="Garamond" w:hAnsi="Garamond"/>
                <w:bCs/>
              </w:rPr>
              <w:t>–</w:t>
            </w:r>
            <w:r w:rsidRPr="007114AF">
              <w:rPr>
                <w:rFonts w:ascii="Garamond" w:hAnsi="Garamond"/>
                <w:bCs/>
              </w:rPr>
              <w:t xml:space="preserve"> 2021)</w:t>
            </w:r>
            <w:r w:rsidR="00D31C24">
              <w:rPr>
                <w:rFonts w:ascii="Garamond" w:hAnsi="Garamond"/>
                <w:bCs/>
              </w:rPr>
              <w:t>.</w:t>
            </w:r>
          </w:p>
          <w:p w14:paraId="6EDD0F9B" w14:textId="5293A5D3" w:rsidR="00C55AD3" w:rsidRPr="007114AF" w:rsidRDefault="00C55AD3" w:rsidP="00037830">
            <w:pPr>
              <w:numPr>
                <w:ilvl w:val="0"/>
                <w:numId w:val="42"/>
              </w:numPr>
              <w:spacing w:after="0" w:line="240" w:lineRule="auto"/>
              <w:ind w:left="0" w:firstLine="0"/>
              <w:rPr>
                <w:rFonts w:ascii="Garamond" w:hAnsi="Garamond"/>
                <w:bCs/>
              </w:rPr>
            </w:pPr>
            <w:r w:rsidRPr="007114AF">
              <w:rPr>
                <w:rFonts w:ascii="Garamond" w:hAnsi="Garamond"/>
                <w:bCs/>
              </w:rPr>
              <w:t>Përshtatja e politikave të sektorit shëndetësor për ndërtimin e qendrave</w:t>
            </w:r>
            <w:r w:rsidR="00D31C24">
              <w:rPr>
                <w:rFonts w:ascii="Garamond" w:hAnsi="Garamond"/>
                <w:bCs/>
              </w:rPr>
              <w:t xml:space="preserve"> </w:t>
            </w:r>
            <w:r w:rsidRPr="007114AF">
              <w:rPr>
                <w:rFonts w:ascii="Garamond" w:hAnsi="Garamond"/>
                <w:bCs/>
              </w:rPr>
              <w:t>shëndetësore. (2015</w:t>
            </w:r>
            <w:r w:rsidR="00D31C24">
              <w:rPr>
                <w:rFonts w:ascii="Garamond" w:hAnsi="Garamond"/>
                <w:bCs/>
              </w:rPr>
              <w:t>–</w:t>
            </w:r>
            <w:r w:rsidRPr="007114AF">
              <w:rPr>
                <w:rFonts w:ascii="Garamond" w:hAnsi="Garamond"/>
                <w:bCs/>
              </w:rPr>
              <w:t>206).</w:t>
            </w:r>
          </w:p>
          <w:p w14:paraId="6EDD0F9C" w14:textId="77777777" w:rsidR="00C55AD3" w:rsidRPr="007114AF" w:rsidRDefault="00C55AD3" w:rsidP="00C55AD3">
            <w:pPr>
              <w:spacing w:after="0" w:line="240" w:lineRule="auto"/>
              <w:rPr>
                <w:rFonts w:ascii="Garamond" w:hAnsi="Garamond"/>
                <w:bCs/>
              </w:rPr>
            </w:pPr>
            <w:r w:rsidRPr="007114AF">
              <w:rPr>
                <w:rFonts w:ascii="Garamond" w:hAnsi="Garamond"/>
                <w:bCs/>
              </w:rPr>
              <w:t xml:space="preserve">3. Ndryshimi i klimës dhe sëmundjet vektoriale </w:t>
            </w:r>
          </w:p>
          <w:p w14:paraId="6EDD0F9D" w14:textId="681214F3" w:rsidR="00C55AD3" w:rsidRPr="007114AF" w:rsidRDefault="00C55AD3" w:rsidP="00037830">
            <w:pPr>
              <w:numPr>
                <w:ilvl w:val="0"/>
                <w:numId w:val="43"/>
              </w:numPr>
              <w:spacing w:after="0" w:line="240" w:lineRule="auto"/>
              <w:ind w:left="0" w:firstLine="0"/>
              <w:rPr>
                <w:rFonts w:ascii="Garamond" w:hAnsi="Garamond"/>
                <w:bCs/>
              </w:rPr>
            </w:pPr>
            <w:r w:rsidRPr="007114AF">
              <w:rPr>
                <w:rFonts w:ascii="Garamond" w:hAnsi="Garamond"/>
                <w:bCs/>
              </w:rPr>
              <w:t>Mbështetje me trajnime dhe informim për Drejtoritë e Shëndetit Publik dhe bashkitë.(2013</w:t>
            </w:r>
            <w:r w:rsidR="00D31C24">
              <w:rPr>
                <w:rFonts w:ascii="Garamond" w:hAnsi="Garamond"/>
                <w:bCs/>
              </w:rPr>
              <w:t>–</w:t>
            </w:r>
            <w:r w:rsidRPr="007114AF">
              <w:rPr>
                <w:rFonts w:ascii="Garamond" w:hAnsi="Garamond"/>
                <w:bCs/>
              </w:rPr>
              <w:t>2021)</w:t>
            </w:r>
            <w:r w:rsidR="00D31C24">
              <w:rPr>
                <w:rFonts w:ascii="Garamond" w:hAnsi="Garamond"/>
                <w:bCs/>
              </w:rPr>
              <w:t>.</w:t>
            </w:r>
          </w:p>
          <w:p w14:paraId="6EDD0F9E" w14:textId="673E9CCB" w:rsidR="00C55AD3" w:rsidRPr="007114AF" w:rsidRDefault="00C55AD3" w:rsidP="00037830">
            <w:pPr>
              <w:numPr>
                <w:ilvl w:val="0"/>
                <w:numId w:val="43"/>
              </w:numPr>
              <w:spacing w:after="0" w:line="240" w:lineRule="auto"/>
              <w:ind w:left="0" w:firstLine="0"/>
              <w:rPr>
                <w:rFonts w:ascii="Garamond" w:hAnsi="Garamond"/>
                <w:bCs/>
              </w:rPr>
            </w:pPr>
            <w:r w:rsidRPr="007114AF">
              <w:rPr>
                <w:rFonts w:ascii="Garamond" w:hAnsi="Garamond"/>
                <w:bCs/>
              </w:rPr>
              <w:t>Përshtatja e sistemeve ekzistuese të mbikëqyrjes për sëmundjet</w:t>
            </w:r>
            <w:r w:rsidR="00D31C24">
              <w:rPr>
                <w:rFonts w:ascii="Garamond" w:hAnsi="Garamond"/>
                <w:bCs/>
              </w:rPr>
              <w:t xml:space="preserve"> </w:t>
            </w:r>
            <w:r w:rsidRPr="007114AF">
              <w:rPr>
                <w:rFonts w:ascii="Garamond" w:hAnsi="Garamond"/>
                <w:bCs/>
              </w:rPr>
              <w:t>vektoriale (2013</w:t>
            </w:r>
            <w:r w:rsidR="00D31C24">
              <w:rPr>
                <w:rFonts w:ascii="Garamond" w:hAnsi="Garamond"/>
                <w:bCs/>
              </w:rPr>
              <w:t>–</w:t>
            </w:r>
            <w:r w:rsidRPr="007114AF">
              <w:rPr>
                <w:rFonts w:ascii="Garamond" w:hAnsi="Garamond"/>
                <w:bCs/>
              </w:rPr>
              <w:t>2021)</w:t>
            </w:r>
            <w:r w:rsidR="00D31C24">
              <w:rPr>
                <w:rFonts w:ascii="Garamond" w:hAnsi="Garamond"/>
                <w:bCs/>
              </w:rPr>
              <w:t>.</w:t>
            </w:r>
          </w:p>
          <w:p w14:paraId="6EDD0F9F" w14:textId="239005E3" w:rsidR="00C55AD3" w:rsidRPr="007114AF" w:rsidRDefault="00C55AD3" w:rsidP="00037830">
            <w:pPr>
              <w:numPr>
                <w:ilvl w:val="0"/>
                <w:numId w:val="43"/>
              </w:numPr>
              <w:spacing w:after="0" w:line="240" w:lineRule="auto"/>
              <w:ind w:left="0" w:firstLine="0"/>
              <w:rPr>
                <w:rFonts w:ascii="Garamond" w:hAnsi="Garamond"/>
                <w:bCs/>
              </w:rPr>
            </w:pPr>
            <w:r w:rsidRPr="007114AF">
              <w:rPr>
                <w:rFonts w:ascii="Garamond" w:hAnsi="Garamond"/>
                <w:bCs/>
              </w:rPr>
              <w:t>Rritja e kapaciteteve në Institutin e Shëndetit Publik për laboratorin entomologjik dhe kërkimet entomologjike (2013</w:t>
            </w:r>
            <w:r w:rsidR="00D31C24">
              <w:rPr>
                <w:rFonts w:ascii="Garamond" w:hAnsi="Garamond"/>
                <w:bCs/>
              </w:rPr>
              <w:t>–</w:t>
            </w:r>
            <w:r w:rsidRPr="007114AF">
              <w:rPr>
                <w:rFonts w:ascii="Garamond" w:hAnsi="Garamond"/>
                <w:bCs/>
              </w:rPr>
              <w:t>2021)</w:t>
            </w:r>
            <w:r w:rsidR="00D31C24">
              <w:rPr>
                <w:rFonts w:ascii="Garamond" w:hAnsi="Garamond"/>
                <w:bCs/>
              </w:rPr>
              <w:t>.</w:t>
            </w:r>
          </w:p>
          <w:p w14:paraId="6EDD0FA0" w14:textId="087FA2AA" w:rsidR="00C55AD3" w:rsidRPr="007114AF" w:rsidRDefault="00C55AD3" w:rsidP="00037830">
            <w:pPr>
              <w:numPr>
                <w:ilvl w:val="0"/>
                <w:numId w:val="43"/>
              </w:numPr>
              <w:spacing w:after="0" w:line="240" w:lineRule="auto"/>
              <w:ind w:left="0" w:firstLine="0"/>
              <w:rPr>
                <w:rFonts w:ascii="Garamond" w:hAnsi="Garamond"/>
                <w:bCs/>
              </w:rPr>
            </w:pPr>
            <w:r w:rsidRPr="007114AF">
              <w:rPr>
                <w:rFonts w:ascii="Garamond" w:hAnsi="Garamond"/>
                <w:bCs/>
              </w:rPr>
              <w:t>Sigurimi i vazhdueshëm i cilësisë së raporteve të reja të mbikëqyrjes dhe vlerësimet e</w:t>
            </w:r>
            <w:r w:rsidR="00D31C24">
              <w:rPr>
                <w:rFonts w:ascii="Garamond" w:hAnsi="Garamond"/>
                <w:bCs/>
              </w:rPr>
              <w:t xml:space="preserve"> </w:t>
            </w:r>
            <w:r w:rsidRPr="007114AF">
              <w:rPr>
                <w:rFonts w:ascii="Garamond" w:hAnsi="Garamond"/>
                <w:bCs/>
              </w:rPr>
              <w:t>lidhura me të (2014</w:t>
            </w:r>
            <w:r w:rsidR="00D31C24">
              <w:rPr>
                <w:rFonts w:ascii="Garamond" w:hAnsi="Garamond"/>
                <w:bCs/>
              </w:rPr>
              <w:t>–</w:t>
            </w:r>
            <w:r w:rsidRPr="007114AF">
              <w:rPr>
                <w:rFonts w:ascii="Garamond" w:hAnsi="Garamond"/>
                <w:bCs/>
              </w:rPr>
              <w:t>2021)</w:t>
            </w:r>
            <w:r w:rsidR="00D31C24">
              <w:rPr>
                <w:rFonts w:ascii="Garamond" w:hAnsi="Garamond"/>
                <w:bCs/>
              </w:rPr>
              <w:t>.</w:t>
            </w:r>
            <w:r w:rsidR="008D30FC" w:rsidRPr="007114AF">
              <w:rPr>
                <w:rFonts w:ascii="Garamond" w:hAnsi="Garamond"/>
                <w:bCs/>
              </w:rPr>
              <w:t xml:space="preserve">  </w:t>
            </w:r>
            <w:r w:rsidR="000A2A01" w:rsidRPr="007114AF">
              <w:rPr>
                <w:rFonts w:ascii="Garamond" w:hAnsi="Garamond"/>
                <w:bCs/>
              </w:rPr>
              <w:t xml:space="preserve"> </w:t>
            </w:r>
            <w:r w:rsidRPr="007114AF">
              <w:rPr>
                <w:rFonts w:ascii="Garamond" w:hAnsi="Garamond"/>
                <w:bCs/>
              </w:rPr>
              <w:tab/>
            </w:r>
          </w:p>
          <w:p w14:paraId="6EDD0FA1" w14:textId="6CB21FEC" w:rsidR="00C55AD3" w:rsidRPr="007114AF" w:rsidRDefault="00C55AD3" w:rsidP="00037830">
            <w:pPr>
              <w:numPr>
                <w:ilvl w:val="0"/>
                <w:numId w:val="43"/>
              </w:numPr>
              <w:spacing w:after="0" w:line="240" w:lineRule="auto"/>
              <w:ind w:left="0" w:firstLine="0"/>
              <w:rPr>
                <w:rFonts w:ascii="Garamond" w:hAnsi="Garamond"/>
                <w:bCs/>
              </w:rPr>
            </w:pPr>
            <w:r w:rsidRPr="007114AF">
              <w:rPr>
                <w:rFonts w:ascii="Garamond" w:hAnsi="Garamond"/>
                <w:bCs/>
              </w:rPr>
              <w:t>Mbështetja e Autoritetit të Ushqimit me trajnime</w:t>
            </w:r>
            <w:r w:rsidR="00D31C24">
              <w:rPr>
                <w:rFonts w:ascii="Garamond" w:hAnsi="Garamond"/>
                <w:bCs/>
              </w:rPr>
              <w:t xml:space="preserve"> </w:t>
            </w:r>
            <w:r w:rsidRPr="007114AF">
              <w:rPr>
                <w:rFonts w:ascii="Garamond" w:hAnsi="Garamond"/>
                <w:bCs/>
              </w:rPr>
              <w:t>mbi</w:t>
            </w:r>
            <w:r w:rsidR="00D31C24">
              <w:rPr>
                <w:rFonts w:ascii="Garamond" w:hAnsi="Garamond"/>
                <w:bCs/>
              </w:rPr>
              <w:t xml:space="preserve"> </w:t>
            </w:r>
            <w:r w:rsidRPr="007114AF">
              <w:rPr>
                <w:rFonts w:ascii="Garamond" w:hAnsi="Garamond"/>
                <w:bCs/>
              </w:rPr>
              <w:t>laboratorët e sigurisë ushqimore dhe vlerësimet e rrezikut (2013–2018)</w:t>
            </w:r>
            <w:r w:rsidR="00D31C24">
              <w:rPr>
                <w:rFonts w:ascii="Garamond" w:hAnsi="Garamond"/>
                <w:bCs/>
              </w:rPr>
              <w:t>.</w:t>
            </w:r>
          </w:p>
          <w:p w14:paraId="6EDD0FA2" w14:textId="2D6A1D85" w:rsidR="00C55AD3" w:rsidRPr="007114AF" w:rsidRDefault="00C55AD3" w:rsidP="00037830">
            <w:pPr>
              <w:numPr>
                <w:ilvl w:val="0"/>
                <w:numId w:val="43"/>
              </w:numPr>
              <w:spacing w:after="0" w:line="240" w:lineRule="auto"/>
              <w:ind w:left="0" w:firstLine="0"/>
              <w:rPr>
                <w:rFonts w:ascii="Garamond" w:hAnsi="Garamond"/>
                <w:bCs/>
                <w:i/>
              </w:rPr>
            </w:pPr>
            <w:r w:rsidRPr="007114AF">
              <w:rPr>
                <w:rFonts w:ascii="Garamond" w:hAnsi="Garamond"/>
                <w:bCs/>
              </w:rPr>
              <w:t xml:space="preserve">Mbështetje e vazhdueshme për bashkitë dhe </w:t>
            </w:r>
            <w:r w:rsidR="00F759BC" w:rsidRPr="007114AF">
              <w:rPr>
                <w:rFonts w:ascii="Garamond" w:hAnsi="Garamond"/>
                <w:bCs/>
              </w:rPr>
              <w:t xml:space="preserve">drejtoritë e shëndetit publik </w:t>
            </w:r>
            <w:r w:rsidRPr="007114AF">
              <w:rPr>
                <w:rFonts w:ascii="Garamond" w:hAnsi="Garamond"/>
                <w:bCs/>
              </w:rPr>
              <w:t>(2013</w:t>
            </w:r>
            <w:r w:rsidR="00D31C24">
              <w:rPr>
                <w:rFonts w:ascii="Garamond" w:hAnsi="Garamond"/>
                <w:bCs/>
              </w:rPr>
              <w:t>–</w:t>
            </w:r>
            <w:r w:rsidRPr="007114AF">
              <w:rPr>
                <w:rFonts w:ascii="Garamond" w:hAnsi="Garamond"/>
                <w:bCs/>
              </w:rPr>
              <w:t>2021).</w:t>
            </w:r>
          </w:p>
        </w:tc>
      </w:tr>
      <w:tr w:rsidR="00C55AD3" w:rsidRPr="007114AF" w14:paraId="6EDD0FAF" w14:textId="77777777" w:rsidTr="00574660">
        <w:tc>
          <w:tcPr>
            <w:tcW w:w="4606" w:type="dxa"/>
            <w:shd w:val="clear" w:color="auto" w:fill="auto"/>
          </w:tcPr>
          <w:p w14:paraId="6EDD0FA4" w14:textId="77777777" w:rsidR="00C55AD3" w:rsidRPr="007114AF" w:rsidRDefault="00C55AD3" w:rsidP="00C55AD3">
            <w:pPr>
              <w:spacing w:after="0" w:line="240" w:lineRule="auto"/>
              <w:rPr>
                <w:rFonts w:ascii="Garamond" w:hAnsi="Garamond"/>
                <w:b/>
                <w:bCs/>
              </w:rPr>
            </w:pPr>
            <w:r w:rsidRPr="007114AF">
              <w:rPr>
                <w:rFonts w:ascii="Garamond" w:hAnsi="Garamond"/>
                <w:b/>
                <w:bCs/>
              </w:rPr>
              <w:t>Aktorët kryesorë të përfshirë</w:t>
            </w:r>
          </w:p>
          <w:p w14:paraId="6EDD0FA5" w14:textId="77777777" w:rsidR="00C55AD3" w:rsidRPr="007114AF" w:rsidRDefault="00C55AD3" w:rsidP="00C55AD3">
            <w:pPr>
              <w:spacing w:after="0" w:line="240" w:lineRule="auto"/>
              <w:rPr>
                <w:rFonts w:ascii="Garamond" w:hAnsi="Garamond"/>
                <w:bCs/>
              </w:rPr>
            </w:pPr>
            <w:r w:rsidRPr="007114AF">
              <w:rPr>
                <w:rFonts w:ascii="Garamond" w:hAnsi="Garamond"/>
                <w:bCs/>
              </w:rPr>
              <w:t>Instituti i Shëndetit Publik</w:t>
            </w:r>
          </w:p>
          <w:p w14:paraId="6EDD0FA6" w14:textId="77777777" w:rsidR="00C55AD3" w:rsidRPr="007114AF" w:rsidRDefault="00C55AD3" w:rsidP="00C55AD3">
            <w:pPr>
              <w:spacing w:after="0" w:line="240" w:lineRule="auto"/>
              <w:rPr>
                <w:rFonts w:ascii="Garamond" w:hAnsi="Garamond"/>
                <w:bCs/>
              </w:rPr>
            </w:pPr>
            <w:r w:rsidRPr="007114AF">
              <w:rPr>
                <w:rFonts w:ascii="Garamond" w:hAnsi="Garamond"/>
                <w:bCs/>
              </w:rPr>
              <w:t>Ministria e Arsimit, Sportit dhe Rinisë</w:t>
            </w:r>
          </w:p>
          <w:p w14:paraId="6EDD0FA7" w14:textId="77777777" w:rsidR="00C55AD3" w:rsidRPr="007114AF" w:rsidRDefault="00C55AD3" w:rsidP="00C55AD3">
            <w:pPr>
              <w:spacing w:after="0" w:line="240" w:lineRule="auto"/>
              <w:rPr>
                <w:rFonts w:ascii="Garamond" w:hAnsi="Garamond"/>
                <w:bCs/>
              </w:rPr>
            </w:pPr>
            <w:r w:rsidRPr="007114AF">
              <w:rPr>
                <w:rFonts w:ascii="Garamond" w:hAnsi="Garamond"/>
                <w:bCs/>
              </w:rPr>
              <w:t>Fakulteti i Mjekësisë</w:t>
            </w:r>
          </w:p>
          <w:p w14:paraId="6EDD0FA8" w14:textId="77777777" w:rsidR="00C55AD3" w:rsidRPr="007114AF" w:rsidRDefault="00C55AD3" w:rsidP="00C55AD3">
            <w:pPr>
              <w:spacing w:after="0" w:line="240" w:lineRule="auto"/>
              <w:rPr>
                <w:rFonts w:ascii="Garamond" w:hAnsi="Garamond"/>
                <w:bCs/>
              </w:rPr>
            </w:pPr>
            <w:r w:rsidRPr="007114AF">
              <w:rPr>
                <w:rFonts w:ascii="Garamond" w:hAnsi="Garamond"/>
                <w:bCs/>
              </w:rPr>
              <w:t>IGJEUM-i</w:t>
            </w:r>
          </w:p>
          <w:p w14:paraId="6EDD0FA9" w14:textId="77777777" w:rsidR="00C55AD3" w:rsidRPr="007114AF" w:rsidRDefault="00C55AD3" w:rsidP="00C55AD3">
            <w:pPr>
              <w:spacing w:after="0" w:line="240" w:lineRule="auto"/>
              <w:rPr>
                <w:rFonts w:ascii="Garamond" w:hAnsi="Garamond"/>
                <w:bCs/>
              </w:rPr>
            </w:pPr>
            <w:r w:rsidRPr="007114AF">
              <w:rPr>
                <w:rFonts w:ascii="Garamond" w:hAnsi="Garamond"/>
                <w:bCs/>
              </w:rPr>
              <w:t>Agjencia e Mjedisit</w:t>
            </w:r>
          </w:p>
          <w:p w14:paraId="6EDD0FAA" w14:textId="77777777" w:rsidR="00C55AD3" w:rsidRPr="007114AF" w:rsidRDefault="00C55AD3" w:rsidP="00C55AD3">
            <w:pPr>
              <w:spacing w:after="0" w:line="240" w:lineRule="auto"/>
              <w:rPr>
                <w:rFonts w:ascii="Garamond" w:hAnsi="Garamond"/>
                <w:bCs/>
              </w:rPr>
            </w:pPr>
            <w:bookmarkStart w:id="229" w:name="OLE_LINK18"/>
            <w:bookmarkStart w:id="230" w:name="OLE_LINK19"/>
            <w:r w:rsidRPr="007114AF">
              <w:rPr>
                <w:rFonts w:ascii="Garamond" w:hAnsi="Garamond"/>
                <w:bCs/>
              </w:rPr>
              <w:t>Instituti i Sigurisë Ushqimore dhe Veterinare</w:t>
            </w:r>
            <w:bookmarkEnd w:id="229"/>
            <w:bookmarkEnd w:id="230"/>
          </w:p>
          <w:p w14:paraId="6EDD0FAB" w14:textId="77777777" w:rsidR="00C55AD3" w:rsidRPr="007114AF" w:rsidRDefault="00C55AD3" w:rsidP="00C55AD3">
            <w:pPr>
              <w:spacing w:after="0" w:line="240" w:lineRule="auto"/>
              <w:rPr>
                <w:rFonts w:ascii="Garamond" w:hAnsi="Garamond"/>
                <w:bCs/>
              </w:rPr>
            </w:pPr>
            <w:r w:rsidRPr="007114AF">
              <w:rPr>
                <w:rFonts w:ascii="Garamond" w:hAnsi="Garamond"/>
                <w:bCs/>
              </w:rPr>
              <w:t>Autoriteti i Ushqimit</w:t>
            </w:r>
          </w:p>
          <w:p w14:paraId="6EDD0FAC" w14:textId="77777777" w:rsidR="00C55AD3" w:rsidRPr="007114AF" w:rsidRDefault="00C55AD3" w:rsidP="00C55AD3">
            <w:pPr>
              <w:spacing w:after="0" w:line="240" w:lineRule="auto"/>
              <w:rPr>
                <w:rFonts w:ascii="Garamond" w:hAnsi="Garamond"/>
                <w:bCs/>
              </w:rPr>
            </w:pPr>
            <w:r w:rsidRPr="007114AF">
              <w:rPr>
                <w:rFonts w:ascii="Garamond" w:hAnsi="Garamond"/>
                <w:bCs/>
              </w:rPr>
              <w:t>Drejtoritë e Shëndetit Publik</w:t>
            </w:r>
          </w:p>
        </w:tc>
        <w:tc>
          <w:tcPr>
            <w:tcW w:w="4606" w:type="dxa"/>
            <w:shd w:val="clear" w:color="auto" w:fill="auto"/>
          </w:tcPr>
          <w:p w14:paraId="6EDD0FAD" w14:textId="77777777" w:rsidR="00C55AD3" w:rsidRPr="007114AF" w:rsidRDefault="00C55AD3" w:rsidP="00C55AD3">
            <w:pPr>
              <w:spacing w:after="0" w:line="240" w:lineRule="auto"/>
              <w:rPr>
                <w:rFonts w:ascii="Garamond" w:hAnsi="Garamond"/>
                <w:b/>
                <w:bCs/>
              </w:rPr>
            </w:pPr>
            <w:r w:rsidRPr="007114AF">
              <w:rPr>
                <w:rFonts w:ascii="Garamond" w:hAnsi="Garamond"/>
                <w:b/>
                <w:bCs/>
              </w:rPr>
              <w:t>Burimet</w:t>
            </w:r>
          </w:p>
          <w:p w14:paraId="6EDD0FAE" w14:textId="7AA121AB" w:rsidR="00C55AD3" w:rsidRPr="007114AF" w:rsidRDefault="00C55AD3" w:rsidP="001217F2">
            <w:pPr>
              <w:spacing w:after="0" w:line="240" w:lineRule="auto"/>
              <w:rPr>
                <w:rFonts w:ascii="Garamond" w:hAnsi="Garamond"/>
                <w:bCs/>
              </w:rPr>
            </w:pPr>
            <w:r w:rsidRPr="007114AF">
              <w:rPr>
                <w:rFonts w:ascii="Garamond" w:hAnsi="Garamond"/>
                <w:bCs/>
              </w:rPr>
              <w:t>Burimet financiare bëhet të ditura pjesërisht në Strategjinë për Përshtatjen për Sektorin e Shëndetësisë. Buxheti për aktivitetet e përzgjedhura në kuadër të këtij veprimi është 145 milion</w:t>
            </w:r>
            <w:r w:rsidR="001217F2">
              <w:rPr>
                <w:rFonts w:ascii="Garamond" w:hAnsi="Garamond"/>
                <w:bCs/>
              </w:rPr>
              <w:t>ë</w:t>
            </w:r>
            <w:r w:rsidRPr="007114AF">
              <w:rPr>
                <w:rFonts w:ascii="Garamond" w:hAnsi="Garamond"/>
                <w:bCs/>
              </w:rPr>
              <w:t xml:space="preserve"> ALL nga ku 73 </w:t>
            </w:r>
            <w:r w:rsidR="001217F2" w:rsidRPr="007114AF">
              <w:rPr>
                <w:rFonts w:ascii="Garamond" w:hAnsi="Garamond"/>
                <w:bCs/>
              </w:rPr>
              <w:t>milion</w:t>
            </w:r>
            <w:r w:rsidR="001217F2">
              <w:rPr>
                <w:rFonts w:ascii="Garamond" w:hAnsi="Garamond"/>
                <w:bCs/>
              </w:rPr>
              <w:t>ë</w:t>
            </w:r>
            <w:r w:rsidR="001217F2" w:rsidRPr="007114AF">
              <w:rPr>
                <w:rFonts w:ascii="Garamond" w:hAnsi="Garamond"/>
                <w:bCs/>
              </w:rPr>
              <w:t xml:space="preserve"> </w:t>
            </w:r>
            <w:r w:rsidRPr="007114AF">
              <w:rPr>
                <w:rFonts w:ascii="Garamond" w:hAnsi="Garamond"/>
                <w:bCs/>
              </w:rPr>
              <w:t>ALL do të mbulohet nga buxheti i shtetit.</w:t>
            </w:r>
          </w:p>
        </w:tc>
      </w:tr>
    </w:tbl>
    <w:p w14:paraId="6EDD0FB0" w14:textId="77777777" w:rsidR="00B92318" w:rsidRPr="007114AF" w:rsidRDefault="00B92318" w:rsidP="00BB382B">
      <w:pPr>
        <w:pStyle w:val="FIGURA"/>
      </w:pPr>
    </w:p>
    <w:p w14:paraId="6EDD0FB1" w14:textId="41C2D541" w:rsidR="009740F7" w:rsidRPr="007114AF" w:rsidRDefault="009740F7" w:rsidP="009740F7">
      <w:pPr>
        <w:pStyle w:val="FIGURA"/>
        <w:rPr>
          <w:lang w:eastAsia="en-US"/>
        </w:rPr>
      </w:pPr>
      <w:bookmarkStart w:id="231" w:name="_Toc484424544"/>
      <w:bookmarkStart w:id="232" w:name="_Toc479083899"/>
      <w:bookmarkStart w:id="233" w:name="_Toc483570146"/>
      <w:r w:rsidRPr="007114AF">
        <w:rPr>
          <w:lang w:eastAsia="en-US"/>
        </w:rPr>
        <w:t>6.2.11 Veprimi Prioritar</w:t>
      </w:r>
      <w:r w:rsidR="00242009" w:rsidRPr="007114AF">
        <w:rPr>
          <w:lang w:eastAsia="en-US"/>
        </w:rPr>
        <w:t xml:space="preserve"> nr. </w:t>
      </w:r>
      <w:r w:rsidRPr="007114AF">
        <w:rPr>
          <w:lang w:eastAsia="en-US"/>
        </w:rPr>
        <w:t>11</w:t>
      </w:r>
      <w:bookmarkEnd w:id="231"/>
      <w:bookmarkEnd w:id="232"/>
      <w:bookmarkEnd w:id="2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379"/>
        <w:gridCol w:w="4606"/>
      </w:tblGrid>
      <w:tr w:rsidR="00B06DCC" w:rsidRPr="007114AF" w14:paraId="6EDD0FB6" w14:textId="77777777" w:rsidTr="00574660">
        <w:tc>
          <w:tcPr>
            <w:tcW w:w="4606" w:type="dxa"/>
            <w:gridSpan w:val="2"/>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6EDD0FB2" w14:textId="31984492" w:rsidR="00B06DCC" w:rsidRPr="007114AF" w:rsidRDefault="00B06DCC" w:rsidP="00B06DCC">
            <w:pPr>
              <w:pBdr>
                <w:bar w:val="single" w:sz="4" w:color="FF8080"/>
              </w:pBdr>
              <w:spacing w:after="0" w:line="240" w:lineRule="auto"/>
              <w:rPr>
                <w:rFonts w:ascii="Garamond" w:hAnsi="Garamond"/>
                <w:b/>
                <w:bCs/>
              </w:rPr>
            </w:pPr>
            <w:r w:rsidRPr="007114AF">
              <w:rPr>
                <w:rFonts w:ascii="Garamond" w:hAnsi="Garamond"/>
                <w:b/>
                <w:bCs/>
              </w:rPr>
              <w:t>Titulli i veprimit prioritar</w:t>
            </w:r>
            <w:r w:rsidR="00242009" w:rsidRPr="007114AF">
              <w:rPr>
                <w:rFonts w:ascii="Garamond" w:hAnsi="Garamond"/>
                <w:b/>
                <w:bCs/>
              </w:rPr>
              <w:t xml:space="preserve"> nr. </w:t>
            </w:r>
            <w:r w:rsidRPr="007114AF">
              <w:rPr>
                <w:rFonts w:ascii="Garamond" w:hAnsi="Garamond"/>
                <w:b/>
                <w:bCs/>
              </w:rPr>
              <w:t>11</w:t>
            </w:r>
          </w:p>
          <w:p w14:paraId="6EDD0FB3" w14:textId="77777777" w:rsidR="00B06DCC" w:rsidRPr="007114AF" w:rsidRDefault="00B06DCC" w:rsidP="00B06DCC">
            <w:pPr>
              <w:spacing w:after="0" w:line="240" w:lineRule="auto"/>
              <w:rPr>
                <w:rFonts w:ascii="Garamond" w:hAnsi="Garamond"/>
                <w:b/>
                <w:bCs/>
              </w:rPr>
            </w:pPr>
            <w:r w:rsidRPr="007114AF">
              <w:rPr>
                <w:rFonts w:ascii="Garamond" w:hAnsi="Garamond"/>
                <w:b/>
                <w:bCs/>
              </w:rPr>
              <w:t>Plan i integruar ndërsektorial për Zonën Bregdetare (PINSZB)</w:t>
            </w:r>
          </w:p>
        </w:tc>
        <w:tc>
          <w:tcPr>
            <w:tcW w:w="4606"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6EDD0FB4" w14:textId="77777777" w:rsidR="00B06DCC" w:rsidRPr="007114AF" w:rsidRDefault="00B06DCC" w:rsidP="00B06DCC">
            <w:pPr>
              <w:spacing w:after="0" w:line="240" w:lineRule="auto"/>
              <w:rPr>
                <w:rFonts w:ascii="Garamond" w:hAnsi="Garamond"/>
                <w:b/>
                <w:bCs/>
              </w:rPr>
            </w:pPr>
            <w:r w:rsidRPr="007114AF">
              <w:rPr>
                <w:rFonts w:ascii="Garamond" w:hAnsi="Garamond"/>
                <w:b/>
                <w:bCs/>
              </w:rPr>
              <w:t>Agjencia / Ministria kryesuese përgjegjëse</w:t>
            </w:r>
          </w:p>
          <w:p w14:paraId="6EDD0FB5" w14:textId="77777777" w:rsidR="00B06DCC" w:rsidRPr="007114AF" w:rsidRDefault="00B06DCC" w:rsidP="00B06DCC">
            <w:pPr>
              <w:spacing w:after="0" w:line="240" w:lineRule="auto"/>
              <w:rPr>
                <w:rFonts w:ascii="Garamond" w:hAnsi="Garamond"/>
                <w:b/>
                <w:bCs/>
              </w:rPr>
            </w:pPr>
            <w:r w:rsidRPr="007114AF">
              <w:rPr>
                <w:rFonts w:ascii="Garamond" w:hAnsi="Garamond"/>
                <w:b/>
                <w:bCs/>
              </w:rPr>
              <w:t>Ministria e Infrastrukturës dhe Energjisë / AKPT-ja</w:t>
            </w:r>
          </w:p>
        </w:tc>
      </w:tr>
      <w:tr w:rsidR="00B06DCC" w:rsidRPr="007114AF" w14:paraId="6EDD0FBB" w14:textId="77777777" w:rsidTr="00574660">
        <w:tc>
          <w:tcPr>
            <w:tcW w:w="9212" w:type="dxa"/>
            <w:gridSpan w:val="3"/>
            <w:shd w:val="clear" w:color="auto" w:fill="auto"/>
          </w:tcPr>
          <w:p w14:paraId="6EDD0FB7" w14:textId="77777777" w:rsidR="00B06DCC" w:rsidRPr="007114AF" w:rsidRDefault="00B06DCC" w:rsidP="00B06DCC">
            <w:pPr>
              <w:spacing w:after="0" w:line="240" w:lineRule="auto"/>
              <w:rPr>
                <w:rFonts w:ascii="Garamond" w:hAnsi="Garamond"/>
                <w:b/>
                <w:bCs/>
              </w:rPr>
            </w:pPr>
            <w:r w:rsidRPr="007114AF">
              <w:rPr>
                <w:rFonts w:ascii="Garamond" w:hAnsi="Garamond"/>
                <w:b/>
                <w:bCs/>
              </w:rPr>
              <w:t>Situata ekzistuese mbi të cilën mbështetet veprimi prioritar</w:t>
            </w:r>
          </w:p>
          <w:p w14:paraId="6EDD0FB8" w14:textId="77777777" w:rsidR="00B06DCC" w:rsidRPr="007114AF" w:rsidRDefault="00B06DCC" w:rsidP="00B06DCC">
            <w:pPr>
              <w:spacing w:after="0" w:line="240" w:lineRule="auto"/>
              <w:rPr>
                <w:rFonts w:ascii="Garamond" w:hAnsi="Garamond"/>
                <w:bCs/>
              </w:rPr>
            </w:pPr>
            <w:r w:rsidRPr="007114AF">
              <w:rPr>
                <w:rFonts w:ascii="Garamond" w:hAnsi="Garamond"/>
                <w:bCs/>
              </w:rPr>
              <w:t>Një plan veprimi për përshtatjen për zonën bregdetare, që merr në konsideratë qasjen për menaxhimin e integruar të zonës, është përgatitur në kuadër të Komunikimit të Tretë Kombëtar (KTK).</w:t>
            </w:r>
          </w:p>
          <w:p w14:paraId="6EDD0FB9" w14:textId="08504C30" w:rsidR="00B06DCC" w:rsidRPr="007114AF" w:rsidRDefault="00B06DCC" w:rsidP="00B06DCC">
            <w:pPr>
              <w:spacing w:after="0" w:line="240" w:lineRule="auto"/>
              <w:rPr>
                <w:rFonts w:ascii="Garamond" w:hAnsi="Garamond"/>
                <w:bCs/>
              </w:rPr>
            </w:pPr>
            <w:r w:rsidRPr="007114AF">
              <w:rPr>
                <w:rFonts w:ascii="Garamond" w:hAnsi="Garamond"/>
                <w:bCs/>
              </w:rPr>
              <w:t>Plani i integruar ndërsektorial për zonën bregdetare përgatitur nga Ministria përgjegjëse për</w:t>
            </w:r>
            <w:r w:rsidR="000A2A01" w:rsidRPr="007114AF">
              <w:rPr>
                <w:rFonts w:ascii="Garamond" w:hAnsi="Garamond"/>
                <w:bCs/>
              </w:rPr>
              <w:t xml:space="preserve"> </w:t>
            </w:r>
            <w:r w:rsidRPr="007114AF">
              <w:rPr>
                <w:rFonts w:ascii="Garamond" w:hAnsi="Garamond"/>
                <w:bCs/>
              </w:rPr>
              <w:t xml:space="preserve">Zhvillimin Urban dhe AKPT-ja dhe aprovuar nga këshilli territorial në qershor të 2016, është dizenjuar duke marrë në konsideratë politikat dhe direktivat evropiane rajonale për menaxhimin e integruar të Zonave Bregdetare të Mesdheut, si dhe duke u fokusuar </w:t>
            </w:r>
            <w:r w:rsidR="001217F2" w:rsidRPr="007114AF">
              <w:rPr>
                <w:rFonts w:ascii="Garamond" w:hAnsi="Garamond"/>
                <w:bCs/>
              </w:rPr>
              <w:t>veçanërisht</w:t>
            </w:r>
            <w:r w:rsidRPr="007114AF">
              <w:rPr>
                <w:rFonts w:ascii="Garamond" w:hAnsi="Garamond"/>
                <w:bCs/>
              </w:rPr>
              <w:t xml:space="preserve"> në përsh</w:t>
            </w:r>
            <w:r w:rsidR="001217F2">
              <w:rPr>
                <w:rFonts w:ascii="Garamond" w:hAnsi="Garamond"/>
                <w:bCs/>
              </w:rPr>
              <w:t>t</w:t>
            </w:r>
            <w:r w:rsidRPr="007114AF">
              <w:rPr>
                <w:rFonts w:ascii="Garamond" w:hAnsi="Garamond"/>
                <w:bCs/>
              </w:rPr>
              <w:t xml:space="preserve">atjen e tyre për zonat bregdetare shqiptare. </w:t>
            </w:r>
          </w:p>
          <w:p w14:paraId="6EDD0FBA" w14:textId="77777777" w:rsidR="00B06DCC" w:rsidRPr="007114AF" w:rsidRDefault="00B06DCC" w:rsidP="00B06DCC">
            <w:pPr>
              <w:spacing w:after="0" w:line="240" w:lineRule="auto"/>
              <w:rPr>
                <w:rFonts w:ascii="Garamond" w:hAnsi="Garamond"/>
                <w:bCs/>
              </w:rPr>
            </w:pPr>
            <w:r w:rsidRPr="007114AF">
              <w:rPr>
                <w:rFonts w:ascii="Garamond" w:hAnsi="Garamond"/>
                <w:bCs/>
              </w:rPr>
              <w:t>Ky prioritet do të bazohet mbi Planin e Integruar Ndërsektorial të Bregdetit për të realizuar një studim të thelluar që ka të bëjë me mbrojtjen e mjedisit, zbutjen dhe mbrojtjen ndaj ndryshimeve klimatike, mbrojtjen nga erozioni bregdetar etj</w:t>
            </w:r>
          </w:p>
        </w:tc>
      </w:tr>
      <w:tr w:rsidR="00B06DCC" w:rsidRPr="007114AF" w14:paraId="6EDD0FC0" w14:textId="77777777" w:rsidTr="00574660">
        <w:tc>
          <w:tcPr>
            <w:tcW w:w="9212" w:type="dxa"/>
            <w:gridSpan w:val="3"/>
            <w:shd w:val="clear" w:color="auto" w:fill="auto"/>
          </w:tcPr>
          <w:p w14:paraId="6EDD0FBC" w14:textId="77777777" w:rsidR="00B06DCC" w:rsidRPr="007114AF" w:rsidRDefault="00B06DCC" w:rsidP="00B06DCC">
            <w:pPr>
              <w:spacing w:after="0" w:line="240" w:lineRule="auto"/>
              <w:rPr>
                <w:rFonts w:ascii="Garamond" w:hAnsi="Garamond"/>
                <w:b/>
                <w:bCs/>
              </w:rPr>
            </w:pPr>
            <w:r w:rsidRPr="007114AF">
              <w:rPr>
                <w:rFonts w:ascii="Garamond" w:hAnsi="Garamond"/>
                <w:b/>
                <w:bCs/>
              </w:rPr>
              <w:t>Arsyetimi / objektivat / treguesit</w:t>
            </w:r>
          </w:p>
          <w:p w14:paraId="6EDD0FBD" w14:textId="77777777" w:rsidR="00B06DCC" w:rsidRPr="007114AF" w:rsidRDefault="00B06DCC" w:rsidP="00B06DCC">
            <w:pPr>
              <w:spacing w:after="0" w:line="240" w:lineRule="auto"/>
              <w:rPr>
                <w:rFonts w:ascii="Garamond" w:hAnsi="Garamond"/>
                <w:bCs/>
              </w:rPr>
            </w:pPr>
            <w:r w:rsidRPr="007114AF">
              <w:rPr>
                <w:rFonts w:ascii="Garamond" w:hAnsi="Garamond"/>
                <w:bCs/>
              </w:rPr>
              <w:t>Sfida e ndryshimeve klimatike duhet trajtuar, ndër të tjera, nëpërmjet qasjeve dhe instrumenteve të mbështetura në ekosistem, si menaxhimi i integruar i zonave bregdetare (MIZB). Këto janë me rëndësi kritike për hedhjen e bazave për menaxhimin dhe zhvillimin e qëndrueshëm bregdetar, në mbështetje të zhvillimit shoqëroro-ekonomik, larmisë biologjike dhe shërbimeve mjedisore. MIZB-i njihet dhe nxitet gjerësisht, si procesi më i përshtatshëm për të trajtuar ndryshimet klimatike, rritjen e nivelit të detit dhe sfidat e tjera të tanishme dhe afatgjata për bregdetin, krahas përparësive të tjera që ka kundrejt qasjeve thjesht sektoriale. Duke nxitur qasjet shumëdisiplinore dhe shumësektoriale për zgjidhjet teknike, mbështet hartimin më tërësor të politikave dhe rritjen e kapaciteteve për përshtatjen brenda institucioneve.</w:t>
            </w:r>
          </w:p>
          <w:p w14:paraId="6EDD0FBE" w14:textId="65E91428" w:rsidR="00B06DCC" w:rsidRPr="007114AF" w:rsidRDefault="00B06DCC" w:rsidP="00037830">
            <w:pPr>
              <w:numPr>
                <w:ilvl w:val="0"/>
                <w:numId w:val="70"/>
              </w:numPr>
              <w:spacing w:after="0" w:line="240" w:lineRule="auto"/>
              <w:ind w:left="0" w:firstLine="0"/>
              <w:rPr>
                <w:rFonts w:ascii="Garamond" w:hAnsi="Garamond"/>
                <w:bCs/>
              </w:rPr>
            </w:pPr>
            <w:r w:rsidRPr="007114AF">
              <w:rPr>
                <w:rFonts w:ascii="Garamond" w:hAnsi="Garamond"/>
                <w:bCs/>
              </w:rPr>
              <w:t>Objektivi</w:t>
            </w:r>
            <w:r w:rsidR="00191838" w:rsidRPr="007114AF">
              <w:rPr>
                <w:rFonts w:ascii="Garamond" w:hAnsi="Garamond"/>
                <w:bCs/>
              </w:rPr>
              <w:t>:</w:t>
            </w:r>
            <w:r w:rsidRPr="007114AF">
              <w:rPr>
                <w:rFonts w:ascii="Garamond" w:hAnsi="Garamond"/>
                <w:bCs/>
              </w:rPr>
              <w:t xml:space="preserve"> Nxitja e mjedisit të duhur të favorshëm për integrimin e përshtatjes në planifikimin kombëtar dhe vendor në zonat bregdetare.</w:t>
            </w:r>
          </w:p>
          <w:p w14:paraId="6EDD0FBF" w14:textId="43465D79" w:rsidR="00B06DCC" w:rsidRPr="007114AF" w:rsidRDefault="00B06DCC" w:rsidP="00037830">
            <w:pPr>
              <w:pStyle w:val="ListParagraph"/>
              <w:numPr>
                <w:ilvl w:val="0"/>
                <w:numId w:val="71"/>
              </w:numPr>
              <w:spacing w:before="0" w:after="0"/>
              <w:ind w:left="0" w:firstLine="0"/>
              <w:rPr>
                <w:rFonts w:ascii="Garamond" w:hAnsi="Garamond"/>
                <w:bCs/>
              </w:rPr>
            </w:pPr>
            <w:r w:rsidRPr="007114AF">
              <w:rPr>
                <w:rFonts w:ascii="Garamond" w:hAnsi="Garamond"/>
                <w:bCs/>
              </w:rPr>
              <w:t>Treguesi</w:t>
            </w:r>
            <w:r w:rsidR="00191838" w:rsidRPr="007114AF">
              <w:rPr>
                <w:rFonts w:ascii="Garamond" w:hAnsi="Garamond"/>
                <w:bCs/>
              </w:rPr>
              <w:t>:</w:t>
            </w:r>
            <w:r w:rsidRPr="007114AF">
              <w:rPr>
                <w:rFonts w:ascii="Garamond" w:hAnsi="Garamond"/>
                <w:bCs/>
              </w:rPr>
              <w:t xml:space="preserve"> Planet vendore hartohen në harmoni me prioritetet/objektivat kombëtarë dhe direktivën e MIZB-it brenda kufizimeve të kapaciteteve njerëzore ekzistuese.</w:t>
            </w:r>
          </w:p>
        </w:tc>
      </w:tr>
      <w:tr w:rsidR="00B06DCC" w:rsidRPr="007114AF" w14:paraId="6EDD0FCB" w14:textId="77777777" w:rsidTr="00574660">
        <w:tc>
          <w:tcPr>
            <w:tcW w:w="9212" w:type="dxa"/>
            <w:gridSpan w:val="3"/>
            <w:shd w:val="clear" w:color="auto" w:fill="auto"/>
          </w:tcPr>
          <w:p w14:paraId="6EDD0FC1" w14:textId="77777777" w:rsidR="00B06DCC" w:rsidRPr="007114AF" w:rsidRDefault="00B06DCC" w:rsidP="00B06DCC">
            <w:pPr>
              <w:spacing w:after="0" w:line="240" w:lineRule="auto"/>
              <w:rPr>
                <w:rFonts w:ascii="Garamond" w:hAnsi="Garamond"/>
                <w:b/>
                <w:bCs/>
              </w:rPr>
            </w:pPr>
            <w:r w:rsidRPr="007114AF">
              <w:rPr>
                <w:rFonts w:ascii="Garamond" w:hAnsi="Garamond"/>
                <w:b/>
                <w:bCs/>
              </w:rPr>
              <w:t>Elementet dhe afatet me rëndësi të veprimit prioritar</w:t>
            </w:r>
          </w:p>
          <w:p w14:paraId="6EDD0FC2" w14:textId="77777777" w:rsidR="00B06DCC" w:rsidRPr="007114AF" w:rsidRDefault="00B06DCC" w:rsidP="00B06DCC">
            <w:pPr>
              <w:spacing w:after="0" w:line="240" w:lineRule="auto"/>
              <w:rPr>
                <w:rFonts w:ascii="Garamond" w:hAnsi="Garamond"/>
                <w:bCs/>
              </w:rPr>
            </w:pPr>
            <w:r w:rsidRPr="007114AF">
              <w:rPr>
                <w:rFonts w:ascii="Garamond" w:hAnsi="Garamond"/>
                <w:bCs/>
              </w:rPr>
              <w:t>Viti i parë</w:t>
            </w:r>
          </w:p>
          <w:p w14:paraId="6EDD0FC3" w14:textId="77777777" w:rsidR="00B06DCC" w:rsidRPr="007114AF" w:rsidRDefault="00B06DCC" w:rsidP="00037830">
            <w:pPr>
              <w:numPr>
                <w:ilvl w:val="1"/>
                <w:numId w:val="23"/>
              </w:numPr>
              <w:spacing w:after="0" w:line="240" w:lineRule="auto"/>
              <w:ind w:left="0" w:firstLine="0"/>
              <w:rPr>
                <w:rFonts w:ascii="Garamond" w:hAnsi="Garamond"/>
                <w:bCs/>
              </w:rPr>
            </w:pPr>
            <w:r w:rsidRPr="007114AF">
              <w:rPr>
                <w:rFonts w:ascii="Garamond" w:hAnsi="Garamond"/>
                <w:bCs/>
              </w:rPr>
              <w:t>Prezantimi dhe përshtatja me instrumentet dhe politikat e BE-së në lidhje me ekosistemet dhe larminë biologjike të zonave bregdetare.</w:t>
            </w:r>
          </w:p>
          <w:p w14:paraId="6EDD0FC4" w14:textId="77777777" w:rsidR="00B06DCC" w:rsidRPr="007114AF" w:rsidRDefault="00B06DCC" w:rsidP="00037830">
            <w:pPr>
              <w:numPr>
                <w:ilvl w:val="1"/>
                <w:numId w:val="23"/>
              </w:numPr>
              <w:spacing w:after="0" w:line="240" w:lineRule="auto"/>
              <w:ind w:left="0" w:firstLine="0"/>
              <w:rPr>
                <w:rFonts w:ascii="Garamond" w:hAnsi="Garamond"/>
                <w:bCs/>
              </w:rPr>
            </w:pPr>
            <w:r w:rsidRPr="007114AF">
              <w:rPr>
                <w:rFonts w:ascii="Garamond" w:hAnsi="Garamond"/>
                <w:bCs/>
              </w:rPr>
              <w:t>Përforcimi i legjislacionit të lidhur me ndërtimet në zonën bregdetare.</w:t>
            </w:r>
          </w:p>
          <w:p w14:paraId="6EDD0FC5" w14:textId="77777777" w:rsidR="00B06DCC" w:rsidRPr="007114AF" w:rsidRDefault="00B06DCC" w:rsidP="00B06DCC">
            <w:pPr>
              <w:spacing w:after="0" w:line="240" w:lineRule="auto"/>
              <w:rPr>
                <w:rFonts w:ascii="Garamond" w:hAnsi="Garamond"/>
                <w:bCs/>
              </w:rPr>
            </w:pPr>
            <w:r w:rsidRPr="007114AF">
              <w:rPr>
                <w:rFonts w:ascii="Garamond" w:hAnsi="Garamond"/>
                <w:bCs/>
              </w:rPr>
              <w:t>Viti i dytë</w:t>
            </w:r>
          </w:p>
          <w:p w14:paraId="6EDD0FC6" w14:textId="77777777" w:rsidR="00B06DCC" w:rsidRPr="007114AF" w:rsidRDefault="00B06DCC" w:rsidP="00037830">
            <w:pPr>
              <w:numPr>
                <w:ilvl w:val="1"/>
                <w:numId w:val="23"/>
              </w:numPr>
              <w:spacing w:after="0" w:line="240" w:lineRule="auto"/>
              <w:ind w:left="0" w:firstLine="0"/>
              <w:rPr>
                <w:rFonts w:ascii="Garamond" w:hAnsi="Garamond"/>
                <w:bCs/>
              </w:rPr>
            </w:pPr>
            <w:r w:rsidRPr="007114AF">
              <w:rPr>
                <w:rFonts w:ascii="Garamond" w:hAnsi="Garamond"/>
                <w:bCs/>
              </w:rPr>
              <w:t>Aktivitete të zhvillimit të kapaciteteve njerëzore në bashkitë bregdetare e ndërthurur me zhvillimin bregdetar dhe përshtatjen ndaj ndryshimeve klimatike.</w:t>
            </w:r>
          </w:p>
          <w:p w14:paraId="6EDD0FC7" w14:textId="77777777" w:rsidR="00B06DCC" w:rsidRPr="007114AF" w:rsidRDefault="00B06DCC" w:rsidP="00037830">
            <w:pPr>
              <w:numPr>
                <w:ilvl w:val="1"/>
                <w:numId w:val="23"/>
              </w:numPr>
              <w:spacing w:after="0" w:line="240" w:lineRule="auto"/>
              <w:ind w:left="0" w:firstLine="0"/>
              <w:rPr>
                <w:rFonts w:ascii="Garamond" w:hAnsi="Garamond"/>
                <w:bCs/>
              </w:rPr>
            </w:pPr>
            <w:r w:rsidRPr="007114AF">
              <w:rPr>
                <w:rFonts w:ascii="Garamond" w:hAnsi="Garamond"/>
                <w:bCs/>
              </w:rPr>
              <w:t>Masa në nivel politikash për ndërtesat.</w:t>
            </w:r>
          </w:p>
          <w:p w14:paraId="6EDD0FC8" w14:textId="77777777" w:rsidR="00B06DCC" w:rsidRPr="007114AF" w:rsidRDefault="00B06DCC" w:rsidP="00037830">
            <w:pPr>
              <w:numPr>
                <w:ilvl w:val="1"/>
                <w:numId w:val="23"/>
              </w:numPr>
              <w:spacing w:after="0" w:line="240" w:lineRule="auto"/>
              <w:ind w:left="0" w:firstLine="0"/>
              <w:rPr>
                <w:rFonts w:ascii="Garamond" w:hAnsi="Garamond"/>
                <w:bCs/>
              </w:rPr>
            </w:pPr>
            <w:r w:rsidRPr="007114AF">
              <w:rPr>
                <w:rFonts w:ascii="Garamond" w:hAnsi="Garamond"/>
                <w:bCs/>
              </w:rPr>
              <w:t>Prezantimi i projekteve pilot konkrete me rëndësi për përshtatjen ndaj ndryshimeve klimatike.</w:t>
            </w:r>
          </w:p>
          <w:p w14:paraId="6EDD0FC9" w14:textId="77777777" w:rsidR="00B06DCC" w:rsidRPr="007114AF" w:rsidRDefault="00B06DCC" w:rsidP="00B06DCC">
            <w:pPr>
              <w:spacing w:after="0" w:line="240" w:lineRule="auto"/>
              <w:rPr>
                <w:rFonts w:ascii="Garamond" w:hAnsi="Garamond"/>
                <w:bCs/>
              </w:rPr>
            </w:pPr>
            <w:r w:rsidRPr="007114AF">
              <w:rPr>
                <w:rFonts w:ascii="Garamond" w:hAnsi="Garamond"/>
                <w:bCs/>
              </w:rPr>
              <w:t>Viti i tretë</w:t>
            </w:r>
          </w:p>
          <w:p w14:paraId="6EDD0FCA" w14:textId="35014139" w:rsidR="00B06DCC" w:rsidRPr="007114AF" w:rsidRDefault="00B06DCC" w:rsidP="00037830">
            <w:pPr>
              <w:pStyle w:val="ListParagraph"/>
              <w:numPr>
                <w:ilvl w:val="0"/>
                <w:numId w:val="71"/>
              </w:numPr>
              <w:spacing w:before="0" w:after="0"/>
              <w:ind w:left="0" w:firstLine="0"/>
              <w:rPr>
                <w:rFonts w:ascii="Garamond" w:hAnsi="Garamond"/>
                <w:bCs/>
              </w:rPr>
            </w:pPr>
            <w:r w:rsidRPr="007114AF">
              <w:rPr>
                <w:rFonts w:ascii="Garamond" w:hAnsi="Garamond"/>
                <w:bCs/>
              </w:rPr>
              <w:t>Vijohet me projektet pilot për zvogëlimni e rrezikut të përmbytjeve/thatësirës në vendbanime, për shkak të pasojave të dukurive të motit ekstrem (lidhet me veprimin prioritar</w:t>
            </w:r>
            <w:r w:rsidR="00242009" w:rsidRPr="007114AF">
              <w:rPr>
                <w:rFonts w:ascii="Garamond" w:hAnsi="Garamond"/>
                <w:bCs/>
              </w:rPr>
              <w:t xml:space="preserve"> nr. </w:t>
            </w:r>
            <w:r w:rsidRPr="007114AF">
              <w:rPr>
                <w:rFonts w:ascii="Garamond" w:hAnsi="Garamond"/>
                <w:bCs/>
              </w:rPr>
              <w:t>8).</w:t>
            </w:r>
          </w:p>
        </w:tc>
      </w:tr>
      <w:tr w:rsidR="00B06DCC" w:rsidRPr="007114AF" w14:paraId="6EDD0FD9" w14:textId="77777777" w:rsidTr="00574660">
        <w:tc>
          <w:tcPr>
            <w:tcW w:w="3227" w:type="dxa"/>
            <w:shd w:val="clear" w:color="auto" w:fill="auto"/>
          </w:tcPr>
          <w:p w14:paraId="6EDD0FCC" w14:textId="77777777" w:rsidR="00B06DCC" w:rsidRPr="007114AF" w:rsidRDefault="00B06DCC" w:rsidP="00B06DCC">
            <w:pPr>
              <w:spacing w:after="0" w:line="240" w:lineRule="auto"/>
              <w:rPr>
                <w:rFonts w:ascii="Garamond" w:hAnsi="Garamond"/>
                <w:b/>
                <w:bCs/>
              </w:rPr>
            </w:pPr>
            <w:r w:rsidRPr="007114AF">
              <w:rPr>
                <w:rFonts w:ascii="Garamond" w:hAnsi="Garamond"/>
                <w:b/>
                <w:bCs/>
              </w:rPr>
              <w:t>Aktorët kryesorë të përfshirë</w:t>
            </w:r>
          </w:p>
          <w:p w14:paraId="6EDD0FCD" w14:textId="7151D16C" w:rsidR="00B06DCC" w:rsidRPr="007114AF" w:rsidRDefault="00B06DCC" w:rsidP="00B06DCC">
            <w:pPr>
              <w:tabs>
                <w:tab w:val="left" w:pos="0"/>
              </w:tabs>
              <w:spacing w:after="0" w:line="240" w:lineRule="auto"/>
              <w:rPr>
                <w:rFonts w:ascii="Garamond" w:hAnsi="Garamond"/>
                <w:bCs/>
              </w:rPr>
            </w:pPr>
            <w:r w:rsidRPr="007114AF">
              <w:rPr>
                <w:rFonts w:ascii="Garamond" w:hAnsi="Garamond"/>
                <w:bCs/>
              </w:rPr>
              <w:t>Ministria përgjegjëse për</w:t>
            </w:r>
            <w:r w:rsidR="000A2A01" w:rsidRPr="007114AF">
              <w:rPr>
                <w:rFonts w:ascii="Garamond" w:hAnsi="Garamond"/>
                <w:bCs/>
              </w:rPr>
              <w:t xml:space="preserve"> </w:t>
            </w:r>
            <w:r w:rsidRPr="007114AF">
              <w:rPr>
                <w:rFonts w:ascii="Garamond" w:hAnsi="Garamond"/>
                <w:bCs/>
              </w:rPr>
              <w:t>Zhvillimin Urban / AKPT-ja</w:t>
            </w:r>
          </w:p>
          <w:p w14:paraId="6EDD0FCE" w14:textId="77777777" w:rsidR="00B06DCC" w:rsidRPr="007114AF" w:rsidRDefault="00B06DCC" w:rsidP="00B06DCC">
            <w:pPr>
              <w:tabs>
                <w:tab w:val="left" w:pos="0"/>
              </w:tabs>
              <w:spacing w:after="0" w:line="240" w:lineRule="auto"/>
              <w:rPr>
                <w:rFonts w:ascii="Garamond" w:hAnsi="Garamond"/>
                <w:bCs/>
              </w:rPr>
            </w:pPr>
            <w:r w:rsidRPr="007114AF">
              <w:rPr>
                <w:rFonts w:ascii="Garamond" w:hAnsi="Garamond"/>
                <w:bCs/>
              </w:rPr>
              <w:t xml:space="preserve">Ministria e Turizmit dhe Mjedisit </w:t>
            </w:r>
          </w:p>
          <w:p w14:paraId="6EDD0FCF" w14:textId="77777777" w:rsidR="00B06DCC" w:rsidRPr="007114AF" w:rsidRDefault="00B06DCC" w:rsidP="00B06DCC">
            <w:pPr>
              <w:spacing w:after="0" w:line="240" w:lineRule="auto"/>
              <w:rPr>
                <w:rFonts w:ascii="Garamond" w:hAnsi="Garamond"/>
                <w:bCs/>
              </w:rPr>
            </w:pPr>
            <w:r w:rsidRPr="007114AF">
              <w:rPr>
                <w:rFonts w:ascii="Garamond" w:hAnsi="Garamond"/>
                <w:bCs/>
              </w:rPr>
              <w:t>Universitetet</w:t>
            </w:r>
          </w:p>
          <w:p w14:paraId="6EDD0FD0" w14:textId="77777777" w:rsidR="00B06DCC" w:rsidRPr="007114AF" w:rsidRDefault="00B06DCC" w:rsidP="00B06DCC">
            <w:pPr>
              <w:spacing w:after="0" w:line="240" w:lineRule="auto"/>
              <w:rPr>
                <w:rFonts w:ascii="Garamond" w:hAnsi="Garamond"/>
                <w:bCs/>
              </w:rPr>
            </w:pPr>
            <w:r w:rsidRPr="007114AF">
              <w:rPr>
                <w:rFonts w:ascii="Garamond" w:hAnsi="Garamond"/>
                <w:bCs/>
              </w:rPr>
              <w:t>OJQ-ët</w:t>
            </w:r>
          </w:p>
        </w:tc>
        <w:tc>
          <w:tcPr>
            <w:tcW w:w="5985" w:type="dxa"/>
            <w:gridSpan w:val="2"/>
            <w:shd w:val="clear" w:color="auto" w:fill="auto"/>
          </w:tcPr>
          <w:p w14:paraId="6EDD0FD1" w14:textId="77777777" w:rsidR="00B06DCC" w:rsidRPr="007114AF" w:rsidRDefault="00B06DCC" w:rsidP="00B06DCC">
            <w:pPr>
              <w:spacing w:after="0" w:line="240" w:lineRule="auto"/>
              <w:rPr>
                <w:rFonts w:ascii="Garamond" w:hAnsi="Garamond"/>
                <w:b/>
                <w:bCs/>
              </w:rPr>
            </w:pPr>
            <w:r w:rsidRPr="007114AF">
              <w:rPr>
                <w:rFonts w:ascii="Garamond" w:hAnsi="Garamond"/>
                <w:b/>
                <w:bCs/>
              </w:rPr>
              <w:t>Shumat maksimale, të ndara sipas viteve për të cilat do të aplikohet për financim:</w:t>
            </w:r>
          </w:p>
          <w:p w14:paraId="6EDD0FD2" w14:textId="3B263AD5" w:rsidR="00B06DCC" w:rsidRPr="007114AF" w:rsidRDefault="00B06DCC" w:rsidP="00B06DCC">
            <w:pPr>
              <w:spacing w:after="0" w:line="240" w:lineRule="auto"/>
              <w:rPr>
                <w:rFonts w:ascii="Garamond" w:hAnsi="Garamond"/>
                <w:b/>
                <w:bCs/>
              </w:rPr>
            </w:pPr>
            <w:r w:rsidRPr="007114AF">
              <w:rPr>
                <w:rFonts w:ascii="Garamond" w:hAnsi="Garamond"/>
                <w:bCs/>
              </w:rPr>
              <w:t>Buxheti për tre vite në total</w:t>
            </w:r>
            <w:r w:rsidR="00191838" w:rsidRPr="007114AF">
              <w:rPr>
                <w:rFonts w:ascii="Garamond" w:hAnsi="Garamond"/>
                <w:bCs/>
              </w:rPr>
              <w:t>:</w:t>
            </w:r>
            <w:r w:rsidRPr="007114AF">
              <w:rPr>
                <w:rFonts w:ascii="Garamond" w:hAnsi="Garamond"/>
                <w:bCs/>
              </w:rPr>
              <w:t xml:space="preserve"> 148.5 milion</w:t>
            </w:r>
            <w:r w:rsidR="001C47F0" w:rsidRPr="007114AF">
              <w:rPr>
                <w:rFonts w:ascii="Garamond" w:hAnsi="Garamond"/>
                <w:bCs/>
              </w:rPr>
              <w:t>ë</w:t>
            </w:r>
            <w:r w:rsidRPr="007114AF">
              <w:rPr>
                <w:rFonts w:ascii="Garamond" w:hAnsi="Garamond"/>
                <w:bCs/>
              </w:rPr>
              <w:t xml:space="preserve"> </w:t>
            </w:r>
            <w:r w:rsidR="001C47F0" w:rsidRPr="007114AF">
              <w:rPr>
                <w:rFonts w:ascii="Garamond" w:hAnsi="Garamond"/>
                <w:bCs/>
              </w:rPr>
              <w:t>l</w:t>
            </w:r>
            <w:r w:rsidRPr="007114AF">
              <w:rPr>
                <w:rFonts w:ascii="Garamond" w:hAnsi="Garamond"/>
                <w:bCs/>
              </w:rPr>
              <w:t>ekë</w:t>
            </w:r>
          </w:p>
          <w:p w14:paraId="6EDD0FD3" w14:textId="1B1F4A2C" w:rsidR="00B06DCC" w:rsidRPr="007114AF" w:rsidRDefault="00B06DCC" w:rsidP="00037830">
            <w:pPr>
              <w:numPr>
                <w:ilvl w:val="1"/>
                <w:numId w:val="19"/>
              </w:numPr>
              <w:spacing w:after="0" w:line="240" w:lineRule="auto"/>
              <w:ind w:left="0" w:firstLine="0"/>
              <w:rPr>
                <w:rFonts w:ascii="Garamond" w:hAnsi="Garamond"/>
                <w:bCs/>
              </w:rPr>
            </w:pPr>
            <w:r w:rsidRPr="007114AF">
              <w:rPr>
                <w:rFonts w:ascii="Garamond" w:hAnsi="Garamond"/>
                <w:bCs/>
              </w:rPr>
              <w:t>Viti i parë 15 milion</w:t>
            </w:r>
            <w:r w:rsidR="001C47F0" w:rsidRPr="007114AF">
              <w:rPr>
                <w:rFonts w:ascii="Garamond" w:hAnsi="Garamond"/>
                <w:bCs/>
              </w:rPr>
              <w:t>ë</w:t>
            </w:r>
            <w:r w:rsidRPr="007114AF">
              <w:rPr>
                <w:rFonts w:ascii="Garamond" w:hAnsi="Garamond"/>
                <w:bCs/>
              </w:rPr>
              <w:t xml:space="preserve"> lekë</w:t>
            </w:r>
          </w:p>
          <w:p w14:paraId="6EDD0FD4" w14:textId="6EF9BF8F" w:rsidR="00B06DCC" w:rsidRPr="007114AF" w:rsidRDefault="00B06DCC" w:rsidP="00037830">
            <w:pPr>
              <w:numPr>
                <w:ilvl w:val="1"/>
                <w:numId w:val="19"/>
              </w:numPr>
              <w:spacing w:after="0" w:line="240" w:lineRule="auto"/>
              <w:ind w:left="0" w:firstLine="0"/>
              <w:rPr>
                <w:rFonts w:ascii="Garamond" w:hAnsi="Garamond"/>
                <w:bCs/>
              </w:rPr>
            </w:pPr>
            <w:r w:rsidRPr="007114AF">
              <w:rPr>
                <w:rFonts w:ascii="Garamond" w:hAnsi="Garamond"/>
                <w:bCs/>
              </w:rPr>
              <w:t>Viti i dytë 50 milion</w:t>
            </w:r>
            <w:r w:rsidR="001C47F0" w:rsidRPr="007114AF">
              <w:rPr>
                <w:rFonts w:ascii="Garamond" w:hAnsi="Garamond"/>
                <w:bCs/>
              </w:rPr>
              <w:t>ë</w:t>
            </w:r>
            <w:r w:rsidRPr="007114AF">
              <w:rPr>
                <w:rFonts w:ascii="Garamond" w:hAnsi="Garamond"/>
                <w:bCs/>
              </w:rPr>
              <w:t xml:space="preserve"> lekë</w:t>
            </w:r>
          </w:p>
          <w:p w14:paraId="6EDD0FD5" w14:textId="73A65694" w:rsidR="00B06DCC" w:rsidRPr="007114AF" w:rsidRDefault="00B06DCC" w:rsidP="00037830">
            <w:pPr>
              <w:numPr>
                <w:ilvl w:val="1"/>
                <w:numId w:val="19"/>
              </w:numPr>
              <w:spacing w:after="0" w:line="240" w:lineRule="auto"/>
              <w:ind w:left="0" w:firstLine="0"/>
              <w:rPr>
                <w:rFonts w:ascii="Garamond" w:hAnsi="Garamond"/>
                <w:bCs/>
              </w:rPr>
            </w:pPr>
            <w:r w:rsidRPr="007114AF">
              <w:rPr>
                <w:rFonts w:ascii="Garamond" w:hAnsi="Garamond"/>
                <w:bCs/>
              </w:rPr>
              <w:t>Viti i tretë 80 milion</w:t>
            </w:r>
            <w:r w:rsidR="001C47F0" w:rsidRPr="007114AF">
              <w:rPr>
                <w:rFonts w:ascii="Garamond" w:hAnsi="Garamond"/>
                <w:bCs/>
              </w:rPr>
              <w:t>ë</w:t>
            </w:r>
            <w:r w:rsidRPr="007114AF">
              <w:rPr>
                <w:rFonts w:ascii="Garamond" w:hAnsi="Garamond"/>
                <w:bCs/>
              </w:rPr>
              <w:t xml:space="preserve"> lekë</w:t>
            </w:r>
          </w:p>
          <w:p w14:paraId="6EDD0FD6" w14:textId="27F6B34E" w:rsidR="00B06DCC" w:rsidRPr="007114AF" w:rsidRDefault="00B06DCC" w:rsidP="00037830">
            <w:pPr>
              <w:numPr>
                <w:ilvl w:val="1"/>
                <w:numId w:val="19"/>
              </w:numPr>
              <w:spacing w:after="0" w:line="240" w:lineRule="auto"/>
              <w:ind w:left="0" w:firstLine="0"/>
              <w:rPr>
                <w:rFonts w:ascii="Garamond" w:hAnsi="Garamond"/>
                <w:bCs/>
              </w:rPr>
            </w:pPr>
            <w:r w:rsidRPr="007114AF">
              <w:rPr>
                <w:rFonts w:ascii="Garamond" w:hAnsi="Garamond"/>
                <w:bCs/>
              </w:rPr>
              <w:t>Buxheti për vitin e katërt mbetet për t</w:t>
            </w:r>
            <w:r w:rsidR="00D10DAB" w:rsidRPr="007114AF">
              <w:rPr>
                <w:rFonts w:ascii="Garamond" w:hAnsi="Garamond"/>
                <w:bCs/>
              </w:rPr>
              <w:t>’</w:t>
            </w:r>
            <w:r w:rsidRPr="007114AF">
              <w:rPr>
                <w:rFonts w:ascii="Garamond" w:hAnsi="Garamond"/>
                <w:bCs/>
              </w:rPr>
              <w:t xml:space="preserve">u vlerësuar. </w:t>
            </w:r>
          </w:p>
          <w:p w14:paraId="6EDD0FD7" w14:textId="77777777" w:rsidR="00B06DCC" w:rsidRPr="007114AF" w:rsidRDefault="00B06DCC" w:rsidP="00B06DCC">
            <w:pPr>
              <w:spacing w:after="0" w:line="240" w:lineRule="auto"/>
              <w:rPr>
                <w:rFonts w:ascii="Garamond" w:hAnsi="Garamond"/>
                <w:bCs/>
              </w:rPr>
            </w:pPr>
            <w:r w:rsidRPr="007114AF">
              <w:rPr>
                <w:rFonts w:ascii="Garamond" w:hAnsi="Garamond"/>
                <w:bCs/>
              </w:rPr>
              <w:t>Për sigurimin e buxhetit do të aplikohet për fonde nëpërmjet donatorëve të ndryshëm, Fondet IPA, një pjesë nga buxheti I shtetit nëpërmjet Fondit Rajonal të Zhvillimit.</w:t>
            </w:r>
          </w:p>
          <w:p w14:paraId="6EDD0FD8" w14:textId="77C6A7C6" w:rsidR="00B06DCC" w:rsidRPr="007114AF" w:rsidRDefault="00B06DCC" w:rsidP="001217F2">
            <w:pPr>
              <w:spacing w:after="0" w:line="240" w:lineRule="auto"/>
              <w:rPr>
                <w:rFonts w:ascii="Garamond" w:hAnsi="Garamond"/>
                <w:b/>
                <w:bCs/>
              </w:rPr>
            </w:pPr>
            <w:r w:rsidRPr="007114AF">
              <w:rPr>
                <w:rFonts w:ascii="Garamond" w:hAnsi="Garamond"/>
                <w:bCs/>
              </w:rPr>
              <w:t>Ndërsa sigurimi i fondeve është subjekt bashkëpunimi me donatorët apo me programet financuese, të cilat jo domo</w:t>
            </w:r>
            <w:r w:rsidR="001217F2">
              <w:rPr>
                <w:rFonts w:ascii="Garamond" w:hAnsi="Garamond"/>
                <w:bCs/>
              </w:rPr>
              <w:t>s</w:t>
            </w:r>
            <w:r w:rsidRPr="007114AF">
              <w:rPr>
                <w:rFonts w:ascii="Garamond" w:hAnsi="Garamond"/>
                <w:bCs/>
              </w:rPr>
              <w:t>doshmërish do të përfitohen, më sipër janë</w:t>
            </w:r>
            <w:r w:rsidR="001217F2">
              <w:rPr>
                <w:rFonts w:ascii="Garamond" w:hAnsi="Garamond"/>
                <w:bCs/>
              </w:rPr>
              <w:t xml:space="preserve"> </w:t>
            </w:r>
            <w:r w:rsidRPr="007114AF">
              <w:rPr>
                <w:rFonts w:ascii="Garamond" w:hAnsi="Garamond"/>
                <w:bCs/>
              </w:rPr>
              <w:t>shënuar vlerat maksimale të përafërta, për të cilat do të aplikohet për financim. Realizimit i programit të mësipërm do të varet nga sigurimi ose jo, i fondeve. Ndërkohë më poshtë gjendet edhe tabela e hartuar nga Drejtoria e Financës e cila indikon buxhetin e brendshëm, të përcaktuar tashmë, nga ish Ministria e Zhvillimit Urban për vitet 2018-2020, për veprimet prioritare 11 dhe 12. Buxheti i brendshëm, i PBA, lidhet më së tepërmi me shfrytëzimin e burimeve njerëzore.</w:t>
            </w:r>
          </w:p>
        </w:tc>
      </w:tr>
    </w:tbl>
    <w:p w14:paraId="6EDD0FDA" w14:textId="77777777" w:rsidR="00B06DCC" w:rsidRPr="007114AF" w:rsidRDefault="006255F5" w:rsidP="006255F5">
      <w:pPr>
        <w:pStyle w:val="FIGURA"/>
      </w:pPr>
      <w:r w:rsidRPr="007114AF">
        <w:rPr>
          <w:noProof/>
          <w:lang w:val="en-US" w:eastAsia="en-US"/>
        </w:rPr>
        <w:drawing>
          <wp:anchor distT="0" distB="0" distL="114300" distR="114300" simplePos="0" relativeHeight="251658248" behindDoc="0" locked="0" layoutInCell="1" allowOverlap="1" wp14:anchorId="6EDD17C2" wp14:editId="6EDD17C3">
            <wp:simplePos x="0" y="0"/>
            <wp:positionH relativeFrom="column">
              <wp:posOffset>-145415</wp:posOffset>
            </wp:positionH>
            <wp:positionV relativeFrom="paragraph">
              <wp:posOffset>279400</wp:posOffset>
            </wp:positionV>
            <wp:extent cx="5891530" cy="187642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extLst>
                        <a:ext uri="{28A0092B-C50C-407E-A947-70E740481C1C}">
                          <a14:useLocalDpi xmlns:a14="http://schemas.microsoft.com/office/drawing/2010/main" val="0"/>
                        </a:ext>
                      </a:extLst>
                    </a:blip>
                    <a:srcRect l="3338" t="31737" r="10595" b="13821"/>
                    <a:stretch/>
                  </pic:blipFill>
                  <pic:spPr bwMode="auto">
                    <a:xfrm>
                      <a:off x="0" y="0"/>
                      <a:ext cx="5891530" cy="18764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114AF">
        <w:t>*Tabela e PBA, e hartuar nga ish Ministria e Zhvillimit Urban</w:t>
      </w:r>
    </w:p>
    <w:p w14:paraId="6EDD0FDB" w14:textId="77777777" w:rsidR="006255F5" w:rsidRPr="007114AF" w:rsidRDefault="006255F5" w:rsidP="006255F5">
      <w:pPr>
        <w:pStyle w:val="FIGURA"/>
        <w:rPr>
          <w:sz w:val="18"/>
        </w:rPr>
      </w:pPr>
    </w:p>
    <w:p w14:paraId="6EDD0FDC" w14:textId="25CCCB28" w:rsidR="000D5D4E" w:rsidRPr="007114AF" w:rsidRDefault="000D5D4E" w:rsidP="000D5D4E">
      <w:pPr>
        <w:pStyle w:val="FIGURA"/>
        <w:rPr>
          <w:lang w:eastAsia="en-US"/>
        </w:rPr>
      </w:pPr>
      <w:r w:rsidRPr="007114AF">
        <w:rPr>
          <w:lang w:eastAsia="en-US"/>
        </w:rPr>
        <w:t>6.2.12 Veprimi Prioritar</w:t>
      </w:r>
      <w:r w:rsidR="00242009" w:rsidRPr="007114AF">
        <w:rPr>
          <w:lang w:eastAsia="en-US"/>
        </w:rPr>
        <w:t xml:space="preserve"> nr. </w:t>
      </w:r>
      <w:r w:rsidRPr="007114AF">
        <w:rPr>
          <w:lang w:eastAsia="en-US"/>
        </w:rPr>
        <w:t>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11"/>
        <w:gridCol w:w="273"/>
      </w:tblGrid>
      <w:tr w:rsidR="000D5D4E" w:rsidRPr="007114AF" w14:paraId="6EDD0FE2" w14:textId="77777777" w:rsidTr="00574660">
        <w:trPr>
          <w:gridAfter w:val="1"/>
          <w:wAfter w:w="282" w:type="dxa"/>
        </w:trPr>
        <w:tc>
          <w:tcPr>
            <w:tcW w:w="4606" w:type="dxa"/>
            <w:shd w:val="clear" w:color="auto" w:fill="B6DDE8" w:themeFill="accent5" w:themeFillTint="66"/>
          </w:tcPr>
          <w:p w14:paraId="6EDD0FDD" w14:textId="11352E9E" w:rsidR="000D5D4E" w:rsidRPr="007114AF" w:rsidRDefault="000D5D4E" w:rsidP="000D5D4E">
            <w:pPr>
              <w:pBdr>
                <w:bar w:val="single" w:sz="4" w:color="FF8080"/>
              </w:pBdr>
              <w:tabs>
                <w:tab w:val="left" w:pos="90"/>
              </w:tabs>
              <w:spacing w:after="0" w:line="240" w:lineRule="auto"/>
              <w:rPr>
                <w:rFonts w:ascii="Garamond" w:hAnsi="Garamond"/>
                <w:b/>
                <w:bCs/>
              </w:rPr>
            </w:pPr>
            <w:r w:rsidRPr="007114AF">
              <w:rPr>
                <w:rFonts w:ascii="Garamond" w:hAnsi="Garamond"/>
                <w:b/>
                <w:bCs/>
              </w:rPr>
              <w:t>Titulli i veprimit prioritar</w:t>
            </w:r>
            <w:r w:rsidR="00242009" w:rsidRPr="007114AF">
              <w:rPr>
                <w:rFonts w:ascii="Garamond" w:hAnsi="Garamond"/>
                <w:b/>
                <w:bCs/>
              </w:rPr>
              <w:t xml:space="preserve"> nr. </w:t>
            </w:r>
            <w:r w:rsidRPr="007114AF">
              <w:rPr>
                <w:rFonts w:ascii="Garamond" w:hAnsi="Garamond"/>
                <w:b/>
                <w:bCs/>
              </w:rPr>
              <w:t>12</w:t>
            </w:r>
          </w:p>
          <w:p w14:paraId="6EDD0FDE" w14:textId="77777777" w:rsidR="000D5D4E" w:rsidRPr="007114AF" w:rsidRDefault="000D5D4E" w:rsidP="000D5D4E">
            <w:pPr>
              <w:tabs>
                <w:tab w:val="left" w:pos="90"/>
              </w:tabs>
              <w:spacing w:after="0" w:line="240" w:lineRule="auto"/>
              <w:rPr>
                <w:rFonts w:ascii="Garamond" w:hAnsi="Garamond"/>
                <w:b/>
                <w:bCs/>
              </w:rPr>
            </w:pPr>
            <w:r w:rsidRPr="007114AF">
              <w:rPr>
                <w:rFonts w:ascii="Garamond" w:hAnsi="Garamond"/>
                <w:b/>
                <w:bCs/>
              </w:rPr>
              <w:t>Nisma për krijimin e planeve për përshtatjen ndaj ndryshimeve klimatike në nivel bashkie</w:t>
            </w:r>
          </w:p>
        </w:tc>
        <w:tc>
          <w:tcPr>
            <w:tcW w:w="4606" w:type="dxa"/>
            <w:shd w:val="clear" w:color="auto" w:fill="B6DDE8" w:themeFill="accent5" w:themeFillTint="66"/>
          </w:tcPr>
          <w:p w14:paraId="6EDD0FDF" w14:textId="77777777" w:rsidR="000D5D4E" w:rsidRPr="007114AF" w:rsidRDefault="000D5D4E" w:rsidP="000D5D4E">
            <w:pPr>
              <w:spacing w:after="0" w:line="240" w:lineRule="auto"/>
              <w:rPr>
                <w:rFonts w:ascii="Garamond" w:hAnsi="Garamond"/>
                <w:b/>
                <w:bCs/>
              </w:rPr>
            </w:pPr>
            <w:r w:rsidRPr="007114AF">
              <w:rPr>
                <w:rFonts w:ascii="Garamond" w:hAnsi="Garamond"/>
                <w:b/>
                <w:bCs/>
              </w:rPr>
              <w:t>Agjencia / Ministria kryesuese përgjegjëse</w:t>
            </w:r>
          </w:p>
          <w:p w14:paraId="6EDD0FE0" w14:textId="77777777" w:rsidR="000D5D4E" w:rsidRPr="007114AF" w:rsidRDefault="000D5D4E" w:rsidP="000D5D4E">
            <w:pPr>
              <w:spacing w:after="0" w:line="240" w:lineRule="auto"/>
              <w:rPr>
                <w:rFonts w:ascii="Garamond" w:hAnsi="Garamond"/>
                <w:b/>
                <w:bCs/>
              </w:rPr>
            </w:pPr>
            <w:r w:rsidRPr="007114AF">
              <w:rPr>
                <w:rFonts w:ascii="Garamond" w:hAnsi="Garamond"/>
                <w:b/>
                <w:bCs/>
              </w:rPr>
              <w:t>Ministria përgjegjëse për Zhvillimin Urban / AKPT-ja</w:t>
            </w:r>
          </w:p>
          <w:p w14:paraId="6EDD0FE1" w14:textId="77777777" w:rsidR="000D5D4E" w:rsidRPr="007114AF" w:rsidRDefault="000D5D4E" w:rsidP="000D5D4E">
            <w:pPr>
              <w:spacing w:after="0" w:line="240" w:lineRule="auto"/>
              <w:rPr>
                <w:rFonts w:ascii="Garamond" w:hAnsi="Garamond"/>
                <w:b/>
                <w:bCs/>
              </w:rPr>
            </w:pPr>
          </w:p>
        </w:tc>
      </w:tr>
      <w:tr w:rsidR="000D5D4E" w:rsidRPr="007114AF" w14:paraId="6EDD0FE8" w14:textId="77777777" w:rsidTr="00574660">
        <w:tc>
          <w:tcPr>
            <w:tcW w:w="9212" w:type="dxa"/>
            <w:gridSpan w:val="3"/>
            <w:shd w:val="clear" w:color="auto" w:fill="auto"/>
          </w:tcPr>
          <w:p w14:paraId="6EDD0FE3" w14:textId="77777777" w:rsidR="000D5D4E" w:rsidRPr="007114AF" w:rsidRDefault="000D5D4E" w:rsidP="000D5D4E">
            <w:pPr>
              <w:spacing w:after="0" w:line="240" w:lineRule="auto"/>
              <w:rPr>
                <w:rFonts w:ascii="Garamond" w:hAnsi="Garamond"/>
                <w:b/>
                <w:bCs/>
              </w:rPr>
            </w:pPr>
            <w:r w:rsidRPr="007114AF">
              <w:rPr>
                <w:rFonts w:ascii="Garamond" w:hAnsi="Garamond"/>
                <w:b/>
                <w:bCs/>
              </w:rPr>
              <w:t>Situata ekzistuese mbi të cilën mbështetet veprimi prioritar</w:t>
            </w:r>
          </w:p>
          <w:p w14:paraId="6EDD0FE4" w14:textId="44B209B0" w:rsidR="000D5D4E" w:rsidRPr="007114AF" w:rsidRDefault="000D5D4E" w:rsidP="000D5D4E">
            <w:pPr>
              <w:spacing w:after="0" w:line="240" w:lineRule="auto"/>
              <w:rPr>
                <w:rFonts w:ascii="Garamond" w:hAnsi="Garamond"/>
                <w:bCs/>
              </w:rPr>
            </w:pPr>
            <w:r w:rsidRPr="007114AF">
              <w:rPr>
                <w:rFonts w:ascii="Garamond" w:hAnsi="Garamond"/>
                <w:bCs/>
              </w:rPr>
              <w:t>Njësitë e vet</w:t>
            </w:r>
            <w:r w:rsidR="001217F2">
              <w:rPr>
                <w:rFonts w:ascii="Garamond" w:hAnsi="Garamond"/>
                <w:bCs/>
              </w:rPr>
              <w:t>ë</w:t>
            </w:r>
            <w:r w:rsidRPr="007114AF">
              <w:rPr>
                <w:rFonts w:ascii="Garamond" w:hAnsi="Garamond"/>
                <w:bCs/>
              </w:rPr>
              <w:t xml:space="preserve">qeverisjes </w:t>
            </w:r>
            <w:r w:rsidR="001217F2">
              <w:rPr>
                <w:rFonts w:ascii="Garamond" w:hAnsi="Garamond"/>
                <w:bCs/>
              </w:rPr>
              <w:t>v</w:t>
            </w:r>
            <w:r w:rsidRPr="007114AF">
              <w:rPr>
                <w:rFonts w:ascii="Garamond" w:hAnsi="Garamond"/>
                <w:bCs/>
              </w:rPr>
              <w:t>endore preken nga efektete të ndryshme të ndryshimeve klimatike, si përmbytje, degradim i infrastrukturës, pasoja në furnizimin me ujë dhe energji etj. Edhe pse ka studime sektoriale dhe janë bërë qasjet e para për sektorë si uji, energjia dhe menaxhimi i rrezikut</w:t>
            </w:r>
            <w:r w:rsidR="001217F2">
              <w:rPr>
                <w:rFonts w:ascii="Garamond" w:hAnsi="Garamond"/>
                <w:bCs/>
              </w:rPr>
              <w:t xml:space="preserve"> </w:t>
            </w:r>
            <w:r w:rsidRPr="007114AF">
              <w:rPr>
                <w:rFonts w:ascii="Garamond" w:hAnsi="Garamond"/>
                <w:bCs/>
              </w:rPr>
              <w:t>të përmbytjeve, ende nuk ka masa të integruara për të tëra këto bashkitë. Në veçanti, ende nuk ka asnjë nxitje dhe korniza</w:t>
            </w:r>
            <w:r w:rsidR="000A2A01" w:rsidRPr="007114AF">
              <w:rPr>
                <w:rFonts w:ascii="Garamond" w:hAnsi="Garamond"/>
                <w:bCs/>
              </w:rPr>
              <w:t xml:space="preserve"> </w:t>
            </w:r>
            <w:r w:rsidRPr="007114AF">
              <w:rPr>
                <w:rFonts w:ascii="Garamond" w:hAnsi="Garamond"/>
                <w:bCs/>
              </w:rPr>
              <w:t>për hartimin e planeve vendore për përshtatjen ndaj ndryshimeve klimatike.</w:t>
            </w:r>
            <w:r w:rsidR="001217F2">
              <w:rPr>
                <w:rFonts w:ascii="Garamond" w:hAnsi="Garamond"/>
                <w:bCs/>
              </w:rPr>
              <w:t xml:space="preserve"> </w:t>
            </w:r>
            <w:r w:rsidRPr="007114AF">
              <w:rPr>
                <w:rFonts w:ascii="Garamond" w:hAnsi="Garamond"/>
                <w:bCs/>
              </w:rPr>
              <w:t>Gjithsesi, dokumenti rregullues për planin e bregdetit thotë shprehimisht se bashkitë bregdetare duhet të përgatisin plane të përshtatjes për bregdetin.</w:t>
            </w:r>
          </w:p>
          <w:p w14:paraId="6EDD0FE5" w14:textId="77777777" w:rsidR="000D5D4E" w:rsidRPr="007114AF" w:rsidRDefault="000D5D4E" w:rsidP="000D5D4E">
            <w:pPr>
              <w:spacing w:after="0" w:line="240" w:lineRule="auto"/>
              <w:rPr>
                <w:rFonts w:ascii="Garamond" w:hAnsi="Garamond"/>
                <w:bCs/>
              </w:rPr>
            </w:pPr>
            <w:r w:rsidRPr="007114AF">
              <w:rPr>
                <w:rFonts w:ascii="Garamond" w:hAnsi="Garamond"/>
                <w:bCs/>
              </w:rPr>
              <w:t xml:space="preserve">Me mbështetjen e GIZ-it, është publikuar në muajin maj 2015, një vlerësim i vulnerabilitetit dhe një plan veprimi për përshtatjen ndaj ndryshimeve klimatike për qytetin e Tiranës, si një dokument i parë pilot për të rritur përshatjen dhe aftësinë përtëritëse ndaj klimës. </w:t>
            </w:r>
          </w:p>
          <w:p w14:paraId="6EDD0FE6" w14:textId="261CCAFD" w:rsidR="000D5D4E" w:rsidRPr="007114AF" w:rsidRDefault="000D5D4E" w:rsidP="000D5D4E">
            <w:pPr>
              <w:spacing w:after="0" w:line="240" w:lineRule="auto"/>
              <w:rPr>
                <w:rFonts w:ascii="Garamond" w:hAnsi="Garamond"/>
                <w:bCs/>
              </w:rPr>
            </w:pPr>
            <w:r w:rsidRPr="007114AF">
              <w:rPr>
                <w:rFonts w:ascii="Garamond" w:hAnsi="Garamond"/>
                <w:bCs/>
              </w:rPr>
              <w:t>Planet lokale për 31</w:t>
            </w:r>
            <w:r w:rsidR="000A2A01" w:rsidRPr="007114AF">
              <w:rPr>
                <w:rFonts w:ascii="Garamond" w:hAnsi="Garamond"/>
                <w:bCs/>
              </w:rPr>
              <w:t xml:space="preserve"> </w:t>
            </w:r>
            <w:r w:rsidRPr="007114AF">
              <w:rPr>
                <w:rFonts w:ascii="Garamond" w:hAnsi="Garamond"/>
                <w:bCs/>
              </w:rPr>
              <w:t>bashki janë ndarë në etapa të ndryshme dhe tashmë kanë arritur fazën e tretë. Planet e përshtatjes së zonave bregdetare do të jenë një element shtesë e planeve të integruara ndërsektoriale. Për të realizuar këto plane, është e nevojshme të ekzistojë një koordinim më i mirë i planifikimit hapësinor, në mënyrë që bashkitë pranë vijës bregdetare t</w:t>
            </w:r>
            <w:r w:rsidR="00D10DAB" w:rsidRPr="007114AF">
              <w:rPr>
                <w:rFonts w:ascii="Garamond" w:hAnsi="Garamond"/>
                <w:bCs/>
              </w:rPr>
              <w:t>’</w:t>
            </w:r>
            <w:r w:rsidRPr="007114AF">
              <w:rPr>
                <w:rFonts w:ascii="Garamond" w:hAnsi="Garamond"/>
                <w:bCs/>
              </w:rPr>
              <w:t xml:space="preserve">u rritet aftësia rikuperuese ndaj ndryshimeve klimatike. </w:t>
            </w:r>
          </w:p>
          <w:p w14:paraId="6EDD0FE7" w14:textId="66ED6394" w:rsidR="000D5D4E" w:rsidRPr="007114AF" w:rsidRDefault="000D5D4E" w:rsidP="000D5D4E">
            <w:pPr>
              <w:spacing w:after="0" w:line="240" w:lineRule="auto"/>
              <w:rPr>
                <w:rFonts w:ascii="Garamond" w:hAnsi="Garamond"/>
                <w:bCs/>
              </w:rPr>
            </w:pPr>
            <w:r w:rsidRPr="007114AF">
              <w:rPr>
                <w:rFonts w:ascii="Garamond" w:hAnsi="Garamond"/>
                <w:bCs/>
              </w:rPr>
              <w:t>Futja e Planit të Përshtatjes ndaj Ndryshimeve Klimatike për bashkitë më vulnerabël ndaj ndryshimeve klimatike, mund t</w:t>
            </w:r>
            <w:r w:rsidR="00D10DAB" w:rsidRPr="007114AF">
              <w:rPr>
                <w:rFonts w:ascii="Garamond" w:hAnsi="Garamond"/>
                <w:bCs/>
              </w:rPr>
              <w:t>’</w:t>
            </w:r>
            <w:r w:rsidRPr="007114AF">
              <w:rPr>
                <w:rFonts w:ascii="Garamond" w:hAnsi="Garamond"/>
                <w:bCs/>
              </w:rPr>
              <w:t>i shtohet planeve lokale dhe do të ketë një impakt pozitiv në përshtatje pas implementimit të tyre.</w:t>
            </w:r>
          </w:p>
        </w:tc>
      </w:tr>
      <w:tr w:rsidR="000D5D4E" w:rsidRPr="007114AF" w14:paraId="6EDD0FEE" w14:textId="77777777" w:rsidTr="00574660">
        <w:tc>
          <w:tcPr>
            <w:tcW w:w="9212" w:type="dxa"/>
            <w:gridSpan w:val="3"/>
            <w:shd w:val="clear" w:color="auto" w:fill="auto"/>
          </w:tcPr>
          <w:p w14:paraId="6EDD0FE9" w14:textId="77777777" w:rsidR="000D5D4E" w:rsidRPr="007114AF" w:rsidRDefault="000D5D4E" w:rsidP="000D5D4E">
            <w:pPr>
              <w:spacing w:after="0" w:line="240" w:lineRule="auto"/>
              <w:rPr>
                <w:rFonts w:ascii="Garamond" w:hAnsi="Garamond"/>
                <w:b/>
                <w:bCs/>
              </w:rPr>
            </w:pPr>
            <w:r w:rsidRPr="007114AF">
              <w:rPr>
                <w:rFonts w:ascii="Garamond" w:hAnsi="Garamond"/>
                <w:b/>
                <w:bCs/>
              </w:rPr>
              <w:t>Arsyetimi / objektivat / treguesit</w:t>
            </w:r>
          </w:p>
          <w:p w14:paraId="6EDD0FEA" w14:textId="77777777" w:rsidR="000D5D4E" w:rsidRPr="007114AF" w:rsidRDefault="000D5D4E" w:rsidP="00037830">
            <w:pPr>
              <w:numPr>
                <w:ilvl w:val="0"/>
                <w:numId w:val="70"/>
              </w:numPr>
              <w:spacing w:after="0" w:line="240" w:lineRule="auto"/>
              <w:ind w:left="0" w:firstLine="0"/>
              <w:rPr>
                <w:rFonts w:ascii="Garamond" w:hAnsi="Garamond"/>
                <w:bCs/>
              </w:rPr>
            </w:pPr>
            <w:r w:rsidRPr="007114AF">
              <w:rPr>
                <w:rFonts w:ascii="Garamond" w:hAnsi="Garamond"/>
                <w:bCs/>
              </w:rPr>
              <w:t>Objektivi: Bashkive u jepen kompetencat për masat vendore të përshtatjes ndaj ndryshimeve klimatike.</w:t>
            </w:r>
          </w:p>
          <w:p w14:paraId="6EDD0FEB" w14:textId="77777777" w:rsidR="000D5D4E" w:rsidRPr="007114AF" w:rsidRDefault="000D5D4E" w:rsidP="00037830">
            <w:pPr>
              <w:numPr>
                <w:ilvl w:val="0"/>
                <w:numId w:val="72"/>
              </w:numPr>
              <w:spacing w:after="0" w:line="240" w:lineRule="auto"/>
              <w:ind w:left="0" w:firstLine="0"/>
              <w:rPr>
                <w:rFonts w:ascii="Garamond" w:hAnsi="Garamond"/>
                <w:bCs/>
              </w:rPr>
            </w:pPr>
            <w:r w:rsidRPr="007114AF">
              <w:rPr>
                <w:rFonts w:ascii="Garamond" w:hAnsi="Garamond"/>
                <w:bCs/>
              </w:rPr>
              <w:t>Treguesi 1: Bashkive u vihet në dispozicion një udhëzues për integrimin e përshtatjes ndaj ndryshimit klimatik në planifikimin e qytetit.</w:t>
            </w:r>
          </w:p>
          <w:p w14:paraId="6EDD0FEC" w14:textId="77777777" w:rsidR="000D5D4E" w:rsidRPr="007114AF" w:rsidRDefault="000D5D4E" w:rsidP="00037830">
            <w:pPr>
              <w:numPr>
                <w:ilvl w:val="0"/>
                <w:numId w:val="72"/>
              </w:numPr>
              <w:spacing w:after="0" w:line="240" w:lineRule="auto"/>
              <w:ind w:left="0" w:firstLine="0"/>
              <w:rPr>
                <w:rFonts w:ascii="Garamond" w:hAnsi="Garamond"/>
                <w:bCs/>
              </w:rPr>
            </w:pPr>
            <w:r w:rsidRPr="007114AF">
              <w:rPr>
                <w:rFonts w:ascii="Garamond" w:hAnsi="Garamond"/>
                <w:bCs/>
              </w:rPr>
              <w:t>Treguesi 2: Zhvillohen kapacitetet njerëzore dhe institucionale të bashkive.</w:t>
            </w:r>
          </w:p>
          <w:p w14:paraId="6EDD0FED" w14:textId="77777777" w:rsidR="000D5D4E" w:rsidRPr="007114AF" w:rsidRDefault="000D5D4E" w:rsidP="00037830">
            <w:pPr>
              <w:numPr>
                <w:ilvl w:val="0"/>
                <w:numId w:val="52"/>
              </w:numPr>
              <w:spacing w:after="0" w:line="240" w:lineRule="auto"/>
              <w:ind w:left="0" w:firstLine="0"/>
              <w:rPr>
                <w:rFonts w:ascii="Garamond" w:hAnsi="Garamond"/>
                <w:b/>
                <w:bCs/>
              </w:rPr>
            </w:pPr>
            <w:r w:rsidRPr="007114AF">
              <w:rPr>
                <w:rFonts w:ascii="Garamond" w:hAnsi="Garamond"/>
                <w:bCs/>
              </w:rPr>
              <w:t>Treguesi 3: Fillohen të paktën 10 veprime pilot që synojnë aftësinë ripërtëritëse të qyteteve.</w:t>
            </w:r>
          </w:p>
        </w:tc>
      </w:tr>
      <w:tr w:rsidR="000D5D4E" w:rsidRPr="007114AF" w14:paraId="6EDD0FF4" w14:textId="77777777" w:rsidTr="00574660">
        <w:tc>
          <w:tcPr>
            <w:tcW w:w="9212" w:type="dxa"/>
            <w:gridSpan w:val="3"/>
            <w:shd w:val="clear" w:color="auto" w:fill="auto"/>
          </w:tcPr>
          <w:p w14:paraId="6EDD0FEF" w14:textId="77777777" w:rsidR="000D5D4E" w:rsidRPr="007114AF" w:rsidRDefault="000D5D4E" w:rsidP="000D5D4E">
            <w:pPr>
              <w:spacing w:after="0" w:line="240" w:lineRule="auto"/>
              <w:rPr>
                <w:rFonts w:ascii="Garamond" w:hAnsi="Garamond"/>
                <w:b/>
                <w:bCs/>
              </w:rPr>
            </w:pPr>
            <w:r w:rsidRPr="007114AF">
              <w:rPr>
                <w:rFonts w:ascii="Garamond" w:hAnsi="Garamond"/>
                <w:b/>
                <w:bCs/>
              </w:rPr>
              <w:t>Elementet dhe afatet me rëndësi të veprimit prioritar</w:t>
            </w:r>
          </w:p>
          <w:p w14:paraId="6EDD0FF0" w14:textId="3784AB6C" w:rsidR="000D5D4E" w:rsidRPr="007114AF" w:rsidRDefault="000D5D4E" w:rsidP="000D5D4E">
            <w:pPr>
              <w:spacing w:after="0" w:line="240" w:lineRule="auto"/>
              <w:rPr>
                <w:rFonts w:ascii="Garamond" w:hAnsi="Garamond"/>
                <w:bCs/>
              </w:rPr>
            </w:pPr>
            <w:r w:rsidRPr="007114AF">
              <w:rPr>
                <w:rFonts w:ascii="Garamond" w:hAnsi="Garamond"/>
                <w:bCs/>
              </w:rPr>
              <w:t>Veprimi 1 (fundi i vitit 2018): Ofrohet një udhëzues i cili do t</w:t>
            </w:r>
            <w:r w:rsidR="00D10DAB" w:rsidRPr="007114AF">
              <w:rPr>
                <w:rFonts w:ascii="Garamond" w:hAnsi="Garamond"/>
                <w:bCs/>
              </w:rPr>
              <w:t>’</w:t>
            </w:r>
            <w:r w:rsidRPr="007114AF">
              <w:rPr>
                <w:rFonts w:ascii="Garamond" w:hAnsi="Garamond"/>
                <w:bCs/>
              </w:rPr>
              <w:t>i ndihmojë</w:t>
            </w:r>
            <w:r w:rsidR="001217F2">
              <w:rPr>
                <w:rFonts w:ascii="Garamond" w:hAnsi="Garamond"/>
                <w:bCs/>
              </w:rPr>
              <w:t xml:space="preserve"> </w:t>
            </w:r>
            <w:r w:rsidRPr="007114AF">
              <w:rPr>
                <w:rFonts w:ascii="Garamond" w:hAnsi="Garamond"/>
                <w:bCs/>
              </w:rPr>
              <w:t>bashkitë me njohuri të thjeshta se si të integrojnë konceptet e përshtatjes ndaj ndryshimeve klimatike në planifikimin e qytetit dhe rregullimin e territorial. Informacioni i dhënë në udhëzues duhet të përdorë</w:t>
            </w:r>
            <w:r w:rsidR="001217F2">
              <w:rPr>
                <w:rFonts w:ascii="Garamond" w:hAnsi="Garamond"/>
                <w:bCs/>
              </w:rPr>
              <w:t xml:space="preserve"> </w:t>
            </w:r>
            <w:r w:rsidRPr="007114AF">
              <w:rPr>
                <w:rFonts w:ascii="Garamond" w:hAnsi="Garamond"/>
                <w:bCs/>
              </w:rPr>
              <w:t>njohuritë dhe mësimet e nxjerra nga platforma e BE-së për përshtatjen ndaj klimës.</w:t>
            </w:r>
            <w:r w:rsidR="000A2A01" w:rsidRPr="007114AF">
              <w:rPr>
                <w:rFonts w:ascii="Garamond" w:hAnsi="Garamond"/>
                <w:bCs/>
              </w:rPr>
              <w:t xml:space="preserve"> </w:t>
            </w:r>
          </w:p>
          <w:p w14:paraId="6EDD0FF1" w14:textId="77777777" w:rsidR="000D5D4E" w:rsidRPr="007114AF" w:rsidRDefault="000D5D4E" w:rsidP="000D5D4E">
            <w:pPr>
              <w:spacing w:after="0" w:line="240" w:lineRule="auto"/>
              <w:rPr>
                <w:rFonts w:ascii="Garamond" w:hAnsi="Garamond"/>
                <w:bCs/>
              </w:rPr>
            </w:pPr>
            <w:r w:rsidRPr="007114AF">
              <w:rPr>
                <w:rFonts w:ascii="Garamond" w:hAnsi="Garamond"/>
                <w:bCs/>
              </w:rPr>
              <w:t>Veprimi 2 (2019): Aktivitete për rritjen e kapaciteteve, trajnime, shërbime këshillimore.</w:t>
            </w:r>
          </w:p>
          <w:p w14:paraId="6EDD0FF2" w14:textId="77777777" w:rsidR="000D5D4E" w:rsidRPr="007114AF" w:rsidRDefault="000D5D4E" w:rsidP="000D5D4E">
            <w:pPr>
              <w:spacing w:after="0" w:line="240" w:lineRule="auto"/>
              <w:rPr>
                <w:rFonts w:ascii="Garamond" w:hAnsi="Garamond"/>
                <w:bCs/>
              </w:rPr>
            </w:pPr>
            <w:r w:rsidRPr="007114AF">
              <w:rPr>
                <w:rFonts w:ascii="Garamond" w:eastAsia="Times New Roman" w:hAnsi="Garamond" w:cs="Times New Roman"/>
                <w:bCs/>
              </w:rPr>
              <w:t xml:space="preserve">Në varësi të sigurimit të fondeve, do të vijohet me studimet për zonat e urbanizuara bregdetare. </w:t>
            </w:r>
          </w:p>
          <w:p w14:paraId="6EDD0FF3" w14:textId="77777777" w:rsidR="000D5D4E" w:rsidRPr="007114AF" w:rsidRDefault="000D5D4E" w:rsidP="000D5D4E">
            <w:pPr>
              <w:spacing w:after="0" w:line="240" w:lineRule="auto"/>
              <w:rPr>
                <w:rFonts w:ascii="Garamond" w:hAnsi="Garamond"/>
                <w:b/>
                <w:bCs/>
              </w:rPr>
            </w:pPr>
            <w:r w:rsidRPr="007114AF">
              <w:rPr>
                <w:rFonts w:ascii="Garamond" w:hAnsi="Garamond"/>
                <w:bCs/>
              </w:rPr>
              <w:t>Veprimi 3. (2020) Projekte pilot për masat vendore të përshtatjes.</w:t>
            </w:r>
          </w:p>
        </w:tc>
      </w:tr>
      <w:tr w:rsidR="000D5D4E" w:rsidRPr="007114AF" w14:paraId="6EDD1000" w14:textId="77777777" w:rsidTr="00574660">
        <w:tc>
          <w:tcPr>
            <w:tcW w:w="4606" w:type="dxa"/>
            <w:shd w:val="clear" w:color="auto" w:fill="auto"/>
          </w:tcPr>
          <w:p w14:paraId="6EDD0FF5" w14:textId="77777777" w:rsidR="000D5D4E" w:rsidRPr="007114AF" w:rsidRDefault="000D5D4E" w:rsidP="000D5D4E">
            <w:pPr>
              <w:spacing w:after="0" w:line="240" w:lineRule="auto"/>
              <w:rPr>
                <w:rFonts w:ascii="Garamond" w:hAnsi="Garamond"/>
                <w:b/>
                <w:bCs/>
              </w:rPr>
            </w:pPr>
            <w:r w:rsidRPr="007114AF">
              <w:rPr>
                <w:rFonts w:ascii="Garamond" w:hAnsi="Garamond"/>
                <w:b/>
                <w:bCs/>
              </w:rPr>
              <w:t>Aktorët kryesorë të përfshirë</w:t>
            </w:r>
          </w:p>
          <w:p w14:paraId="6EDD0FF6" w14:textId="77777777" w:rsidR="000D5D4E" w:rsidRPr="007114AF" w:rsidRDefault="000D5D4E" w:rsidP="000D5D4E">
            <w:pPr>
              <w:spacing w:after="0" w:line="240" w:lineRule="auto"/>
              <w:rPr>
                <w:rFonts w:ascii="Garamond" w:hAnsi="Garamond"/>
                <w:bCs/>
              </w:rPr>
            </w:pPr>
            <w:r w:rsidRPr="007114AF">
              <w:rPr>
                <w:rFonts w:ascii="Garamond" w:hAnsi="Garamond"/>
                <w:bCs/>
              </w:rPr>
              <w:t>Ministria përgjegjëse për Zhvillimin Urban (udhëheq)</w:t>
            </w:r>
          </w:p>
          <w:p w14:paraId="6EDD0FF7" w14:textId="77777777" w:rsidR="000D5D4E" w:rsidRPr="007114AF" w:rsidRDefault="000D5D4E" w:rsidP="000D5D4E">
            <w:pPr>
              <w:spacing w:after="0" w:line="240" w:lineRule="auto"/>
              <w:rPr>
                <w:rFonts w:ascii="Garamond" w:hAnsi="Garamond"/>
                <w:bCs/>
              </w:rPr>
            </w:pPr>
            <w:r w:rsidRPr="007114AF">
              <w:rPr>
                <w:rFonts w:ascii="Garamond" w:hAnsi="Garamond"/>
                <w:bCs/>
              </w:rPr>
              <w:t>Bashkitë që bashkëpunojnë në nivel vendor</w:t>
            </w:r>
          </w:p>
          <w:p w14:paraId="6EDD0FF8" w14:textId="77777777" w:rsidR="000D5D4E" w:rsidRPr="007114AF" w:rsidRDefault="000D5D4E" w:rsidP="000D5D4E">
            <w:pPr>
              <w:spacing w:after="0" w:line="240" w:lineRule="auto"/>
              <w:rPr>
                <w:rFonts w:ascii="Garamond" w:hAnsi="Garamond"/>
                <w:b/>
                <w:bCs/>
              </w:rPr>
            </w:pPr>
          </w:p>
        </w:tc>
        <w:tc>
          <w:tcPr>
            <w:tcW w:w="4606" w:type="dxa"/>
            <w:gridSpan w:val="2"/>
            <w:shd w:val="clear" w:color="auto" w:fill="auto"/>
          </w:tcPr>
          <w:p w14:paraId="6EDD0FF9" w14:textId="1BF2CF90" w:rsidR="000D5D4E" w:rsidRPr="007114AF" w:rsidRDefault="000D5D4E" w:rsidP="000D5D4E">
            <w:pPr>
              <w:spacing w:after="0" w:line="240" w:lineRule="auto"/>
              <w:rPr>
                <w:rFonts w:ascii="Garamond" w:eastAsia="Times New Roman" w:hAnsi="Garamond" w:cs="Times New Roman"/>
                <w:b/>
                <w:bCs/>
              </w:rPr>
            </w:pPr>
            <w:r w:rsidRPr="007114AF">
              <w:rPr>
                <w:rFonts w:ascii="Garamond" w:eastAsia="Times New Roman" w:hAnsi="Garamond" w:cs="Times New Roman"/>
                <w:b/>
                <w:bCs/>
              </w:rPr>
              <w:t>Burimet</w:t>
            </w:r>
            <w:r w:rsidR="000A2A01" w:rsidRPr="007114AF">
              <w:rPr>
                <w:rFonts w:ascii="Garamond" w:eastAsia="Times New Roman" w:hAnsi="Garamond" w:cs="Times New Roman"/>
                <w:b/>
                <w:bCs/>
              </w:rPr>
              <w:t xml:space="preserve"> </w:t>
            </w:r>
            <w:r w:rsidRPr="007114AF">
              <w:rPr>
                <w:rFonts w:ascii="Garamond" w:eastAsia="Times New Roman" w:hAnsi="Garamond" w:cs="Times New Roman"/>
                <w:b/>
                <w:bCs/>
              </w:rPr>
              <w:t>Shumat maksimale, të ndara sipas viteve për të cilat do të aplikohet për financim:</w:t>
            </w:r>
          </w:p>
          <w:p w14:paraId="6EDD0FFA" w14:textId="77777777" w:rsidR="000D5D4E" w:rsidRPr="007114AF" w:rsidRDefault="000D5D4E" w:rsidP="000D5D4E">
            <w:pPr>
              <w:spacing w:after="0" w:line="240" w:lineRule="auto"/>
              <w:rPr>
                <w:rFonts w:ascii="Garamond" w:hAnsi="Garamond"/>
                <w:b/>
                <w:bCs/>
              </w:rPr>
            </w:pPr>
          </w:p>
          <w:p w14:paraId="6EDD0FFB" w14:textId="62F97072" w:rsidR="000D5D4E" w:rsidRPr="007114AF" w:rsidRDefault="000D5D4E" w:rsidP="000D5D4E">
            <w:pPr>
              <w:spacing w:after="0" w:line="240" w:lineRule="auto"/>
              <w:rPr>
                <w:rFonts w:ascii="Garamond" w:hAnsi="Garamond"/>
                <w:bCs/>
              </w:rPr>
            </w:pPr>
            <w:r w:rsidRPr="007114AF">
              <w:rPr>
                <w:rFonts w:ascii="Garamond" w:hAnsi="Garamond"/>
                <w:bCs/>
              </w:rPr>
              <w:t>Veprimi 1: 27 milion</w:t>
            </w:r>
            <w:r w:rsidR="001C47F0" w:rsidRPr="007114AF">
              <w:rPr>
                <w:rFonts w:ascii="Garamond" w:hAnsi="Garamond"/>
                <w:bCs/>
              </w:rPr>
              <w:t>ë</w:t>
            </w:r>
            <w:r w:rsidRPr="007114AF">
              <w:rPr>
                <w:rFonts w:ascii="Garamond" w:hAnsi="Garamond"/>
                <w:bCs/>
              </w:rPr>
              <w:t xml:space="preserve"> lekë.</w:t>
            </w:r>
          </w:p>
          <w:p w14:paraId="6EDD0FFC" w14:textId="2672242B" w:rsidR="000D5D4E" w:rsidRPr="007114AF" w:rsidRDefault="000D5D4E" w:rsidP="000D5D4E">
            <w:pPr>
              <w:spacing w:after="0" w:line="240" w:lineRule="auto"/>
              <w:rPr>
                <w:rFonts w:ascii="Garamond" w:hAnsi="Garamond"/>
                <w:bCs/>
              </w:rPr>
            </w:pPr>
            <w:r w:rsidRPr="007114AF">
              <w:rPr>
                <w:rFonts w:ascii="Garamond" w:hAnsi="Garamond"/>
                <w:bCs/>
              </w:rPr>
              <w:t>Veprimi 2: 40.5 milion</w:t>
            </w:r>
            <w:r w:rsidR="001C47F0" w:rsidRPr="007114AF">
              <w:rPr>
                <w:rFonts w:ascii="Garamond" w:hAnsi="Garamond"/>
                <w:bCs/>
              </w:rPr>
              <w:t>ë</w:t>
            </w:r>
            <w:r w:rsidRPr="007114AF">
              <w:rPr>
                <w:rFonts w:ascii="Garamond" w:hAnsi="Garamond"/>
                <w:bCs/>
              </w:rPr>
              <w:t xml:space="preserve"> lekë. Një pjesë e kësaj do të jetë kontribut nga buxheti i shtetit nëpërmjet alokimit të burimeve njerëzore..</w:t>
            </w:r>
          </w:p>
          <w:p w14:paraId="6EDD0FFD" w14:textId="740818B8" w:rsidR="000D5D4E" w:rsidRPr="007114AF" w:rsidRDefault="000D5D4E" w:rsidP="000D5D4E">
            <w:pPr>
              <w:spacing w:after="0" w:line="240" w:lineRule="auto"/>
              <w:rPr>
                <w:rFonts w:ascii="Garamond" w:hAnsi="Garamond"/>
                <w:bCs/>
              </w:rPr>
            </w:pPr>
            <w:r w:rsidRPr="007114AF">
              <w:rPr>
                <w:rFonts w:ascii="Garamond" w:hAnsi="Garamond"/>
                <w:bCs/>
              </w:rPr>
              <w:t>Veprimi 3: 135 milion</w:t>
            </w:r>
            <w:r w:rsidR="001C47F0" w:rsidRPr="007114AF">
              <w:rPr>
                <w:rFonts w:ascii="Garamond" w:hAnsi="Garamond"/>
                <w:bCs/>
              </w:rPr>
              <w:t>ë</w:t>
            </w:r>
            <w:r w:rsidRPr="007114AF">
              <w:rPr>
                <w:rFonts w:ascii="Garamond" w:hAnsi="Garamond"/>
                <w:bCs/>
              </w:rPr>
              <w:t xml:space="preserve"> lekë</w:t>
            </w:r>
            <w:r w:rsidR="001217F2">
              <w:rPr>
                <w:rFonts w:ascii="Garamond" w:hAnsi="Garamond"/>
                <w:bCs/>
              </w:rPr>
              <w:t xml:space="preserve"> </w:t>
            </w:r>
            <w:r w:rsidRPr="007114AF">
              <w:rPr>
                <w:rFonts w:ascii="Garamond" w:hAnsi="Garamond"/>
                <w:bCs/>
              </w:rPr>
              <w:t>për projekte pilot vendore (mbështetje nga buxheti i shtetit nëpërmjet fondeve për zhvillimin rajonal), donatorë.</w:t>
            </w:r>
          </w:p>
          <w:p w14:paraId="6EDD0FFE" w14:textId="43C95B34" w:rsidR="000D5D4E" w:rsidRPr="007114AF" w:rsidRDefault="000D5D4E" w:rsidP="000D5D4E">
            <w:pPr>
              <w:spacing w:after="0" w:line="240" w:lineRule="auto"/>
              <w:rPr>
                <w:rFonts w:ascii="Garamond" w:eastAsia="Times New Roman" w:hAnsi="Garamond" w:cs="Times New Roman"/>
                <w:bCs/>
              </w:rPr>
            </w:pPr>
            <w:r w:rsidRPr="007114AF">
              <w:rPr>
                <w:rFonts w:ascii="Garamond" w:eastAsia="Times New Roman" w:hAnsi="Garamond" w:cs="Times New Roman"/>
                <w:bCs/>
              </w:rPr>
              <w:t>Ndërsa sigurimi i fondeve është subjekt bashkëpunimi me donatorët apo me programet financuese, të cilat jo domo</w:t>
            </w:r>
            <w:r w:rsidR="001217F2">
              <w:rPr>
                <w:rFonts w:ascii="Garamond" w:eastAsia="Times New Roman" w:hAnsi="Garamond" w:cs="Times New Roman"/>
                <w:bCs/>
              </w:rPr>
              <w:t>s</w:t>
            </w:r>
            <w:r w:rsidRPr="007114AF">
              <w:rPr>
                <w:rFonts w:ascii="Garamond" w:eastAsia="Times New Roman" w:hAnsi="Garamond" w:cs="Times New Roman"/>
                <w:bCs/>
              </w:rPr>
              <w:t>doshmërish do të përfitohen, më sipër janë shënuar vlerat maksimale të përafërta, për të cilat do të aplikohet për financim.</w:t>
            </w:r>
          </w:p>
          <w:p w14:paraId="6EDD0FFF" w14:textId="1EBCB801" w:rsidR="000D5D4E" w:rsidRPr="007114AF" w:rsidRDefault="000D5D4E" w:rsidP="000D5D4E">
            <w:pPr>
              <w:spacing w:after="0" w:line="240" w:lineRule="auto"/>
              <w:rPr>
                <w:rFonts w:ascii="Garamond" w:eastAsia="Times New Roman" w:hAnsi="Garamond" w:cs="Times New Roman"/>
                <w:bCs/>
              </w:rPr>
            </w:pPr>
            <w:r w:rsidRPr="007114AF">
              <w:rPr>
                <w:rFonts w:ascii="Garamond" w:eastAsia="Times New Roman" w:hAnsi="Garamond" w:cs="Times New Roman"/>
                <w:bCs/>
              </w:rPr>
              <w:t>Realizimit i programit të më</w:t>
            </w:r>
            <w:r w:rsidR="001217F2">
              <w:rPr>
                <w:rFonts w:ascii="Garamond" w:eastAsia="Times New Roman" w:hAnsi="Garamond" w:cs="Times New Roman"/>
                <w:bCs/>
              </w:rPr>
              <w:t xml:space="preserve"> </w:t>
            </w:r>
            <w:r w:rsidRPr="007114AF">
              <w:rPr>
                <w:rFonts w:ascii="Garamond" w:eastAsia="Times New Roman" w:hAnsi="Garamond" w:cs="Times New Roman"/>
                <w:bCs/>
              </w:rPr>
              <w:t>sipër do të varet nga sigurimi ose jo, i fondeve.</w:t>
            </w:r>
          </w:p>
        </w:tc>
      </w:tr>
    </w:tbl>
    <w:p w14:paraId="6EDD1001" w14:textId="77777777" w:rsidR="006255F5" w:rsidRPr="007114AF" w:rsidRDefault="006255F5" w:rsidP="000D5D4E">
      <w:pPr>
        <w:pStyle w:val="FIGURA"/>
      </w:pPr>
    </w:p>
    <w:p w14:paraId="6EDD1002" w14:textId="76562965" w:rsidR="003B2017" w:rsidRPr="007114AF" w:rsidRDefault="003B2017" w:rsidP="003B2017">
      <w:pPr>
        <w:pStyle w:val="TEKSTI"/>
      </w:pPr>
      <w:r w:rsidRPr="007114AF">
        <w:t>* Ndërkohë më poshtë gjendet edhe tabela e hartuar nga Drejtoria e Financës e cila indikon buxhetin e brendshëm të ish Ministrisë së Zhvillimit Urban për vitet 2018</w:t>
      </w:r>
      <w:r w:rsidR="001217F2">
        <w:t>–</w:t>
      </w:r>
      <w:r w:rsidRPr="007114AF">
        <w:t>2020, për veprimet prioritetet 11 dhe 12. Buxheti i brendshëm, i PBA, lidhet më së tepërmi me shfrytëzimin e burimeve njerëzore pjesë të Ministrisë së Zhvillimit Urban.</w:t>
      </w:r>
    </w:p>
    <w:p w14:paraId="6EDD1003" w14:textId="77777777" w:rsidR="003B2017" w:rsidRPr="007114AF" w:rsidRDefault="00F6115B" w:rsidP="003B2017">
      <w:pPr>
        <w:pStyle w:val="TEKSTI"/>
      </w:pPr>
      <w:r w:rsidRPr="007114AF">
        <w:rPr>
          <w:noProof/>
          <w:color w:val="FF0000"/>
          <w:lang w:val="en-US" w:eastAsia="en-US"/>
        </w:rPr>
        <w:drawing>
          <wp:inline distT="0" distB="0" distL="0" distR="0" wp14:anchorId="6EDD17C4" wp14:editId="6EDD17C5">
            <wp:extent cx="5939096" cy="1868557"/>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1869974"/>
                    </a:xfrm>
                    <a:prstGeom prst="rect">
                      <a:avLst/>
                    </a:prstGeom>
                    <a:noFill/>
                  </pic:spPr>
                </pic:pic>
              </a:graphicData>
            </a:graphic>
          </wp:inline>
        </w:drawing>
      </w:r>
    </w:p>
    <w:p w14:paraId="6EDD1004" w14:textId="783C3FF0" w:rsidR="006213BC" w:rsidRPr="007114AF" w:rsidRDefault="006213BC" w:rsidP="006213BC">
      <w:pPr>
        <w:pStyle w:val="FIGURA"/>
        <w:rPr>
          <w:lang w:eastAsia="en-US"/>
        </w:rPr>
      </w:pPr>
      <w:bookmarkStart w:id="234" w:name="_Toc484424546"/>
      <w:bookmarkStart w:id="235" w:name="_Toc479083901"/>
      <w:bookmarkStart w:id="236" w:name="_Toc483570148"/>
      <w:r w:rsidRPr="007114AF">
        <w:rPr>
          <w:lang w:eastAsia="en-US"/>
        </w:rPr>
        <w:t>6.2.13 Veprimi Prioritar</w:t>
      </w:r>
      <w:r w:rsidR="00242009" w:rsidRPr="007114AF">
        <w:rPr>
          <w:lang w:eastAsia="en-US"/>
        </w:rPr>
        <w:t xml:space="preserve"> nr. </w:t>
      </w:r>
      <w:r w:rsidRPr="007114AF">
        <w:rPr>
          <w:lang w:eastAsia="en-US"/>
        </w:rPr>
        <w:t>13</w:t>
      </w:r>
      <w:bookmarkEnd w:id="234"/>
      <w:bookmarkEnd w:id="235"/>
      <w:bookmarkEnd w:id="23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379"/>
        <w:gridCol w:w="4606"/>
      </w:tblGrid>
      <w:tr w:rsidR="006213BC" w:rsidRPr="007114AF" w14:paraId="6EDD100A" w14:textId="77777777" w:rsidTr="00574660">
        <w:tc>
          <w:tcPr>
            <w:tcW w:w="4606" w:type="dxa"/>
            <w:gridSpan w:val="2"/>
            <w:shd w:val="clear" w:color="auto" w:fill="B6DDE8" w:themeFill="accent5" w:themeFillTint="66"/>
          </w:tcPr>
          <w:p w14:paraId="6EDD1005" w14:textId="206EE1F6" w:rsidR="006213BC" w:rsidRPr="007114AF" w:rsidRDefault="006213BC" w:rsidP="006213BC">
            <w:pPr>
              <w:pBdr>
                <w:bar w:val="single" w:sz="4" w:color="FF8080"/>
              </w:pBdr>
              <w:tabs>
                <w:tab w:val="left" w:pos="90"/>
              </w:tabs>
              <w:spacing w:after="0" w:line="240" w:lineRule="auto"/>
              <w:rPr>
                <w:rFonts w:ascii="Garamond" w:hAnsi="Garamond"/>
                <w:b/>
                <w:bCs/>
              </w:rPr>
            </w:pPr>
            <w:r w:rsidRPr="007114AF">
              <w:rPr>
                <w:rFonts w:ascii="Garamond" w:hAnsi="Garamond"/>
                <w:b/>
                <w:bCs/>
              </w:rPr>
              <w:t>Titulli i veprimit prioritar</w:t>
            </w:r>
            <w:r w:rsidR="00242009" w:rsidRPr="007114AF">
              <w:rPr>
                <w:rFonts w:ascii="Garamond" w:hAnsi="Garamond"/>
                <w:b/>
                <w:bCs/>
              </w:rPr>
              <w:t xml:space="preserve"> nr. </w:t>
            </w:r>
            <w:r w:rsidRPr="007114AF">
              <w:rPr>
                <w:rFonts w:ascii="Garamond" w:hAnsi="Garamond"/>
                <w:b/>
                <w:bCs/>
              </w:rPr>
              <w:t>13</w:t>
            </w:r>
          </w:p>
          <w:p w14:paraId="6EDD1006" w14:textId="77777777" w:rsidR="006213BC" w:rsidRPr="007114AF" w:rsidRDefault="006213BC" w:rsidP="006213BC">
            <w:pPr>
              <w:tabs>
                <w:tab w:val="left" w:pos="0"/>
                <w:tab w:val="left" w:pos="90"/>
              </w:tabs>
              <w:spacing w:after="0" w:line="240" w:lineRule="auto"/>
              <w:rPr>
                <w:rFonts w:ascii="Garamond" w:hAnsi="Garamond"/>
                <w:b/>
                <w:bCs/>
                <w:iCs/>
              </w:rPr>
            </w:pPr>
            <w:r w:rsidRPr="007114AF">
              <w:rPr>
                <w:rFonts w:ascii="Garamond" w:hAnsi="Garamond"/>
                <w:b/>
                <w:bCs/>
                <w:iCs/>
              </w:rPr>
              <w:t>Përshtatja në turizëm</w:t>
            </w:r>
          </w:p>
        </w:tc>
        <w:tc>
          <w:tcPr>
            <w:tcW w:w="4606" w:type="dxa"/>
            <w:shd w:val="clear" w:color="auto" w:fill="B6DDE8" w:themeFill="accent5" w:themeFillTint="66"/>
          </w:tcPr>
          <w:p w14:paraId="6EDD1007" w14:textId="77777777" w:rsidR="006213BC" w:rsidRPr="007114AF" w:rsidRDefault="006213BC" w:rsidP="006213BC">
            <w:pPr>
              <w:spacing w:after="0" w:line="240" w:lineRule="auto"/>
              <w:rPr>
                <w:rFonts w:ascii="Garamond" w:hAnsi="Garamond"/>
                <w:b/>
                <w:bCs/>
                <w:iCs/>
              </w:rPr>
            </w:pPr>
            <w:r w:rsidRPr="007114AF">
              <w:rPr>
                <w:rFonts w:ascii="Garamond" w:hAnsi="Garamond"/>
                <w:b/>
                <w:bCs/>
                <w:iCs/>
              </w:rPr>
              <w:t>Agjencia / Ministria kryesuese përgjegjëse</w:t>
            </w:r>
          </w:p>
          <w:p w14:paraId="6EDD1008" w14:textId="77777777" w:rsidR="006213BC" w:rsidRPr="007114AF" w:rsidRDefault="006213BC" w:rsidP="006213BC">
            <w:pPr>
              <w:spacing w:after="0" w:line="240" w:lineRule="auto"/>
              <w:rPr>
                <w:rFonts w:ascii="Garamond" w:hAnsi="Garamond"/>
                <w:b/>
                <w:bCs/>
                <w:iCs/>
              </w:rPr>
            </w:pPr>
            <w:r w:rsidRPr="007114AF">
              <w:rPr>
                <w:rFonts w:ascii="Garamond" w:hAnsi="Garamond"/>
                <w:b/>
                <w:bCs/>
                <w:iCs/>
              </w:rPr>
              <w:t>Ministria e Turizmit dhe Mjedisit</w:t>
            </w:r>
          </w:p>
          <w:p w14:paraId="6EDD1009" w14:textId="77777777" w:rsidR="006213BC" w:rsidRPr="007114AF" w:rsidRDefault="006213BC" w:rsidP="006213BC">
            <w:pPr>
              <w:spacing w:after="0" w:line="240" w:lineRule="auto"/>
              <w:rPr>
                <w:rFonts w:ascii="Garamond" w:hAnsi="Garamond"/>
                <w:b/>
                <w:bCs/>
                <w:iCs/>
              </w:rPr>
            </w:pPr>
            <w:r w:rsidRPr="007114AF">
              <w:rPr>
                <w:rFonts w:ascii="Garamond" w:hAnsi="Garamond"/>
                <w:b/>
                <w:bCs/>
                <w:iCs/>
              </w:rPr>
              <w:t>Ministritë e linjës</w:t>
            </w:r>
          </w:p>
        </w:tc>
      </w:tr>
      <w:tr w:rsidR="006213BC" w:rsidRPr="007114AF" w14:paraId="6EDD100E" w14:textId="77777777" w:rsidTr="00574660">
        <w:tc>
          <w:tcPr>
            <w:tcW w:w="9212" w:type="dxa"/>
            <w:gridSpan w:val="3"/>
            <w:shd w:val="clear" w:color="auto" w:fill="auto"/>
          </w:tcPr>
          <w:p w14:paraId="6EDD100B" w14:textId="77777777" w:rsidR="006213BC" w:rsidRPr="007114AF" w:rsidRDefault="006213BC" w:rsidP="006213BC">
            <w:pPr>
              <w:spacing w:after="0" w:line="240" w:lineRule="auto"/>
              <w:rPr>
                <w:rFonts w:ascii="Garamond" w:hAnsi="Garamond"/>
                <w:b/>
                <w:bCs/>
                <w:iCs/>
              </w:rPr>
            </w:pPr>
            <w:r w:rsidRPr="007114AF">
              <w:rPr>
                <w:rFonts w:ascii="Garamond" w:hAnsi="Garamond"/>
                <w:b/>
                <w:bCs/>
                <w:iCs/>
              </w:rPr>
              <w:t>Situata ekzistuese mbi të cilën mbështetet veprimi prioritar</w:t>
            </w:r>
          </w:p>
          <w:p w14:paraId="6EDD100C" w14:textId="77777777" w:rsidR="006213BC" w:rsidRPr="007114AF" w:rsidRDefault="006213BC" w:rsidP="006213BC">
            <w:pPr>
              <w:spacing w:after="0" w:line="240" w:lineRule="auto"/>
              <w:rPr>
                <w:rFonts w:ascii="Garamond" w:hAnsi="Garamond"/>
                <w:bCs/>
                <w:iCs/>
              </w:rPr>
            </w:pPr>
            <w:r w:rsidRPr="007114AF">
              <w:rPr>
                <w:rFonts w:ascii="Garamond" w:hAnsi="Garamond"/>
                <w:bCs/>
                <w:iCs/>
              </w:rPr>
              <w:t>Zona bregdetare përbën një potencial të konsiderueshëm për aktivitete turistike, për shkak të pozitës së favorshme gjeografike (plazhe të mëdha, klimë mesdhetare, burime ujore, peizazhe). Sektori turistik është rritur në mënyrë të konsiderueshme pas vitit 1990.</w:t>
            </w:r>
          </w:p>
          <w:p w14:paraId="6EDD100D" w14:textId="1464A484" w:rsidR="006213BC" w:rsidRPr="007114AF" w:rsidRDefault="006213BC" w:rsidP="006213BC">
            <w:pPr>
              <w:spacing w:after="0" w:line="240" w:lineRule="auto"/>
              <w:rPr>
                <w:rFonts w:ascii="Garamond" w:hAnsi="Garamond"/>
                <w:b/>
                <w:bCs/>
              </w:rPr>
            </w:pPr>
            <w:r w:rsidRPr="007114AF">
              <w:rPr>
                <w:rFonts w:ascii="Garamond" w:hAnsi="Garamond"/>
                <w:bCs/>
                <w:iCs/>
              </w:rPr>
              <w:t>Shqipëria është shndërruar në një destinacion turistik popullor, si pasojë e karakteristikave të papërsëritshme mjedisore (laguna bregdetare, trashëgimi kulturore, peizazhe etj.). Efektet e</w:t>
            </w:r>
            <w:r w:rsidR="001217F2">
              <w:rPr>
                <w:rFonts w:ascii="Garamond" w:hAnsi="Garamond"/>
                <w:bCs/>
                <w:iCs/>
              </w:rPr>
              <w:t xml:space="preserve"> </w:t>
            </w:r>
            <w:r w:rsidRPr="007114AF">
              <w:rPr>
                <w:rFonts w:ascii="Garamond" w:hAnsi="Garamond"/>
                <w:bCs/>
                <w:iCs/>
              </w:rPr>
              <w:t>pritshme të</w:t>
            </w:r>
            <w:r w:rsidR="001217F2">
              <w:rPr>
                <w:rFonts w:ascii="Garamond" w:hAnsi="Garamond"/>
                <w:bCs/>
                <w:iCs/>
              </w:rPr>
              <w:t xml:space="preserve"> </w:t>
            </w:r>
            <w:r w:rsidRPr="007114AF">
              <w:rPr>
                <w:rFonts w:ascii="Garamond" w:hAnsi="Garamond"/>
                <w:bCs/>
                <w:iCs/>
              </w:rPr>
              <w:t>ndryshimeve klimatike në bujqësi do të kenë një ndikim të tërthortë edhe në sektorë të tjerë të ekonomisë në këtë zonë. Turizmi, si sektori kryesor i konsumit, ka shumë të ngjarë të preket fort nga to. Duke qenë se ushqimi për shumicën e objekteve turistike vjen nga rajonet lokale dhe mbështetet në bujqësi organike, një ndryshim në strukturën e kulturave bujqësore dhe rendimentin e tyre do të prekë edhe sektorin turistik. Priten efekte të ngjashme në formë matrice edhe nga sektorë të tjerë. Megjithëse zhvillimi i turizmit përbën një mundësi shumë të madhe ekonomike për zonën bregdetare, ai mbështetet mbi një bazë burimore të brishtë dhe është i cenueshëm nga ndryshimi, për shembull, kërkesa për burimet energjetike, trajtimi i ujërave të ëmbla dhe atyre të ndotura, efikasiteti energjetik në strukturat e ndërtesave etj.</w:t>
            </w:r>
          </w:p>
        </w:tc>
      </w:tr>
      <w:tr w:rsidR="006213BC" w:rsidRPr="007114AF" w14:paraId="6EDD1013" w14:textId="77777777" w:rsidTr="00574660">
        <w:tc>
          <w:tcPr>
            <w:tcW w:w="9212" w:type="dxa"/>
            <w:gridSpan w:val="3"/>
            <w:shd w:val="clear" w:color="auto" w:fill="auto"/>
          </w:tcPr>
          <w:p w14:paraId="6EDD100F" w14:textId="77777777" w:rsidR="006213BC" w:rsidRPr="007114AF" w:rsidRDefault="006213BC" w:rsidP="006213BC">
            <w:pPr>
              <w:spacing w:after="0" w:line="240" w:lineRule="auto"/>
              <w:rPr>
                <w:rFonts w:ascii="Garamond" w:hAnsi="Garamond"/>
                <w:b/>
                <w:bCs/>
                <w:iCs/>
              </w:rPr>
            </w:pPr>
            <w:r w:rsidRPr="007114AF">
              <w:rPr>
                <w:rFonts w:ascii="Garamond" w:hAnsi="Garamond"/>
                <w:b/>
                <w:bCs/>
                <w:iCs/>
              </w:rPr>
              <w:t>Arsyetimi / objektivat / treguesit</w:t>
            </w:r>
          </w:p>
          <w:p w14:paraId="6EDD1010" w14:textId="761361DD" w:rsidR="006213BC" w:rsidRPr="007114AF" w:rsidRDefault="006213BC" w:rsidP="006213BC">
            <w:pPr>
              <w:spacing w:after="0" w:line="240" w:lineRule="auto"/>
              <w:rPr>
                <w:rFonts w:ascii="Garamond" w:hAnsi="Garamond"/>
                <w:bCs/>
                <w:iCs/>
              </w:rPr>
            </w:pPr>
            <w:r w:rsidRPr="007114AF">
              <w:rPr>
                <w:rFonts w:ascii="Garamond" w:hAnsi="Garamond"/>
                <w:bCs/>
                <w:iCs/>
              </w:rPr>
              <w:t xml:space="preserve">Deri në vitin 2050 kushtet e motit në verë për turizmin priten të ndryshojnë nga vlerësimi </w:t>
            </w:r>
            <w:r w:rsidR="000A2A01" w:rsidRPr="007114AF">
              <w:rPr>
                <w:rFonts w:ascii="Garamond" w:hAnsi="Garamond"/>
                <w:bCs/>
                <w:iCs/>
              </w:rPr>
              <w:t>“</w:t>
            </w:r>
            <w:r w:rsidRPr="007114AF">
              <w:rPr>
                <w:rFonts w:ascii="Garamond" w:hAnsi="Garamond"/>
                <w:bCs/>
                <w:iCs/>
              </w:rPr>
              <w:t>ideale</w:t>
            </w:r>
            <w:r w:rsidR="000A2A01" w:rsidRPr="007114AF">
              <w:rPr>
                <w:rFonts w:ascii="Garamond" w:hAnsi="Garamond"/>
                <w:bCs/>
                <w:iCs/>
              </w:rPr>
              <w:t>”</w:t>
            </w:r>
            <w:r w:rsidRPr="007114AF">
              <w:rPr>
                <w:rFonts w:ascii="Garamond" w:hAnsi="Garamond"/>
                <w:bCs/>
                <w:iCs/>
              </w:rPr>
              <w:t xml:space="preserve"> në atë </w:t>
            </w:r>
            <w:r w:rsidR="000A2A01" w:rsidRPr="007114AF">
              <w:rPr>
                <w:rFonts w:ascii="Garamond" w:hAnsi="Garamond"/>
                <w:bCs/>
                <w:iCs/>
              </w:rPr>
              <w:t>“</w:t>
            </w:r>
            <w:r w:rsidRPr="007114AF">
              <w:rPr>
                <w:rFonts w:ascii="Garamond" w:hAnsi="Garamond"/>
                <w:bCs/>
                <w:iCs/>
              </w:rPr>
              <w:t>të shkëlqyeshme</w:t>
            </w:r>
            <w:r w:rsidR="000A2A01" w:rsidRPr="007114AF">
              <w:rPr>
                <w:rFonts w:ascii="Garamond" w:hAnsi="Garamond"/>
                <w:bCs/>
                <w:iCs/>
              </w:rPr>
              <w:t>”</w:t>
            </w:r>
            <w:r w:rsidRPr="007114AF">
              <w:rPr>
                <w:rFonts w:ascii="Garamond" w:hAnsi="Garamond"/>
                <w:bCs/>
                <w:iCs/>
              </w:rPr>
              <w:t xml:space="preserve">, dhe stina turistike do të bëhet më e gjatë. Indeksi i rehatisë së turistit (TCI) paraqet vlerën </w:t>
            </w:r>
            <w:r w:rsidR="000A2A01" w:rsidRPr="007114AF">
              <w:rPr>
                <w:rFonts w:ascii="Garamond" w:hAnsi="Garamond"/>
                <w:bCs/>
                <w:iCs/>
              </w:rPr>
              <w:t>“</w:t>
            </w:r>
            <w:r w:rsidRPr="007114AF">
              <w:rPr>
                <w:rFonts w:ascii="Garamond" w:hAnsi="Garamond"/>
                <w:bCs/>
                <w:iCs/>
              </w:rPr>
              <w:t>i mirë</w:t>
            </w:r>
            <w:r w:rsidR="000A2A01" w:rsidRPr="007114AF">
              <w:rPr>
                <w:rFonts w:ascii="Garamond" w:hAnsi="Garamond"/>
                <w:bCs/>
                <w:iCs/>
              </w:rPr>
              <w:t>”</w:t>
            </w:r>
            <w:r w:rsidRPr="007114AF">
              <w:rPr>
                <w:rFonts w:ascii="Garamond" w:hAnsi="Garamond"/>
                <w:bCs/>
                <w:iCs/>
              </w:rPr>
              <w:t xml:space="preserve"> në tetor, </w:t>
            </w:r>
            <w:r w:rsidR="000A2A01" w:rsidRPr="007114AF">
              <w:rPr>
                <w:rFonts w:ascii="Garamond" w:hAnsi="Garamond"/>
                <w:bCs/>
                <w:iCs/>
              </w:rPr>
              <w:t>“</w:t>
            </w:r>
            <w:r w:rsidRPr="007114AF">
              <w:rPr>
                <w:rFonts w:ascii="Garamond" w:hAnsi="Garamond"/>
                <w:bCs/>
                <w:iCs/>
              </w:rPr>
              <w:t>i shkëlqyeshëm</w:t>
            </w:r>
            <w:r w:rsidR="000A2A01" w:rsidRPr="007114AF">
              <w:rPr>
                <w:rFonts w:ascii="Garamond" w:hAnsi="Garamond"/>
                <w:bCs/>
                <w:iCs/>
              </w:rPr>
              <w:t>”</w:t>
            </w:r>
            <w:r w:rsidRPr="007114AF">
              <w:rPr>
                <w:rFonts w:ascii="Garamond" w:hAnsi="Garamond"/>
                <w:bCs/>
                <w:iCs/>
              </w:rPr>
              <w:t xml:space="preserve"> në maj, qershor dhe shtator dhe </w:t>
            </w:r>
            <w:r w:rsidR="000A2A01" w:rsidRPr="007114AF">
              <w:rPr>
                <w:rFonts w:ascii="Garamond" w:hAnsi="Garamond"/>
                <w:bCs/>
                <w:iCs/>
              </w:rPr>
              <w:t>“</w:t>
            </w:r>
            <w:r w:rsidRPr="007114AF">
              <w:rPr>
                <w:rFonts w:ascii="Garamond" w:hAnsi="Garamond"/>
                <w:bCs/>
                <w:iCs/>
              </w:rPr>
              <w:t>ideal</w:t>
            </w:r>
            <w:r w:rsidR="000A2A01" w:rsidRPr="007114AF">
              <w:rPr>
                <w:rFonts w:ascii="Garamond" w:hAnsi="Garamond"/>
                <w:bCs/>
                <w:iCs/>
              </w:rPr>
              <w:t>”</w:t>
            </w:r>
            <w:r w:rsidRPr="007114AF">
              <w:rPr>
                <w:rFonts w:ascii="Garamond" w:hAnsi="Garamond"/>
                <w:bCs/>
                <w:iCs/>
              </w:rPr>
              <w:t xml:space="preserve"> në korrik dhe gusht.</w:t>
            </w:r>
          </w:p>
          <w:p w14:paraId="6EDD1011" w14:textId="77777777" w:rsidR="006213BC" w:rsidRPr="007114AF" w:rsidRDefault="006213BC" w:rsidP="00037830">
            <w:pPr>
              <w:numPr>
                <w:ilvl w:val="0"/>
                <w:numId w:val="73"/>
              </w:numPr>
              <w:spacing w:after="0" w:line="240" w:lineRule="auto"/>
              <w:ind w:left="0" w:firstLine="0"/>
              <w:rPr>
                <w:rFonts w:ascii="Garamond" w:hAnsi="Garamond"/>
                <w:bCs/>
                <w:iCs/>
              </w:rPr>
            </w:pPr>
            <w:r w:rsidRPr="007114AF">
              <w:rPr>
                <w:rFonts w:ascii="Garamond" w:hAnsi="Garamond"/>
                <w:bCs/>
                <w:iCs/>
              </w:rPr>
              <w:t>Objektivi 1: Të hartohen objektiva dhe plane të integruara për sektorin e turizmit të cilët pasqyrojnë efektet e ndryshimit klimatike dhe përballimin e tyre.</w:t>
            </w:r>
          </w:p>
          <w:p w14:paraId="6EDD1012" w14:textId="1557B004" w:rsidR="006213BC" w:rsidRPr="007114AF" w:rsidRDefault="006213BC" w:rsidP="00037830">
            <w:pPr>
              <w:numPr>
                <w:ilvl w:val="0"/>
                <w:numId w:val="53"/>
              </w:numPr>
              <w:spacing w:after="0" w:line="240" w:lineRule="auto"/>
              <w:ind w:left="0" w:firstLine="0"/>
              <w:rPr>
                <w:rFonts w:ascii="Garamond" w:hAnsi="Garamond"/>
                <w:bCs/>
              </w:rPr>
            </w:pPr>
            <w:r w:rsidRPr="007114AF">
              <w:rPr>
                <w:rFonts w:ascii="Garamond" w:hAnsi="Garamond"/>
                <w:bCs/>
                <w:iCs/>
              </w:rPr>
              <w:t>Treguesi 1: Krijimi i një grupi teknik pune për ndryshimet klimatike, nën</w:t>
            </w:r>
            <w:r w:rsidR="00D7430D">
              <w:rPr>
                <w:rFonts w:ascii="Garamond" w:hAnsi="Garamond"/>
                <w:bCs/>
                <w:iCs/>
              </w:rPr>
              <w:t xml:space="preserve"> </w:t>
            </w:r>
            <w:r w:rsidRPr="007114AF">
              <w:rPr>
                <w:rFonts w:ascii="Garamond" w:hAnsi="Garamond"/>
                <w:bCs/>
                <w:iCs/>
              </w:rPr>
              <w:t>kujdesin e Grupit Ndërministror të Punës për Ndryshimet klimatike, do të punojë deri në miratimin e planeve të integruara për turizmin.</w:t>
            </w:r>
          </w:p>
        </w:tc>
      </w:tr>
      <w:tr w:rsidR="006213BC" w:rsidRPr="007114AF" w14:paraId="6EDD1024" w14:textId="77777777" w:rsidTr="00574660">
        <w:tc>
          <w:tcPr>
            <w:tcW w:w="9212" w:type="dxa"/>
            <w:gridSpan w:val="3"/>
            <w:shd w:val="clear" w:color="auto" w:fill="auto"/>
          </w:tcPr>
          <w:p w14:paraId="6EDD1014" w14:textId="77777777" w:rsidR="006213BC" w:rsidRPr="007114AF" w:rsidRDefault="006213BC" w:rsidP="006213BC">
            <w:pPr>
              <w:spacing w:after="0" w:line="240" w:lineRule="auto"/>
              <w:rPr>
                <w:rFonts w:ascii="Garamond" w:hAnsi="Garamond"/>
                <w:b/>
                <w:bCs/>
                <w:iCs/>
              </w:rPr>
            </w:pPr>
            <w:r w:rsidRPr="007114AF">
              <w:rPr>
                <w:rFonts w:ascii="Garamond" w:hAnsi="Garamond"/>
                <w:b/>
                <w:bCs/>
                <w:iCs/>
              </w:rPr>
              <w:t>Elementet dhe afatet me rëndësi të veprimit prioritar</w:t>
            </w:r>
          </w:p>
          <w:p w14:paraId="6EDD1015" w14:textId="77777777" w:rsidR="006213BC" w:rsidRPr="007114AF" w:rsidRDefault="006213BC" w:rsidP="006213BC">
            <w:pPr>
              <w:spacing w:after="0" w:line="240" w:lineRule="auto"/>
              <w:rPr>
                <w:rFonts w:ascii="Garamond" w:hAnsi="Garamond"/>
                <w:bCs/>
                <w:iCs/>
              </w:rPr>
            </w:pPr>
            <w:r w:rsidRPr="007114AF">
              <w:rPr>
                <w:rFonts w:ascii="Garamond" w:hAnsi="Garamond"/>
                <w:bCs/>
                <w:iCs/>
              </w:rPr>
              <w:t>Veprimi për përshtatjen ndaj ndryshimeve klimatike realizohet në mënyrë ad-hoc, projekt pas projekti. Për pasojë, ekziston nevoja e njohur për rritjen e bashkërendimit ndërmjet rajoneve dhe sektorëve. Kjo mund të arrihet nëpërmjet krijimit të një grupi teknik pune për ndryshimet klimatike.</w:t>
            </w:r>
          </w:p>
          <w:p w14:paraId="6EDD1016" w14:textId="77777777" w:rsidR="006213BC" w:rsidRPr="007114AF" w:rsidRDefault="006213BC" w:rsidP="006213BC">
            <w:pPr>
              <w:spacing w:after="0" w:line="240" w:lineRule="auto"/>
              <w:rPr>
                <w:rFonts w:ascii="Garamond" w:hAnsi="Garamond"/>
                <w:bCs/>
                <w:iCs/>
              </w:rPr>
            </w:pPr>
            <w:r w:rsidRPr="007114AF">
              <w:rPr>
                <w:rFonts w:ascii="Garamond" w:hAnsi="Garamond"/>
                <w:bCs/>
                <w:iCs/>
              </w:rPr>
              <w:t xml:space="preserve"> Viti 1</w:t>
            </w:r>
          </w:p>
          <w:p w14:paraId="6EDD1017" w14:textId="77777777" w:rsidR="006213BC" w:rsidRPr="007114AF" w:rsidRDefault="006213BC" w:rsidP="00037830">
            <w:pPr>
              <w:numPr>
                <w:ilvl w:val="0"/>
                <w:numId w:val="24"/>
              </w:numPr>
              <w:spacing w:after="0" w:line="240" w:lineRule="auto"/>
              <w:ind w:left="0" w:firstLine="0"/>
              <w:rPr>
                <w:rFonts w:ascii="Garamond" w:hAnsi="Garamond"/>
                <w:bCs/>
                <w:iCs/>
              </w:rPr>
            </w:pPr>
            <w:r w:rsidRPr="007114AF">
              <w:rPr>
                <w:rFonts w:ascii="Garamond" w:hAnsi="Garamond"/>
                <w:bCs/>
                <w:iCs/>
              </w:rPr>
              <w:t>Përcaktohet mandati i grupit të punës për 3 vjet:</w:t>
            </w:r>
          </w:p>
          <w:p w14:paraId="6EDD1018" w14:textId="77777777" w:rsidR="006213BC" w:rsidRPr="007114AF" w:rsidRDefault="006213BC" w:rsidP="00037830">
            <w:pPr>
              <w:numPr>
                <w:ilvl w:val="1"/>
                <w:numId w:val="23"/>
              </w:numPr>
              <w:spacing w:after="0" w:line="240" w:lineRule="auto"/>
              <w:ind w:left="0" w:firstLine="0"/>
              <w:rPr>
                <w:rFonts w:ascii="Garamond" w:hAnsi="Garamond"/>
                <w:bCs/>
                <w:iCs/>
              </w:rPr>
            </w:pPr>
            <w:r w:rsidRPr="007114AF">
              <w:rPr>
                <w:rFonts w:ascii="Garamond" w:hAnsi="Garamond"/>
                <w:bCs/>
                <w:iCs/>
              </w:rPr>
              <w:t>Sigurohet baza ligjore e nevojshme, strategjitë e përgjithshme dhe sektoriale, planet e veprimit etj., të cilët të përfshijnë politikat dhe masat e duhura (viti 1)</w:t>
            </w:r>
          </w:p>
          <w:p w14:paraId="6EDD1019" w14:textId="77777777" w:rsidR="006213BC" w:rsidRPr="007114AF" w:rsidRDefault="006213BC" w:rsidP="00037830">
            <w:pPr>
              <w:numPr>
                <w:ilvl w:val="1"/>
                <w:numId w:val="23"/>
              </w:numPr>
              <w:spacing w:after="0" w:line="240" w:lineRule="auto"/>
              <w:ind w:left="0" w:firstLine="0"/>
              <w:rPr>
                <w:rFonts w:ascii="Garamond" w:hAnsi="Garamond"/>
                <w:bCs/>
                <w:iCs/>
              </w:rPr>
            </w:pPr>
            <w:r w:rsidRPr="007114AF">
              <w:rPr>
                <w:rFonts w:ascii="Garamond" w:hAnsi="Garamond"/>
                <w:bCs/>
                <w:iCs/>
              </w:rPr>
              <w:t>Përgatitet një strategji sektoriale që merr në konsideratë çështjet klimatike (viti 2 dhe 3)</w:t>
            </w:r>
          </w:p>
          <w:p w14:paraId="6EDD101A" w14:textId="77777777" w:rsidR="006213BC" w:rsidRPr="007114AF" w:rsidRDefault="006213BC" w:rsidP="00037830">
            <w:pPr>
              <w:numPr>
                <w:ilvl w:val="1"/>
                <w:numId w:val="23"/>
              </w:numPr>
              <w:spacing w:after="0" w:line="240" w:lineRule="auto"/>
              <w:ind w:left="0" w:firstLine="0"/>
              <w:rPr>
                <w:rFonts w:ascii="Garamond" w:hAnsi="Garamond"/>
                <w:bCs/>
                <w:iCs/>
              </w:rPr>
            </w:pPr>
            <w:r w:rsidRPr="007114AF">
              <w:rPr>
                <w:rFonts w:ascii="Garamond" w:hAnsi="Garamond"/>
                <w:bCs/>
                <w:iCs/>
              </w:rPr>
              <w:t>Mbështeten sektorët vendorë dhe kombëtarë që merren me ndryshimet klimatike (viti 3).</w:t>
            </w:r>
          </w:p>
          <w:p w14:paraId="6EDD101B" w14:textId="77777777" w:rsidR="006213BC" w:rsidRPr="007114AF" w:rsidRDefault="006213BC" w:rsidP="00037830">
            <w:pPr>
              <w:numPr>
                <w:ilvl w:val="0"/>
                <w:numId w:val="24"/>
              </w:numPr>
              <w:spacing w:after="0" w:line="240" w:lineRule="auto"/>
              <w:ind w:left="0" w:firstLine="0"/>
              <w:rPr>
                <w:rFonts w:ascii="Garamond" w:hAnsi="Garamond"/>
                <w:bCs/>
                <w:iCs/>
              </w:rPr>
            </w:pPr>
            <w:r w:rsidRPr="007114AF">
              <w:rPr>
                <w:rFonts w:ascii="Garamond" w:hAnsi="Garamond"/>
                <w:bCs/>
                <w:iCs/>
              </w:rPr>
              <w:t>Rishikimi i strategjive sektoriale në bazë të konstatimeve të grupit të punës (viti 2 dhe 3)</w:t>
            </w:r>
          </w:p>
          <w:p w14:paraId="6EDD101C" w14:textId="77777777" w:rsidR="006213BC" w:rsidRPr="007114AF" w:rsidRDefault="006213BC" w:rsidP="006213BC">
            <w:pPr>
              <w:spacing w:after="0" w:line="240" w:lineRule="auto"/>
              <w:rPr>
                <w:rFonts w:ascii="Garamond" w:hAnsi="Garamond"/>
                <w:bCs/>
                <w:iCs/>
              </w:rPr>
            </w:pPr>
            <w:r w:rsidRPr="007114AF">
              <w:rPr>
                <w:rFonts w:ascii="Garamond" w:hAnsi="Garamond"/>
                <w:bCs/>
                <w:iCs/>
              </w:rPr>
              <w:t>Viti 2</w:t>
            </w:r>
          </w:p>
          <w:p w14:paraId="6EDD101D" w14:textId="77777777" w:rsidR="006213BC" w:rsidRPr="007114AF" w:rsidRDefault="006213BC" w:rsidP="00037830">
            <w:pPr>
              <w:numPr>
                <w:ilvl w:val="1"/>
                <w:numId w:val="23"/>
              </w:numPr>
              <w:spacing w:after="0" w:line="240" w:lineRule="auto"/>
              <w:ind w:left="0" w:firstLine="0"/>
              <w:rPr>
                <w:rFonts w:ascii="Garamond" w:hAnsi="Garamond"/>
                <w:bCs/>
                <w:iCs/>
              </w:rPr>
            </w:pPr>
            <w:r w:rsidRPr="007114AF">
              <w:rPr>
                <w:rFonts w:ascii="Garamond" w:hAnsi="Garamond"/>
                <w:bCs/>
                <w:iCs/>
              </w:rPr>
              <w:t>Përmirësime në aktet ligjore e nënligjore për shpërndarjen e ujit</w:t>
            </w:r>
          </w:p>
          <w:p w14:paraId="6EDD101E" w14:textId="77777777" w:rsidR="006213BC" w:rsidRPr="007114AF" w:rsidRDefault="006213BC" w:rsidP="00037830">
            <w:pPr>
              <w:numPr>
                <w:ilvl w:val="1"/>
                <w:numId w:val="23"/>
              </w:numPr>
              <w:spacing w:after="0" w:line="240" w:lineRule="auto"/>
              <w:ind w:left="0" w:firstLine="0"/>
              <w:rPr>
                <w:rFonts w:ascii="Garamond" w:hAnsi="Garamond"/>
                <w:bCs/>
                <w:iCs/>
              </w:rPr>
            </w:pPr>
            <w:r w:rsidRPr="007114AF">
              <w:rPr>
                <w:rFonts w:ascii="Garamond" w:hAnsi="Garamond"/>
                <w:bCs/>
                <w:iCs/>
              </w:rPr>
              <w:t>Futja e skemave të tarifave ose lejeve të tregtueshme të ujit</w:t>
            </w:r>
          </w:p>
          <w:p w14:paraId="6EDD101F" w14:textId="77777777" w:rsidR="006213BC" w:rsidRPr="007114AF" w:rsidRDefault="006213BC" w:rsidP="00037830">
            <w:pPr>
              <w:numPr>
                <w:ilvl w:val="1"/>
                <w:numId w:val="23"/>
              </w:numPr>
              <w:spacing w:after="0" w:line="240" w:lineRule="auto"/>
              <w:ind w:left="0" w:firstLine="0"/>
              <w:rPr>
                <w:rFonts w:ascii="Garamond" w:hAnsi="Garamond"/>
                <w:bCs/>
                <w:iCs/>
              </w:rPr>
            </w:pPr>
            <w:r w:rsidRPr="007114AF">
              <w:rPr>
                <w:rFonts w:ascii="Garamond" w:hAnsi="Garamond"/>
                <w:bCs/>
                <w:iCs/>
              </w:rPr>
              <w:t>Zhvillimi i tregut nëpërmjet përmirësimit të logjistikës së duhur.</w:t>
            </w:r>
          </w:p>
          <w:p w14:paraId="6EDD1020" w14:textId="77777777" w:rsidR="006213BC" w:rsidRPr="007114AF" w:rsidRDefault="006213BC" w:rsidP="006213BC">
            <w:pPr>
              <w:spacing w:after="0" w:line="240" w:lineRule="auto"/>
              <w:rPr>
                <w:rFonts w:ascii="Garamond" w:hAnsi="Garamond"/>
                <w:bCs/>
                <w:iCs/>
              </w:rPr>
            </w:pPr>
            <w:r w:rsidRPr="007114AF">
              <w:rPr>
                <w:rFonts w:ascii="Garamond" w:hAnsi="Garamond"/>
                <w:bCs/>
                <w:iCs/>
              </w:rPr>
              <w:t>Viti 3</w:t>
            </w:r>
          </w:p>
          <w:p w14:paraId="6EDD1021" w14:textId="30645D2F" w:rsidR="006213BC" w:rsidRPr="007114AF" w:rsidRDefault="006213BC" w:rsidP="00037830">
            <w:pPr>
              <w:numPr>
                <w:ilvl w:val="1"/>
                <w:numId w:val="23"/>
              </w:numPr>
              <w:spacing w:after="0" w:line="240" w:lineRule="auto"/>
              <w:ind w:left="0" w:firstLine="0"/>
              <w:rPr>
                <w:rFonts w:ascii="Garamond" w:hAnsi="Garamond"/>
                <w:bCs/>
                <w:iCs/>
              </w:rPr>
            </w:pPr>
            <w:r w:rsidRPr="007114AF">
              <w:rPr>
                <w:rFonts w:ascii="Garamond" w:hAnsi="Garamond"/>
                <w:bCs/>
                <w:iCs/>
              </w:rPr>
              <w:t>Bashkëpunimi</w:t>
            </w:r>
            <w:r w:rsidR="00D7430D">
              <w:rPr>
                <w:rFonts w:ascii="Garamond" w:hAnsi="Garamond"/>
                <w:bCs/>
                <w:iCs/>
              </w:rPr>
              <w:t xml:space="preserve">n </w:t>
            </w:r>
            <w:r w:rsidRPr="007114AF">
              <w:rPr>
                <w:rFonts w:ascii="Garamond" w:hAnsi="Garamond"/>
                <w:bCs/>
                <w:iCs/>
              </w:rPr>
              <w:t>e sektorët e tjerë për sinergji në sektorin bujqësor</w:t>
            </w:r>
          </w:p>
          <w:p w14:paraId="6EDD1022" w14:textId="77777777" w:rsidR="006213BC" w:rsidRPr="007114AF" w:rsidRDefault="006213BC" w:rsidP="00037830">
            <w:pPr>
              <w:numPr>
                <w:ilvl w:val="1"/>
                <w:numId w:val="23"/>
              </w:numPr>
              <w:spacing w:after="0" w:line="240" w:lineRule="auto"/>
              <w:ind w:left="0" w:firstLine="0"/>
              <w:rPr>
                <w:rFonts w:ascii="Garamond" w:hAnsi="Garamond"/>
                <w:bCs/>
                <w:iCs/>
              </w:rPr>
            </w:pPr>
            <w:r w:rsidRPr="007114AF">
              <w:rPr>
                <w:rFonts w:ascii="Garamond" w:hAnsi="Garamond"/>
                <w:bCs/>
                <w:iCs/>
              </w:rPr>
              <w:t>Rritet roli i shërbimeve këshillimore në bujqësi.</w:t>
            </w:r>
          </w:p>
          <w:p w14:paraId="6EDD1023" w14:textId="77777777" w:rsidR="006213BC" w:rsidRPr="007114AF" w:rsidRDefault="006213BC" w:rsidP="006213BC">
            <w:pPr>
              <w:spacing w:after="0" w:line="240" w:lineRule="auto"/>
              <w:rPr>
                <w:rFonts w:ascii="Garamond" w:hAnsi="Garamond"/>
                <w:bCs/>
                <w:iCs/>
              </w:rPr>
            </w:pPr>
            <w:r w:rsidRPr="007114AF">
              <w:rPr>
                <w:rFonts w:ascii="Garamond" w:hAnsi="Garamond"/>
                <w:bCs/>
                <w:iCs/>
              </w:rPr>
              <w:t>Afati 3 vjet</w:t>
            </w:r>
          </w:p>
        </w:tc>
      </w:tr>
      <w:tr w:rsidR="006213BC" w:rsidRPr="007114AF" w14:paraId="6EDD1032" w14:textId="77777777" w:rsidTr="00574660">
        <w:tc>
          <w:tcPr>
            <w:tcW w:w="3227" w:type="dxa"/>
            <w:shd w:val="clear" w:color="auto" w:fill="auto"/>
          </w:tcPr>
          <w:p w14:paraId="6EDD1025" w14:textId="77777777" w:rsidR="006213BC" w:rsidRPr="007114AF" w:rsidRDefault="006213BC" w:rsidP="006213BC">
            <w:pPr>
              <w:spacing w:after="0" w:line="240" w:lineRule="auto"/>
              <w:rPr>
                <w:rFonts w:ascii="Garamond" w:hAnsi="Garamond"/>
                <w:b/>
                <w:bCs/>
                <w:iCs/>
              </w:rPr>
            </w:pPr>
            <w:r w:rsidRPr="007114AF">
              <w:rPr>
                <w:rFonts w:ascii="Garamond" w:hAnsi="Garamond"/>
                <w:b/>
                <w:bCs/>
                <w:iCs/>
              </w:rPr>
              <w:t>Aktorët kryesorë të përfshirë</w:t>
            </w:r>
          </w:p>
          <w:p w14:paraId="6EDD1026" w14:textId="77777777" w:rsidR="006213BC" w:rsidRPr="007114AF" w:rsidRDefault="006213BC" w:rsidP="006213BC">
            <w:pPr>
              <w:spacing w:after="0" w:line="240" w:lineRule="auto"/>
              <w:rPr>
                <w:rFonts w:ascii="Garamond" w:hAnsi="Garamond"/>
                <w:bCs/>
                <w:iCs/>
              </w:rPr>
            </w:pPr>
            <w:r w:rsidRPr="007114AF">
              <w:rPr>
                <w:rFonts w:ascii="Garamond" w:hAnsi="Garamond"/>
                <w:bCs/>
                <w:iCs/>
              </w:rPr>
              <w:t>Ministria e Turizmit dhe Mjedisit</w:t>
            </w:r>
          </w:p>
          <w:p w14:paraId="6EDD1027" w14:textId="77777777" w:rsidR="006213BC" w:rsidRPr="007114AF" w:rsidRDefault="006213BC" w:rsidP="006213BC">
            <w:pPr>
              <w:spacing w:after="0" w:line="240" w:lineRule="auto"/>
              <w:rPr>
                <w:rFonts w:ascii="Garamond" w:hAnsi="Garamond"/>
                <w:bCs/>
                <w:iCs/>
              </w:rPr>
            </w:pPr>
            <w:r w:rsidRPr="007114AF">
              <w:rPr>
                <w:rFonts w:ascii="Garamond" w:hAnsi="Garamond"/>
                <w:bCs/>
                <w:iCs/>
              </w:rPr>
              <w:t>Ministria e Infrastrukturës dhe Energjisë</w:t>
            </w:r>
          </w:p>
          <w:p w14:paraId="6EDD1028" w14:textId="77777777" w:rsidR="006213BC" w:rsidRPr="007114AF" w:rsidRDefault="006213BC" w:rsidP="006213BC">
            <w:pPr>
              <w:spacing w:after="0" w:line="240" w:lineRule="auto"/>
              <w:rPr>
                <w:rFonts w:ascii="Garamond" w:hAnsi="Garamond"/>
                <w:bCs/>
                <w:iCs/>
              </w:rPr>
            </w:pPr>
            <w:r w:rsidRPr="007114AF">
              <w:rPr>
                <w:rFonts w:ascii="Garamond" w:hAnsi="Garamond"/>
                <w:bCs/>
                <w:iCs/>
              </w:rPr>
              <w:t>Ministria e Bujqësisë dhe Zhvillimit Rural</w:t>
            </w:r>
          </w:p>
          <w:p w14:paraId="6EDD1029" w14:textId="77777777" w:rsidR="006213BC" w:rsidRPr="007114AF" w:rsidRDefault="006213BC" w:rsidP="006213BC">
            <w:pPr>
              <w:spacing w:after="0" w:line="240" w:lineRule="auto"/>
              <w:rPr>
                <w:rFonts w:ascii="Garamond" w:hAnsi="Garamond"/>
                <w:bCs/>
                <w:iCs/>
              </w:rPr>
            </w:pPr>
            <w:r w:rsidRPr="007114AF">
              <w:rPr>
                <w:rFonts w:ascii="Garamond" w:hAnsi="Garamond"/>
                <w:bCs/>
                <w:iCs/>
              </w:rPr>
              <w:t>AKPT-ja</w:t>
            </w:r>
          </w:p>
          <w:p w14:paraId="6EDD102A" w14:textId="77777777" w:rsidR="006213BC" w:rsidRPr="007114AF" w:rsidRDefault="006213BC" w:rsidP="006213BC">
            <w:pPr>
              <w:spacing w:after="0" w:line="240" w:lineRule="auto"/>
              <w:rPr>
                <w:rFonts w:ascii="Garamond" w:hAnsi="Garamond"/>
                <w:bCs/>
                <w:iCs/>
              </w:rPr>
            </w:pPr>
            <w:r w:rsidRPr="007114AF">
              <w:rPr>
                <w:rFonts w:ascii="Garamond" w:hAnsi="Garamond"/>
                <w:bCs/>
                <w:iCs/>
              </w:rPr>
              <w:t>Ministria e Financave dhe Ekonomisë</w:t>
            </w:r>
          </w:p>
          <w:p w14:paraId="6EDD102B" w14:textId="77777777" w:rsidR="006213BC" w:rsidRPr="007114AF" w:rsidRDefault="006213BC" w:rsidP="006213BC">
            <w:pPr>
              <w:spacing w:after="0" w:line="240" w:lineRule="auto"/>
              <w:rPr>
                <w:rFonts w:ascii="Garamond" w:hAnsi="Garamond"/>
                <w:b/>
                <w:bCs/>
                <w:iCs/>
              </w:rPr>
            </w:pPr>
            <w:r w:rsidRPr="007114AF">
              <w:rPr>
                <w:rFonts w:ascii="Garamond" w:hAnsi="Garamond"/>
                <w:bCs/>
                <w:iCs/>
              </w:rPr>
              <w:t>Universitetet</w:t>
            </w:r>
          </w:p>
          <w:p w14:paraId="6EDD102C" w14:textId="77777777" w:rsidR="006213BC" w:rsidRPr="007114AF" w:rsidRDefault="006213BC" w:rsidP="006213BC">
            <w:pPr>
              <w:spacing w:after="0" w:line="240" w:lineRule="auto"/>
              <w:rPr>
                <w:rFonts w:ascii="Garamond" w:hAnsi="Garamond"/>
                <w:bCs/>
                <w:iCs/>
              </w:rPr>
            </w:pPr>
            <w:r w:rsidRPr="007114AF">
              <w:rPr>
                <w:rFonts w:ascii="Garamond" w:hAnsi="Garamond"/>
                <w:bCs/>
                <w:iCs/>
              </w:rPr>
              <w:t>OJQ-ët</w:t>
            </w:r>
          </w:p>
        </w:tc>
        <w:tc>
          <w:tcPr>
            <w:tcW w:w="5985" w:type="dxa"/>
            <w:gridSpan w:val="2"/>
            <w:shd w:val="clear" w:color="auto" w:fill="auto"/>
          </w:tcPr>
          <w:p w14:paraId="6EDD102D" w14:textId="77777777" w:rsidR="006213BC" w:rsidRPr="007114AF" w:rsidRDefault="006213BC" w:rsidP="006213BC">
            <w:pPr>
              <w:spacing w:after="0" w:line="240" w:lineRule="auto"/>
              <w:rPr>
                <w:rFonts w:ascii="Garamond" w:hAnsi="Garamond"/>
                <w:b/>
                <w:bCs/>
                <w:iCs/>
              </w:rPr>
            </w:pPr>
            <w:r w:rsidRPr="007114AF">
              <w:rPr>
                <w:rFonts w:ascii="Garamond" w:hAnsi="Garamond"/>
                <w:b/>
                <w:bCs/>
                <w:iCs/>
              </w:rPr>
              <w:t>Burimet</w:t>
            </w:r>
          </w:p>
          <w:p w14:paraId="6EDD102E" w14:textId="3CE30731" w:rsidR="006213BC" w:rsidRPr="007114AF" w:rsidRDefault="006213BC" w:rsidP="00037830">
            <w:pPr>
              <w:numPr>
                <w:ilvl w:val="0"/>
                <w:numId w:val="19"/>
              </w:numPr>
              <w:spacing w:after="0" w:line="240" w:lineRule="auto"/>
              <w:ind w:left="0" w:firstLine="0"/>
              <w:rPr>
                <w:rFonts w:ascii="Garamond" w:hAnsi="Garamond"/>
                <w:bCs/>
                <w:iCs/>
              </w:rPr>
            </w:pPr>
            <w:r w:rsidRPr="007114AF">
              <w:rPr>
                <w:rFonts w:ascii="Garamond" w:hAnsi="Garamond"/>
                <w:bCs/>
                <w:iCs/>
              </w:rPr>
              <w:t>81.2 milion</w:t>
            </w:r>
            <w:r w:rsidR="001C47F0" w:rsidRPr="007114AF">
              <w:rPr>
                <w:rFonts w:ascii="Garamond" w:hAnsi="Garamond"/>
                <w:bCs/>
                <w:iCs/>
              </w:rPr>
              <w:t>ë</w:t>
            </w:r>
            <w:r w:rsidRPr="007114AF">
              <w:rPr>
                <w:rFonts w:ascii="Garamond" w:hAnsi="Garamond"/>
                <w:bCs/>
                <w:iCs/>
              </w:rPr>
              <w:t xml:space="preserve"> lekë</w:t>
            </w:r>
          </w:p>
          <w:p w14:paraId="6EDD102F" w14:textId="2B6A5882" w:rsidR="006213BC" w:rsidRPr="007114AF" w:rsidRDefault="006213BC" w:rsidP="00037830">
            <w:pPr>
              <w:numPr>
                <w:ilvl w:val="1"/>
                <w:numId w:val="19"/>
              </w:numPr>
              <w:spacing w:after="0" w:line="240" w:lineRule="auto"/>
              <w:ind w:left="0" w:firstLine="0"/>
              <w:rPr>
                <w:rFonts w:ascii="Garamond" w:hAnsi="Garamond"/>
                <w:bCs/>
                <w:iCs/>
              </w:rPr>
            </w:pPr>
            <w:r w:rsidRPr="007114AF">
              <w:rPr>
                <w:rFonts w:ascii="Garamond" w:hAnsi="Garamond"/>
                <w:bCs/>
                <w:iCs/>
              </w:rPr>
              <w:t>Viti i parë 18.75 milion</w:t>
            </w:r>
            <w:r w:rsidR="001C47F0" w:rsidRPr="007114AF">
              <w:rPr>
                <w:rFonts w:ascii="Garamond" w:hAnsi="Garamond"/>
                <w:bCs/>
                <w:iCs/>
              </w:rPr>
              <w:t>ë</w:t>
            </w:r>
            <w:r w:rsidRPr="007114AF">
              <w:rPr>
                <w:rFonts w:ascii="Garamond" w:hAnsi="Garamond"/>
                <w:bCs/>
                <w:iCs/>
              </w:rPr>
              <w:t xml:space="preserve"> lekë</w:t>
            </w:r>
          </w:p>
          <w:p w14:paraId="6EDD1030" w14:textId="1C65C4FC" w:rsidR="006213BC" w:rsidRPr="007114AF" w:rsidRDefault="006213BC" w:rsidP="00037830">
            <w:pPr>
              <w:numPr>
                <w:ilvl w:val="1"/>
                <w:numId w:val="19"/>
              </w:numPr>
              <w:spacing w:after="0" w:line="240" w:lineRule="auto"/>
              <w:ind w:left="0" w:firstLine="0"/>
              <w:rPr>
                <w:rFonts w:ascii="Garamond" w:hAnsi="Garamond"/>
                <w:bCs/>
                <w:iCs/>
              </w:rPr>
            </w:pPr>
            <w:r w:rsidRPr="007114AF">
              <w:rPr>
                <w:rFonts w:ascii="Garamond" w:hAnsi="Garamond"/>
                <w:bCs/>
                <w:iCs/>
              </w:rPr>
              <w:t>Viti i dytë 37.5 million</w:t>
            </w:r>
            <w:r w:rsidR="001C47F0" w:rsidRPr="007114AF">
              <w:rPr>
                <w:rFonts w:ascii="Garamond" w:hAnsi="Garamond"/>
                <w:bCs/>
                <w:iCs/>
              </w:rPr>
              <w:t>ë</w:t>
            </w:r>
            <w:r w:rsidRPr="007114AF">
              <w:rPr>
                <w:rFonts w:ascii="Garamond" w:hAnsi="Garamond"/>
                <w:bCs/>
                <w:iCs/>
              </w:rPr>
              <w:t xml:space="preserve"> lekë</w:t>
            </w:r>
          </w:p>
          <w:p w14:paraId="6EDD1031" w14:textId="0DB8F9AC" w:rsidR="006213BC" w:rsidRPr="007114AF" w:rsidRDefault="006213BC" w:rsidP="00037830">
            <w:pPr>
              <w:numPr>
                <w:ilvl w:val="1"/>
                <w:numId w:val="19"/>
              </w:numPr>
              <w:spacing w:after="0" w:line="240" w:lineRule="auto"/>
              <w:ind w:left="0" w:firstLine="0"/>
              <w:rPr>
                <w:rFonts w:ascii="Garamond" w:hAnsi="Garamond"/>
                <w:b/>
                <w:bCs/>
                <w:iCs/>
              </w:rPr>
            </w:pPr>
            <w:r w:rsidRPr="007114AF">
              <w:rPr>
                <w:rFonts w:ascii="Garamond" w:hAnsi="Garamond"/>
                <w:bCs/>
                <w:iCs/>
              </w:rPr>
              <w:t>Viti i tretë</w:t>
            </w:r>
            <w:r w:rsidR="000A2A01" w:rsidRPr="007114AF">
              <w:rPr>
                <w:rFonts w:ascii="Garamond" w:hAnsi="Garamond"/>
                <w:bCs/>
                <w:iCs/>
              </w:rPr>
              <w:t xml:space="preserve"> </w:t>
            </w:r>
            <w:r w:rsidRPr="007114AF">
              <w:rPr>
                <w:rFonts w:ascii="Garamond" w:hAnsi="Garamond"/>
                <w:bCs/>
                <w:iCs/>
              </w:rPr>
              <w:t>25 milion</w:t>
            </w:r>
            <w:r w:rsidR="001C47F0" w:rsidRPr="007114AF">
              <w:rPr>
                <w:rFonts w:ascii="Garamond" w:hAnsi="Garamond"/>
                <w:bCs/>
                <w:iCs/>
              </w:rPr>
              <w:t>ë</w:t>
            </w:r>
            <w:r w:rsidRPr="007114AF">
              <w:rPr>
                <w:rFonts w:ascii="Garamond" w:hAnsi="Garamond"/>
                <w:bCs/>
                <w:iCs/>
              </w:rPr>
              <w:t xml:space="preserve"> lekë</w:t>
            </w:r>
          </w:p>
        </w:tc>
      </w:tr>
    </w:tbl>
    <w:p w14:paraId="6EDD1033" w14:textId="77777777" w:rsidR="000D5D4E" w:rsidRPr="007114AF" w:rsidRDefault="000D5D4E" w:rsidP="006213BC">
      <w:pPr>
        <w:pStyle w:val="FIGURA"/>
      </w:pPr>
    </w:p>
    <w:p w14:paraId="6EDD1034" w14:textId="0B88F453" w:rsidR="009E0D15" w:rsidRPr="007114AF" w:rsidRDefault="009E0D15" w:rsidP="009E0D15">
      <w:pPr>
        <w:pStyle w:val="FIGURA"/>
        <w:rPr>
          <w:lang w:eastAsia="en-US"/>
        </w:rPr>
      </w:pPr>
      <w:bookmarkStart w:id="237" w:name="_Toc479083902"/>
      <w:bookmarkStart w:id="238" w:name="_Toc483570149"/>
      <w:bookmarkStart w:id="239" w:name="_Toc484424547"/>
      <w:r w:rsidRPr="007114AF">
        <w:rPr>
          <w:lang w:eastAsia="en-US"/>
        </w:rPr>
        <w:t>6.2.14 Veprimi Prioritar</w:t>
      </w:r>
      <w:r w:rsidR="00242009" w:rsidRPr="007114AF">
        <w:rPr>
          <w:lang w:eastAsia="en-US"/>
        </w:rPr>
        <w:t xml:space="preserve"> nr. </w:t>
      </w:r>
      <w:r w:rsidRPr="007114AF">
        <w:rPr>
          <w:lang w:eastAsia="en-US"/>
        </w:rPr>
        <w:t>14</w:t>
      </w:r>
      <w:bookmarkEnd w:id="237"/>
      <w:bookmarkEnd w:id="238"/>
      <w:bookmarkEnd w:id="2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379"/>
        <w:gridCol w:w="4606"/>
      </w:tblGrid>
      <w:tr w:rsidR="009E0D15" w:rsidRPr="007114AF" w14:paraId="6EDD103A" w14:textId="77777777" w:rsidTr="00574660">
        <w:tc>
          <w:tcPr>
            <w:tcW w:w="4606" w:type="dxa"/>
            <w:gridSpan w:val="2"/>
            <w:shd w:val="clear" w:color="auto" w:fill="B6DDE8" w:themeFill="accent5" w:themeFillTint="66"/>
          </w:tcPr>
          <w:p w14:paraId="6EDD1035" w14:textId="6360F176" w:rsidR="009E0D15" w:rsidRPr="007114AF" w:rsidRDefault="009E0D15" w:rsidP="009E0D15">
            <w:pPr>
              <w:pBdr>
                <w:bar w:val="single" w:sz="4" w:color="FF8080"/>
              </w:pBdr>
              <w:tabs>
                <w:tab w:val="left" w:pos="0"/>
              </w:tabs>
              <w:spacing w:after="0" w:line="240" w:lineRule="auto"/>
              <w:rPr>
                <w:rFonts w:ascii="Garamond" w:hAnsi="Garamond"/>
                <w:b/>
                <w:bCs/>
              </w:rPr>
            </w:pPr>
            <w:r w:rsidRPr="007114AF">
              <w:rPr>
                <w:rFonts w:ascii="Garamond" w:hAnsi="Garamond"/>
                <w:b/>
                <w:bCs/>
              </w:rPr>
              <w:t>Titulli i veprimit prioritar</w:t>
            </w:r>
            <w:r w:rsidR="00242009" w:rsidRPr="007114AF">
              <w:rPr>
                <w:rFonts w:ascii="Garamond" w:hAnsi="Garamond"/>
                <w:b/>
                <w:bCs/>
              </w:rPr>
              <w:t xml:space="preserve"> nr. </w:t>
            </w:r>
            <w:r w:rsidRPr="007114AF">
              <w:rPr>
                <w:rFonts w:ascii="Garamond" w:hAnsi="Garamond"/>
                <w:b/>
                <w:bCs/>
              </w:rPr>
              <w:t>14</w:t>
            </w:r>
          </w:p>
          <w:p w14:paraId="6EDD1036" w14:textId="77777777" w:rsidR="009E0D15" w:rsidRPr="007114AF" w:rsidRDefault="009E0D15" w:rsidP="009E0D15">
            <w:pPr>
              <w:pStyle w:val="ListParagraph"/>
              <w:numPr>
                <w:ilvl w:val="0"/>
                <w:numId w:val="0"/>
              </w:numPr>
              <w:tabs>
                <w:tab w:val="left" w:pos="0"/>
              </w:tabs>
              <w:spacing w:before="0" w:after="0"/>
              <w:rPr>
                <w:rFonts w:ascii="Garamond" w:hAnsi="Garamond"/>
                <w:b/>
                <w:bCs/>
              </w:rPr>
            </w:pPr>
            <w:r w:rsidRPr="007114AF">
              <w:rPr>
                <w:rFonts w:ascii="Garamond" w:hAnsi="Garamond"/>
                <w:b/>
                <w:bCs/>
                <w:iCs/>
              </w:rPr>
              <w:t>Rritja e nivelit të gatishmërisë së mbrojtjes civile dhe të zvogëlimit të rrezikut të fatkeqësive natyrore</w:t>
            </w:r>
          </w:p>
        </w:tc>
        <w:tc>
          <w:tcPr>
            <w:tcW w:w="4606" w:type="dxa"/>
            <w:shd w:val="clear" w:color="auto" w:fill="B6DDE8" w:themeFill="accent5" w:themeFillTint="66"/>
          </w:tcPr>
          <w:p w14:paraId="6EDD1037" w14:textId="77777777" w:rsidR="009E0D15" w:rsidRPr="007114AF" w:rsidRDefault="009E0D15" w:rsidP="009E0D15">
            <w:pPr>
              <w:spacing w:after="0" w:line="240" w:lineRule="auto"/>
              <w:jc w:val="left"/>
              <w:rPr>
                <w:rFonts w:ascii="Garamond" w:hAnsi="Garamond"/>
                <w:b/>
                <w:bCs/>
                <w:iCs/>
              </w:rPr>
            </w:pPr>
            <w:r w:rsidRPr="007114AF">
              <w:rPr>
                <w:rFonts w:ascii="Garamond" w:hAnsi="Garamond"/>
                <w:b/>
                <w:bCs/>
                <w:iCs/>
              </w:rPr>
              <w:t>Agjencia / Ministria kryesuese përgjegjëse</w:t>
            </w:r>
          </w:p>
          <w:p w14:paraId="6EDD1038" w14:textId="77777777" w:rsidR="009E0D15" w:rsidRPr="007114AF" w:rsidRDefault="009E0D15" w:rsidP="009E0D15">
            <w:pPr>
              <w:spacing w:after="0" w:line="240" w:lineRule="auto"/>
              <w:jc w:val="left"/>
              <w:rPr>
                <w:rFonts w:ascii="Garamond" w:hAnsi="Garamond"/>
                <w:b/>
                <w:bCs/>
                <w:iCs/>
              </w:rPr>
            </w:pPr>
            <w:r w:rsidRPr="007114AF">
              <w:rPr>
                <w:rFonts w:ascii="Garamond" w:hAnsi="Garamond"/>
                <w:b/>
                <w:bCs/>
                <w:iCs/>
              </w:rPr>
              <w:t>Drejtoria e Përgjithshme e Emergjencave Civile</w:t>
            </w:r>
          </w:p>
          <w:p w14:paraId="6EDD1039" w14:textId="77777777" w:rsidR="009E0D15" w:rsidRPr="007114AF" w:rsidRDefault="00755E38" w:rsidP="009E0D15">
            <w:pPr>
              <w:spacing w:after="0" w:line="240" w:lineRule="auto"/>
              <w:jc w:val="left"/>
              <w:rPr>
                <w:rFonts w:ascii="Garamond" w:hAnsi="Garamond"/>
                <w:b/>
                <w:bCs/>
              </w:rPr>
            </w:pPr>
            <w:r w:rsidRPr="007114AF">
              <w:rPr>
                <w:rFonts w:ascii="Garamond" w:hAnsi="Garamond"/>
                <w:b/>
                <w:bCs/>
                <w:iCs/>
              </w:rPr>
              <w:t>Ministria e Brendshme</w:t>
            </w:r>
          </w:p>
        </w:tc>
      </w:tr>
      <w:tr w:rsidR="009E0D15" w:rsidRPr="007114AF" w14:paraId="6EDD1045" w14:textId="77777777" w:rsidTr="00574660">
        <w:tc>
          <w:tcPr>
            <w:tcW w:w="9212" w:type="dxa"/>
            <w:gridSpan w:val="3"/>
            <w:shd w:val="clear" w:color="auto" w:fill="auto"/>
          </w:tcPr>
          <w:p w14:paraId="6EDD103B" w14:textId="77777777" w:rsidR="009E0D15" w:rsidRPr="007114AF" w:rsidRDefault="009E0D15" w:rsidP="009E0D15">
            <w:pPr>
              <w:spacing w:after="0" w:line="240" w:lineRule="auto"/>
              <w:rPr>
                <w:rFonts w:ascii="Garamond" w:hAnsi="Garamond"/>
                <w:b/>
                <w:bCs/>
                <w:iCs/>
              </w:rPr>
            </w:pPr>
            <w:r w:rsidRPr="007114AF">
              <w:rPr>
                <w:rFonts w:ascii="Garamond" w:hAnsi="Garamond"/>
                <w:b/>
                <w:bCs/>
                <w:iCs/>
              </w:rPr>
              <w:t>Situata ekzistuese mbi të cilën mbështetet veprimi prioritar</w:t>
            </w:r>
          </w:p>
          <w:p w14:paraId="6EDD103C" w14:textId="479CB757" w:rsidR="009E0D15" w:rsidRPr="007114AF" w:rsidRDefault="009E0D15" w:rsidP="009E0D15">
            <w:pPr>
              <w:spacing w:after="0" w:line="240" w:lineRule="auto"/>
              <w:rPr>
                <w:rFonts w:ascii="Garamond" w:hAnsi="Garamond"/>
                <w:bCs/>
                <w:iCs/>
              </w:rPr>
            </w:pPr>
            <w:r w:rsidRPr="007114AF">
              <w:rPr>
                <w:rFonts w:ascii="Garamond" w:hAnsi="Garamond"/>
                <w:bCs/>
                <w:iCs/>
              </w:rPr>
              <w:t>Në Shqipëri, lumenjtë përbëjnë rrezikun</w:t>
            </w:r>
            <w:r w:rsidR="00D7430D">
              <w:rPr>
                <w:rFonts w:ascii="Garamond" w:hAnsi="Garamond"/>
                <w:bCs/>
                <w:iCs/>
              </w:rPr>
              <w:t xml:space="preserve"> </w:t>
            </w:r>
            <w:r w:rsidRPr="007114AF">
              <w:rPr>
                <w:rFonts w:ascii="Garamond" w:hAnsi="Garamond"/>
                <w:bCs/>
                <w:iCs/>
              </w:rPr>
              <w:t>më të madh të përmbytjes në vend. Përmbytjet kanë kryesisht origjinë pluviale dhe ndodhin gjatë muajve nëntor-mars, kur në vend bien 80-85% e reshjeve vjetore. Për shkak të kushteve topografike, përmbytjet ndodhin befas, duke u transportuar nëpërmjet rrjetit hidrologjik lumor për rreth 8-10 orë. Përmbytjet më të mëdha ndodhin në ultësirën perëndimore të vendit, ku lumenjtë derdhen në det, por përmbytje shkaktojnë edhe lumenjtë e vegjël dhe përrenjtë e rrëmbyeshëm. Sipas të dhënave ekzistuese të raportuara nga qeveria shqiptare, përmbytjet kanë prekur 130.000 hektarë tokë bujqësore.</w:t>
            </w:r>
          </w:p>
          <w:p w14:paraId="6EDD103D" w14:textId="77777777" w:rsidR="009E0D15" w:rsidRPr="007114AF" w:rsidRDefault="009E0D15" w:rsidP="009E0D15">
            <w:pPr>
              <w:spacing w:after="0" w:line="240" w:lineRule="auto"/>
              <w:rPr>
                <w:rFonts w:ascii="Garamond" w:hAnsi="Garamond"/>
                <w:bCs/>
                <w:iCs/>
              </w:rPr>
            </w:pPr>
            <w:r w:rsidRPr="007114AF">
              <w:rPr>
                <w:rFonts w:ascii="Garamond" w:hAnsi="Garamond"/>
                <w:bCs/>
                <w:iCs/>
              </w:rPr>
              <w:t>Përmbytjet përkeqësohen nga sedimentinë lumenj dhe në kanalet e kullimit. Sipas Sistemit të Inventarit të Fatkeqësive (DesInventar), që ka një inventar prej thuajse 4000 rastesh të periudhës 1851 – 2013 në Shqipëri, më shumë se 95% e bashkive janë prekur të paktën një herë nga përmbytjet.</w:t>
            </w:r>
          </w:p>
          <w:p w14:paraId="6EDD103E" w14:textId="77777777" w:rsidR="009E0D15" w:rsidRPr="007114AF" w:rsidRDefault="009E0D15" w:rsidP="009E0D15">
            <w:pPr>
              <w:spacing w:after="0" w:line="240" w:lineRule="auto"/>
              <w:rPr>
                <w:rFonts w:ascii="Garamond" w:hAnsi="Garamond"/>
                <w:bCs/>
                <w:iCs/>
              </w:rPr>
            </w:pPr>
            <w:r w:rsidRPr="007114AF">
              <w:rPr>
                <w:rFonts w:ascii="Garamond" w:hAnsi="Garamond"/>
                <w:bCs/>
                <w:iCs/>
              </w:rPr>
              <w:t>Shqipëria është prekur nga përmbytje të mëdha në 1962-63, 1970-71, 2003, 2005, 2009, 2010, 2013, shkurt 2015 dhe në fund, në fillim të muajit janar 2016. Përmbytjet dhe vërshimet nga reshjet përbëjnë 20% të numrit të rasteve gjithsej. Rrethet me më shumë përmbytje dhe vërshime shirash janë Shkodra (160 raste) dhe Lezha (117 raste) në veriperëndim të Shqipërisë.</w:t>
            </w:r>
          </w:p>
          <w:p w14:paraId="6EDD103F" w14:textId="77777777" w:rsidR="009E0D15" w:rsidRPr="007114AF" w:rsidRDefault="009E0D15" w:rsidP="009E0D15">
            <w:pPr>
              <w:spacing w:after="0" w:line="240" w:lineRule="auto"/>
              <w:rPr>
                <w:rFonts w:ascii="Garamond" w:hAnsi="Garamond"/>
                <w:bCs/>
                <w:iCs/>
              </w:rPr>
            </w:pPr>
            <w:r w:rsidRPr="007114AF">
              <w:rPr>
                <w:rFonts w:ascii="Garamond" w:hAnsi="Garamond"/>
                <w:bCs/>
                <w:iCs/>
              </w:rPr>
              <w:t>Efekti më i madh i përmbytjeve dhe vërshimeve ka qenë në sektorin bujqësor, duke dëmtuar mesatarisht 7.000 hektarë tokë çdo vit. Sasia mesatare e hektarëve të dëmtuar për përmbytje është rreth 300 ha, ku maksimumi është arritur në 20.000 ha në një bashki të vetme gjatë vetëm një përmbytjeje.</w:t>
            </w:r>
          </w:p>
          <w:p w14:paraId="6EDD1040" w14:textId="4AA90567" w:rsidR="009E0D15" w:rsidRPr="007114AF" w:rsidRDefault="009E0D15" w:rsidP="009E0D15">
            <w:pPr>
              <w:spacing w:after="0" w:line="240" w:lineRule="auto"/>
              <w:rPr>
                <w:rFonts w:ascii="Garamond" w:hAnsi="Garamond"/>
                <w:bCs/>
                <w:iCs/>
              </w:rPr>
            </w:pPr>
            <w:r w:rsidRPr="007114AF">
              <w:rPr>
                <w:rFonts w:ascii="Garamond" w:hAnsi="Garamond"/>
                <w:bCs/>
                <w:iCs/>
              </w:rPr>
              <w:t>Ndryshimi klimatik është një faktor shtesë përkeqësues, duke qenë se reshjet e shiut dhe borës në Shqipëri kanë nivelet më të larta të luhatjes në Evropë. Ndryshimi i klimës ka të ngjarë ta rrisë shpeshtësinë dhe shkallën e përmbytjeve. Reshjet e shiut në të gjithë skenarët kanë të ngjarë të jenë më të mëdha dhe më pak të shpeshta. Krahas kësaj, rritja e niveli të detit dhe dallgët e shkaktuara nga stuhitë pritet t</w:t>
            </w:r>
            <w:r w:rsidR="00D10DAB" w:rsidRPr="007114AF">
              <w:rPr>
                <w:rFonts w:ascii="Garamond" w:hAnsi="Garamond"/>
                <w:bCs/>
                <w:iCs/>
              </w:rPr>
              <w:t>’</w:t>
            </w:r>
            <w:r w:rsidRPr="007114AF">
              <w:rPr>
                <w:rFonts w:ascii="Garamond" w:hAnsi="Garamond"/>
                <w:bCs/>
                <w:iCs/>
              </w:rPr>
              <w:t xml:space="preserve">i shtojnë përmbytjet në zonat bregdetare. </w:t>
            </w:r>
          </w:p>
          <w:p w14:paraId="6EDD1041" w14:textId="1607E303" w:rsidR="009E0D15" w:rsidRPr="007114AF" w:rsidRDefault="009E0D15" w:rsidP="009E0D15">
            <w:pPr>
              <w:spacing w:after="0" w:line="240" w:lineRule="auto"/>
              <w:rPr>
                <w:rFonts w:ascii="Garamond" w:hAnsi="Garamond"/>
                <w:bCs/>
                <w:iCs/>
              </w:rPr>
            </w:pPr>
            <w:r w:rsidRPr="007114AF">
              <w:rPr>
                <w:rFonts w:ascii="Garamond" w:hAnsi="Garamond"/>
                <w:bCs/>
                <w:iCs/>
              </w:rPr>
              <w:t xml:space="preserve">Shpeshtësia e rrezikut të përmbytjes është e lartë në Shqipëri (një rast në çdo gjashtë vjet). Humbjet ekonomike, për shkak të përmbytjeve gjatë 33 viteve të fundit, </w:t>
            </w:r>
            <w:r w:rsidR="00D7430D" w:rsidRPr="007114AF">
              <w:rPr>
                <w:rFonts w:ascii="Garamond" w:hAnsi="Garamond"/>
                <w:bCs/>
                <w:iCs/>
              </w:rPr>
              <w:t>vlerësohen</w:t>
            </w:r>
            <w:r w:rsidRPr="007114AF">
              <w:rPr>
                <w:rFonts w:ascii="Garamond" w:hAnsi="Garamond"/>
                <w:bCs/>
                <w:iCs/>
              </w:rPr>
              <w:t xml:space="preserve"> në 125 bilion</w:t>
            </w:r>
            <w:r w:rsidR="00D7430D">
              <w:rPr>
                <w:rFonts w:ascii="Garamond" w:hAnsi="Garamond"/>
                <w:bCs/>
                <w:iCs/>
              </w:rPr>
              <w:t>ë</w:t>
            </w:r>
            <w:r w:rsidRPr="007114AF">
              <w:rPr>
                <w:rFonts w:ascii="Garamond" w:hAnsi="Garamond"/>
                <w:bCs/>
                <w:iCs/>
              </w:rPr>
              <w:t xml:space="preserve"> lekë. Parashikimet e Bankës Botërore për Shqipërinë përcaktojnë se ajo është e ekspozuar ndaj një përmbytjeje një në 100 vjet që prek 6% të GDP-së dhe 7% të popullatës.</w:t>
            </w:r>
          </w:p>
          <w:p w14:paraId="6EDD1042" w14:textId="4931AC4E" w:rsidR="009E0D15" w:rsidRPr="007114AF" w:rsidRDefault="009E0D15" w:rsidP="009E0D15">
            <w:pPr>
              <w:spacing w:after="0" w:line="240" w:lineRule="auto"/>
              <w:rPr>
                <w:rFonts w:ascii="Garamond" w:hAnsi="Garamond"/>
                <w:bCs/>
                <w:iCs/>
              </w:rPr>
            </w:pPr>
            <w:r w:rsidRPr="007114AF">
              <w:rPr>
                <w:rFonts w:ascii="Garamond" w:hAnsi="Garamond"/>
                <w:bCs/>
                <w:iCs/>
              </w:rPr>
              <w:t>Parashikimi i përmbytjeve mund t</w:t>
            </w:r>
            <w:r w:rsidR="00D10DAB" w:rsidRPr="007114AF">
              <w:rPr>
                <w:rFonts w:ascii="Garamond" w:hAnsi="Garamond"/>
                <w:bCs/>
                <w:iCs/>
              </w:rPr>
              <w:t>’</w:t>
            </w:r>
            <w:r w:rsidRPr="007114AF">
              <w:rPr>
                <w:rFonts w:ascii="Garamond" w:hAnsi="Garamond"/>
                <w:bCs/>
                <w:iCs/>
              </w:rPr>
              <w:t>i pakësojë humbjet në jetë njerëzish dhe në humbje ekonomike,</w:t>
            </w:r>
            <w:r w:rsidR="000A2A01" w:rsidRPr="007114AF">
              <w:rPr>
                <w:rFonts w:ascii="Garamond" w:hAnsi="Garamond"/>
                <w:bCs/>
                <w:iCs/>
              </w:rPr>
              <w:t xml:space="preserve"> </w:t>
            </w:r>
            <w:r w:rsidRPr="007114AF">
              <w:rPr>
                <w:rFonts w:ascii="Garamond" w:hAnsi="Garamond"/>
                <w:bCs/>
                <w:iCs/>
              </w:rPr>
              <w:t>nëpërmjet dhënies së paralajmërimit. Vëzhgimet hidrometeorologjike janë thelbësore për zbulimin dhe parashikimin, duke e rritur kështu kohën në dispozicion të kundërpërgjigjes. Sipas standardit të Organizatës Botërore Meteorologjike (OBM), raporti mesatar kosto-përfitim për investimet në zhvillimin dhe fuqizimin e shërbimeve meteorologjike në formën e zvogëlimin të humbjeve ekonomike për Shqipërinë është 1:7.</w:t>
            </w:r>
          </w:p>
          <w:p w14:paraId="6EDD1043" w14:textId="77777777" w:rsidR="009E0D15" w:rsidRPr="007114AF" w:rsidRDefault="009E0D15" w:rsidP="009E0D15">
            <w:pPr>
              <w:spacing w:after="0" w:line="240" w:lineRule="auto"/>
              <w:rPr>
                <w:rFonts w:ascii="Garamond" w:hAnsi="Garamond"/>
                <w:bCs/>
                <w:iCs/>
              </w:rPr>
            </w:pPr>
            <w:r w:rsidRPr="007114AF">
              <w:rPr>
                <w:rFonts w:ascii="Garamond" w:hAnsi="Garamond"/>
                <w:bCs/>
                <w:iCs/>
              </w:rPr>
              <w:t>Sa i takon ciklit të duhur të menaxhimit të përmbytjeve, sipas Direktivës së BE-së për Përmbytjet 2007/60/KE, parandalimi (që përfshin masat e mbrojtjes natyrore, mbrojtjen e ndërtesave, mbrojtjen teknike nga përmbytjet) është pjesa kryesore e ciklit. Megjithatë, edhe gatishmëria dhe kundërpërgjigja në raste të jashtëzakonshme (informimi, gatishmëria për reagim individual dhe kompensimi, kundërpërgjigja në ngjarje të jashtëzakonshme dhe mbajtja në kontroll e përmbytjeve) janë elemente të rëndësishme, krahas rigjenerimit (mbështetja financiare dhe rindërtimi). Ky veprim prioritar fokusohet te pjesa e gatishmërisë dhe kundërpërgjigjes në ngjarje të jashtëzakonshme, që përfshin edhe shpërndarjen e informacionit, në mënyrë që të vihen në lëvizje reagimet e duhura.</w:t>
            </w:r>
          </w:p>
          <w:p w14:paraId="6EDD1044" w14:textId="3C54F6AF" w:rsidR="009E0D15" w:rsidRPr="007114AF" w:rsidRDefault="009E0D15" w:rsidP="009E0D15">
            <w:pPr>
              <w:spacing w:after="0" w:line="240" w:lineRule="auto"/>
              <w:rPr>
                <w:rFonts w:ascii="Garamond" w:hAnsi="Garamond"/>
                <w:bCs/>
              </w:rPr>
            </w:pPr>
            <w:r w:rsidRPr="007114AF">
              <w:rPr>
                <w:rFonts w:ascii="Garamond" w:hAnsi="Garamond"/>
                <w:bCs/>
                <w:iCs/>
              </w:rPr>
              <w:t xml:space="preserve">Në Shqipëri, Instituti i Gjeoshkencave, Energjisë, Ujit dhe Mjedisit (IGJEUM) është identifikuar, si struktura kombëtare e monitorimit dhe paralajmërimit për rreziqet natyrore, përfshirë përmbytjet, zjarret në natyrë dhe tërmetet. Rrjeti hidrometeorologjik kombëtar nën kontrollin e IGJEUM-it është rriturnë standarde gjatë 4 viteve, pjesërisht me mbështetjen e projektit të GIZ-it </w:t>
            </w:r>
            <w:r w:rsidR="000A2A01" w:rsidRPr="007114AF">
              <w:rPr>
                <w:rFonts w:ascii="Garamond" w:hAnsi="Garamond"/>
                <w:bCs/>
                <w:iCs/>
              </w:rPr>
              <w:t>“</w:t>
            </w:r>
            <w:r w:rsidRPr="007114AF">
              <w:rPr>
                <w:rFonts w:ascii="Garamond" w:hAnsi="Garamond"/>
                <w:bCs/>
                <w:iCs/>
              </w:rPr>
              <w:t>Përshtatja ndaj ndryshimeve klimatike në Ballkanin Perëndimor</w:t>
            </w:r>
            <w:r w:rsidR="000A2A01" w:rsidRPr="007114AF">
              <w:rPr>
                <w:rFonts w:ascii="Garamond" w:hAnsi="Garamond"/>
                <w:bCs/>
                <w:iCs/>
              </w:rPr>
              <w:t>”</w:t>
            </w:r>
            <w:r w:rsidRPr="007114AF">
              <w:rPr>
                <w:rFonts w:ascii="Garamond" w:hAnsi="Garamond"/>
                <w:bCs/>
                <w:iCs/>
              </w:rPr>
              <w:t>. Por ende ka nevojë për shumë. Gjithashtu,</w:t>
            </w:r>
            <w:r w:rsidR="000A2A01" w:rsidRPr="007114AF">
              <w:rPr>
                <w:rFonts w:ascii="Garamond" w:hAnsi="Garamond"/>
                <w:bCs/>
                <w:iCs/>
              </w:rPr>
              <w:t xml:space="preserve"> </w:t>
            </w:r>
            <w:r w:rsidRPr="007114AF">
              <w:rPr>
                <w:rFonts w:ascii="Garamond" w:hAnsi="Garamond"/>
                <w:bCs/>
                <w:iCs/>
              </w:rPr>
              <w:t>për</w:t>
            </w:r>
            <w:r w:rsidR="000A2A01" w:rsidRPr="007114AF">
              <w:rPr>
                <w:rFonts w:ascii="Garamond" w:hAnsi="Garamond"/>
                <w:bCs/>
                <w:iCs/>
              </w:rPr>
              <w:t xml:space="preserve"> </w:t>
            </w:r>
            <w:r w:rsidRPr="007114AF">
              <w:rPr>
                <w:rFonts w:ascii="Garamond" w:hAnsi="Garamond"/>
                <w:bCs/>
                <w:iCs/>
              </w:rPr>
              <w:t>një sistem paralajmërimi të hershëm nevojiten modele hidrologjike dhe meteorologjike. Paralajmërimi i hershëm do të përbëjë bazën për ndjekjen e mëpasshme të këtij fenomeni.</w:t>
            </w:r>
          </w:p>
        </w:tc>
      </w:tr>
      <w:tr w:rsidR="009E0D15" w:rsidRPr="007114AF" w14:paraId="6EDD104A" w14:textId="77777777" w:rsidTr="00574660">
        <w:tc>
          <w:tcPr>
            <w:tcW w:w="9212" w:type="dxa"/>
            <w:gridSpan w:val="3"/>
            <w:shd w:val="clear" w:color="auto" w:fill="auto"/>
          </w:tcPr>
          <w:p w14:paraId="6EDD1046" w14:textId="77777777" w:rsidR="009E0D15" w:rsidRPr="007114AF" w:rsidRDefault="009E0D15" w:rsidP="009E0D15">
            <w:pPr>
              <w:spacing w:after="0" w:line="240" w:lineRule="auto"/>
              <w:rPr>
                <w:rFonts w:ascii="Garamond" w:hAnsi="Garamond"/>
                <w:b/>
                <w:bCs/>
                <w:iCs/>
              </w:rPr>
            </w:pPr>
            <w:r w:rsidRPr="007114AF">
              <w:rPr>
                <w:rFonts w:ascii="Garamond" w:hAnsi="Garamond"/>
                <w:b/>
                <w:bCs/>
                <w:iCs/>
              </w:rPr>
              <w:t>Arsyetimi / objektivat / treguesit</w:t>
            </w:r>
          </w:p>
          <w:p w14:paraId="6EDD1047" w14:textId="77777777" w:rsidR="009E0D15" w:rsidRPr="007114AF" w:rsidRDefault="009E0D15" w:rsidP="009E0D15">
            <w:pPr>
              <w:spacing w:after="0" w:line="240" w:lineRule="auto"/>
              <w:rPr>
                <w:rFonts w:ascii="Garamond" w:hAnsi="Garamond"/>
                <w:bCs/>
                <w:iCs/>
              </w:rPr>
            </w:pPr>
            <w:r w:rsidRPr="007114AF">
              <w:rPr>
                <w:rFonts w:ascii="Garamond" w:hAnsi="Garamond"/>
                <w:bCs/>
                <w:iCs/>
              </w:rPr>
              <w:t>Objektivat e këtij veprimi prioritar janë të dyfishta: objektivi i menjëhershëm, për të cilin financimi është siguruar në kuadër të instrumentit IPA 2013, dhe objektivi afatmesëm, i cili mbështetet në strategjinë e IGJEUM-it. Arsyetimi për këtë veprim prioritar është rritja e aftësisë ripërtëritëse nga përmbytjet me sisteme më të mira të paralajmërimit të hershëm dhe mekanizma të parandalimit të fatkeqësive në Shqipëri.</w:t>
            </w:r>
          </w:p>
          <w:p w14:paraId="6EDD1048" w14:textId="77777777" w:rsidR="009E0D15" w:rsidRPr="007114AF" w:rsidRDefault="009E0D15" w:rsidP="009E0D15">
            <w:pPr>
              <w:spacing w:after="0" w:line="240" w:lineRule="auto"/>
              <w:rPr>
                <w:rFonts w:ascii="Garamond" w:hAnsi="Garamond"/>
                <w:bCs/>
                <w:iCs/>
              </w:rPr>
            </w:pPr>
            <w:r w:rsidRPr="007114AF">
              <w:rPr>
                <w:rFonts w:ascii="Garamond" w:hAnsi="Garamond"/>
                <w:bCs/>
                <w:iCs/>
              </w:rPr>
              <w:t>Objektivi konkret është rritja e kapacitetit të Drejtorisë së Përgjithshme të Emergjencave Civile për të parandaluar dhe kundërpërgjigjur fatkeqësive, deri në fund të vitit 2018.</w:t>
            </w:r>
          </w:p>
          <w:p w14:paraId="6EDD1049" w14:textId="0EA10798" w:rsidR="009E0D15" w:rsidRPr="007114AF" w:rsidRDefault="009E0D15" w:rsidP="009E0D15">
            <w:pPr>
              <w:spacing w:after="0" w:line="240" w:lineRule="auto"/>
              <w:rPr>
                <w:rFonts w:ascii="Garamond" w:hAnsi="Garamond"/>
                <w:b/>
                <w:bCs/>
              </w:rPr>
            </w:pPr>
            <w:r w:rsidRPr="007114AF">
              <w:rPr>
                <w:rFonts w:ascii="Garamond" w:hAnsi="Garamond"/>
                <w:bCs/>
                <w:iCs/>
              </w:rPr>
              <w:t>Një objektiv tjetër është rritja e kapaciteteve të IGJEUM-it në mënyrë që Ministria e Brendshme t</w:t>
            </w:r>
            <w:r w:rsidR="00D10DAB" w:rsidRPr="007114AF">
              <w:rPr>
                <w:rFonts w:ascii="Garamond" w:hAnsi="Garamond"/>
                <w:bCs/>
                <w:iCs/>
              </w:rPr>
              <w:t>’</w:t>
            </w:r>
            <w:r w:rsidRPr="007114AF">
              <w:rPr>
                <w:rFonts w:ascii="Garamond" w:hAnsi="Garamond"/>
                <w:bCs/>
                <w:iCs/>
              </w:rPr>
              <w:t>i sigurohet shpërndarje informacioni cilësor dhe të standardizuar në formën e paralajmërimit të hershëm për përmbytjet dhe thatësirën, deri në fund të vitit 2020.</w:t>
            </w:r>
          </w:p>
        </w:tc>
      </w:tr>
      <w:tr w:rsidR="009E0D15" w:rsidRPr="007114AF" w14:paraId="6EDD1054" w14:textId="77777777" w:rsidTr="00574660">
        <w:tc>
          <w:tcPr>
            <w:tcW w:w="9212" w:type="dxa"/>
            <w:gridSpan w:val="3"/>
            <w:shd w:val="clear" w:color="auto" w:fill="auto"/>
          </w:tcPr>
          <w:p w14:paraId="6EDD104B" w14:textId="77777777" w:rsidR="009E0D15" w:rsidRPr="007114AF" w:rsidRDefault="009E0D15" w:rsidP="009E0D15">
            <w:pPr>
              <w:spacing w:after="0" w:line="240" w:lineRule="auto"/>
              <w:rPr>
                <w:rFonts w:ascii="Garamond" w:hAnsi="Garamond"/>
                <w:b/>
                <w:bCs/>
                <w:iCs/>
              </w:rPr>
            </w:pPr>
            <w:r w:rsidRPr="007114AF">
              <w:rPr>
                <w:rFonts w:ascii="Garamond" w:hAnsi="Garamond"/>
                <w:b/>
                <w:bCs/>
                <w:iCs/>
              </w:rPr>
              <w:t>Elementet dhe afatet me rëndësi të veprimit prioritar</w:t>
            </w:r>
          </w:p>
          <w:p w14:paraId="6EDD104C" w14:textId="77777777" w:rsidR="009E0D15" w:rsidRPr="007114AF" w:rsidRDefault="009E0D15" w:rsidP="00037830">
            <w:pPr>
              <w:numPr>
                <w:ilvl w:val="0"/>
                <w:numId w:val="26"/>
              </w:numPr>
              <w:spacing w:after="0" w:line="240" w:lineRule="auto"/>
              <w:ind w:left="0" w:firstLine="0"/>
              <w:rPr>
                <w:rFonts w:ascii="Garamond" w:hAnsi="Garamond"/>
                <w:bCs/>
                <w:iCs/>
              </w:rPr>
            </w:pPr>
            <w:r w:rsidRPr="007114AF">
              <w:rPr>
                <w:rFonts w:ascii="Garamond" w:hAnsi="Garamond"/>
                <w:bCs/>
                <w:iCs/>
              </w:rPr>
              <w:t>Mbështetje për përgatitjen e një harte rajonale të rreziqeve të përmbytjeve sipas Direktivës së BE-së për Përmbytjet.</w:t>
            </w:r>
          </w:p>
          <w:p w14:paraId="6EDD104D" w14:textId="77777777" w:rsidR="009E0D15" w:rsidRPr="007114AF" w:rsidRDefault="009E0D15" w:rsidP="00037830">
            <w:pPr>
              <w:numPr>
                <w:ilvl w:val="0"/>
                <w:numId w:val="26"/>
              </w:numPr>
              <w:spacing w:after="0" w:line="240" w:lineRule="auto"/>
              <w:ind w:left="0" w:firstLine="0"/>
              <w:rPr>
                <w:rFonts w:ascii="Garamond" w:hAnsi="Garamond"/>
                <w:bCs/>
                <w:iCs/>
              </w:rPr>
            </w:pPr>
            <w:r w:rsidRPr="007114AF">
              <w:rPr>
                <w:rFonts w:ascii="Garamond" w:hAnsi="Garamond"/>
                <w:bCs/>
                <w:iCs/>
              </w:rPr>
              <w:t>Përgatitje e një sistemi të paralajmërimit të hershëm për përmbytjet dhe përmirësimi i komunikimit dhe shkëmbimit të të dhënave me Sistemin Evropian të Ndërgjegjësimit për Përmbytjet (EFAS), deri në fund të vitit 2019.</w:t>
            </w:r>
          </w:p>
          <w:p w14:paraId="6EDD104E" w14:textId="77777777" w:rsidR="009E0D15" w:rsidRPr="007114AF" w:rsidRDefault="009E0D15" w:rsidP="00037830">
            <w:pPr>
              <w:numPr>
                <w:ilvl w:val="0"/>
                <w:numId w:val="26"/>
              </w:numPr>
              <w:spacing w:after="0" w:line="240" w:lineRule="auto"/>
              <w:ind w:left="0" w:firstLine="0"/>
              <w:rPr>
                <w:rFonts w:ascii="Garamond" w:hAnsi="Garamond"/>
                <w:bCs/>
                <w:iCs/>
              </w:rPr>
            </w:pPr>
            <w:r w:rsidRPr="007114AF">
              <w:rPr>
                <w:rFonts w:ascii="Garamond" w:hAnsi="Garamond"/>
                <w:bCs/>
                <w:iCs/>
              </w:rPr>
              <w:t>Analizë kosto-përfitim, vendosje prioritetesh dhe financim i masave në fuqizimin e sistemeve të sinjalizimit të hershëm përmbytjeve, deri në fund të vitit 2019.</w:t>
            </w:r>
          </w:p>
          <w:p w14:paraId="6EDD104F" w14:textId="77777777" w:rsidR="009E0D15" w:rsidRPr="007114AF" w:rsidRDefault="009E0D15" w:rsidP="00037830">
            <w:pPr>
              <w:numPr>
                <w:ilvl w:val="0"/>
                <w:numId w:val="26"/>
              </w:numPr>
              <w:spacing w:after="0" w:line="240" w:lineRule="auto"/>
              <w:ind w:left="0" w:firstLine="0"/>
              <w:rPr>
                <w:rFonts w:ascii="Garamond" w:hAnsi="Garamond"/>
                <w:bCs/>
                <w:iCs/>
              </w:rPr>
            </w:pPr>
            <w:r w:rsidRPr="007114AF">
              <w:rPr>
                <w:rFonts w:ascii="Garamond" w:hAnsi="Garamond"/>
                <w:bCs/>
                <w:iCs/>
              </w:rPr>
              <w:t>Ndërgjegjësim /dukshmëri / komunikim: të përmirësohet ndërgjegjësimi publik për përmbytjet nëpërmjet informimit për rrezikun, sistemeve të sinjalizimit të hershëm dhe planit që duhen ndjekur në rast situate të jashtëzakonshme, deri në fund të vitit 2019.</w:t>
            </w:r>
          </w:p>
          <w:p w14:paraId="6EDD1050" w14:textId="77777777" w:rsidR="009E0D15" w:rsidRPr="007114AF" w:rsidRDefault="009E0D15" w:rsidP="00037830">
            <w:pPr>
              <w:numPr>
                <w:ilvl w:val="0"/>
                <w:numId w:val="26"/>
              </w:numPr>
              <w:spacing w:after="0" w:line="240" w:lineRule="auto"/>
              <w:ind w:left="0" w:firstLine="0"/>
              <w:rPr>
                <w:rFonts w:ascii="Garamond" w:hAnsi="Garamond"/>
                <w:bCs/>
                <w:iCs/>
              </w:rPr>
            </w:pPr>
            <w:r w:rsidRPr="007114AF">
              <w:rPr>
                <w:rFonts w:ascii="Garamond" w:hAnsi="Garamond"/>
                <w:bCs/>
                <w:iCs/>
              </w:rPr>
              <w:t>Të mbështetet Shqipëria në përgatitjen për anëtarësim në Mekanizmin e Bashkimit Evropian për Mbrojtjen Civile (EUCPM), deri në fund të vitit 2019.</w:t>
            </w:r>
          </w:p>
          <w:p w14:paraId="6EDD1051" w14:textId="6C26E33B" w:rsidR="009E0D15" w:rsidRPr="007114AF" w:rsidRDefault="009E0D15" w:rsidP="00037830">
            <w:pPr>
              <w:numPr>
                <w:ilvl w:val="0"/>
                <w:numId w:val="26"/>
              </w:numPr>
              <w:spacing w:after="0" w:line="240" w:lineRule="auto"/>
              <w:ind w:left="0" w:firstLine="0"/>
              <w:rPr>
                <w:rFonts w:ascii="Garamond" w:hAnsi="Garamond"/>
                <w:bCs/>
                <w:iCs/>
              </w:rPr>
            </w:pPr>
            <w:r w:rsidRPr="007114AF">
              <w:rPr>
                <w:rFonts w:ascii="Garamond" w:hAnsi="Garamond"/>
                <w:bCs/>
                <w:iCs/>
              </w:rPr>
              <w:t>P</w:t>
            </w:r>
            <w:r w:rsidR="00802AFF">
              <w:rPr>
                <w:rFonts w:ascii="Garamond" w:hAnsi="Garamond"/>
                <w:bCs/>
                <w:iCs/>
              </w:rPr>
              <w:t>ë</w:t>
            </w:r>
            <w:r w:rsidRPr="007114AF">
              <w:rPr>
                <w:rFonts w:ascii="Garamond" w:hAnsi="Garamond"/>
                <w:bCs/>
                <w:iCs/>
              </w:rPr>
              <w:t>rforcim i kapaciteteve të IGJEUM-it lidhur me ofrimin cilësor dhe të qëndrueshëm të shërbimeve, deri në fund të vitit 2020.</w:t>
            </w:r>
          </w:p>
          <w:p w14:paraId="6EDD1052" w14:textId="77777777" w:rsidR="009E0D15" w:rsidRPr="007114AF" w:rsidRDefault="009E0D15" w:rsidP="00037830">
            <w:pPr>
              <w:numPr>
                <w:ilvl w:val="0"/>
                <w:numId w:val="26"/>
              </w:numPr>
              <w:spacing w:after="0" w:line="240" w:lineRule="auto"/>
              <w:ind w:left="0" w:firstLine="0"/>
              <w:rPr>
                <w:rFonts w:ascii="Garamond" w:hAnsi="Garamond"/>
                <w:b/>
                <w:bCs/>
              </w:rPr>
            </w:pPr>
            <w:r w:rsidRPr="007114AF">
              <w:rPr>
                <w:rFonts w:ascii="Garamond" w:hAnsi="Garamond"/>
                <w:bCs/>
                <w:iCs/>
              </w:rPr>
              <w:t>Përforcimi i GJEUM-it lidhur me burimet njerëzore dhe zhvillimin e kapaciteteve</w:t>
            </w:r>
          </w:p>
          <w:p w14:paraId="6EDD1053" w14:textId="77777777" w:rsidR="009E0D15" w:rsidRPr="007114AF" w:rsidRDefault="009E0D15" w:rsidP="00037830">
            <w:pPr>
              <w:numPr>
                <w:ilvl w:val="0"/>
                <w:numId w:val="26"/>
              </w:numPr>
              <w:spacing w:after="0" w:line="240" w:lineRule="auto"/>
              <w:ind w:left="0" w:firstLine="0"/>
              <w:rPr>
                <w:rFonts w:ascii="Garamond" w:hAnsi="Garamond"/>
                <w:b/>
                <w:bCs/>
              </w:rPr>
            </w:pPr>
            <w:r w:rsidRPr="007114AF">
              <w:rPr>
                <w:rFonts w:ascii="Garamond" w:hAnsi="Garamond"/>
                <w:bCs/>
                <w:iCs/>
              </w:rPr>
              <w:t>Rritja e rolit të Taks Forcës për përshtatjen e ndryshimeve klimatike në nivel qarku, nën</w:t>
            </w:r>
            <w:r w:rsidRPr="007114AF">
              <w:rPr>
                <w:rFonts w:ascii="Garamond" w:hAnsi="Garamond"/>
                <w:bCs/>
                <w:iCs/>
              </w:rPr>
              <w:br/>
              <w:t>drejtimin e Prefektit të Qarkut.</w:t>
            </w:r>
          </w:p>
        </w:tc>
      </w:tr>
      <w:tr w:rsidR="009E0D15" w:rsidRPr="007114AF" w14:paraId="6EDD105E" w14:textId="77777777" w:rsidTr="00574660">
        <w:tc>
          <w:tcPr>
            <w:tcW w:w="3227" w:type="dxa"/>
            <w:shd w:val="clear" w:color="auto" w:fill="auto"/>
          </w:tcPr>
          <w:p w14:paraId="6EDD1055" w14:textId="77777777" w:rsidR="009E0D15" w:rsidRPr="007114AF" w:rsidRDefault="009E0D15" w:rsidP="009E0D15">
            <w:pPr>
              <w:spacing w:after="0" w:line="240" w:lineRule="auto"/>
              <w:rPr>
                <w:rFonts w:ascii="Garamond" w:hAnsi="Garamond"/>
                <w:b/>
                <w:bCs/>
                <w:iCs/>
              </w:rPr>
            </w:pPr>
            <w:r w:rsidRPr="007114AF">
              <w:rPr>
                <w:rFonts w:ascii="Garamond" w:hAnsi="Garamond"/>
                <w:b/>
                <w:bCs/>
                <w:iCs/>
              </w:rPr>
              <w:t>Aktorët kryesorë të përfshirë</w:t>
            </w:r>
          </w:p>
          <w:p w14:paraId="6EDD1056" w14:textId="77777777" w:rsidR="009E0D15" w:rsidRPr="007114AF" w:rsidRDefault="009E0D15" w:rsidP="009E0D15">
            <w:pPr>
              <w:spacing w:after="0" w:line="240" w:lineRule="auto"/>
              <w:rPr>
                <w:rFonts w:ascii="Garamond" w:hAnsi="Garamond"/>
                <w:bCs/>
                <w:iCs/>
              </w:rPr>
            </w:pPr>
            <w:r w:rsidRPr="007114AF">
              <w:rPr>
                <w:rFonts w:ascii="Garamond" w:hAnsi="Garamond"/>
                <w:bCs/>
                <w:iCs/>
              </w:rPr>
              <w:t>Ministria e Brendshme</w:t>
            </w:r>
          </w:p>
          <w:p w14:paraId="6EDD1057" w14:textId="77777777" w:rsidR="009E0D15" w:rsidRPr="007114AF" w:rsidRDefault="009E0D15" w:rsidP="009E0D15">
            <w:pPr>
              <w:spacing w:after="0" w:line="240" w:lineRule="auto"/>
              <w:rPr>
                <w:rFonts w:ascii="Garamond" w:hAnsi="Garamond"/>
                <w:b/>
                <w:bCs/>
              </w:rPr>
            </w:pPr>
            <w:r w:rsidRPr="007114AF">
              <w:rPr>
                <w:rFonts w:ascii="Garamond" w:hAnsi="Garamond"/>
                <w:bCs/>
                <w:iCs/>
              </w:rPr>
              <w:t>IGJEUM-i</w:t>
            </w:r>
          </w:p>
        </w:tc>
        <w:tc>
          <w:tcPr>
            <w:tcW w:w="5985" w:type="dxa"/>
            <w:gridSpan w:val="2"/>
            <w:shd w:val="clear" w:color="auto" w:fill="auto"/>
          </w:tcPr>
          <w:p w14:paraId="6EDD1058" w14:textId="77777777" w:rsidR="009E0D15" w:rsidRPr="007114AF" w:rsidRDefault="009E0D15" w:rsidP="009E0D15">
            <w:pPr>
              <w:spacing w:after="0" w:line="240" w:lineRule="auto"/>
              <w:rPr>
                <w:rFonts w:ascii="Garamond" w:hAnsi="Garamond"/>
                <w:b/>
                <w:bCs/>
                <w:iCs/>
              </w:rPr>
            </w:pPr>
            <w:r w:rsidRPr="007114AF">
              <w:rPr>
                <w:rFonts w:ascii="Garamond" w:hAnsi="Garamond"/>
                <w:b/>
                <w:bCs/>
                <w:iCs/>
              </w:rPr>
              <w:t>Burimet</w:t>
            </w:r>
          </w:p>
          <w:p w14:paraId="6EDD1059" w14:textId="77777777" w:rsidR="009E0D15" w:rsidRPr="007114AF" w:rsidRDefault="009E0D15" w:rsidP="009E0D15">
            <w:pPr>
              <w:spacing w:after="0" w:line="240" w:lineRule="auto"/>
              <w:rPr>
                <w:rFonts w:ascii="Garamond" w:hAnsi="Garamond"/>
                <w:bCs/>
                <w:iCs/>
              </w:rPr>
            </w:pPr>
            <w:r w:rsidRPr="007114AF">
              <w:rPr>
                <w:rFonts w:ascii="Garamond" w:hAnsi="Garamond"/>
                <w:bCs/>
                <w:iCs/>
              </w:rPr>
              <w:t>Disa prej aktiviteteve të renditura më lart do të financohen nga DBE-ja nëpërmjet instrumentit IPA 2013.</w:t>
            </w:r>
          </w:p>
          <w:p w14:paraId="6EDD105A" w14:textId="2021ABB1" w:rsidR="009E0D15" w:rsidRPr="007114AF" w:rsidRDefault="009E0D15" w:rsidP="00362F59">
            <w:pPr>
              <w:numPr>
                <w:ilvl w:val="0"/>
                <w:numId w:val="25"/>
              </w:numPr>
              <w:tabs>
                <w:tab w:val="left" w:pos="373"/>
              </w:tabs>
              <w:spacing w:after="0" w:line="240" w:lineRule="auto"/>
              <w:ind w:left="0" w:firstLine="0"/>
              <w:rPr>
                <w:rFonts w:ascii="Garamond" w:hAnsi="Garamond"/>
                <w:bCs/>
                <w:iCs/>
              </w:rPr>
            </w:pPr>
            <w:r w:rsidRPr="007114AF">
              <w:rPr>
                <w:rFonts w:ascii="Garamond" w:hAnsi="Garamond"/>
                <w:bCs/>
                <w:iCs/>
              </w:rPr>
              <w:t>337.5 milion</w:t>
            </w:r>
            <w:r w:rsidR="001C47F0" w:rsidRPr="007114AF">
              <w:rPr>
                <w:rFonts w:ascii="Garamond" w:hAnsi="Garamond"/>
                <w:bCs/>
                <w:iCs/>
              </w:rPr>
              <w:t>ë</w:t>
            </w:r>
            <w:r w:rsidRPr="007114AF">
              <w:rPr>
                <w:rFonts w:ascii="Garamond" w:hAnsi="Garamond"/>
                <w:bCs/>
                <w:iCs/>
              </w:rPr>
              <w:t xml:space="preserve"> lekë për 2 vjet (që mbulon aktivitetet 1-5)</w:t>
            </w:r>
          </w:p>
          <w:p w14:paraId="6EDD105B" w14:textId="688DE75E" w:rsidR="009E0D15" w:rsidRPr="007114AF" w:rsidRDefault="009E0D15" w:rsidP="00037830">
            <w:pPr>
              <w:numPr>
                <w:ilvl w:val="0"/>
                <w:numId w:val="19"/>
              </w:numPr>
              <w:spacing w:after="0" w:line="240" w:lineRule="auto"/>
              <w:ind w:left="0" w:firstLine="0"/>
              <w:rPr>
                <w:rFonts w:ascii="Garamond" w:hAnsi="Garamond"/>
                <w:bCs/>
                <w:iCs/>
              </w:rPr>
            </w:pPr>
            <w:r w:rsidRPr="007114AF">
              <w:rPr>
                <w:rFonts w:ascii="Garamond" w:hAnsi="Garamond"/>
                <w:bCs/>
                <w:iCs/>
              </w:rPr>
              <w:t>594 milion</w:t>
            </w:r>
            <w:r w:rsidR="001C47F0" w:rsidRPr="007114AF">
              <w:rPr>
                <w:rFonts w:ascii="Garamond" w:hAnsi="Garamond"/>
                <w:bCs/>
                <w:iCs/>
              </w:rPr>
              <w:t>ë</w:t>
            </w:r>
            <w:r w:rsidRPr="007114AF">
              <w:rPr>
                <w:rFonts w:ascii="Garamond" w:hAnsi="Garamond"/>
                <w:bCs/>
                <w:iCs/>
              </w:rPr>
              <w:t xml:space="preserve"> lekë (që mbulon aktivitetin 6. Fisha e projektit do të përgatitet nga Kuadri i Investimeve në Ballkanin Perëndimor)</w:t>
            </w:r>
          </w:p>
          <w:p w14:paraId="6EDD105C" w14:textId="04C679A8" w:rsidR="009E0D15" w:rsidRPr="007114AF" w:rsidRDefault="009E0D15" w:rsidP="00037830">
            <w:pPr>
              <w:numPr>
                <w:ilvl w:val="0"/>
                <w:numId w:val="19"/>
              </w:numPr>
              <w:spacing w:after="0" w:line="240" w:lineRule="auto"/>
              <w:ind w:left="0" w:firstLine="0"/>
              <w:rPr>
                <w:rFonts w:ascii="Garamond" w:hAnsi="Garamond"/>
                <w:b/>
                <w:bCs/>
              </w:rPr>
            </w:pPr>
            <w:r w:rsidRPr="007114AF">
              <w:rPr>
                <w:rFonts w:ascii="Garamond" w:hAnsi="Garamond"/>
                <w:bCs/>
                <w:iCs/>
              </w:rPr>
              <w:t>270 milion</w:t>
            </w:r>
            <w:r w:rsidR="001C47F0" w:rsidRPr="007114AF">
              <w:rPr>
                <w:rFonts w:ascii="Garamond" w:hAnsi="Garamond"/>
                <w:bCs/>
                <w:iCs/>
              </w:rPr>
              <w:t>ë</w:t>
            </w:r>
            <w:r w:rsidRPr="007114AF">
              <w:rPr>
                <w:rFonts w:ascii="Garamond" w:hAnsi="Garamond"/>
                <w:bCs/>
                <w:iCs/>
              </w:rPr>
              <w:t xml:space="preserve"> lekë për një periudhë 5-vjeçare (kjo shifër mbështetet në strategjinë e zhvillimit të IGJEUM-it)</w:t>
            </w:r>
          </w:p>
          <w:p w14:paraId="6EDD105D" w14:textId="1B62B313" w:rsidR="009E0D15" w:rsidRPr="007114AF" w:rsidRDefault="009E0D15" w:rsidP="00037830">
            <w:pPr>
              <w:numPr>
                <w:ilvl w:val="0"/>
                <w:numId w:val="19"/>
              </w:numPr>
              <w:spacing w:after="0" w:line="240" w:lineRule="auto"/>
              <w:ind w:left="0" w:firstLine="0"/>
              <w:rPr>
                <w:rFonts w:ascii="Garamond" w:hAnsi="Garamond"/>
                <w:b/>
                <w:bCs/>
              </w:rPr>
            </w:pPr>
            <w:r w:rsidRPr="007114AF">
              <w:rPr>
                <w:rFonts w:ascii="Garamond" w:hAnsi="Garamond"/>
                <w:bCs/>
                <w:iCs/>
              </w:rPr>
              <w:t>Mundësitë për financim: Asistencë zyrtare dypalëshe për zhvillim,</w:t>
            </w:r>
            <w:r w:rsidR="000A2A01" w:rsidRPr="007114AF">
              <w:rPr>
                <w:rFonts w:ascii="Garamond" w:hAnsi="Garamond"/>
                <w:bCs/>
                <w:iCs/>
              </w:rPr>
              <w:t xml:space="preserve"> </w:t>
            </w:r>
            <w:r w:rsidRPr="007114AF">
              <w:rPr>
                <w:rFonts w:ascii="Garamond" w:hAnsi="Garamond"/>
                <w:bCs/>
                <w:iCs/>
              </w:rPr>
              <w:t>BB-ja, GCF-ja.</w:t>
            </w:r>
          </w:p>
        </w:tc>
      </w:tr>
    </w:tbl>
    <w:p w14:paraId="6EDD105F" w14:textId="77777777" w:rsidR="006213BC" w:rsidRPr="007114AF" w:rsidRDefault="006213BC" w:rsidP="009E0D15">
      <w:pPr>
        <w:pStyle w:val="FIGURA"/>
      </w:pPr>
    </w:p>
    <w:p w14:paraId="6EDD1060" w14:textId="6A61B9E8" w:rsidR="00A043D6" w:rsidRPr="007114AF" w:rsidRDefault="00A043D6" w:rsidP="00A043D6">
      <w:pPr>
        <w:pStyle w:val="FIGURA"/>
        <w:rPr>
          <w:lang w:eastAsia="en-US"/>
        </w:rPr>
      </w:pPr>
      <w:bookmarkStart w:id="240" w:name="_Toc484424548"/>
      <w:bookmarkStart w:id="241" w:name="_Toc479083903"/>
      <w:bookmarkStart w:id="242" w:name="_Toc483570150"/>
      <w:r w:rsidRPr="007114AF">
        <w:rPr>
          <w:lang w:eastAsia="en-US"/>
        </w:rPr>
        <w:t>6.2.15 Veprimi Prioritar</w:t>
      </w:r>
      <w:r w:rsidR="00242009" w:rsidRPr="007114AF">
        <w:rPr>
          <w:lang w:eastAsia="en-US"/>
        </w:rPr>
        <w:t xml:space="preserve"> nr. </w:t>
      </w:r>
      <w:r w:rsidRPr="007114AF">
        <w:rPr>
          <w:lang w:eastAsia="en-US"/>
        </w:rPr>
        <w:t>15</w:t>
      </w:r>
      <w:bookmarkEnd w:id="240"/>
      <w:bookmarkEnd w:id="241"/>
      <w:bookmarkEnd w:id="24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6"/>
        <w:gridCol w:w="4576"/>
      </w:tblGrid>
      <w:tr w:rsidR="00A043D6" w:rsidRPr="007114AF" w14:paraId="6EDD1065" w14:textId="77777777" w:rsidTr="00574660">
        <w:trPr>
          <w:trHeight w:val="140"/>
        </w:trPr>
        <w:tc>
          <w:tcPr>
            <w:tcW w:w="4576" w:type="dxa"/>
            <w:shd w:val="clear" w:color="auto" w:fill="B6DDE8" w:themeFill="accent5" w:themeFillTint="66"/>
          </w:tcPr>
          <w:p w14:paraId="6EDD1061" w14:textId="4622F8BF" w:rsidR="00A043D6" w:rsidRPr="007114AF" w:rsidRDefault="00A043D6" w:rsidP="00A043D6">
            <w:pPr>
              <w:pBdr>
                <w:bar w:val="single" w:sz="4" w:color="FF8080"/>
              </w:pBdr>
              <w:tabs>
                <w:tab w:val="left" w:pos="90"/>
              </w:tabs>
              <w:spacing w:after="0" w:line="240" w:lineRule="auto"/>
              <w:rPr>
                <w:rFonts w:ascii="Garamond" w:hAnsi="Garamond"/>
                <w:b/>
                <w:bCs/>
              </w:rPr>
            </w:pPr>
            <w:r w:rsidRPr="007114AF">
              <w:rPr>
                <w:rFonts w:ascii="Garamond" w:hAnsi="Garamond"/>
                <w:b/>
                <w:bCs/>
              </w:rPr>
              <w:t>Titulli i veprimit prioritar</w:t>
            </w:r>
            <w:r w:rsidR="00242009" w:rsidRPr="007114AF">
              <w:rPr>
                <w:rFonts w:ascii="Garamond" w:hAnsi="Garamond"/>
                <w:b/>
                <w:bCs/>
              </w:rPr>
              <w:t xml:space="preserve"> nr. </w:t>
            </w:r>
            <w:r w:rsidRPr="007114AF">
              <w:rPr>
                <w:rFonts w:ascii="Garamond" w:hAnsi="Garamond"/>
                <w:b/>
                <w:bCs/>
              </w:rPr>
              <w:t>15</w:t>
            </w:r>
          </w:p>
          <w:p w14:paraId="6EDD1062" w14:textId="08B996A8" w:rsidR="00A043D6" w:rsidRPr="007114AF" w:rsidRDefault="000A2A01" w:rsidP="00A043D6">
            <w:pPr>
              <w:tabs>
                <w:tab w:val="left" w:pos="0"/>
              </w:tabs>
              <w:spacing w:after="0" w:line="240" w:lineRule="auto"/>
              <w:rPr>
                <w:rFonts w:ascii="Garamond" w:hAnsi="Garamond"/>
                <w:b/>
                <w:bCs/>
              </w:rPr>
            </w:pPr>
            <w:r w:rsidRPr="007114AF">
              <w:rPr>
                <w:rFonts w:ascii="Garamond" w:hAnsi="Garamond"/>
                <w:b/>
                <w:bCs/>
              </w:rPr>
              <w:t>“</w:t>
            </w:r>
            <w:r w:rsidR="00A043D6" w:rsidRPr="007114AF">
              <w:rPr>
                <w:rFonts w:ascii="Garamond" w:hAnsi="Garamond"/>
                <w:b/>
                <w:bCs/>
              </w:rPr>
              <w:t xml:space="preserve">Ndërtimi për </w:t>
            </w:r>
            <w:r w:rsidR="00164D0C" w:rsidRPr="007114AF">
              <w:rPr>
                <w:rFonts w:ascii="Garamond" w:hAnsi="Garamond"/>
                <w:b/>
                <w:bCs/>
              </w:rPr>
              <w:t xml:space="preserve">rikuperimin e lagunës </w:t>
            </w:r>
            <w:r w:rsidR="00FE05E1">
              <w:rPr>
                <w:rFonts w:ascii="Garamond" w:hAnsi="Garamond"/>
                <w:b/>
                <w:bCs/>
              </w:rPr>
              <w:t>Kune–Vain</w:t>
            </w:r>
            <w:r w:rsidR="00A043D6" w:rsidRPr="007114AF">
              <w:rPr>
                <w:rFonts w:ascii="Garamond" w:hAnsi="Garamond"/>
                <w:b/>
                <w:bCs/>
              </w:rPr>
              <w:t xml:space="preserve">i nëpërmjet </w:t>
            </w:r>
            <w:r w:rsidR="00164D0C" w:rsidRPr="007114AF">
              <w:rPr>
                <w:rFonts w:ascii="Garamond" w:hAnsi="Garamond"/>
                <w:b/>
                <w:bCs/>
              </w:rPr>
              <w:t>adaptimit me bazë ekosistemin</w:t>
            </w:r>
            <w:r w:rsidR="00A043D6" w:rsidRPr="007114AF">
              <w:rPr>
                <w:rFonts w:ascii="Garamond" w:hAnsi="Garamond"/>
                <w:b/>
                <w:bCs/>
              </w:rPr>
              <w:t xml:space="preserve"> (EbA)</w:t>
            </w:r>
            <w:r w:rsidRPr="007114AF">
              <w:rPr>
                <w:rFonts w:ascii="Garamond" w:hAnsi="Garamond"/>
                <w:b/>
                <w:bCs/>
              </w:rPr>
              <w:t>”</w:t>
            </w:r>
          </w:p>
        </w:tc>
        <w:tc>
          <w:tcPr>
            <w:tcW w:w="4576" w:type="dxa"/>
            <w:shd w:val="clear" w:color="auto" w:fill="B6DDE8" w:themeFill="accent5" w:themeFillTint="66"/>
          </w:tcPr>
          <w:p w14:paraId="6EDD1063" w14:textId="77777777" w:rsidR="00A043D6" w:rsidRPr="007114AF" w:rsidRDefault="00A043D6" w:rsidP="00A043D6">
            <w:pPr>
              <w:spacing w:after="0" w:line="240" w:lineRule="auto"/>
              <w:rPr>
                <w:rFonts w:ascii="Garamond" w:hAnsi="Garamond"/>
                <w:b/>
                <w:bCs/>
                <w:iCs/>
              </w:rPr>
            </w:pPr>
            <w:r w:rsidRPr="007114AF">
              <w:rPr>
                <w:rFonts w:ascii="Garamond" w:hAnsi="Garamond"/>
                <w:b/>
                <w:bCs/>
                <w:iCs/>
              </w:rPr>
              <w:t>Agjencia / Ministria kryesuese përgjegjëse</w:t>
            </w:r>
          </w:p>
          <w:p w14:paraId="6EDD1064" w14:textId="77777777" w:rsidR="00A043D6" w:rsidRPr="007114AF" w:rsidRDefault="00A043D6" w:rsidP="00A043D6">
            <w:pPr>
              <w:spacing w:after="0" w:line="240" w:lineRule="auto"/>
              <w:rPr>
                <w:rFonts w:ascii="Garamond" w:hAnsi="Garamond"/>
                <w:b/>
                <w:bCs/>
              </w:rPr>
            </w:pPr>
            <w:r w:rsidRPr="007114AF">
              <w:rPr>
                <w:rFonts w:ascii="Garamond" w:hAnsi="Garamond"/>
                <w:b/>
                <w:bCs/>
              </w:rPr>
              <w:t xml:space="preserve">GEF-i, UNEP-i / Ministria e Turizmit dhe Mjedisit </w:t>
            </w:r>
          </w:p>
        </w:tc>
      </w:tr>
      <w:tr w:rsidR="00A043D6" w:rsidRPr="007114AF" w14:paraId="6EDD106C" w14:textId="77777777" w:rsidTr="00574660">
        <w:trPr>
          <w:trHeight w:val="140"/>
        </w:trPr>
        <w:tc>
          <w:tcPr>
            <w:tcW w:w="9152" w:type="dxa"/>
            <w:gridSpan w:val="2"/>
            <w:shd w:val="clear" w:color="auto" w:fill="auto"/>
          </w:tcPr>
          <w:p w14:paraId="6EDD1066" w14:textId="77777777" w:rsidR="00A043D6" w:rsidRPr="007114AF" w:rsidRDefault="00A043D6" w:rsidP="00A043D6">
            <w:pPr>
              <w:spacing w:after="0" w:line="240" w:lineRule="auto"/>
              <w:rPr>
                <w:rFonts w:ascii="Garamond" w:hAnsi="Garamond"/>
                <w:b/>
                <w:bCs/>
                <w:iCs/>
              </w:rPr>
            </w:pPr>
            <w:r w:rsidRPr="007114AF">
              <w:rPr>
                <w:rFonts w:ascii="Garamond" w:hAnsi="Garamond"/>
                <w:b/>
                <w:bCs/>
                <w:iCs/>
              </w:rPr>
              <w:t>Situata ekzistuese mbi të cilën mbështetet veprimi prioritar</w:t>
            </w:r>
          </w:p>
          <w:p w14:paraId="6EDD1067" w14:textId="0D84E471" w:rsidR="00A043D6" w:rsidRPr="007114AF" w:rsidRDefault="00A043D6" w:rsidP="00A043D6">
            <w:pPr>
              <w:spacing w:after="0" w:line="240" w:lineRule="auto"/>
              <w:rPr>
                <w:rFonts w:ascii="Garamond" w:hAnsi="Garamond"/>
                <w:bCs/>
              </w:rPr>
            </w:pPr>
            <w:r w:rsidRPr="007114AF">
              <w:rPr>
                <w:rFonts w:ascii="Garamond" w:hAnsi="Garamond"/>
                <w:bCs/>
              </w:rPr>
              <w:t>Sistemi lagunor Kune</w:t>
            </w:r>
            <w:r w:rsidR="002A539C">
              <w:rPr>
                <w:rFonts w:ascii="Garamond" w:hAnsi="Garamond"/>
                <w:bCs/>
              </w:rPr>
              <w:t>–</w:t>
            </w:r>
            <w:r w:rsidRPr="007114AF">
              <w:rPr>
                <w:rFonts w:ascii="Garamond" w:hAnsi="Garamond"/>
                <w:bCs/>
              </w:rPr>
              <w:t>Vaini (KVLS), i vendosur në deltën e lumit Drin</w:t>
            </w:r>
            <w:r w:rsidR="002A539C">
              <w:rPr>
                <w:rFonts w:ascii="Garamond" w:hAnsi="Garamond"/>
                <w:bCs/>
              </w:rPr>
              <w:t>–</w:t>
            </w:r>
            <w:r w:rsidRPr="007114AF">
              <w:rPr>
                <w:rFonts w:ascii="Garamond" w:hAnsi="Garamond"/>
                <w:bCs/>
              </w:rPr>
              <w:t>Mat në qarkun e Lezhës, ofron një gamë të gjerë të të mirave</w:t>
            </w:r>
            <w:r w:rsidR="000A2A01" w:rsidRPr="007114AF">
              <w:rPr>
                <w:rFonts w:ascii="Garamond" w:hAnsi="Garamond"/>
                <w:bCs/>
              </w:rPr>
              <w:t xml:space="preserve"> </w:t>
            </w:r>
            <w:r w:rsidRPr="007114AF">
              <w:rPr>
                <w:rFonts w:ascii="Garamond" w:hAnsi="Garamond"/>
                <w:bCs/>
              </w:rPr>
              <w:t xml:space="preserve">dhe shërbimeve për komunitetet që jetojnë në afërsi të tillë. Këto komunitete lokale nxjerrin shumicën e të ardhurave të tyre nga peshkimi apo bujqësia, dhe për këtë arsye jetesa e tyre varet nga funksionaliteti </w:t>
            </w:r>
            <w:r w:rsidR="002A539C">
              <w:rPr>
                <w:rFonts w:ascii="Garamond" w:hAnsi="Garamond"/>
                <w:bCs/>
              </w:rPr>
              <w:t>i</w:t>
            </w:r>
            <w:r w:rsidRPr="007114AF">
              <w:rPr>
                <w:rFonts w:ascii="Garamond" w:hAnsi="Garamond"/>
                <w:bCs/>
              </w:rPr>
              <w:t xml:space="preserve"> ekosistemeve lagunore. </w:t>
            </w:r>
          </w:p>
          <w:p w14:paraId="6EDD1068" w14:textId="324EF38F" w:rsidR="00A043D6" w:rsidRPr="007114AF" w:rsidRDefault="00A043D6" w:rsidP="00A043D6">
            <w:pPr>
              <w:spacing w:after="0" w:line="240" w:lineRule="auto"/>
              <w:rPr>
                <w:rFonts w:ascii="Garamond" w:hAnsi="Garamond"/>
                <w:bCs/>
              </w:rPr>
            </w:pPr>
            <w:r w:rsidRPr="007114AF">
              <w:rPr>
                <w:rFonts w:ascii="Garamond" w:hAnsi="Garamond"/>
                <w:bCs/>
              </w:rPr>
              <w:t xml:space="preserve">Rritja e shpejtë e numrit të popullsisë dhe varfëria e përhapur në këtë zone, kanë çuar në një rritje të presionit mbi lagunë, për sa </w:t>
            </w:r>
            <w:r w:rsidR="002A539C">
              <w:rPr>
                <w:rFonts w:ascii="Garamond" w:hAnsi="Garamond"/>
                <w:bCs/>
              </w:rPr>
              <w:t>u</w:t>
            </w:r>
            <w:r w:rsidRPr="007114AF">
              <w:rPr>
                <w:rFonts w:ascii="Garamond" w:hAnsi="Garamond"/>
                <w:bCs/>
              </w:rPr>
              <w:t xml:space="preserve"> përket të mirave të shërbimeve të ekosistemit, si dhe për ndryshimet e paplanifikuara në zonën e buferike përreth lagunës. Kjo situatë çon</w:t>
            </w:r>
            <w:r w:rsidR="00FE05E1">
              <w:rPr>
                <w:rFonts w:ascii="Garamond" w:hAnsi="Garamond"/>
                <w:bCs/>
              </w:rPr>
              <w:t xml:space="preserve"> në mbi</w:t>
            </w:r>
            <w:r w:rsidRPr="007114AF">
              <w:rPr>
                <w:rFonts w:ascii="Garamond" w:hAnsi="Garamond"/>
                <w:bCs/>
              </w:rPr>
              <w:t xml:space="preserve">shfrytëzimin e këtyre burimeve natyrore. Përdorimi i paqëndrueshëm i burimeve brenda sistemit lagunor të </w:t>
            </w:r>
            <w:r w:rsidR="00FE05E1">
              <w:rPr>
                <w:rFonts w:ascii="Garamond" w:hAnsi="Garamond"/>
                <w:bCs/>
              </w:rPr>
              <w:t>Kune–Vain</w:t>
            </w:r>
            <w:r w:rsidRPr="007114AF">
              <w:rPr>
                <w:rFonts w:ascii="Garamond" w:hAnsi="Garamond"/>
                <w:bCs/>
              </w:rPr>
              <w:t>it, po shkakton gjithashtu: i) një reduktim në cilësinë dhe sasinë e ujit në lagunë, duke ndikuar në produktivitetin lagunor; ii) një rritje të përmbytjeve bregdetare; iii) një rritje të erozionit të dunave të rërës.</w:t>
            </w:r>
          </w:p>
          <w:p w14:paraId="6EDD1069" w14:textId="4882B68A" w:rsidR="00A043D6" w:rsidRPr="007114AF" w:rsidRDefault="00A043D6" w:rsidP="00A043D6">
            <w:pPr>
              <w:spacing w:after="0" w:line="240" w:lineRule="auto"/>
              <w:rPr>
                <w:rFonts w:ascii="Garamond" w:hAnsi="Garamond"/>
                <w:bCs/>
              </w:rPr>
            </w:pPr>
            <w:r w:rsidRPr="007114AF">
              <w:rPr>
                <w:rFonts w:ascii="Garamond" w:hAnsi="Garamond"/>
                <w:bCs/>
              </w:rPr>
              <w:t>Efektet e ndryshimeve klimatike do të ndihen edhe në sistemin lagunor të Kune</w:t>
            </w:r>
            <w:r w:rsidR="00FE05E1">
              <w:rPr>
                <w:rFonts w:ascii="Garamond" w:hAnsi="Garamond"/>
                <w:bCs/>
              </w:rPr>
              <w:t>–</w:t>
            </w:r>
            <w:r w:rsidRPr="007114AF">
              <w:rPr>
                <w:rFonts w:ascii="Garamond" w:hAnsi="Garamond"/>
                <w:bCs/>
              </w:rPr>
              <w:t>Vainit, respektivisht me uljen e kapaciteteve të këtij sistemi për të siguruar të mirat e domosdoshme të ekosistemit dhe shërbime për komunitetet lokale.</w:t>
            </w:r>
          </w:p>
          <w:p w14:paraId="6EDD106A" w14:textId="77777777" w:rsidR="00A043D6" w:rsidRPr="007114AF" w:rsidRDefault="00A043D6" w:rsidP="00A043D6">
            <w:pPr>
              <w:spacing w:after="0" w:line="240" w:lineRule="auto"/>
              <w:rPr>
                <w:rFonts w:ascii="Garamond" w:hAnsi="Garamond"/>
                <w:bCs/>
              </w:rPr>
            </w:pPr>
            <w:r w:rsidRPr="007114AF">
              <w:rPr>
                <w:rFonts w:ascii="Garamond" w:hAnsi="Garamond"/>
                <w:bCs/>
              </w:rPr>
              <w:t>Modelet e klimës kanë parashikuar një reduktim të reshjeve, i cili do të çojë në një rritje të kripësisë së lagunës me efekte të dëmshme mbi peshkimin.</w:t>
            </w:r>
          </w:p>
          <w:p w14:paraId="6EDD106B" w14:textId="0EAEBC34" w:rsidR="00A043D6" w:rsidRPr="007114AF" w:rsidRDefault="00A043D6" w:rsidP="00A043D6">
            <w:pPr>
              <w:spacing w:after="0" w:line="240" w:lineRule="auto"/>
              <w:rPr>
                <w:rFonts w:ascii="Garamond" w:hAnsi="Garamond"/>
                <w:b/>
                <w:bCs/>
              </w:rPr>
            </w:pPr>
            <w:r w:rsidRPr="007114AF">
              <w:rPr>
                <w:rFonts w:ascii="Garamond" w:hAnsi="Garamond"/>
                <w:bCs/>
              </w:rPr>
              <w:t>Gjithashtu, modelet parashikojnë një rritje të nivelit të detit (deri në 61 cm, deri në vitin 2100), që do të çojë në rritjen e erozionit dhe për rrjedhojë:</w:t>
            </w:r>
            <w:r w:rsidR="000A2A01" w:rsidRPr="007114AF">
              <w:rPr>
                <w:rFonts w:ascii="Garamond" w:hAnsi="Garamond"/>
                <w:bCs/>
              </w:rPr>
              <w:t xml:space="preserve"> </w:t>
            </w:r>
            <w:r w:rsidRPr="007114AF">
              <w:rPr>
                <w:rFonts w:ascii="Garamond" w:hAnsi="Garamond"/>
                <w:bCs/>
              </w:rPr>
              <w:t>humbjen e habitatit brenda sistemit lagunor</w:t>
            </w:r>
            <w:r w:rsidRPr="00FE05E1">
              <w:rPr>
                <w:rFonts w:ascii="Garamond" w:hAnsi="Garamond"/>
                <w:bCs/>
              </w:rPr>
              <w:t xml:space="preserve">. </w:t>
            </w:r>
          </w:p>
        </w:tc>
      </w:tr>
      <w:tr w:rsidR="00A043D6" w:rsidRPr="007114AF" w14:paraId="6EDD1079" w14:textId="77777777" w:rsidTr="00574660">
        <w:trPr>
          <w:trHeight w:val="140"/>
        </w:trPr>
        <w:tc>
          <w:tcPr>
            <w:tcW w:w="9152" w:type="dxa"/>
            <w:gridSpan w:val="2"/>
            <w:shd w:val="clear" w:color="auto" w:fill="auto"/>
          </w:tcPr>
          <w:p w14:paraId="6EDD106D" w14:textId="77777777" w:rsidR="00A043D6" w:rsidRPr="007114AF" w:rsidRDefault="00A043D6" w:rsidP="00A043D6">
            <w:pPr>
              <w:spacing w:after="0" w:line="240" w:lineRule="auto"/>
              <w:rPr>
                <w:rFonts w:ascii="Garamond" w:hAnsi="Garamond"/>
                <w:b/>
                <w:bCs/>
                <w:iCs/>
              </w:rPr>
            </w:pPr>
            <w:r w:rsidRPr="007114AF">
              <w:rPr>
                <w:rFonts w:ascii="Garamond" w:hAnsi="Garamond"/>
                <w:b/>
                <w:bCs/>
                <w:iCs/>
              </w:rPr>
              <w:t>Arsyetimi / objektivat / treguesit</w:t>
            </w:r>
          </w:p>
          <w:p w14:paraId="6EDD106E" w14:textId="35753E5E" w:rsidR="00A043D6" w:rsidRPr="007114AF" w:rsidRDefault="00A043D6" w:rsidP="00A043D6">
            <w:pPr>
              <w:spacing w:after="0" w:line="240" w:lineRule="auto"/>
              <w:rPr>
                <w:rFonts w:ascii="Garamond" w:hAnsi="Garamond"/>
                <w:bCs/>
              </w:rPr>
            </w:pPr>
            <w:r w:rsidRPr="007114AF">
              <w:rPr>
                <w:rFonts w:ascii="Garamond" w:hAnsi="Garamond"/>
                <w:bCs/>
              </w:rPr>
              <w:t xml:space="preserve">Efektet e ndryshimeve klimatike në sistemin lagunor të </w:t>
            </w:r>
            <w:r w:rsidR="00FE05E1">
              <w:rPr>
                <w:rFonts w:ascii="Garamond" w:hAnsi="Garamond"/>
                <w:bCs/>
              </w:rPr>
              <w:t>Kune–Vain</w:t>
            </w:r>
            <w:r w:rsidRPr="007114AF">
              <w:rPr>
                <w:rFonts w:ascii="Garamond" w:hAnsi="Garamond"/>
                <w:bCs/>
              </w:rPr>
              <w:t>it duhet të trajtohen nëpërmjet një sërë ndërhyrjesh me masa përshtatëse, përfshi këtu dhe përshtatjen me bazë ekosistemi.</w:t>
            </w:r>
            <w:r w:rsidR="000A2A01" w:rsidRPr="007114AF">
              <w:rPr>
                <w:rFonts w:ascii="Garamond" w:hAnsi="Garamond"/>
                <w:bCs/>
              </w:rPr>
              <w:t xml:space="preserve"> </w:t>
            </w:r>
            <w:r w:rsidRPr="007114AF">
              <w:rPr>
                <w:rFonts w:ascii="Garamond" w:hAnsi="Garamond"/>
                <w:bCs/>
              </w:rPr>
              <w:t>Rikuperimi I ekosistemeve dhe komuniteteve lokale do të realizohet pas aplikimit të një sërë teknikave,nëpërmjet masave infrastrukturore dhe joinfrastrukturore.</w:t>
            </w:r>
          </w:p>
          <w:p w14:paraId="6EDD106F" w14:textId="6A339912" w:rsidR="00A043D6" w:rsidRPr="007114AF" w:rsidRDefault="00A043D6" w:rsidP="00802AFF">
            <w:pPr>
              <w:spacing w:after="0" w:line="240" w:lineRule="auto"/>
              <w:jc w:val="left"/>
              <w:rPr>
                <w:rFonts w:ascii="Garamond" w:hAnsi="Garamond"/>
                <w:bCs/>
              </w:rPr>
            </w:pPr>
            <w:r w:rsidRPr="007114AF">
              <w:rPr>
                <w:rFonts w:ascii="Garamond" w:hAnsi="Garamond"/>
                <w:bCs/>
              </w:rPr>
              <w:t>Tashmë, ka mundësi të kufizuara për të maksimizuar përfitimet e restaurimit të ekosistemit dhe planet e menaxhimit, për të përmirësuar qëndrueshmërinë e ekosistemeve dhe komuniteteve lo</w:t>
            </w:r>
            <w:r w:rsidR="00802AFF">
              <w:rPr>
                <w:rFonts w:ascii="Garamond" w:hAnsi="Garamond"/>
                <w:bCs/>
              </w:rPr>
              <w:t>k</w:t>
            </w:r>
            <w:r w:rsidRPr="007114AF">
              <w:rPr>
                <w:rFonts w:ascii="Garamond" w:hAnsi="Garamond"/>
                <w:bCs/>
              </w:rPr>
              <w:t>ale, përkundrejt efekteve negative të ndryshimeve klimatike.</w:t>
            </w:r>
          </w:p>
          <w:p w14:paraId="6EDD1070" w14:textId="3BBF6E4D" w:rsidR="00A043D6" w:rsidRPr="007114AF" w:rsidRDefault="00A043D6" w:rsidP="00802AFF">
            <w:pPr>
              <w:numPr>
                <w:ilvl w:val="0"/>
                <w:numId w:val="48"/>
              </w:numPr>
              <w:spacing w:after="0" w:line="240" w:lineRule="auto"/>
              <w:ind w:left="0" w:firstLine="0"/>
              <w:jc w:val="left"/>
              <w:rPr>
                <w:rFonts w:ascii="Garamond" w:hAnsi="Garamond"/>
                <w:bCs/>
              </w:rPr>
            </w:pPr>
            <w:r w:rsidRPr="007114AF">
              <w:rPr>
                <w:rFonts w:ascii="Garamond" w:hAnsi="Garamond"/>
                <w:bCs/>
              </w:rPr>
              <w:t xml:space="preserve">Objektivi 1: Rritja e aftësisë përshtatëse të qeverisjes lokale dhe komuniteteve që jetojnë pranë e sistemit lagunor të </w:t>
            </w:r>
            <w:r w:rsidR="00FE05E1">
              <w:rPr>
                <w:rFonts w:ascii="Garamond" w:hAnsi="Garamond"/>
                <w:bCs/>
              </w:rPr>
              <w:t>Kune–Vain</w:t>
            </w:r>
            <w:r w:rsidRPr="007114AF">
              <w:rPr>
                <w:rFonts w:ascii="Garamond" w:hAnsi="Garamond"/>
                <w:bCs/>
              </w:rPr>
              <w:t>it ndaj ndryshimeve klimatike, duke përdorur një gamë ndërhyrjesh në adaptim, përfshirë adaptimin me bazë ekosistemin.</w:t>
            </w:r>
          </w:p>
          <w:p w14:paraId="6EDD1071" w14:textId="43575823" w:rsidR="00A043D6" w:rsidRPr="007114AF" w:rsidRDefault="00A043D6" w:rsidP="00802AFF">
            <w:pPr>
              <w:numPr>
                <w:ilvl w:val="0"/>
                <w:numId w:val="49"/>
              </w:numPr>
              <w:spacing w:after="0" w:line="240" w:lineRule="auto"/>
              <w:ind w:left="0" w:firstLine="0"/>
              <w:jc w:val="left"/>
              <w:rPr>
                <w:rFonts w:ascii="Garamond" w:hAnsi="Garamond"/>
                <w:bCs/>
              </w:rPr>
            </w:pPr>
            <w:r w:rsidRPr="007114AF">
              <w:rPr>
                <w:rFonts w:ascii="Garamond" w:hAnsi="Garamond"/>
                <w:bCs/>
              </w:rPr>
              <w:t>Indikator 1.1: Trajnime të zhvilluara mbi adaptimin me bazë ekosistemin</w:t>
            </w:r>
            <w:r w:rsidR="000A2A01" w:rsidRPr="007114AF">
              <w:rPr>
                <w:rFonts w:ascii="Garamond" w:hAnsi="Garamond"/>
                <w:bCs/>
              </w:rPr>
              <w:t xml:space="preserve"> </w:t>
            </w:r>
            <w:r w:rsidRPr="007114AF">
              <w:rPr>
                <w:rFonts w:ascii="Garamond" w:hAnsi="Garamond"/>
                <w:bCs/>
              </w:rPr>
              <w:t xml:space="preserve">(EbA) për përfaqësues lokalë dhe ndërkombëtarë. </w:t>
            </w:r>
          </w:p>
          <w:p w14:paraId="6EDD1072" w14:textId="282FC13A" w:rsidR="00A043D6" w:rsidRPr="007114AF" w:rsidRDefault="00A043D6" w:rsidP="00802AFF">
            <w:pPr>
              <w:numPr>
                <w:ilvl w:val="0"/>
                <w:numId w:val="49"/>
              </w:numPr>
              <w:spacing w:after="0" w:line="240" w:lineRule="auto"/>
              <w:ind w:left="0" w:firstLine="0"/>
              <w:jc w:val="left"/>
              <w:rPr>
                <w:rFonts w:ascii="Garamond" w:hAnsi="Garamond"/>
                <w:bCs/>
              </w:rPr>
            </w:pPr>
            <w:r w:rsidRPr="007114AF">
              <w:rPr>
                <w:rFonts w:ascii="Garamond" w:hAnsi="Garamond"/>
                <w:bCs/>
              </w:rPr>
              <w:t xml:space="preserve">Indikator 1.2: Prodhimi </w:t>
            </w:r>
            <w:r w:rsidR="00FE05E1">
              <w:rPr>
                <w:rFonts w:ascii="Garamond" w:hAnsi="Garamond"/>
                <w:bCs/>
              </w:rPr>
              <w:t>i</w:t>
            </w:r>
            <w:r w:rsidRPr="007114AF">
              <w:rPr>
                <w:rFonts w:ascii="Garamond" w:hAnsi="Garamond"/>
                <w:bCs/>
              </w:rPr>
              <w:t xml:space="preserve"> udhëzuesve teknikë në zbatimin e veprimeve përshatëse ndaj ndryshimeve klimatike duke përdorur EbA-n.</w:t>
            </w:r>
            <w:r w:rsidR="000A2A01" w:rsidRPr="007114AF">
              <w:rPr>
                <w:rFonts w:ascii="Garamond" w:hAnsi="Garamond"/>
                <w:bCs/>
              </w:rPr>
              <w:t xml:space="preserve"> </w:t>
            </w:r>
          </w:p>
          <w:p w14:paraId="6EDD1073" w14:textId="5F8E25A2" w:rsidR="00A043D6" w:rsidRPr="007114AF" w:rsidRDefault="00A043D6" w:rsidP="00802AFF">
            <w:pPr>
              <w:numPr>
                <w:ilvl w:val="0"/>
                <w:numId w:val="48"/>
              </w:numPr>
              <w:spacing w:after="0" w:line="240" w:lineRule="auto"/>
              <w:ind w:left="0" w:firstLine="0"/>
              <w:jc w:val="left"/>
              <w:rPr>
                <w:rFonts w:ascii="Garamond" w:hAnsi="Garamond"/>
                <w:bCs/>
              </w:rPr>
            </w:pPr>
            <w:r w:rsidRPr="007114AF">
              <w:rPr>
                <w:rFonts w:ascii="Garamond" w:hAnsi="Garamond"/>
                <w:bCs/>
              </w:rPr>
              <w:t xml:space="preserve">Objektivi 2: Rritja e aftësisë rikuperuese e lagunës </w:t>
            </w:r>
            <w:r w:rsidR="00FE05E1">
              <w:rPr>
                <w:rFonts w:ascii="Garamond" w:hAnsi="Garamond"/>
                <w:bCs/>
              </w:rPr>
              <w:t>Kune–Vain</w:t>
            </w:r>
            <w:r w:rsidRPr="007114AF">
              <w:rPr>
                <w:rFonts w:ascii="Garamond" w:hAnsi="Garamond"/>
                <w:bCs/>
              </w:rPr>
              <w:t>it, nëpërmjet Adaptimit me bazë Ekosistemin, duke përdorur demonstrimin e praktikave më të mira dhe konkrete të EbA-s, dhe ndërhyrje të tjera për përshtatjen.</w:t>
            </w:r>
          </w:p>
          <w:p w14:paraId="6EDD1074" w14:textId="04C918E0" w:rsidR="00A043D6" w:rsidRPr="007114AF" w:rsidRDefault="00A043D6" w:rsidP="00802AFF">
            <w:pPr>
              <w:numPr>
                <w:ilvl w:val="0"/>
                <w:numId w:val="15"/>
              </w:numPr>
              <w:spacing w:after="0" w:line="240" w:lineRule="auto"/>
              <w:ind w:left="0" w:firstLine="0"/>
              <w:jc w:val="left"/>
              <w:rPr>
                <w:rFonts w:ascii="Garamond" w:hAnsi="Garamond"/>
                <w:bCs/>
              </w:rPr>
            </w:pPr>
            <w:r w:rsidRPr="007114AF">
              <w:rPr>
                <w:rFonts w:ascii="Garamond" w:hAnsi="Garamond"/>
                <w:bCs/>
              </w:rPr>
              <w:t xml:space="preserve">Indikatori 2.1: Zbatimi </w:t>
            </w:r>
            <w:r w:rsidR="00802AFF">
              <w:rPr>
                <w:rFonts w:ascii="Garamond" w:hAnsi="Garamond"/>
                <w:bCs/>
              </w:rPr>
              <w:t>i</w:t>
            </w:r>
            <w:r w:rsidRPr="007114AF">
              <w:rPr>
                <w:rFonts w:ascii="Garamond" w:hAnsi="Garamond"/>
                <w:bCs/>
              </w:rPr>
              <w:t xml:space="preserve"> një sërë ndërhyrjesh përfshirë EBA-n në sistemin lagunor të </w:t>
            </w:r>
            <w:r w:rsidR="00FE05E1">
              <w:rPr>
                <w:rFonts w:ascii="Garamond" w:hAnsi="Garamond"/>
                <w:bCs/>
              </w:rPr>
              <w:t>Kune–Vain</w:t>
            </w:r>
            <w:r w:rsidRPr="007114AF">
              <w:rPr>
                <w:rFonts w:ascii="Garamond" w:hAnsi="Garamond"/>
                <w:bCs/>
              </w:rPr>
              <w:t>it.</w:t>
            </w:r>
          </w:p>
          <w:p w14:paraId="6EDD1075" w14:textId="77777777" w:rsidR="00A043D6" w:rsidRPr="007114AF" w:rsidRDefault="00A043D6" w:rsidP="00802AFF">
            <w:pPr>
              <w:numPr>
                <w:ilvl w:val="0"/>
                <w:numId w:val="50"/>
              </w:numPr>
              <w:spacing w:after="0" w:line="240" w:lineRule="auto"/>
              <w:ind w:left="0" w:firstLine="0"/>
              <w:jc w:val="left"/>
              <w:rPr>
                <w:rFonts w:ascii="Garamond" w:hAnsi="Garamond"/>
                <w:bCs/>
              </w:rPr>
            </w:pPr>
            <w:r w:rsidRPr="007114AF">
              <w:rPr>
                <w:rFonts w:ascii="Garamond" w:hAnsi="Garamond"/>
                <w:bCs/>
              </w:rPr>
              <w:t>Indikatori 2.2: Krijimi i një strategjie për monitorimin e ndërhyrjeve të EbA-s.</w:t>
            </w:r>
          </w:p>
          <w:p w14:paraId="6EDD1076" w14:textId="77777777" w:rsidR="00A043D6" w:rsidRPr="007114AF" w:rsidRDefault="00A043D6" w:rsidP="00802AFF">
            <w:pPr>
              <w:numPr>
                <w:ilvl w:val="0"/>
                <w:numId w:val="48"/>
              </w:numPr>
              <w:spacing w:after="0" w:line="240" w:lineRule="auto"/>
              <w:ind w:left="0" w:firstLine="0"/>
              <w:jc w:val="left"/>
              <w:rPr>
                <w:rFonts w:ascii="Garamond" w:hAnsi="Garamond"/>
                <w:bCs/>
              </w:rPr>
            </w:pPr>
            <w:r w:rsidRPr="007114AF">
              <w:rPr>
                <w:rFonts w:ascii="Garamond" w:hAnsi="Garamond"/>
                <w:bCs/>
              </w:rPr>
              <w:t xml:space="preserve">Objektivi 3: Rritja e ndërgjegjësimit të aktorëve lokalë dhe kombëtarë ndaj rreziqeve të </w:t>
            </w:r>
          </w:p>
          <w:p w14:paraId="6EDD1077" w14:textId="77777777" w:rsidR="00A043D6" w:rsidRPr="007114AF" w:rsidRDefault="00A043D6" w:rsidP="00802AFF">
            <w:pPr>
              <w:spacing w:after="0" w:line="240" w:lineRule="auto"/>
              <w:jc w:val="left"/>
              <w:rPr>
                <w:rFonts w:ascii="Garamond" w:hAnsi="Garamond"/>
                <w:bCs/>
              </w:rPr>
            </w:pPr>
            <w:r w:rsidRPr="007114AF">
              <w:rPr>
                <w:rFonts w:ascii="Garamond" w:hAnsi="Garamond"/>
                <w:bCs/>
              </w:rPr>
              <w:t>ndryshimeve klimatike dhe rikuperimit, nëpërmjet sistemit EbA, për rritjen e rezistencës së komuniteteve lokale ndaj ndryshimet klimatike.</w:t>
            </w:r>
          </w:p>
          <w:p w14:paraId="6EDD1078" w14:textId="79A76940" w:rsidR="00A043D6" w:rsidRPr="007114AF" w:rsidRDefault="00A043D6" w:rsidP="00802AFF">
            <w:pPr>
              <w:numPr>
                <w:ilvl w:val="0"/>
                <w:numId w:val="51"/>
              </w:numPr>
              <w:spacing w:after="0" w:line="240" w:lineRule="auto"/>
              <w:ind w:left="0" w:firstLine="0"/>
              <w:jc w:val="left"/>
              <w:rPr>
                <w:rFonts w:ascii="Garamond" w:hAnsi="Garamond"/>
                <w:b/>
                <w:bCs/>
              </w:rPr>
            </w:pPr>
            <w:r w:rsidRPr="007114AF">
              <w:rPr>
                <w:rFonts w:ascii="Garamond" w:hAnsi="Garamond"/>
                <w:bCs/>
              </w:rPr>
              <w:t xml:space="preserve">Indikator 3.1: Zhvillimi </w:t>
            </w:r>
            <w:r w:rsidR="00802AFF">
              <w:rPr>
                <w:rFonts w:ascii="Garamond" w:hAnsi="Garamond"/>
                <w:bCs/>
              </w:rPr>
              <w:t>i</w:t>
            </w:r>
            <w:r w:rsidRPr="007114AF">
              <w:rPr>
                <w:rFonts w:ascii="Garamond" w:hAnsi="Garamond"/>
                <w:bCs/>
              </w:rPr>
              <w:t xml:space="preserve"> fushatave ndërgjegjësuese mbi avantazhet e adaptimit me bazë ekosistemin.</w:t>
            </w:r>
          </w:p>
        </w:tc>
      </w:tr>
      <w:tr w:rsidR="00A043D6" w:rsidRPr="007114AF" w14:paraId="6EDD1084" w14:textId="77777777" w:rsidTr="00574660">
        <w:trPr>
          <w:trHeight w:val="1876"/>
        </w:trPr>
        <w:tc>
          <w:tcPr>
            <w:tcW w:w="4576" w:type="dxa"/>
            <w:shd w:val="clear" w:color="auto" w:fill="auto"/>
          </w:tcPr>
          <w:p w14:paraId="6EDD107A" w14:textId="77777777" w:rsidR="00A043D6" w:rsidRPr="007114AF" w:rsidRDefault="00A043D6" w:rsidP="00802AFF">
            <w:pPr>
              <w:spacing w:after="0" w:line="240" w:lineRule="auto"/>
              <w:jc w:val="left"/>
              <w:rPr>
                <w:rFonts w:ascii="Garamond" w:hAnsi="Garamond"/>
                <w:b/>
                <w:bCs/>
                <w:iCs/>
              </w:rPr>
            </w:pPr>
            <w:r w:rsidRPr="007114AF">
              <w:rPr>
                <w:rFonts w:ascii="Garamond" w:hAnsi="Garamond"/>
                <w:b/>
                <w:bCs/>
                <w:iCs/>
              </w:rPr>
              <w:t>Aktorët kryesorë të përfshirë</w:t>
            </w:r>
          </w:p>
          <w:p w14:paraId="6EDD107B" w14:textId="77777777" w:rsidR="00A043D6" w:rsidRPr="007114AF" w:rsidRDefault="00A043D6" w:rsidP="00802AFF">
            <w:pPr>
              <w:spacing w:after="0" w:line="240" w:lineRule="auto"/>
              <w:jc w:val="left"/>
              <w:rPr>
                <w:rFonts w:ascii="Garamond" w:hAnsi="Garamond"/>
                <w:bCs/>
              </w:rPr>
            </w:pPr>
            <w:r w:rsidRPr="007114AF">
              <w:rPr>
                <w:rFonts w:ascii="Garamond" w:hAnsi="Garamond"/>
                <w:bCs/>
              </w:rPr>
              <w:t xml:space="preserve">Ministria e Turizmit dhe Mjedisit (njësi ekzekutuese) </w:t>
            </w:r>
          </w:p>
          <w:p w14:paraId="6EDD107C" w14:textId="3EF6EC91" w:rsidR="00A043D6" w:rsidRPr="007114AF" w:rsidRDefault="00A043D6" w:rsidP="00802AFF">
            <w:pPr>
              <w:spacing w:after="0" w:line="240" w:lineRule="auto"/>
              <w:jc w:val="left"/>
              <w:rPr>
                <w:rFonts w:ascii="Garamond" w:hAnsi="Garamond"/>
                <w:bCs/>
              </w:rPr>
            </w:pPr>
            <w:r w:rsidRPr="007114AF">
              <w:rPr>
                <w:rFonts w:ascii="Garamond" w:hAnsi="Garamond"/>
                <w:bCs/>
              </w:rPr>
              <w:t>Ministria e Bujqësisë dhe Zhvillimit Rural (pjesëmarrëse)</w:t>
            </w:r>
          </w:p>
          <w:p w14:paraId="6EDD107D" w14:textId="77777777" w:rsidR="00A043D6" w:rsidRPr="007114AF" w:rsidRDefault="00A043D6" w:rsidP="00802AFF">
            <w:pPr>
              <w:spacing w:after="0" w:line="240" w:lineRule="auto"/>
              <w:jc w:val="left"/>
              <w:rPr>
                <w:rFonts w:ascii="Garamond" w:hAnsi="Garamond"/>
                <w:bCs/>
              </w:rPr>
            </w:pPr>
            <w:r w:rsidRPr="007114AF">
              <w:rPr>
                <w:rFonts w:ascii="Garamond" w:hAnsi="Garamond"/>
                <w:bCs/>
              </w:rPr>
              <w:t>Ministria e Infrastrukturës dhe Energjisë (pjesëmarrëse)</w:t>
            </w:r>
          </w:p>
          <w:p w14:paraId="6EDD107E" w14:textId="77777777" w:rsidR="00A043D6" w:rsidRPr="007114AF" w:rsidRDefault="00A043D6" w:rsidP="00802AFF">
            <w:pPr>
              <w:spacing w:after="0" w:line="240" w:lineRule="auto"/>
              <w:jc w:val="left"/>
              <w:rPr>
                <w:rFonts w:ascii="Garamond" w:hAnsi="Garamond"/>
                <w:bCs/>
              </w:rPr>
            </w:pPr>
            <w:r w:rsidRPr="007114AF">
              <w:rPr>
                <w:rFonts w:ascii="Garamond" w:hAnsi="Garamond"/>
                <w:bCs/>
              </w:rPr>
              <w:t>Drejtoria e Turizmit (pjesëmarrëse)</w:t>
            </w:r>
          </w:p>
          <w:p w14:paraId="6EDD107F" w14:textId="427C8B40" w:rsidR="00A043D6" w:rsidRPr="007114AF" w:rsidRDefault="00A043D6" w:rsidP="00802AFF">
            <w:pPr>
              <w:spacing w:after="0" w:line="240" w:lineRule="auto"/>
              <w:jc w:val="left"/>
              <w:rPr>
                <w:rFonts w:ascii="Garamond" w:hAnsi="Garamond"/>
                <w:b/>
                <w:bCs/>
              </w:rPr>
            </w:pPr>
            <w:r w:rsidRPr="007114AF">
              <w:rPr>
                <w:rFonts w:ascii="Garamond" w:hAnsi="Garamond"/>
                <w:bCs/>
              </w:rPr>
              <w:t xml:space="preserve">Universiteti </w:t>
            </w:r>
            <w:r w:rsidR="00802AFF">
              <w:rPr>
                <w:rFonts w:ascii="Garamond" w:hAnsi="Garamond"/>
                <w:bCs/>
              </w:rPr>
              <w:t>i</w:t>
            </w:r>
            <w:r w:rsidRPr="007114AF">
              <w:rPr>
                <w:rFonts w:ascii="Garamond" w:hAnsi="Garamond"/>
                <w:bCs/>
              </w:rPr>
              <w:t xml:space="preserve"> Tiranës (pjesëmarrës)</w:t>
            </w:r>
          </w:p>
        </w:tc>
        <w:tc>
          <w:tcPr>
            <w:tcW w:w="4576" w:type="dxa"/>
            <w:shd w:val="clear" w:color="auto" w:fill="auto"/>
          </w:tcPr>
          <w:p w14:paraId="6EDD1080" w14:textId="77777777" w:rsidR="00A043D6" w:rsidRPr="007114AF" w:rsidRDefault="00A043D6" w:rsidP="00A043D6">
            <w:pPr>
              <w:spacing w:after="0" w:line="240" w:lineRule="auto"/>
              <w:rPr>
                <w:rFonts w:ascii="Garamond" w:hAnsi="Garamond"/>
                <w:b/>
                <w:bCs/>
              </w:rPr>
            </w:pPr>
            <w:r w:rsidRPr="007114AF">
              <w:rPr>
                <w:rFonts w:ascii="Garamond" w:hAnsi="Garamond"/>
                <w:b/>
                <w:bCs/>
              </w:rPr>
              <w:t>Burimet</w:t>
            </w:r>
          </w:p>
          <w:p w14:paraId="6EDD1081" w14:textId="1AED77E3" w:rsidR="00A043D6" w:rsidRPr="007114AF" w:rsidRDefault="00A043D6" w:rsidP="00A043D6">
            <w:pPr>
              <w:spacing w:after="0" w:line="240" w:lineRule="auto"/>
              <w:rPr>
                <w:rFonts w:ascii="Garamond" w:hAnsi="Garamond"/>
                <w:bCs/>
              </w:rPr>
            </w:pPr>
            <w:r w:rsidRPr="007114AF">
              <w:rPr>
                <w:rFonts w:ascii="Garamond" w:hAnsi="Garamond"/>
                <w:bCs/>
              </w:rPr>
              <w:t>GEF/UNEP-i</w:t>
            </w:r>
            <w:r w:rsidR="000A2A01" w:rsidRPr="007114AF">
              <w:rPr>
                <w:rFonts w:ascii="Garamond" w:hAnsi="Garamond"/>
                <w:bCs/>
              </w:rPr>
              <w:t xml:space="preserve"> </w:t>
            </w:r>
            <w:r w:rsidRPr="007114AF">
              <w:rPr>
                <w:rFonts w:ascii="Garamond" w:hAnsi="Garamond"/>
                <w:bCs/>
              </w:rPr>
              <w:t xml:space="preserve">dhe Ministria e Turizmit dhe Mjedisit </w:t>
            </w:r>
          </w:p>
          <w:p w14:paraId="6EDD1082" w14:textId="0B703A68" w:rsidR="00A043D6" w:rsidRPr="007114AF" w:rsidRDefault="00A043D6" w:rsidP="00A043D6">
            <w:pPr>
              <w:spacing w:after="0" w:line="240" w:lineRule="auto"/>
              <w:rPr>
                <w:rFonts w:ascii="Garamond" w:hAnsi="Garamond"/>
                <w:bCs/>
              </w:rPr>
            </w:pPr>
            <w:r w:rsidRPr="007114AF">
              <w:rPr>
                <w:rFonts w:ascii="Garamond" w:hAnsi="Garamond"/>
                <w:bCs/>
              </w:rPr>
              <w:t xml:space="preserve">Buxheti </w:t>
            </w:r>
            <w:r w:rsidR="00802AFF">
              <w:rPr>
                <w:rFonts w:ascii="Garamond" w:hAnsi="Garamond"/>
                <w:bCs/>
              </w:rPr>
              <w:t>t</w:t>
            </w:r>
            <w:r w:rsidRPr="007114AF">
              <w:rPr>
                <w:rFonts w:ascii="Garamond" w:hAnsi="Garamond"/>
                <w:bCs/>
              </w:rPr>
              <w:t>otal</w:t>
            </w:r>
            <w:r w:rsidR="008D30FC" w:rsidRPr="007114AF">
              <w:rPr>
                <w:rFonts w:ascii="Garamond" w:hAnsi="Garamond"/>
                <w:bCs/>
              </w:rPr>
              <w:t xml:space="preserve"> </w:t>
            </w:r>
            <w:r w:rsidRPr="007114AF">
              <w:rPr>
                <w:rFonts w:ascii="Garamond" w:hAnsi="Garamond"/>
                <w:bCs/>
              </w:rPr>
              <w:t>242 milion</w:t>
            </w:r>
            <w:r w:rsidR="00802AFF">
              <w:rPr>
                <w:rFonts w:ascii="Garamond" w:hAnsi="Garamond"/>
                <w:bCs/>
              </w:rPr>
              <w:t>ë</w:t>
            </w:r>
            <w:r w:rsidR="00755E38" w:rsidRPr="007114AF">
              <w:rPr>
                <w:rFonts w:ascii="Garamond" w:hAnsi="Garamond"/>
                <w:bCs/>
              </w:rPr>
              <w:t xml:space="preserve"> </w:t>
            </w:r>
            <w:r w:rsidRPr="007114AF">
              <w:rPr>
                <w:rFonts w:ascii="Garamond" w:hAnsi="Garamond"/>
                <w:bCs/>
              </w:rPr>
              <w:t>lekë</w:t>
            </w:r>
          </w:p>
          <w:p w14:paraId="6EDD1083" w14:textId="77777777" w:rsidR="00A043D6" w:rsidRPr="007114AF" w:rsidRDefault="00A043D6" w:rsidP="00A043D6">
            <w:pPr>
              <w:spacing w:after="0" w:line="240" w:lineRule="auto"/>
              <w:rPr>
                <w:rFonts w:ascii="Garamond" w:hAnsi="Garamond"/>
                <w:b/>
                <w:bCs/>
              </w:rPr>
            </w:pPr>
          </w:p>
        </w:tc>
      </w:tr>
    </w:tbl>
    <w:p w14:paraId="6EDD1085" w14:textId="77777777" w:rsidR="009E0D15" w:rsidRPr="007114AF" w:rsidRDefault="009E0D15" w:rsidP="00A043D6">
      <w:pPr>
        <w:pStyle w:val="FIGURA"/>
      </w:pPr>
    </w:p>
    <w:p w14:paraId="6EDD1086" w14:textId="77777777" w:rsidR="0073579B" w:rsidRPr="007114AF" w:rsidRDefault="0073579B" w:rsidP="001E4452">
      <w:pPr>
        <w:pStyle w:val="FIGURA"/>
        <w:ind w:firstLine="288"/>
        <w:jc w:val="both"/>
      </w:pPr>
      <w:bookmarkStart w:id="243" w:name="_Toc483570151"/>
      <w:bookmarkStart w:id="244" w:name="_Toc484424549"/>
      <w:bookmarkStart w:id="245" w:name="_Toc479083904"/>
      <w:r w:rsidRPr="007114AF">
        <w:t>6.3 Burimet financiare për planin e përshtatjes</w:t>
      </w:r>
      <w:bookmarkEnd w:id="243"/>
      <w:bookmarkEnd w:id="244"/>
      <w:bookmarkEnd w:id="245"/>
    </w:p>
    <w:p w14:paraId="6EDD1087" w14:textId="6B7D4CCB" w:rsidR="0046760C" w:rsidRPr="007114AF" w:rsidRDefault="0046760C" w:rsidP="0046760C">
      <w:pPr>
        <w:pStyle w:val="TEKSTI"/>
      </w:pPr>
      <w:r w:rsidRPr="007114AF">
        <w:t>Kostoja totale e nevojshme për zbatimin e planit kombëtar të përshtatjes deri në 2020,</w:t>
      </w:r>
      <w:r w:rsidR="00802AFF">
        <w:t xml:space="preserve"> </w:t>
      </w:r>
      <w:r w:rsidRPr="007114AF">
        <w:t>është përllogaritur në bashkëpunim me anëtarët e grupit ndërministror të punës, duke bërë edhe një ndarje të burimeve të financimit. Alokimet e buxhetit afatmesëm (2017</w:t>
      </w:r>
      <w:r w:rsidR="00E35E23">
        <w:t>–</w:t>
      </w:r>
      <w:r w:rsidRPr="007114AF">
        <w:t xml:space="preserve">2019) janë marrë gjithashtu në konsideratë gjatë kalkulimit të shpenzimeve totale si dhe të burimeve të financimit. </w:t>
      </w:r>
    </w:p>
    <w:p w14:paraId="6EDD1088" w14:textId="77777777" w:rsidR="0046760C" w:rsidRPr="007114AF" w:rsidRDefault="0046760C" w:rsidP="0046760C">
      <w:pPr>
        <w:pStyle w:val="TEKSTI"/>
      </w:pPr>
      <w:r w:rsidRPr="007114AF">
        <w:t xml:space="preserve">Vlerësimi i kostove për veprimet prioritare është bërë së bashku me anëtarët e grupit të punës. Gjithsesi, nevojat e financimit të NAP-it do të rishikohen pas 2020-ës. Përshtatja është një koncept i ri dhe janë bërë shumë përpjekje të udhëhequra nga Ministria e Turizmit dhe Mjedisit për të integruar kostot që lidhen me përshtatjen në PBA-n dhe buxhetin qeveritar. </w:t>
      </w:r>
    </w:p>
    <w:p w14:paraId="6EDD1089" w14:textId="77777777" w:rsidR="0046760C" w:rsidRPr="007114AF" w:rsidRDefault="0046760C" w:rsidP="0046760C">
      <w:pPr>
        <w:pStyle w:val="TEKSTI"/>
        <w:rPr>
          <w:rFonts w:cs="Arial"/>
        </w:rPr>
      </w:pPr>
      <w:r w:rsidRPr="007114AF">
        <w:rPr>
          <w:rFonts w:cs="Arial"/>
        </w:rPr>
        <w:t xml:space="preserve">Mobilizimi i burimeve për përshtatjen ndaj ndryshimeve klimatike (NAP) është një çështje e re jo vetëm për Shqipërinë, por edhe në nivel global. Shumë shtete kanë miratuar një proces ose qasje të orientuar në kërkesat dhe rrethanat shoqëruese </w:t>
      </w:r>
      <w:r w:rsidRPr="007114AF">
        <w:t xml:space="preserve">ndaj financimit të klimës. Në thelb, kjo qasje i referohet një procesi me anë të të cilit një shtet përcakton, përkufizon dhe mobilizon burimet financiare dhe burimet e tjera të nevojshme për kalimin e tij në një rrugë zhvillimi me emetime të ulëta dhe </w:t>
      </w:r>
      <w:r w:rsidRPr="007114AF">
        <w:rPr>
          <w:rFonts w:cs="Arial"/>
        </w:rPr>
        <w:t xml:space="preserve">me aftësi rimëkëmbëse ndaj ndryshimeve të klimës. </w:t>
      </w:r>
    </w:p>
    <w:p w14:paraId="6EDD108A" w14:textId="77777777" w:rsidR="0046760C" w:rsidRPr="007114AF" w:rsidRDefault="0046760C" w:rsidP="0046760C">
      <w:pPr>
        <w:pStyle w:val="TEKSTI"/>
        <w:rPr>
          <w:rFonts w:cs="Arial"/>
        </w:rPr>
      </w:pPr>
      <w:r w:rsidRPr="007114AF">
        <w:t xml:space="preserve">SKNK&amp;P), i cili ofron </w:t>
      </w:r>
      <w:r w:rsidRPr="007114AF">
        <w:rPr>
          <w:rFonts w:cs="Arial"/>
        </w:rPr>
        <w:t>udhëzime për një proces të suksesshëm të aksesit ndaj financimit të përshtatjes, duke përfshirë edhe identifikimin e pikave të hyrjes,</w:t>
      </w:r>
    </w:p>
    <w:p w14:paraId="6EDD108B" w14:textId="77777777" w:rsidR="0046760C" w:rsidRPr="007114AF" w:rsidRDefault="00AC0CE4" w:rsidP="0046760C">
      <w:pPr>
        <w:pStyle w:val="TEKSTI"/>
        <w:rPr>
          <w:rFonts w:cs="Arial"/>
        </w:rPr>
      </w:pPr>
      <w:r w:rsidRPr="007114AF">
        <w:rPr>
          <w:rFonts w:cs="Arial"/>
        </w:rPr>
        <w:t xml:space="preserve">a) </w:t>
      </w:r>
      <w:r w:rsidR="0046760C" w:rsidRPr="007114AF">
        <w:rPr>
          <w:rFonts w:cs="Arial"/>
        </w:rPr>
        <w:t>një përmbledhjeje të mundësive përkatëse në lidhje me burimet e mundshme kombëtare dhe ndërkombëtare për financimin e përshtatjes,</w:t>
      </w:r>
    </w:p>
    <w:p w14:paraId="6EDD108C" w14:textId="329F8182" w:rsidR="0046760C" w:rsidRPr="007114AF" w:rsidRDefault="00AC0CE4" w:rsidP="0046760C">
      <w:pPr>
        <w:pStyle w:val="TEKSTI"/>
        <w:rPr>
          <w:rFonts w:cs="Arial"/>
        </w:rPr>
      </w:pPr>
      <w:r w:rsidRPr="007114AF">
        <w:rPr>
          <w:rFonts w:cs="Arial"/>
        </w:rPr>
        <w:t xml:space="preserve">b) </w:t>
      </w:r>
      <w:r w:rsidR="0046760C" w:rsidRPr="007114AF">
        <w:rPr>
          <w:rFonts w:cs="Arial"/>
        </w:rPr>
        <w:t xml:space="preserve">identifikimin dhe prioritizimine hapave që duhen marrë për të pasur akses ndaj financimit të përshtatjes në vitet e ardhshme dhe inicimi i hartimit të një udhërrëfyesi. </w:t>
      </w:r>
    </w:p>
    <w:p w14:paraId="6EDD108D" w14:textId="46807C87" w:rsidR="0046760C" w:rsidRPr="007114AF" w:rsidRDefault="0046760C" w:rsidP="0046760C">
      <w:pPr>
        <w:pStyle w:val="TEKSTI"/>
      </w:pPr>
      <w:r w:rsidRPr="007114AF">
        <w:t>Në total, kosto për zbatimin e NAP-it është përllogaritur afërsisht 11 miliard</w:t>
      </w:r>
      <w:r w:rsidR="00242009" w:rsidRPr="007114AF">
        <w:t>ë</w:t>
      </w:r>
      <w:r w:rsidRPr="007114AF">
        <w:t xml:space="preserve"> lekë (ALL), ose përafërsisht</w:t>
      </w:r>
      <w:r w:rsidR="008D30FC" w:rsidRPr="007114AF">
        <w:t xml:space="preserve"> </w:t>
      </w:r>
      <w:r w:rsidRPr="007114AF">
        <w:t>80 milion</w:t>
      </w:r>
      <w:r w:rsidR="001C47F0" w:rsidRPr="007114AF">
        <w:t>ë</w:t>
      </w:r>
      <w:r w:rsidRPr="007114AF">
        <w:t xml:space="preserve"> euro.</w:t>
      </w:r>
    </w:p>
    <w:p w14:paraId="6EDD108E" w14:textId="1B970BC6" w:rsidR="0046760C" w:rsidRPr="007114AF" w:rsidRDefault="0046760C" w:rsidP="0046760C">
      <w:pPr>
        <w:pStyle w:val="TEKSTI"/>
      </w:pPr>
      <w:r w:rsidRPr="007114AF">
        <w:t>Kjo kosto është e përllogaritur për 5 veprimet prioritare të NAP-it, të ndara në dy grupe tematike. 1.2 miliard</w:t>
      </w:r>
      <w:r w:rsidR="00242009" w:rsidRPr="007114AF">
        <w:t>ë</w:t>
      </w:r>
      <w:r w:rsidRPr="007114AF">
        <w:t xml:space="preserve"> lekë janë parashikuar për aktivitetet që kanë të bëjnë me veprimtarinë gjithëpërfshirëse të ministrisë dhe kuadrin e zbatimit të planit, ndërsa 9.8 miliard</w:t>
      </w:r>
      <w:r w:rsidR="00242009" w:rsidRPr="007114AF">
        <w:t>ë</w:t>
      </w:r>
      <w:r w:rsidRPr="007114AF">
        <w:t xml:space="preserve"> lekë janë parashikuar për aktivitetet sektoriale dhe ndërsektoriale. </w:t>
      </w:r>
    </w:p>
    <w:p w14:paraId="6EDD108F" w14:textId="0FE446F3" w:rsidR="0046760C" w:rsidRPr="007114AF" w:rsidRDefault="0046760C" w:rsidP="0046760C">
      <w:pPr>
        <w:pStyle w:val="TEKSTI"/>
      </w:pPr>
      <w:r w:rsidRPr="007114AF">
        <w:t>Nga buxheti i përgjithshëm i përllogaritur prej 11 miliard</w:t>
      </w:r>
      <w:r w:rsidR="00242009" w:rsidRPr="007114AF">
        <w:t>ë</w:t>
      </w:r>
      <w:r w:rsidRPr="007114AF">
        <w:t xml:space="preserve"> lekësh, një pjesë e tij prej</w:t>
      </w:r>
      <w:r w:rsidR="000A2A01" w:rsidRPr="007114AF">
        <w:t xml:space="preserve"> </w:t>
      </w:r>
      <w:r w:rsidRPr="007114AF">
        <w:t>2.9 miliard</w:t>
      </w:r>
      <w:r w:rsidR="00242009" w:rsidRPr="007114AF">
        <w:t>ë</w:t>
      </w:r>
      <w:r w:rsidRPr="007114AF">
        <w:t xml:space="preserve"> lekë janë të mbuluara pjesërisht nga buxheti i shtetit (kryesisht përmes burimeve njerëzore) dhe pjesërisht përmes donatorëve</w:t>
      </w:r>
      <w:r w:rsidR="00242009" w:rsidRPr="007114AF">
        <w:t>,</w:t>
      </w:r>
      <w:r w:rsidRPr="007114AF">
        <w:t xml:space="preserve"> si</w:t>
      </w:r>
      <w:r w:rsidR="00242009" w:rsidRPr="007114AF">
        <w:t>:</w:t>
      </w:r>
      <w:r w:rsidRPr="007114AF">
        <w:t xml:space="preserve"> EU-ja, SIDA, WB-ja, UNEP-i, UNDP-ja. Boshllëku financiar për veprimet prioritare është përllogaritur në nivelin</w:t>
      </w:r>
      <w:r w:rsidR="000A2A01" w:rsidRPr="007114AF">
        <w:t xml:space="preserve"> </w:t>
      </w:r>
      <w:r w:rsidRPr="007114AF">
        <w:t xml:space="preserve">10%, ose afërsisht 1 miliard lekë. </w:t>
      </w:r>
    </w:p>
    <w:p w14:paraId="6EDD1090" w14:textId="77777777" w:rsidR="0046760C" w:rsidRPr="007114AF" w:rsidRDefault="0046760C" w:rsidP="0046760C">
      <w:pPr>
        <w:pStyle w:val="TEKSTI"/>
      </w:pPr>
      <w:r w:rsidRPr="007114AF">
        <w:t xml:space="preserve">Veprimet të cilat kërkojnë më shumë buxhet janë ato të bujqësisë, për vetë natyrën e investimeve infrastrukturore të ndërhyrjeve. </w:t>
      </w:r>
    </w:p>
    <w:p w14:paraId="6EDD1091" w14:textId="03EB4512" w:rsidR="0046760C" w:rsidRPr="007114AF" w:rsidRDefault="0046760C" w:rsidP="00AC0CE4">
      <w:pPr>
        <w:pStyle w:val="TEKSTI"/>
        <w:rPr>
          <w:b/>
        </w:rPr>
      </w:pPr>
      <w:r w:rsidRPr="007114AF">
        <w:rPr>
          <w:b/>
        </w:rPr>
        <w:t>Planifikimet buxhetore të NAP-it</w:t>
      </w:r>
      <w:r w:rsidR="00E35E23">
        <w:rPr>
          <w:b/>
        </w:rPr>
        <w:t xml:space="preserve"> </w:t>
      </w:r>
      <w:r w:rsidRPr="007114AF">
        <w:rPr>
          <w:b/>
        </w:rPr>
        <w:t>për vep</w:t>
      </w:r>
      <w:r w:rsidR="00E35E23">
        <w:rPr>
          <w:b/>
        </w:rPr>
        <w:t>rimet prioritare për vitet 2017</w:t>
      </w:r>
      <w:r w:rsidRPr="007114AF">
        <w:rPr>
          <w:b/>
        </w:rPr>
        <w:t>–2020 (në miliona lekë)</w:t>
      </w:r>
    </w:p>
    <w:tbl>
      <w:tblPr>
        <w:tblW w:w="9271" w:type="dxa"/>
        <w:tblInd w:w="-162" w:type="dxa"/>
        <w:tblLook w:val="04A0" w:firstRow="1" w:lastRow="0" w:firstColumn="1" w:lastColumn="0" w:noHBand="0" w:noVBand="1"/>
      </w:tblPr>
      <w:tblGrid>
        <w:gridCol w:w="2265"/>
        <w:gridCol w:w="1710"/>
        <w:gridCol w:w="1392"/>
        <w:gridCol w:w="1392"/>
        <w:gridCol w:w="1120"/>
        <w:gridCol w:w="1392"/>
      </w:tblGrid>
      <w:tr w:rsidR="003227FF" w:rsidRPr="007114AF" w14:paraId="6EDD1098" w14:textId="77777777" w:rsidTr="00574660">
        <w:trPr>
          <w:trHeight w:val="300"/>
        </w:trPr>
        <w:tc>
          <w:tcPr>
            <w:tcW w:w="2265"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14:paraId="6EDD1092" w14:textId="77777777" w:rsidR="003227FF" w:rsidRPr="007114AF" w:rsidRDefault="003227FF" w:rsidP="003227FF">
            <w:pPr>
              <w:spacing w:after="0" w:line="240" w:lineRule="auto"/>
              <w:rPr>
                <w:rFonts w:ascii="Garamond" w:hAnsi="Garamond"/>
                <w:b/>
              </w:rPr>
            </w:pPr>
            <w:r w:rsidRPr="007114AF">
              <w:rPr>
                <w:rFonts w:ascii="Garamond" w:hAnsi="Garamond"/>
                <w:b/>
              </w:rPr>
              <w:t>Lista e veprimeve</w:t>
            </w:r>
          </w:p>
        </w:tc>
        <w:tc>
          <w:tcPr>
            <w:tcW w:w="1710" w:type="dxa"/>
            <w:tcBorders>
              <w:top w:val="single" w:sz="4" w:space="0" w:color="auto"/>
              <w:left w:val="nil"/>
              <w:bottom w:val="single" w:sz="4" w:space="0" w:color="auto"/>
              <w:right w:val="single" w:sz="4" w:space="0" w:color="auto"/>
            </w:tcBorders>
            <w:shd w:val="clear" w:color="auto" w:fill="8DB3E2" w:themeFill="text2" w:themeFillTint="66"/>
            <w:noWrap/>
            <w:vAlign w:val="bottom"/>
            <w:hideMark/>
          </w:tcPr>
          <w:p w14:paraId="6EDD1093" w14:textId="77777777" w:rsidR="003227FF" w:rsidRPr="007114AF" w:rsidRDefault="003227FF" w:rsidP="003227FF">
            <w:pPr>
              <w:spacing w:after="0" w:line="240" w:lineRule="auto"/>
              <w:rPr>
                <w:rFonts w:ascii="Garamond" w:hAnsi="Garamond"/>
                <w:b/>
              </w:rPr>
            </w:pPr>
            <w:r w:rsidRPr="007114AF">
              <w:rPr>
                <w:rFonts w:ascii="Garamond" w:hAnsi="Garamond"/>
                <w:b/>
              </w:rPr>
              <w:t>Buxheti total në mln lekë</w:t>
            </w:r>
          </w:p>
        </w:tc>
        <w:tc>
          <w:tcPr>
            <w:tcW w:w="1392" w:type="dxa"/>
            <w:tcBorders>
              <w:top w:val="single" w:sz="4" w:space="0" w:color="auto"/>
              <w:left w:val="nil"/>
              <w:bottom w:val="single" w:sz="4" w:space="0" w:color="auto"/>
              <w:right w:val="single" w:sz="4" w:space="0" w:color="auto"/>
            </w:tcBorders>
            <w:shd w:val="clear" w:color="auto" w:fill="8DB3E2" w:themeFill="text2" w:themeFillTint="66"/>
            <w:noWrap/>
            <w:vAlign w:val="bottom"/>
            <w:hideMark/>
          </w:tcPr>
          <w:p w14:paraId="6EDD1094" w14:textId="77777777" w:rsidR="003227FF" w:rsidRPr="007114AF" w:rsidRDefault="003227FF" w:rsidP="003227FF">
            <w:pPr>
              <w:spacing w:after="0" w:line="240" w:lineRule="auto"/>
              <w:rPr>
                <w:rFonts w:ascii="Garamond" w:hAnsi="Garamond"/>
                <w:b/>
              </w:rPr>
            </w:pPr>
            <w:r w:rsidRPr="007114AF">
              <w:rPr>
                <w:rFonts w:ascii="Garamond" w:hAnsi="Garamond"/>
                <w:b/>
              </w:rPr>
              <w:t>Buxheti i shteti</w:t>
            </w:r>
          </w:p>
        </w:tc>
        <w:tc>
          <w:tcPr>
            <w:tcW w:w="1392" w:type="dxa"/>
            <w:tcBorders>
              <w:top w:val="single" w:sz="4" w:space="0" w:color="auto"/>
              <w:left w:val="nil"/>
              <w:bottom w:val="single" w:sz="4" w:space="0" w:color="auto"/>
              <w:right w:val="single" w:sz="4" w:space="0" w:color="auto"/>
            </w:tcBorders>
            <w:shd w:val="clear" w:color="auto" w:fill="8DB3E2" w:themeFill="text2" w:themeFillTint="66"/>
            <w:noWrap/>
            <w:vAlign w:val="bottom"/>
            <w:hideMark/>
          </w:tcPr>
          <w:p w14:paraId="6EDD1095" w14:textId="77777777" w:rsidR="003227FF" w:rsidRPr="007114AF" w:rsidRDefault="003227FF" w:rsidP="003227FF">
            <w:pPr>
              <w:spacing w:after="0" w:line="240" w:lineRule="auto"/>
              <w:rPr>
                <w:rFonts w:ascii="Garamond" w:hAnsi="Garamond"/>
                <w:b/>
              </w:rPr>
            </w:pPr>
            <w:r w:rsidRPr="007114AF">
              <w:rPr>
                <w:rFonts w:ascii="Garamond" w:hAnsi="Garamond"/>
                <w:b/>
              </w:rPr>
              <w:t>Donatorët</w:t>
            </w:r>
          </w:p>
        </w:tc>
        <w:tc>
          <w:tcPr>
            <w:tcW w:w="1120" w:type="dxa"/>
            <w:tcBorders>
              <w:top w:val="single" w:sz="4" w:space="0" w:color="auto"/>
              <w:left w:val="nil"/>
              <w:bottom w:val="single" w:sz="4" w:space="0" w:color="auto"/>
              <w:right w:val="single" w:sz="4" w:space="0" w:color="auto"/>
            </w:tcBorders>
            <w:shd w:val="clear" w:color="auto" w:fill="8DB3E2" w:themeFill="text2" w:themeFillTint="66"/>
            <w:noWrap/>
            <w:vAlign w:val="bottom"/>
            <w:hideMark/>
          </w:tcPr>
          <w:p w14:paraId="6EDD1096" w14:textId="77777777" w:rsidR="003227FF" w:rsidRPr="007114AF" w:rsidRDefault="003227FF" w:rsidP="003227FF">
            <w:pPr>
              <w:spacing w:after="0" w:line="240" w:lineRule="auto"/>
              <w:rPr>
                <w:rFonts w:ascii="Garamond" w:hAnsi="Garamond"/>
                <w:b/>
              </w:rPr>
            </w:pPr>
            <w:r w:rsidRPr="007114AF">
              <w:rPr>
                <w:rFonts w:ascii="Garamond" w:hAnsi="Garamond"/>
                <w:b/>
              </w:rPr>
              <w:t>Të tjerë</w:t>
            </w:r>
          </w:p>
        </w:tc>
        <w:tc>
          <w:tcPr>
            <w:tcW w:w="1392" w:type="dxa"/>
            <w:tcBorders>
              <w:top w:val="single" w:sz="4" w:space="0" w:color="auto"/>
              <w:left w:val="nil"/>
              <w:bottom w:val="single" w:sz="4" w:space="0" w:color="auto"/>
              <w:right w:val="single" w:sz="4" w:space="0" w:color="auto"/>
            </w:tcBorders>
            <w:shd w:val="clear" w:color="auto" w:fill="8DB3E2" w:themeFill="text2" w:themeFillTint="66"/>
            <w:noWrap/>
            <w:vAlign w:val="bottom"/>
            <w:hideMark/>
          </w:tcPr>
          <w:p w14:paraId="6EDD1097" w14:textId="77777777" w:rsidR="003227FF" w:rsidRPr="007114AF" w:rsidRDefault="003227FF" w:rsidP="003227FF">
            <w:pPr>
              <w:spacing w:after="0" w:line="240" w:lineRule="auto"/>
              <w:rPr>
                <w:rFonts w:ascii="Garamond" w:hAnsi="Garamond"/>
                <w:b/>
              </w:rPr>
            </w:pPr>
            <w:r w:rsidRPr="007114AF">
              <w:rPr>
                <w:rFonts w:ascii="Garamond" w:hAnsi="Garamond"/>
                <w:b/>
              </w:rPr>
              <w:t>Boshllëku financiar</w:t>
            </w:r>
          </w:p>
        </w:tc>
      </w:tr>
      <w:tr w:rsidR="003227FF" w:rsidRPr="007114AF" w14:paraId="6EDD109F" w14:textId="77777777" w:rsidTr="00574660">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6EDD1099" w14:textId="77777777" w:rsidR="003227FF" w:rsidRPr="007114AF" w:rsidRDefault="003227FF" w:rsidP="003227FF">
            <w:pPr>
              <w:spacing w:after="0" w:line="240" w:lineRule="auto"/>
              <w:rPr>
                <w:rFonts w:ascii="Garamond" w:hAnsi="Garamond"/>
                <w:b/>
                <w:bCs/>
              </w:rPr>
            </w:pPr>
            <w:r w:rsidRPr="007114AF">
              <w:rPr>
                <w:rFonts w:ascii="Garamond" w:hAnsi="Garamond"/>
                <w:b/>
                <w:bCs/>
              </w:rPr>
              <w:t>Veprimet gjithëpërfshirësedhe kuadri i zbatimit</w:t>
            </w:r>
          </w:p>
        </w:tc>
        <w:tc>
          <w:tcPr>
            <w:tcW w:w="1710" w:type="dxa"/>
            <w:tcBorders>
              <w:top w:val="nil"/>
              <w:left w:val="nil"/>
              <w:bottom w:val="single" w:sz="4" w:space="0" w:color="auto"/>
              <w:right w:val="single" w:sz="4" w:space="0" w:color="auto"/>
            </w:tcBorders>
            <w:shd w:val="clear" w:color="auto" w:fill="auto"/>
            <w:noWrap/>
            <w:vAlign w:val="bottom"/>
            <w:hideMark/>
          </w:tcPr>
          <w:p w14:paraId="6EDD109A" w14:textId="77777777" w:rsidR="003227FF" w:rsidRPr="007114AF" w:rsidRDefault="003227FF" w:rsidP="003227FF">
            <w:pPr>
              <w:spacing w:after="0" w:line="240" w:lineRule="auto"/>
              <w:rPr>
                <w:rFonts w:ascii="Garamond" w:hAnsi="Garamond"/>
              </w:rPr>
            </w:pPr>
            <w:r w:rsidRPr="007114AF">
              <w:rPr>
                <w:rFonts w:ascii="Garamond" w:hAnsi="Garamond"/>
              </w:rPr>
              <w:t> </w:t>
            </w:r>
          </w:p>
        </w:tc>
        <w:tc>
          <w:tcPr>
            <w:tcW w:w="1392" w:type="dxa"/>
            <w:tcBorders>
              <w:top w:val="nil"/>
              <w:left w:val="nil"/>
              <w:bottom w:val="single" w:sz="4" w:space="0" w:color="auto"/>
              <w:right w:val="single" w:sz="4" w:space="0" w:color="auto"/>
            </w:tcBorders>
            <w:shd w:val="clear" w:color="auto" w:fill="auto"/>
            <w:noWrap/>
            <w:vAlign w:val="bottom"/>
            <w:hideMark/>
          </w:tcPr>
          <w:p w14:paraId="6EDD109B" w14:textId="77777777" w:rsidR="003227FF" w:rsidRPr="007114AF" w:rsidRDefault="003227FF" w:rsidP="003227FF">
            <w:pPr>
              <w:spacing w:after="0" w:line="240" w:lineRule="auto"/>
              <w:rPr>
                <w:rFonts w:ascii="Garamond" w:hAnsi="Garamond"/>
              </w:rPr>
            </w:pPr>
            <w:r w:rsidRPr="007114AF">
              <w:rPr>
                <w:rFonts w:ascii="Garamond" w:hAnsi="Garamond"/>
              </w:rPr>
              <w:t> </w:t>
            </w:r>
          </w:p>
        </w:tc>
        <w:tc>
          <w:tcPr>
            <w:tcW w:w="1392" w:type="dxa"/>
            <w:tcBorders>
              <w:top w:val="nil"/>
              <w:left w:val="nil"/>
              <w:bottom w:val="single" w:sz="4" w:space="0" w:color="auto"/>
              <w:right w:val="single" w:sz="4" w:space="0" w:color="auto"/>
            </w:tcBorders>
            <w:shd w:val="clear" w:color="auto" w:fill="auto"/>
            <w:noWrap/>
            <w:vAlign w:val="bottom"/>
            <w:hideMark/>
          </w:tcPr>
          <w:p w14:paraId="6EDD109C" w14:textId="77777777" w:rsidR="003227FF" w:rsidRPr="007114AF" w:rsidRDefault="003227FF" w:rsidP="003227FF">
            <w:pPr>
              <w:spacing w:after="0" w:line="240" w:lineRule="auto"/>
              <w:rPr>
                <w:rFonts w:ascii="Garamond" w:hAnsi="Garamond"/>
              </w:rPr>
            </w:pPr>
            <w:r w:rsidRPr="007114AF">
              <w:rPr>
                <w:rFonts w:ascii="Garamond" w:hAnsi="Garamond"/>
              </w:rPr>
              <w:t> </w:t>
            </w:r>
          </w:p>
        </w:tc>
        <w:tc>
          <w:tcPr>
            <w:tcW w:w="1120" w:type="dxa"/>
            <w:tcBorders>
              <w:top w:val="nil"/>
              <w:left w:val="nil"/>
              <w:bottom w:val="single" w:sz="4" w:space="0" w:color="auto"/>
              <w:right w:val="single" w:sz="4" w:space="0" w:color="auto"/>
            </w:tcBorders>
            <w:shd w:val="clear" w:color="auto" w:fill="auto"/>
            <w:noWrap/>
            <w:vAlign w:val="bottom"/>
            <w:hideMark/>
          </w:tcPr>
          <w:p w14:paraId="6EDD109D" w14:textId="77777777" w:rsidR="003227FF" w:rsidRPr="007114AF" w:rsidRDefault="003227FF" w:rsidP="003227FF">
            <w:pPr>
              <w:spacing w:after="0" w:line="240" w:lineRule="auto"/>
              <w:rPr>
                <w:rFonts w:ascii="Garamond" w:hAnsi="Garamond"/>
              </w:rPr>
            </w:pPr>
            <w:r w:rsidRPr="007114AF">
              <w:rPr>
                <w:rFonts w:ascii="Garamond" w:hAnsi="Garamond"/>
              </w:rPr>
              <w:t> </w:t>
            </w:r>
          </w:p>
        </w:tc>
        <w:tc>
          <w:tcPr>
            <w:tcW w:w="1392" w:type="dxa"/>
            <w:tcBorders>
              <w:top w:val="nil"/>
              <w:left w:val="nil"/>
              <w:bottom w:val="single" w:sz="4" w:space="0" w:color="auto"/>
              <w:right w:val="single" w:sz="4" w:space="0" w:color="auto"/>
            </w:tcBorders>
            <w:shd w:val="clear" w:color="auto" w:fill="auto"/>
            <w:noWrap/>
            <w:vAlign w:val="bottom"/>
            <w:hideMark/>
          </w:tcPr>
          <w:p w14:paraId="6EDD109E" w14:textId="77777777" w:rsidR="003227FF" w:rsidRPr="007114AF" w:rsidRDefault="003227FF" w:rsidP="003227FF">
            <w:pPr>
              <w:spacing w:after="0" w:line="240" w:lineRule="auto"/>
              <w:rPr>
                <w:rFonts w:ascii="Garamond" w:hAnsi="Garamond"/>
              </w:rPr>
            </w:pPr>
            <w:r w:rsidRPr="007114AF">
              <w:rPr>
                <w:rFonts w:ascii="Garamond" w:hAnsi="Garamond"/>
              </w:rPr>
              <w:t> </w:t>
            </w:r>
          </w:p>
        </w:tc>
      </w:tr>
      <w:tr w:rsidR="003227FF" w:rsidRPr="007114AF" w14:paraId="6EDD10A6" w14:textId="77777777" w:rsidTr="003227FF">
        <w:trPr>
          <w:trHeight w:val="157"/>
        </w:trPr>
        <w:tc>
          <w:tcPr>
            <w:tcW w:w="2265" w:type="dxa"/>
            <w:tcBorders>
              <w:top w:val="nil"/>
              <w:left w:val="single" w:sz="4" w:space="0" w:color="auto"/>
              <w:bottom w:val="single" w:sz="4" w:space="0" w:color="auto"/>
              <w:right w:val="single" w:sz="4" w:space="0" w:color="auto"/>
            </w:tcBorders>
            <w:shd w:val="clear" w:color="auto" w:fill="auto"/>
            <w:noWrap/>
            <w:hideMark/>
          </w:tcPr>
          <w:p w14:paraId="6EDD10A0" w14:textId="77777777" w:rsidR="003227FF" w:rsidRPr="007114AF" w:rsidRDefault="003227FF" w:rsidP="003227FF">
            <w:pPr>
              <w:spacing w:after="0" w:line="240" w:lineRule="auto"/>
              <w:jc w:val="center"/>
              <w:rPr>
                <w:rFonts w:ascii="Garamond" w:hAnsi="Garamond"/>
              </w:rPr>
            </w:pPr>
            <w:r w:rsidRPr="007114AF">
              <w:rPr>
                <w:rFonts w:ascii="Garamond" w:hAnsi="Garamond"/>
              </w:rPr>
              <w:t>PA 1</w:t>
            </w:r>
          </w:p>
        </w:tc>
        <w:tc>
          <w:tcPr>
            <w:tcW w:w="1710" w:type="dxa"/>
            <w:tcBorders>
              <w:top w:val="nil"/>
              <w:left w:val="nil"/>
              <w:bottom w:val="single" w:sz="4" w:space="0" w:color="auto"/>
              <w:right w:val="single" w:sz="4" w:space="0" w:color="auto"/>
            </w:tcBorders>
            <w:shd w:val="clear" w:color="auto" w:fill="auto"/>
            <w:noWrap/>
            <w:hideMark/>
          </w:tcPr>
          <w:p w14:paraId="6EDD10A1" w14:textId="77777777" w:rsidR="003227FF" w:rsidRPr="007114AF" w:rsidRDefault="003227FF" w:rsidP="003227FF">
            <w:pPr>
              <w:spacing w:after="0" w:line="240" w:lineRule="auto"/>
              <w:jc w:val="center"/>
              <w:rPr>
                <w:rFonts w:ascii="Garamond" w:hAnsi="Garamond"/>
              </w:rPr>
            </w:pPr>
            <w:r w:rsidRPr="007114AF">
              <w:rPr>
                <w:rFonts w:ascii="Garamond" w:hAnsi="Garamond"/>
              </w:rPr>
              <w:t>10,800.00</w:t>
            </w:r>
          </w:p>
        </w:tc>
        <w:tc>
          <w:tcPr>
            <w:tcW w:w="1392" w:type="dxa"/>
            <w:tcBorders>
              <w:top w:val="nil"/>
              <w:left w:val="nil"/>
              <w:bottom w:val="single" w:sz="4" w:space="0" w:color="auto"/>
              <w:right w:val="single" w:sz="4" w:space="0" w:color="auto"/>
            </w:tcBorders>
            <w:shd w:val="clear" w:color="auto" w:fill="auto"/>
            <w:noWrap/>
            <w:hideMark/>
          </w:tcPr>
          <w:p w14:paraId="6EDD10A2" w14:textId="77777777" w:rsidR="003227FF" w:rsidRPr="007114AF" w:rsidRDefault="003227FF" w:rsidP="003227FF">
            <w:pPr>
              <w:spacing w:after="0" w:line="240" w:lineRule="auto"/>
              <w:jc w:val="center"/>
              <w:rPr>
                <w:rFonts w:ascii="Garamond" w:hAnsi="Garamond"/>
              </w:rPr>
            </w:pPr>
            <w:r w:rsidRPr="007114AF">
              <w:rPr>
                <w:rFonts w:ascii="Garamond" w:hAnsi="Garamond"/>
              </w:rPr>
              <w:t>10,800.00</w:t>
            </w:r>
          </w:p>
        </w:tc>
        <w:tc>
          <w:tcPr>
            <w:tcW w:w="1392" w:type="dxa"/>
            <w:tcBorders>
              <w:top w:val="nil"/>
              <w:left w:val="nil"/>
              <w:bottom w:val="single" w:sz="4" w:space="0" w:color="auto"/>
              <w:right w:val="single" w:sz="4" w:space="0" w:color="auto"/>
            </w:tcBorders>
            <w:shd w:val="clear" w:color="auto" w:fill="auto"/>
            <w:noWrap/>
            <w:hideMark/>
          </w:tcPr>
          <w:p w14:paraId="6EDD10A3"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120" w:type="dxa"/>
            <w:tcBorders>
              <w:top w:val="nil"/>
              <w:left w:val="nil"/>
              <w:bottom w:val="single" w:sz="4" w:space="0" w:color="auto"/>
              <w:right w:val="single" w:sz="4" w:space="0" w:color="auto"/>
            </w:tcBorders>
            <w:shd w:val="clear" w:color="auto" w:fill="auto"/>
            <w:noWrap/>
            <w:hideMark/>
          </w:tcPr>
          <w:p w14:paraId="6EDD10A4"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A5"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r>
      <w:tr w:rsidR="003227FF" w:rsidRPr="007114AF" w14:paraId="6EDD10AD" w14:textId="77777777" w:rsidTr="003227FF">
        <w:trPr>
          <w:trHeight w:val="236"/>
        </w:trPr>
        <w:tc>
          <w:tcPr>
            <w:tcW w:w="2265" w:type="dxa"/>
            <w:tcBorders>
              <w:top w:val="nil"/>
              <w:left w:val="single" w:sz="4" w:space="0" w:color="auto"/>
              <w:bottom w:val="single" w:sz="4" w:space="0" w:color="auto"/>
              <w:right w:val="single" w:sz="4" w:space="0" w:color="auto"/>
            </w:tcBorders>
            <w:shd w:val="clear" w:color="auto" w:fill="auto"/>
            <w:noWrap/>
            <w:hideMark/>
          </w:tcPr>
          <w:p w14:paraId="6EDD10A7" w14:textId="77777777" w:rsidR="003227FF" w:rsidRPr="007114AF" w:rsidRDefault="003227FF" w:rsidP="003227FF">
            <w:pPr>
              <w:spacing w:after="0" w:line="240" w:lineRule="auto"/>
              <w:jc w:val="center"/>
              <w:rPr>
                <w:rFonts w:ascii="Garamond" w:hAnsi="Garamond"/>
              </w:rPr>
            </w:pPr>
            <w:r w:rsidRPr="007114AF">
              <w:rPr>
                <w:rFonts w:ascii="Garamond" w:hAnsi="Garamond"/>
              </w:rPr>
              <w:t>PA 2</w:t>
            </w:r>
          </w:p>
        </w:tc>
        <w:tc>
          <w:tcPr>
            <w:tcW w:w="1710" w:type="dxa"/>
            <w:tcBorders>
              <w:top w:val="nil"/>
              <w:left w:val="nil"/>
              <w:bottom w:val="single" w:sz="4" w:space="0" w:color="auto"/>
              <w:right w:val="single" w:sz="4" w:space="0" w:color="auto"/>
            </w:tcBorders>
            <w:shd w:val="clear" w:color="auto" w:fill="auto"/>
            <w:noWrap/>
            <w:hideMark/>
          </w:tcPr>
          <w:p w14:paraId="6EDD10A8" w14:textId="77777777" w:rsidR="003227FF" w:rsidRPr="007114AF" w:rsidRDefault="003227FF" w:rsidP="003227FF">
            <w:pPr>
              <w:spacing w:after="0" w:line="240" w:lineRule="auto"/>
              <w:jc w:val="center"/>
              <w:rPr>
                <w:rFonts w:ascii="Garamond" w:hAnsi="Garamond"/>
              </w:rPr>
            </w:pPr>
            <w:r w:rsidRPr="007114AF">
              <w:rPr>
                <w:rFonts w:ascii="Garamond" w:hAnsi="Garamond"/>
              </w:rPr>
              <w:t>16,000.00</w:t>
            </w:r>
          </w:p>
        </w:tc>
        <w:tc>
          <w:tcPr>
            <w:tcW w:w="1392" w:type="dxa"/>
            <w:tcBorders>
              <w:top w:val="nil"/>
              <w:left w:val="nil"/>
              <w:bottom w:val="single" w:sz="4" w:space="0" w:color="auto"/>
              <w:right w:val="single" w:sz="4" w:space="0" w:color="auto"/>
            </w:tcBorders>
            <w:shd w:val="clear" w:color="auto" w:fill="auto"/>
            <w:noWrap/>
            <w:hideMark/>
          </w:tcPr>
          <w:p w14:paraId="6EDD10A9"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AA" w14:textId="77777777" w:rsidR="003227FF" w:rsidRPr="007114AF" w:rsidRDefault="003227FF" w:rsidP="003227FF">
            <w:pPr>
              <w:spacing w:after="0" w:line="240" w:lineRule="auto"/>
              <w:jc w:val="center"/>
              <w:rPr>
                <w:rFonts w:ascii="Garamond" w:hAnsi="Garamond"/>
              </w:rPr>
            </w:pPr>
            <w:r w:rsidRPr="007114AF">
              <w:rPr>
                <w:rFonts w:ascii="Garamond" w:hAnsi="Garamond"/>
              </w:rPr>
              <w:t>5,000.00</w:t>
            </w:r>
          </w:p>
        </w:tc>
        <w:tc>
          <w:tcPr>
            <w:tcW w:w="1120" w:type="dxa"/>
            <w:tcBorders>
              <w:top w:val="nil"/>
              <w:left w:val="nil"/>
              <w:bottom w:val="single" w:sz="4" w:space="0" w:color="auto"/>
              <w:right w:val="single" w:sz="4" w:space="0" w:color="auto"/>
            </w:tcBorders>
            <w:shd w:val="clear" w:color="auto" w:fill="auto"/>
            <w:noWrap/>
            <w:hideMark/>
          </w:tcPr>
          <w:p w14:paraId="6EDD10AB"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AC" w14:textId="77777777" w:rsidR="003227FF" w:rsidRPr="007114AF" w:rsidRDefault="003227FF" w:rsidP="003227FF">
            <w:pPr>
              <w:spacing w:after="0" w:line="240" w:lineRule="auto"/>
              <w:jc w:val="center"/>
              <w:rPr>
                <w:rFonts w:ascii="Garamond" w:hAnsi="Garamond"/>
              </w:rPr>
            </w:pPr>
            <w:r w:rsidRPr="007114AF">
              <w:rPr>
                <w:rFonts w:ascii="Garamond" w:hAnsi="Garamond"/>
              </w:rPr>
              <w:t>11,000.00</w:t>
            </w:r>
          </w:p>
        </w:tc>
      </w:tr>
      <w:tr w:rsidR="003227FF" w:rsidRPr="007114AF" w14:paraId="6EDD10B4"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0AE" w14:textId="77777777" w:rsidR="003227FF" w:rsidRPr="007114AF" w:rsidRDefault="003227FF" w:rsidP="003227FF">
            <w:pPr>
              <w:spacing w:after="0" w:line="240" w:lineRule="auto"/>
              <w:jc w:val="center"/>
              <w:rPr>
                <w:rFonts w:ascii="Garamond" w:hAnsi="Garamond"/>
              </w:rPr>
            </w:pPr>
            <w:r w:rsidRPr="007114AF">
              <w:rPr>
                <w:rFonts w:ascii="Garamond" w:hAnsi="Garamond"/>
              </w:rPr>
              <w:t>PA 3</w:t>
            </w:r>
          </w:p>
        </w:tc>
        <w:tc>
          <w:tcPr>
            <w:tcW w:w="1710" w:type="dxa"/>
            <w:tcBorders>
              <w:top w:val="nil"/>
              <w:left w:val="nil"/>
              <w:bottom w:val="single" w:sz="4" w:space="0" w:color="auto"/>
              <w:right w:val="single" w:sz="4" w:space="0" w:color="auto"/>
            </w:tcBorders>
            <w:shd w:val="clear" w:color="auto" w:fill="auto"/>
            <w:noWrap/>
            <w:hideMark/>
          </w:tcPr>
          <w:p w14:paraId="6EDD10AF" w14:textId="77777777" w:rsidR="003227FF" w:rsidRPr="007114AF" w:rsidRDefault="003227FF" w:rsidP="003227FF">
            <w:pPr>
              <w:spacing w:after="0" w:line="240" w:lineRule="auto"/>
              <w:jc w:val="center"/>
              <w:rPr>
                <w:rFonts w:ascii="Garamond" w:hAnsi="Garamond"/>
              </w:rPr>
            </w:pPr>
            <w:r w:rsidRPr="007114AF">
              <w:rPr>
                <w:rFonts w:ascii="Garamond" w:hAnsi="Garamond"/>
              </w:rPr>
              <w:t>150,000.00</w:t>
            </w:r>
          </w:p>
        </w:tc>
        <w:tc>
          <w:tcPr>
            <w:tcW w:w="1392" w:type="dxa"/>
            <w:tcBorders>
              <w:top w:val="nil"/>
              <w:left w:val="nil"/>
              <w:bottom w:val="single" w:sz="4" w:space="0" w:color="auto"/>
              <w:right w:val="single" w:sz="4" w:space="0" w:color="auto"/>
            </w:tcBorders>
            <w:shd w:val="clear" w:color="auto" w:fill="auto"/>
            <w:noWrap/>
            <w:hideMark/>
          </w:tcPr>
          <w:p w14:paraId="6EDD10B0" w14:textId="77777777" w:rsidR="003227FF" w:rsidRPr="007114AF" w:rsidRDefault="003227FF" w:rsidP="003227FF">
            <w:pPr>
              <w:spacing w:after="0" w:line="240" w:lineRule="auto"/>
              <w:jc w:val="center"/>
              <w:rPr>
                <w:rFonts w:ascii="Garamond" w:hAnsi="Garamond"/>
              </w:rPr>
            </w:pPr>
            <w:r w:rsidRPr="007114AF">
              <w:rPr>
                <w:rFonts w:ascii="Garamond" w:hAnsi="Garamond"/>
              </w:rPr>
              <w:t>4,920.00</w:t>
            </w:r>
          </w:p>
        </w:tc>
        <w:tc>
          <w:tcPr>
            <w:tcW w:w="1392" w:type="dxa"/>
            <w:tcBorders>
              <w:top w:val="nil"/>
              <w:left w:val="nil"/>
              <w:bottom w:val="single" w:sz="4" w:space="0" w:color="auto"/>
              <w:right w:val="single" w:sz="4" w:space="0" w:color="auto"/>
            </w:tcBorders>
            <w:shd w:val="clear" w:color="auto" w:fill="auto"/>
            <w:noWrap/>
            <w:hideMark/>
          </w:tcPr>
          <w:p w14:paraId="6EDD10B1" w14:textId="77777777" w:rsidR="003227FF" w:rsidRPr="007114AF" w:rsidRDefault="003227FF" w:rsidP="003227FF">
            <w:pPr>
              <w:spacing w:after="0" w:line="240" w:lineRule="auto"/>
              <w:jc w:val="center"/>
              <w:rPr>
                <w:rFonts w:ascii="Garamond" w:hAnsi="Garamond"/>
              </w:rPr>
            </w:pPr>
            <w:r w:rsidRPr="007114AF">
              <w:rPr>
                <w:rFonts w:ascii="Garamond" w:hAnsi="Garamond"/>
              </w:rPr>
              <w:t>49,200.00</w:t>
            </w:r>
          </w:p>
        </w:tc>
        <w:tc>
          <w:tcPr>
            <w:tcW w:w="1120" w:type="dxa"/>
            <w:tcBorders>
              <w:top w:val="nil"/>
              <w:left w:val="nil"/>
              <w:bottom w:val="single" w:sz="4" w:space="0" w:color="auto"/>
              <w:right w:val="single" w:sz="4" w:space="0" w:color="auto"/>
            </w:tcBorders>
            <w:shd w:val="clear" w:color="auto" w:fill="auto"/>
            <w:noWrap/>
            <w:hideMark/>
          </w:tcPr>
          <w:p w14:paraId="6EDD10B2"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B3" w14:textId="77777777" w:rsidR="003227FF" w:rsidRPr="007114AF" w:rsidRDefault="003227FF" w:rsidP="003227FF">
            <w:pPr>
              <w:spacing w:after="0" w:line="240" w:lineRule="auto"/>
              <w:jc w:val="center"/>
              <w:rPr>
                <w:rFonts w:ascii="Garamond" w:hAnsi="Garamond"/>
              </w:rPr>
            </w:pPr>
            <w:r w:rsidRPr="007114AF">
              <w:rPr>
                <w:rFonts w:ascii="Garamond" w:hAnsi="Garamond"/>
              </w:rPr>
              <w:t>95,880.00</w:t>
            </w:r>
          </w:p>
        </w:tc>
      </w:tr>
      <w:tr w:rsidR="003227FF" w:rsidRPr="007114AF" w14:paraId="6EDD10BB"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0B5" w14:textId="77777777" w:rsidR="003227FF" w:rsidRPr="007114AF" w:rsidRDefault="003227FF" w:rsidP="003227FF">
            <w:pPr>
              <w:spacing w:after="0" w:line="240" w:lineRule="auto"/>
              <w:jc w:val="center"/>
              <w:rPr>
                <w:rFonts w:ascii="Garamond" w:hAnsi="Garamond"/>
              </w:rPr>
            </w:pPr>
            <w:r w:rsidRPr="007114AF">
              <w:rPr>
                <w:rFonts w:ascii="Garamond" w:hAnsi="Garamond"/>
              </w:rPr>
              <w:t>PA 4</w:t>
            </w:r>
          </w:p>
        </w:tc>
        <w:tc>
          <w:tcPr>
            <w:tcW w:w="1710" w:type="dxa"/>
            <w:tcBorders>
              <w:top w:val="nil"/>
              <w:left w:val="nil"/>
              <w:bottom w:val="single" w:sz="4" w:space="0" w:color="auto"/>
              <w:right w:val="single" w:sz="4" w:space="0" w:color="auto"/>
            </w:tcBorders>
            <w:shd w:val="clear" w:color="auto" w:fill="auto"/>
            <w:noWrap/>
            <w:hideMark/>
          </w:tcPr>
          <w:p w14:paraId="6EDD10B6" w14:textId="77777777" w:rsidR="003227FF" w:rsidRPr="007114AF" w:rsidRDefault="003227FF" w:rsidP="003227FF">
            <w:pPr>
              <w:spacing w:after="0" w:line="240" w:lineRule="auto"/>
              <w:jc w:val="center"/>
              <w:rPr>
                <w:rFonts w:ascii="Garamond" w:hAnsi="Garamond"/>
              </w:rPr>
            </w:pPr>
            <w:r w:rsidRPr="007114AF">
              <w:rPr>
                <w:rFonts w:ascii="Garamond" w:hAnsi="Garamond"/>
              </w:rPr>
              <w:t>688,000.00</w:t>
            </w:r>
          </w:p>
        </w:tc>
        <w:tc>
          <w:tcPr>
            <w:tcW w:w="1392" w:type="dxa"/>
            <w:tcBorders>
              <w:top w:val="nil"/>
              <w:left w:val="nil"/>
              <w:bottom w:val="single" w:sz="4" w:space="0" w:color="auto"/>
              <w:right w:val="single" w:sz="4" w:space="0" w:color="auto"/>
            </w:tcBorders>
            <w:shd w:val="clear" w:color="auto" w:fill="auto"/>
            <w:noWrap/>
            <w:hideMark/>
          </w:tcPr>
          <w:p w14:paraId="6EDD10B7"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B8" w14:textId="77777777" w:rsidR="003227FF" w:rsidRPr="007114AF" w:rsidRDefault="003227FF" w:rsidP="003227FF">
            <w:pPr>
              <w:spacing w:after="0" w:line="240" w:lineRule="auto"/>
              <w:jc w:val="center"/>
              <w:rPr>
                <w:rFonts w:ascii="Garamond" w:hAnsi="Garamond"/>
              </w:rPr>
            </w:pPr>
            <w:r w:rsidRPr="007114AF">
              <w:rPr>
                <w:rFonts w:ascii="Garamond" w:hAnsi="Garamond"/>
              </w:rPr>
              <w:t>688,000.00</w:t>
            </w:r>
          </w:p>
        </w:tc>
        <w:tc>
          <w:tcPr>
            <w:tcW w:w="1120" w:type="dxa"/>
            <w:tcBorders>
              <w:top w:val="nil"/>
              <w:left w:val="nil"/>
              <w:bottom w:val="single" w:sz="4" w:space="0" w:color="auto"/>
              <w:right w:val="single" w:sz="4" w:space="0" w:color="auto"/>
            </w:tcBorders>
            <w:shd w:val="clear" w:color="auto" w:fill="auto"/>
            <w:noWrap/>
            <w:hideMark/>
          </w:tcPr>
          <w:p w14:paraId="6EDD10B9"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BA"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r>
      <w:tr w:rsidR="003227FF" w:rsidRPr="007114AF" w14:paraId="6EDD10C2" w14:textId="77777777" w:rsidTr="00AC0CE4">
        <w:trPr>
          <w:trHeight w:val="181"/>
        </w:trPr>
        <w:tc>
          <w:tcPr>
            <w:tcW w:w="2265" w:type="dxa"/>
            <w:tcBorders>
              <w:top w:val="nil"/>
              <w:left w:val="single" w:sz="4" w:space="0" w:color="auto"/>
              <w:bottom w:val="single" w:sz="4" w:space="0" w:color="auto"/>
              <w:right w:val="single" w:sz="4" w:space="0" w:color="auto"/>
            </w:tcBorders>
            <w:shd w:val="clear" w:color="auto" w:fill="auto"/>
            <w:noWrap/>
            <w:hideMark/>
          </w:tcPr>
          <w:p w14:paraId="6EDD10BC" w14:textId="77777777" w:rsidR="003227FF" w:rsidRPr="007114AF" w:rsidRDefault="003227FF" w:rsidP="003227FF">
            <w:pPr>
              <w:spacing w:after="0" w:line="240" w:lineRule="auto"/>
              <w:jc w:val="center"/>
              <w:rPr>
                <w:rFonts w:ascii="Garamond" w:hAnsi="Garamond"/>
              </w:rPr>
            </w:pPr>
            <w:r w:rsidRPr="007114AF">
              <w:rPr>
                <w:rFonts w:ascii="Garamond" w:hAnsi="Garamond"/>
              </w:rPr>
              <w:t>PA 5</w:t>
            </w:r>
          </w:p>
        </w:tc>
        <w:tc>
          <w:tcPr>
            <w:tcW w:w="1710" w:type="dxa"/>
            <w:tcBorders>
              <w:top w:val="nil"/>
              <w:left w:val="nil"/>
              <w:bottom w:val="single" w:sz="4" w:space="0" w:color="auto"/>
              <w:right w:val="single" w:sz="4" w:space="0" w:color="auto"/>
            </w:tcBorders>
            <w:shd w:val="clear" w:color="auto" w:fill="auto"/>
            <w:noWrap/>
            <w:hideMark/>
          </w:tcPr>
          <w:p w14:paraId="6EDD10BD" w14:textId="77777777" w:rsidR="003227FF" w:rsidRPr="007114AF" w:rsidRDefault="003227FF" w:rsidP="003227FF">
            <w:pPr>
              <w:spacing w:after="0" w:line="240" w:lineRule="auto"/>
              <w:jc w:val="center"/>
              <w:rPr>
                <w:rFonts w:ascii="Garamond" w:hAnsi="Garamond"/>
              </w:rPr>
            </w:pPr>
            <w:r w:rsidRPr="007114AF">
              <w:rPr>
                <w:rFonts w:ascii="Garamond" w:hAnsi="Garamond"/>
              </w:rPr>
              <w:t>93,750.00</w:t>
            </w:r>
          </w:p>
        </w:tc>
        <w:tc>
          <w:tcPr>
            <w:tcW w:w="1392" w:type="dxa"/>
            <w:tcBorders>
              <w:top w:val="nil"/>
              <w:left w:val="nil"/>
              <w:bottom w:val="single" w:sz="4" w:space="0" w:color="auto"/>
              <w:right w:val="single" w:sz="4" w:space="0" w:color="auto"/>
            </w:tcBorders>
            <w:shd w:val="clear" w:color="auto" w:fill="auto"/>
            <w:noWrap/>
            <w:hideMark/>
          </w:tcPr>
          <w:p w14:paraId="6EDD10BE" w14:textId="77777777" w:rsidR="003227FF" w:rsidRPr="007114AF" w:rsidRDefault="003227FF" w:rsidP="003227FF">
            <w:pPr>
              <w:spacing w:after="0" w:line="240" w:lineRule="auto"/>
              <w:jc w:val="center"/>
              <w:rPr>
                <w:rFonts w:ascii="Garamond" w:hAnsi="Garamond"/>
              </w:rPr>
            </w:pPr>
          </w:p>
        </w:tc>
        <w:tc>
          <w:tcPr>
            <w:tcW w:w="1392" w:type="dxa"/>
            <w:tcBorders>
              <w:top w:val="nil"/>
              <w:left w:val="nil"/>
              <w:bottom w:val="single" w:sz="4" w:space="0" w:color="auto"/>
              <w:right w:val="single" w:sz="4" w:space="0" w:color="auto"/>
            </w:tcBorders>
            <w:shd w:val="clear" w:color="auto" w:fill="auto"/>
            <w:noWrap/>
            <w:hideMark/>
          </w:tcPr>
          <w:p w14:paraId="6EDD10BF" w14:textId="77777777" w:rsidR="003227FF" w:rsidRPr="007114AF" w:rsidRDefault="003227FF" w:rsidP="003227FF">
            <w:pPr>
              <w:spacing w:after="0" w:line="240" w:lineRule="auto"/>
              <w:jc w:val="center"/>
              <w:rPr>
                <w:rFonts w:ascii="Garamond" w:hAnsi="Garamond"/>
              </w:rPr>
            </w:pPr>
            <w:r w:rsidRPr="007114AF">
              <w:rPr>
                <w:rFonts w:ascii="Garamond" w:hAnsi="Garamond"/>
              </w:rPr>
              <w:t>50,000.00</w:t>
            </w:r>
          </w:p>
        </w:tc>
        <w:tc>
          <w:tcPr>
            <w:tcW w:w="1120" w:type="dxa"/>
            <w:tcBorders>
              <w:top w:val="nil"/>
              <w:left w:val="nil"/>
              <w:bottom w:val="single" w:sz="4" w:space="0" w:color="auto"/>
              <w:right w:val="single" w:sz="4" w:space="0" w:color="auto"/>
            </w:tcBorders>
            <w:shd w:val="clear" w:color="auto" w:fill="auto"/>
            <w:noWrap/>
            <w:hideMark/>
          </w:tcPr>
          <w:p w14:paraId="6EDD10C0" w14:textId="77777777" w:rsidR="003227FF" w:rsidRPr="007114AF" w:rsidRDefault="003227FF" w:rsidP="003227FF">
            <w:pPr>
              <w:spacing w:after="0" w:line="240" w:lineRule="auto"/>
              <w:jc w:val="center"/>
              <w:rPr>
                <w:rFonts w:ascii="Garamond" w:hAnsi="Garamond"/>
              </w:rPr>
            </w:pPr>
            <w:r w:rsidRPr="007114AF">
              <w:rPr>
                <w:rFonts w:ascii="Garamond" w:hAnsi="Garamond"/>
              </w:rPr>
              <w:t>43,750.00</w:t>
            </w:r>
          </w:p>
        </w:tc>
        <w:tc>
          <w:tcPr>
            <w:tcW w:w="1392" w:type="dxa"/>
            <w:tcBorders>
              <w:top w:val="nil"/>
              <w:left w:val="nil"/>
              <w:bottom w:val="single" w:sz="4" w:space="0" w:color="auto"/>
              <w:right w:val="single" w:sz="4" w:space="0" w:color="auto"/>
            </w:tcBorders>
            <w:shd w:val="clear" w:color="auto" w:fill="auto"/>
            <w:noWrap/>
            <w:hideMark/>
          </w:tcPr>
          <w:p w14:paraId="6EDD10C1"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r>
      <w:tr w:rsidR="003227FF" w:rsidRPr="007114AF" w14:paraId="6EDD10C9" w14:textId="77777777" w:rsidTr="00AC0CE4">
        <w:trPr>
          <w:trHeight w:val="157"/>
        </w:trPr>
        <w:tc>
          <w:tcPr>
            <w:tcW w:w="2265" w:type="dxa"/>
            <w:tcBorders>
              <w:top w:val="nil"/>
              <w:left w:val="single" w:sz="4" w:space="0" w:color="auto"/>
              <w:bottom w:val="single" w:sz="4" w:space="0" w:color="auto"/>
              <w:right w:val="single" w:sz="4" w:space="0" w:color="auto"/>
            </w:tcBorders>
            <w:shd w:val="clear" w:color="auto" w:fill="auto"/>
            <w:noWrap/>
            <w:hideMark/>
          </w:tcPr>
          <w:p w14:paraId="6EDD10C3" w14:textId="77777777" w:rsidR="003227FF" w:rsidRPr="007114AF" w:rsidRDefault="003227FF" w:rsidP="003227FF">
            <w:pPr>
              <w:spacing w:after="0" w:line="240" w:lineRule="auto"/>
              <w:jc w:val="center"/>
              <w:rPr>
                <w:rFonts w:ascii="Garamond" w:hAnsi="Garamond"/>
              </w:rPr>
            </w:pPr>
            <w:r w:rsidRPr="007114AF">
              <w:rPr>
                <w:rFonts w:ascii="Garamond" w:hAnsi="Garamond"/>
              </w:rPr>
              <w:t>PA 6</w:t>
            </w:r>
          </w:p>
        </w:tc>
        <w:tc>
          <w:tcPr>
            <w:tcW w:w="1710" w:type="dxa"/>
            <w:tcBorders>
              <w:top w:val="nil"/>
              <w:left w:val="nil"/>
              <w:bottom w:val="single" w:sz="4" w:space="0" w:color="auto"/>
              <w:right w:val="single" w:sz="4" w:space="0" w:color="auto"/>
            </w:tcBorders>
            <w:shd w:val="clear" w:color="auto" w:fill="auto"/>
            <w:noWrap/>
            <w:hideMark/>
          </w:tcPr>
          <w:p w14:paraId="6EDD10C4" w14:textId="77777777" w:rsidR="003227FF" w:rsidRPr="007114AF" w:rsidRDefault="003227FF" w:rsidP="003227FF">
            <w:pPr>
              <w:spacing w:after="0" w:line="240" w:lineRule="auto"/>
              <w:jc w:val="center"/>
              <w:rPr>
                <w:rFonts w:ascii="Garamond" w:hAnsi="Garamond"/>
              </w:rPr>
            </w:pPr>
            <w:r w:rsidRPr="007114AF">
              <w:rPr>
                <w:rFonts w:ascii="Garamond" w:hAnsi="Garamond"/>
              </w:rPr>
              <w:t>246,000.00</w:t>
            </w:r>
          </w:p>
        </w:tc>
        <w:tc>
          <w:tcPr>
            <w:tcW w:w="1392" w:type="dxa"/>
            <w:tcBorders>
              <w:top w:val="nil"/>
              <w:left w:val="nil"/>
              <w:bottom w:val="single" w:sz="4" w:space="0" w:color="auto"/>
              <w:right w:val="single" w:sz="4" w:space="0" w:color="auto"/>
            </w:tcBorders>
            <w:shd w:val="clear" w:color="auto" w:fill="auto"/>
            <w:noWrap/>
            <w:hideMark/>
          </w:tcPr>
          <w:p w14:paraId="6EDD10C5" w14:textId="77777777" w:rsidR="003227FF" w:rsidRPr="007114AF" w:rsidRDefault="003227FF" w:rsidP="003227FF">
            <w:pPr>
              <w:spacing w:after="0" w:line="240" w:lineRule="auto"/>
              <w:jc w:val="center"/>
              <w:rPr>
                <w:rFonts w:ascii="Garamond" w:hAnsi="Garamond"/>
              </w:rPr>
            </w:pPr>
          </w:p>
        </w:tc>
        <w:tc>
          <w:tcPr>
            <w:tcW w:w="1392" w:type="dxa"/>
            <w:tcBorders>
              <w:top w:val="nil"/>
              <w:left w:val="nil"/>
              <w:bottom w:val="single" w:sz="4" w:space="0" w:color="auto"/>
              <w:right w:val="single" w:sz="4" w:space="0" w:color="auto"/>
            </w:tcBorders>
            <w:shd w:val="clear" w:color="auto" w:fill="auto"/>
            <w:noWrap/>
            <w:hideMark/>
          </w:tcPr>
          <w:p w14:paraId="6EDD10C6" w14:textId="77777777" w:rsidR="003227FF" w:rsidRPr="007114AF" w:rsidRDefault="003227FF" w:rsidP="003227FF">
            <w:pPr>
              <w:spacing w:after="0" w:line="240" w:lineRule="auto"/>
              <w:jc w:val="center"/>
              <w:rPr>
                <w:rFonts w:ascii="Garamond" w:hAnsi="Garamond"/>
              </w:rPr>
            </w:pPr>
            <w:r w:rsidRPr="007114AF">
              <w:rPr>
                <w:rFonts w:ascii="Garamond" w:hAnsi="Garamond"/>
              </w:rPr>
              <w:t>246,000.00</w:t>
            </w:r>
          </w:p>
        </w:tc>
        <w:tc>
          <w:tcPr>
            <w:tcW w:w="1120" w:type="dxa"/>
            <w:tcBorders>
              <w:top w:val="nil"/>
              <w:left w:val="nil"/>
              <w:bottom w:val="single" w:sz="4" w:space="0" w:color="auto"/>
              <w:right w:val="single" w:sz="4" w:space="0" w:color="auto"/>
            </w:tcBorders>
            <w:shd w:val="clear" w:color="auto" w:fill="auto"/>
            <w:noWrap/>
            <w:hideMark/>
          </w:tcPr>
          <w:p w14:paraId="6EDD10C7"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C8"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r>
      <w:tr w:rsidR="003227FF" w:rsidRPr="007114AF" w14:paraId="6EDD10D0"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0CA" w14:textId="77777777" w:rsidR="003227FF" w:rsidRPr="007114AF" w:rsidRDefault="003227FF" w:rsidP="003227FF">
            <w:pPr>
              <w:spacing w:after="0" w:line="240" w:lineRule="auto"/>
              <w:jc w:val="center"/>
              <w:rPr>
                <w:rFonts w:ascii="Garamond" w:hAnsi="Garamond"/>
                <w:b/>
                <w:bCs/>
              </w:rPr>
            </w:pPr>
            <w:r w:rsidRPr="007114AF">
              <w:rPr>
                <w:rFonts w:ascii="Garamond" w:hAnsi="Garamond"/>
                <w:b/>
                <w:bCs/>
              </w:rPr>
              <w:t>Veprimet sektoriale dhe ndërsektoriale</w:t>
            </w:r>
          </w:p>
        </w:tc>
        <w:tc>
          <w:tcPr>
            <w:tcW w:w="1710" w:type="dxa"/>
            <w:tcBorders>
              <w:top w:val="nil"/>
              <w:left w:val="nil"/>
              <w:bottom w:val="single" w:sz="4" w:space="0" w:color="auto"/>
              <w:right w:val="single" w:sz="4" w:space="0" w:color="auto"/>
            </w:tcBorders>
            <w:shd w:val="clear" w:color="auto" w:fill="auto"/>
            <w:noWrap/>
            <w:hideMark/>
          </w:tcPr>
          <w:p w14:paraId="6EDD10CB" w14:textId="77777777" w:rsidR="003227FF" w:rsidRPr="007114AF" w:rsidRDefault="003227FF" w:rsidP="003227FF">
            <w:pPr>
              <w:spacing w:after="0" w:line="240" w:lineRule="auto"/>
              <w:jc w:val="center"/>
              <w:rPr>
                <w:rFonts w:ascii="Garamond" w:hAnsi="Garamond"/>
              </w:rPr>
            </w:pPr>
          </w:p>
        </w:tc>
        <w:tc>
          <w:tcPr>
            <w:tcW w:w="1392" w:type="dxa"/>
            <w:tcBorders>
              <w:top w:val="nil"/>
              <w:left w:val="nil"/>
              <w:bottom w:val="single" w:sz="4" w:space="0" w:color="auto"/>
              <w:right w:val="single" w:sz="4" w:space="0" w:color="auto"/>
            </w:tcBorders>
            <w:shd w:val="clear" w:color="auto" w:fill="auto"/>
            <w:noWrap/>
            <w:hideMark/>
          </w:tcPr>
          <w:p w14:paraId="6EDD10CC" w14:textId="77777777" w:rsidR="003227FF" w:rsidRPr="007114AF" w:rsidRDefault="003227FF" w:rsidP="003227FF">
            <w:pPr>
              <w:spacing w:after="0" w:line="240" w:lineRule="auto"/>
              <w:jc w:val="center"/>
              <w:rPr>
                <w:rFonts w:ascii="Garamond" w:hAnsi="Garamond"/>
              </w:rPr>
            </w:pPr>
          </w:p>
        </w:tc>
        <w:tc>
          <w:tcPr>
            <w:tcW w:w="1392" w:type="dxa"/>
            <w:tcBorders>
              <w:top w:val="nil"/>
              <w:left w:val="nil"/>
              <w:bottom w:val="single" w:sz="4" w:space="0" w:color="auto"/>
              <w:right w:val="single" w:sz="4" w:space="0" w:color="auto"/>
            </w:tcBorders>
            <w:shd w:val="clear" w:color="auto" w:fill="auto"/>
            <w:noWrap/>
            <w:hideMark/>
          </w:tcPr>
          <w:p w14:paraId="6EDD10CD" w14:textId="77777777" w:rsidR="003227FF" w:rsidRPr="007114AF" w:rsidRDefault="003227FF" w:rsidP="003227FF">
            <w:pPr>
              <w:spacing w:after="0" w:line="240" w:lineRule="auto"/>
              <w:jc w:val="center"/>
              <w:rPr>
                <w:rFonts w:ascii="Garamond" w:hAnsi="Garamond"/>
              </w:rPr>
            </w:pPr>
          </w:p>
        </w:tc>
        <w:tc>
          <w:tcPr>
            <w:tcW w:w="1120" w:type="dxa"/>
            <w:tcBorders>
              <w:top w:val="nil"/>
              <w:left w:val="nil"/>
              <w:bottom w:val="single" w:sz="4" w:space="0" w:color="auto"/>
              <w:right w:val="single" w:sz="4" w:space="0" w:color="auto"/>
            </w:tcBorders>
            <w:shd w:val="clear" w:color="auto" w:fill="auto"/>
            <w:noWrap/>
            <w:hideMark/>
          </w:tcPr>
          <w:p w14:paraId="6EDD10CE" w14:textId="77777777" w:rsidR="003227FF" w:rsidRPr="007114AF" w:rsidRDefault="003227FF" w:rsidP="003227FF">
            <w:pPr>
              <w:spacing w:after="0" w:line="240" w:lineRule="auto"/>
              <w:jc w:val="center"/>
              <w:rPr>
                <w:rFonts w:ascii="Garamond" w:hAnsi="Garamond"/>
              </w:rPr>
            </w:pPr>
          </w:p>
        </w:tc>
        <w:tc>
          <w:tcPr>
            <w:tcW w:w="1392" w:type="dxa"/>
            <w:tcBorders>
              <w:top w:val="nil"/>
              <w:left w:val="nil"/>
              <w:bottom w:val="single" w:sz="4" w:space="0" w:color="auto"/>
              <w:right w:val="single" w:sz="4" w:space="0" w:color="auto"/>
            </w:tcBorders>
            <w:shd w:val="clear" w:color="auto" w:fill="auto"/>
            <w:noWrap/>
            <w:hideMark/>
          </w:tcPr>
          <w:p w14:paraId="6EDD10CF"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r>
      <w:tr w:rsidR="003227FF" w:rsidRPr="007114AF" w14:paraId="6EDD10D7"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0D1" w14:textId="77777777" w:rsidR="003227FF" w:rsidRPr="007114AF" w:rsidRDefault="003227FF" w:rsidP="003227FF">
            <w:pPr>
              <w:spacing w:after="0" w:line="240" w:lineRule="auto"/>
              <w:jc w:val="center"/>
              <w:rPr>
                <w:rFonts w:ascii="Garamond" w:hAnsi="Garamond"/>
              </w:rPr>
            </w:pPr>
            <w:r w:rsidRPr="007114AF">
              <w:rPr>
                <w:rFonts w:ascii="Garamond" w:hAnsi="Garamond"/>
              </w:rPr>
              <w:t>PA7</w:t>
            </w:r>
          </w:p>
        </w:tc>
        <w:tc>
          <w:tcPr>
            <w:tcW w:w="1710" w:type="dxa"/>
            <w:tcBorders>
              <w:top w:val="nil"/>
              <w:left w:val="nil"/>
              <w:bottom w:val="single" w:sz="4" w:space="0" w:color="auto"/>
              <w:right w:val="single" w:sz="4" w:space="0" w:color="auto"/>
            </w:tcBorders>
            <w:shd w:val="clear" w:color="auto" w:fill="auto"/>
            <w:noWrap/>
            <w:hideMark/>
          </w:tcPr>
          <w:p w14:paraId="6EDD10D2" w14:textId="77777777" w:rsidR="003227FF" w:rsidRPr="007114AF" w:rsidRDefault="003227FF" w:rsidP="003227FF">
            <w:pPr>
              <w:spacing w:after="0" w:line="240" w:lineRule="auto"/>
              <w:jc w:val="center"/>
              <w:rPr>
                <w:rFonts w:ascii="Garamond" w:hAnsi="Garamond"/>
              </w:rPr>
            </w:pPr>
            <w:r w:rsidRPr="007114AF">
              <w:rPr>
                <w:rFonts w:ascii="Garamond" w:hAnsi="Garamond"/>
              </w:rPr>
              <w:t>1,841,500.00</w:t>
            </w:r>
          </w:p>
        </w:tc>
        <w:tc>
          <w:tcPr>
            <w:tcW w:w="1392" w:type="dxa"/>
            <w:tcBorders>
              <w:top w:val="nil"/>
              <w:left w:val="nil"/>
              <w:bottom w:val="single" w:sz="4" w:space="0" w:color="auto"/>
              <w:right w:val="single" w:sz="4" w:space="0" w:color="auto"/>
            </w:tcBorders>
            <w:shd w:val="clear" w:color="auto" w:fill="auto"/>
            <w:noWrap/>
            <w:hideMark/>
          </w:tcPr>
          <w:p w14:paraId="6EDD10D3" w14:textId="77777777" w:rsidR="003227FF" w:rsidRPr="007114AF" w:rsidRDefault="003227FF" w:rsidP="003227FF">
            <w:pPr>
              <w:spacing w:after="0" w:line="240" w:lineRule="auto"/>
              <w:jc w:val="center"/>
              <w:rPr>
                <w:rFonts w:ascii="Garamond" w:hAnsi="Garamond"/>
              </w:rPr>
            </w:pPr>
            <w:r w:rsidRPr="007114AF">
              <w:rPr>
                <w:rFonts w:ascii="Garamond" w:hAnsi="Garamond"/>
              </w:rPr>
              <w:t>412,000.00</w:t>
            </w:r>
          </w:p>
        </w:tc>
        <w:tc>
          <w:tcPr>
            <w:tcW w:w="1392" w:type="dxa"/>
            <w:tcBorders>
              <w:top w:val="nil"/>
              <w:left w:val="nil"/>
              <w:bottom w:val="single" w:sz="4" w:space="0" w:color="auto"/>
              <w:right w:val="single" w:sz="4" w:space="0" w:color="auto"/>
            </w:tcBorders>
            <w:shd w:val="clear" w:color="auto" w:fill="auto"/>
            <w:noWrap/>
            <w:hideMark/>
          </w:tcPr>
          <w:p w14:paraId="6EDD10D4" w14:textId="77777777" w:rsidR="003227FF" w:rsidRPr="007114AF" w:rsidRDefault="003227FF" w:rsidP="003227FF">
            <w:pPr>
              <w:spacing w:after="0" w:line="240" w:lineRule="auto"/>
              <w:jc w:val="center"/>
              <w:rPr>
                <w:rFonts w:ascii="Garamond" w:hAnsi="Garamond"/>
              </w:rPr>
            </w:pPr>
            <w:r w:rsidRPr="007114AF">
              <w:rPr>
                <w:rFonts w:ascii="Garamond" w:hAnsi="Garamond"/>
              </w:rPr>
              <w:t>900,000.00</w:t>
            </w:r>
          </w:p>
        </w:tc>
        <w:tc>
          <w:tcPr>
            <w:tcW w:w="1120" w:type="dxa"/>
            <w:tcBorders>
              <w:top w:val="nil"/>
              <w:left w:val="nil"/>
              <w:bottom w:val="single" w:sz="4" w:space="0" w:color="auto"/>
              <w:right w:val="single" w:sz="4" w:space="0" w:color="auto"/>
            </w:tcBorders>
            <w:shd w:val="clear" w:color="auto" w:fill="auto"/>
            <w:noWrap/>
            <w:hideMark/>
          </w:tcPr>
          <w:p w14:paraId="6EDD10D5" w14:textId="77777777" w:rsidR="003227FF" w:rsidRPr="007114AF" w:rsidRDefault="003227FF" w:rsidP="003227FF">
            <w:pPr>
              <w:spacing w:after="0" w:line="240" w:lineRule="auto"/>
              <w:jc w:val="center"/>
              <w:rPr>
                <w:rFonts w:ascii="Garamond" w:hAnsi="Garamond"/>
              </w:rPr>
            </w:pPr>
            <w:r w:rsidRPr="007114AF">
              <w:rPr>
                <w:rFonts w:ascii="Garamond" w:hAnsi="Garamond"/>
              </w:rPr>
              <w:t>7,500.00</w:t>
            </w:r>
          </w:p>
        </w:tc>
        <w:tc>
          <w:tcPr>
            <w:tcW w:w="1392" w:type="dxa"/>
            <w:tcBorders>
              <w:top w:val="nil"/>
              <w:left w:val="nil"/>
              <w:bottom w:val="single" w:sz="4" w:space="0" w:color="auto"/>
              <w:right w:val="single" w:sz="4" w:space="0" w:color="auto"/>
            </w:tcBorders>
            <w:shd w:val="clear" w:color="auto" w:fill="auto"/>
            <w:noWrap/>
            <w:hideMark/>
          </w:tcPr>
          <w:p w14:paraId="6EDD10D6" w14:textId="77777777" w:rsidR="003227FF" w:rsidRPr="007114AF" w:rsidRDefault="003227FF" w:rsidP="003227FF">
            <w:pPr>
              <w:spacing w:after="0" w:line="240" w:lineRule="auto"/>
              <w:jc w:val="center"/>
              <w:rPr>
                <w:rFonts w:ascii="Garamond" w:hAnsi="Garamond"/>
              </w:rPr>
            </w:pPr>
            <w:r w:rsidRPr="007114AF">
              <w:rPr>
                <w:rFonts w:ascii="Garamond" w:hAnsi="Garamond"/>
              </w:rPr>
              <w:t>522,000.00</w:t>
            </w:r>
          </w:p>
        </w:tc>
      </w:tr>
      <w:tr w:rsidR="003227FF" w:rsidRPr="007114AF" w14:paraId="6EDD10DE"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0D8" w14:textId="77777777" w:rsidR="003227FF" w:rsidRPr="007114AF" w:rsidRDefault="003227FF" w:rsidP="003227FF">
            <w:pPr>
              <w:spacing w:after="0" w:line="240" w:lineRule="auto"/>
              <w:jc w:val="center"/>
              <w:rPr>
                <w:rFonts w:ascii="Garamond" w:hAnsi="Garamond"/>
              </w:rPr>
            </w:pPr>
            <w:r w:rsidRPr="007114AF">
              <w:rPr>
                <w:rFonts w:ascii="Garamond" w:hAnsi="Garamond"/>
              </w:rPr>
              <w:t>PA8</w:t>
            </w:r>
          </w:p>
        </w:tc>
        <w:tc>
          <w:tcPr>
            <w:tcW w:w="1710" w:type="dxa"/>
            <w:tcBorders>
              <w:top w:val="nil"/>
              <w:left w:val="nil"/>
              <w:bottom w:val="single" w:sz="4" w:space="0" w:color="auto"/>
              <w:right w:val="single" w:sz="4" w:space="0" w:color="auto"/>
            </w:tcBorders>
            <w:shd w:val="clear" w:color="auto" w:fill="auto"/>
            <w:noWrap/>
            <w:hideMark/>
          </w:tcPr>
          <w:p w14:paraId="6EDD10D9" w14:textId="77777777" w:rsidR="003227FF" w:rsidRPr="007114AF" w:rsidRDefault="003227FF" w:rsidP="003227FF">
            <w:pPr>
              <w:spacing w:after="0" w:line="240" w:lineRule="auto"/>
              <w:jc w:val="center"/>
              <w:rPr>
                <w:rFonts w:ascii="Garamond" w:hAnsi="Garamond"/>
              </w:rPr>
            </w:pPr>
            <w:r w:rsidRPr="007114AF">
              <w:rPr>
                <w:rFonts w:ascii="Garamond" w:hAnsi="Garamond"/>
              </w:rPr>
              <w:t>1,044,500.00</w:t>
            </w:r>
          </w:p>
        </w:tc>
        <w:tc>
          <w:tcPr>
            <w:tcW w:w="1392" w:type="dxa"/>
            <w:tcBorders>
              <w:top w:val="nil"/>
              <w:left w:val="nil"/>
              <w:bottom w:val="single" w:sz="4" w:space="0" w:color="auto"/>
              <w:right w:val="single" w:sz="4" w:space="0" w:color="auto"/>
            </w:tcBorders>
            <w:shd w:val="clear" w:color="auto" w:fill="auto"/>
            <w:noWrap/>
            <w:hideMark/>
          </w:tcPr>
          <w:p w14:paraId="6EDD10DA" w14:textId="77777777" w:rsidR="003227FF" w:rsidRPr="007114AF" w:rsidRDefault="003227FF" w:rsidP="003227FF">
            <w:pPr>
              <w:spacing w:after="0" w:line="240" w:lineRule="auto"/>
              <w:jc w:val="center"/>
              <w:rPr>
                <w:rFonts w:ascii="Garamond" w:hAnsi="Garamond"/>
              </w:rPr>
            </w:pPr>
            <w:r w:rsidRPr="007114AF">
              <w:rPr>
                <w:rFonts w:ascii="Garamond" w:hAnsi="Garamond"/>
              </w:rPr>
              <w:t>174,000.00</w:t>
            </w:r>
          </w:p>
        </w:tc>
        <w:tc>
          <w:tcPr>
            <w:tcW w:w="1392" w:type="dxa"/>
            <w:tcBorders>
              <w:top w:val="nil"/>
              <w:left w:val="nil"/>
              <w:bottom w:val="single" w:sz="4" w:space="0" w:color="auto"/>
              <w:right w:val="single" w:sz="4" w:space="0" w:color="auto"/>
            </w:tcBorders>
            <w:shd w:val="clear" w:color="auto" w:fill="auto"/>
            <w:noWrap/>
            <w:hideMark/>
          </w:tcPr>
          <w:p w14:paraId="6EDD10DB" w14:textId="77777777" w:rsidR="003227FF" w:rsidRPr="007114AF" w:rsidRDefault="003227FF" w:rsidP="003227FF">
            <w:pPr>
              <w:spacing w:after="0" w:line="240" w:lineRule="auto"/>
              <w:jc w:val="center"/>
              <w:rPr>
                <w:rFonts w:ascii="Garamond" w:hAnsi="Garamond"/>
              </w:rPr>
            </w:pPr>
            <w:r w:rsidRPr="007114AF">
              <w:rPr>
                <w:rFonts w:ascii="Garamond" w:hAnsi="Garamond"/>
              </w:rPr>
              <w:t>870,500.00</w:t>
            </w:r>
          </w:p>
        </w:tc>
        <w:tc>
          <w:tcPr>
            <w:tcW w:w="1120" w:type="dxa"/>
            <w:tcBorders>
              <w:top w:val="nil"/>
              <w:left w:val="nil"/>
              <w:bottom w:val="single" w:sz="4" w:space="0" w:color="auto"/>
              <w:right w:val="single" w:sz="4" w:space="0" w:color="auto"/>
            </w:tcBorders>
            <w:shd w:val="clear" w:color="auto" w:fill="auto"/>
            <w:noWrap/>
            <w:hideMark/>
          </w:tcPr>
          <w:p w14:paraId="6EDD10DC"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DD"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r>
      <w:tr w:rsidR="003227FF" w:rsidRPr="007114AF" w14:paraId="6EDD10E5"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0DF" w14:textId="77777777" w:rsidR="003227FF" w:rsidRPr="007114AF" w:rsidRDefault="003227FF" w:rsidP="003227FF">
            <w:pPr>
              <w:spacing w:after="0" w:line="240" w:lineRule="auto"/>
              <w:jc w:val="center"/>
              <w:rPr>
                <w:rFonts w:ascii="Garamond" w:hAnsi="Garamond"/>
              </w:rPr>
            </w:pPr>
            <w:r w:rsidRPr="007114AF">
              <w:rPr>
                <w:rFonts w:ascii="Garamond" w:hAnsi="Garamond"/>
              </w:rPr>
              <w:t>PA9</w:t>
            </w:r>
          </w:p>
        </w:tc>
        <w:tc>
          <w:tcPr>
            <w:tcW w:w="1710" w:type="dxa"/>
            <w:tcBorders>
              <w:top w:val="nil"/>
              <w:left w:val="nil"/>
              <w:bottom w:val="single" w:sz="4" w:space="0" w:color="auto"/>
              <w:right w:val="single" w:sz="4" w:space="0" w:color="auto"/>
            </w:tcBorders>
            <w:shd w:val="clear" w:color="auto" w:fill="auto"/>
            <w:noWrap/>
            <w:hideMark/>
          </w:tcPr>
          <w:p w14:paraId="6EDD10E0" w14:textId="77777777" w:rsidR="003227FF" w:rsidRPr="007114AF" w:rsidRDefault="003227FF" w:rsidP="003227FF">
            <w:pPr>
              <w:spacing w:after="0" w:line="240" w:lineRule="auto"/>
              <w:jc w:val="center"/>
              <w:rPr>
                <w:rFonts w:ascii="Garamond" w:hAnsi="Garamond"/>
              </w:rPr>
            </w:pPr>
            <w:r w:rsidRPr="007114AF">
              <w:rPr>
                <w:rFonts w:ascii="Garamond" w:hAnsi="Garamond"/>
              </w:rPr>
              <w:t>4,925,000.00</w:t>
            </w:r>
          </w:p>
        </w:tc>
        <w:tc>
          <w:tcPr>
            <w:tcW w:w="1392" w:type="dxa"/>
            <w:tcBorders>
              <w:top w:val="nil"/>
              <w:left w:val="nil"/>
              <w:bottom w:val="single" w:sz="4" w:space="0" w:color="auto"/>
              <w:right w:val="single" w:sz="4" w:space="0" w:color="auto"/>
            </w:tcBorders>
            <w:shd w:val="clear" w:color="auto" w:fill="auto"/>
            <w:noWrap/>
            <w:hideMark/>
          </w:tcPr>
          <w:p w14:paraId="6EDD10E1" w14:textId="77777777" w:rsidR="003227FF" w:rsidRPr="007114AF" w:rsidRDefault="003227FF" w:rsidP="003227FF">
            <w:pPr>
              <w:spacing w:after="0" w:line="240" w:lineRule="auto"/>
              <w:jc w:val="center"/>
              <w:rPr>
                <w:rFonts w:ascii="Garamond" w:hAnsi="Garamond"/>
              </w:rPr>
            </w:pPr>
            <w:r w:rsidRPr="007114AF">
              <w:rPr>
                <w:rFonts w:ascii="Garamond" w:hAnsi="Garamond"/>
              </w:rPr>
              <w:t>1,960,000.00</w:t>
            </w:r>
          </w:p>
        </w:tc>
        <w:tc>
          <w:tcPr>
            <w:tcW w:w="1392" w:type="dxa"/>
            <w:tcBorders>
              <w:top w:val="nil"/>
              <w:left w:val="nil"/>
              <w:bottom w:val="single" w:sz="4" w:space="0" w:color="auto"/>
              <w:right w:val="single" w:sz="4" w:space="0" w:color="auto"/>
            </w:tcBorders>
            <w:shd w:val="clear" w:color="auto" w:fill="auto"/>
            <w:noWrap/>
            <w:hideMark/>
          </w:tcPr>
          <w:p w14:paraId="6EDD10E2" w14:textId="77777777" w:rsidR="003227FF" w:rsidRPr="007114AF" w:rsidRDefault="003227FF" w:rsidP="003227FF">
            <w:pPr>
              <w:spacing w:after="0" w:line="240" w:lineRule="auto"/>
              <w:jc w:val="center"/>
              <w:rPr>
                <w:rFonts w:ascii="Garamond" w:hAnsi="Garamond"/>
              </w:rPr>
            </w:pPr>
            <w:r w:rsidRPr="007114AF">
              <w:rPr>
                <w:rFonts w:ascii="Garamond" w:hAnsi="Garamond"/>
              </w:rPr>
              <w:t>2,965,000.00</w:t>
            </w:r>
          </w:p>
        </w:tc>
        <w:tc>
          <w:tcPr>
            <w:tcW w:w="1120" w:type="dxa"/>
            <w:tcBorders>
              <w:top w:val="nil"/>
              <w:left w:val="nil"/>
              <w:bottom w:val="single" w:sz="4" w:space="0" w:color="auto"/>
              <w:right w:val="single" w:sz="4" w:space="0" w:color="auto"/>
            </w:tcBorders>
            <w:shd w:val="clear" w:color="auto" w:fill="auto"/>
            <w:noWrap/>
            <w:hideMark/>
          </w:tcPr>
          <w:p w14:paraId="6EDD10E3"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E4"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r>
      <w:tr w:rsidR="003227FF" w:rsidRPr="007114AF" w14:paraId="6EDD10EC"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0E6" w14:textId="77777777" w:rsidR="003227FF" w:rsidRPr="007114AF" w:rsidRDefault="003227FF" w:rsidP="003227FF">
            <w:pPr>
              <w:spacing w:after="0" w:line="240" w:lineRule="auto"/>
              <w:jc w:val="center"/>
              <w:rPr>
                <w:rFonts w:ascii="Garamond" w:hAnsi="Garamond"/>
              </w:rPr>
            </w:pPr>
            <w:r w:rsidRPr="007114AF">
              <w:rPr>
                <w:rFonts w:ascii="Garamond" w:hAnsi="Garamond"/>
              </w:rPr>
              <w:t>PA10</w:t>
            </w:r>
          </w:p>
        </w:tc>
        <w:tc>
          <w:tcPr>
            <w:tcW w:w="1710" w:type="dxa"/>
            <w:tcBorders>
              <w:top w:val="nil"/>
              <w:left w:val="nil"/>
              <w:bottom w:val="single" w:sz="4" w:space="0" w:color="auto"/>
              <w:right w:val="single" w:sz="4" w:space="0" w:color="auto"/>
            </w:tcBorders>
            <w:shd w:val="clear" w:color="auto" w:fill="auto"/>
            <w:noWrap/>
            <w:hideMark/>
          </w:tcPr>
          <w:p w14:paraId="6EDD10E7" w14:textId="77777777" w:rsidR="003227FF" w:rsidRPr="007114AF" w:rsidRDefault="003227FF" w:rsidP="003227FF">
            <w:pPr>
              <w:spacing w:after="0" w:line="240" w:lineRule="auto"/>
              <w:jc w:val="center"/>
              <w:rPr>
                <w:rFonts w:ascii="Garamond" w:hAnsi="Garamond"/>
              </w:rPr>
            </w:pPr>
            <w:r w:rsidRPr="007114AF">
              <w:rPr>
                <w:rFonts w:ascii="Garamond" w:hAnsi="Garamond"/>
              </w:rPr>
              <w:t>145,000.00</w:t>
            </w:r>
          </w:p>
        </w:tc>
        <w:tc>
          <w:tcPr>
            <w:tcW w:w="1392" w:type="dxa"/>
            <w:tcBorders>
              <w:top w:val="nil"/>
              <w:left w:val="nil"/>
              <w:bottom w:val="single" w:sz="4" w:space="0" w:color="auto"/>
              <w:right w:val="single" w:sz="4" w:space="0" w:color="auto"/>
            </w:tcBorders>
            <w:shd w:val="clear" w:color="auto" w:fill="auto"/>
            <w:noWrap/>
            <w:hideMark/>
          </w:tcPr>
          <w:p w14:paraId="6EDD10E8" w14:textId="77777777" w:rsidR="003227FF" w:rsidRPr="007114AF" w:rsidRDefault="003227FF" w:rsidP="003227FF">
            <w:pPr>
              <w:spacing w:after="0" w:line="240" w:lineRule="auto"/>
              <w:jc w:val="center"/>
              <w:rPr>
                <w:rFonts w:ascii="Garamond" w:hAnsi="Garamond"/>
              </w:rPr>
            </w:pPr>
            <w:r w:rsidRPr="007114AF">
              <w:rPr>
                <w:rFonts w:ascii="Garamond" w:hAnsi="Garamond"/>
              </w:rPr>
              <w:t>73,000.00</w:t>
            </w:r>
          </w:p>
        </w:tc>
        <w:tc>
          <w:tcPr>
            <w:tcW w:w="1392" w:type="dxa"/>
            <w:tcBorders>
              <w:top w:val="nil"/>
              <w:left w:val="nil"/>
              <w:bottom w:val="single" w:sz="4" w:space="0" w:color="auto"/>
              <w:right w:val="single" w:sz="4" w:space="0" w:color="auto"/>
            </w:tcBorders>
            <w:shd w:val="clear" w:color="auto" w:fill="auto"/>
            <w:noWrap/>
            <w:hideMark/>
          </w:tcPr>
          <w:p w14:paraId="6EDD10E9"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120" w:type="dxa"/>
            <w:tcBorders>
              <w:top w:val="nil"/>
              <w:left w:val="nil"/>
              <w:bottom w:val="single" w:sz="4" w:space="0" w:color="auto"/>
              <w:right w:val="single" w:sz="4" w:space="0" w:color="auto"/>
            </w:tcBorders>
            <w:shd w:val="clear" w:color="auto" w:fill="auto"/>
            <w:noWrap/>
            <w:hideMark/>
          </w:tcPr>
          <w:p w14:paraId="6EDD10EA"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EB" w14:textId="77777777" w:rsidR="003227FF" w:rsidRPr="007114AF" w:rsidRDefault="003227FF" w:rsidP="003227FF">
            <w:pPr>
              <w:spacing w:after="0" w:line="240" w:lineRule="auto"/>
              <w:jc w:val="center"/>
              <w:rPr>
                <w:rFonts w:ascii="Garamond" w:hAnsi="Garamond"/>
              </w:rPr>
            </w:pPr>
            <w:r w:rsidRPr="007114AF">
              <w:rPr>
                <w:rFonts w:ascii="Garamond" w:hAnsi="Garamond"/>
              </w:rPr>
              <w:t>72,000.00</w:t>
            </w:r>
          </w:p>
        </w:tc>
      </w:tr>
      <w:tr w:rsidR="003227FF" w:rsidRPr="007114AF" w14:paraId="6EDD10F3"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0ED" w14:textId="77777777" w:rsidR="003227FF" w:rsidRPr="007114AF" w:rsidRDefault="003227FF" w:rsidP="003227FF">
            <w:pPr>
              <w:spacing w:after="0" w:line="240" w:lineRule="auto"/>
              <w:jc w:val="center"/>
              <w:rPr>
                <w:rFonts w:ascii="Garamond" w:hAnsi="Garamond"/>
              </w:rPr>
            </w:pPr>
            <w:r w:rsidRPr="007114AF">
              <w:rPr>
                <w:rFonts w:ascii="Garamond" w:hAnsi="Garamond"/>
              </w:rPr>
              <w:t>PA11</w:t>
            </w:r>
          </w:p>
        </w:tc>
        <w:tc>
          <w:tcPr>
            <w:tcW w:w="1710" w:type="dxa"/>
            <w:tcBorders>
              <w:top w:val="nil"/>
              <w:left w:val="nil"/>
              <w:bottom w:val="single" w:sz="4" w:space="0" w:color="auto"/>
              <w:right w:val="single" w:sz="4" w:space="0" w:color="auto"/>
            </w:tcBorders>
            <w:shd w:val="clear" w:color="auto" w:fill="auto"/>
            <w:noWrap/>
            <w:hideMark/>
          </w:tcPr>
          <w:p w14:paraId="6EDD10EE" w14:textId="77777777" w:rsidR="003227FF" w:rsidRPr="007114AF" w:rsidRDefault="003227FF" w:rsidP="003227FF">
            <w:pPr>
              <w:spacing w:after="0" w:line="240" w:lineRule="auto"/>
              <w:jc w:val="center"/>
              <w:rPr>
                <w:rFonts w:ascii="Garamond" w:hAnsi="Garamond"/>
              </w:rPr>
            </w:pPr>
            <w:r w:rsidRPr="007114AF">
              <w:rPr>
                <w:rFonts w:ascii="Garamond" w:hAnsi="Garamond"/>
              </w:rPr>
              <w:t>148,500.00</w:t>
            </w:r>
          </w:p>
        </w:tc>
        <w:tc>
          <w:tcPr>
            <w:tcW w:w="1392" w:type="dxa"/>
            <w:tcBorders>
              <w:top w:val="nil"/>
              <w:left w:val="nil"/>
              <w:bottom w:val="single" w:sz="4" w:space="0" w:color="auto"/>
              <w:right w:val="single" w:sz="4" w:space="0" w:color="auto"/>
            </w:tcBorders>
            <w:shd w:val="clear" w:color="auto" w:fill="auto"/>
            <w:noWrap/>
            <w:hideMark/>
          </w:tcPr>
          <w:p w14:paraId="6EDD10EF" w14:textId="77777777" w:rsidR="003227FF" w:rsidRPr="007114AF" w:rsidRDefault="003227FF" w:rsidP="003227FF">
            <w:pPr>
              <w:spacing w:after="0" w:line="240" w:lineRule="auto"/>
              <w:jc w:val="center"/>
              <w:rPr>
                <w:rFonts w:ascii="Garamond" w:hAnsi="Garamond"/>
              </w:rPr>
            </w:pPr>
            <w:r w:rsidRPr="007114AF">
              <w:rPr>
                <w:rFonts w:ascii="Garamond" w:hAnsi="Garamond"/>
              </w:rPr>
              <w:t>15,000.00</w:t>
            </w:r>
          </w:p>
        </w:tc>
        <w:tc>
          <w:tcPr>
            <w:tcW w:w="1392" w:type="dxa"/>
            <w:tcBorders>
              <w:top w:val="nil"/>
              <w:left w:val="nil"/>
              <w:bottom w:val="single" w:sz="4" w:space="0" w:color="auto"/>
              <w:right w:val="single" w:sz="4" w:space="0" w:color="auto"/>
            </w:tcBorders>
            <w:shd w:val="clear" w:color="auto" w:fill="auto"/>
            <w:noWrap/>
            <w:hideMark/>
          </w:tcPr>
          <w:p w14:paraId="6EDD10F0"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120" w:type="dxa"/>
            <w:tcBorders>
              <w:top w:val="nil"/>
              <w:left w:val="nil"/>
              <w:bottom w:val="single" w:sz="4" w:space="0" w:color="auto"/>
              <w:right w:val="single" w:sz="4" w:space="0" w:color="auto"/>
            </w:tcBorders>
            <w:shd w:val="clear" w:color="auto" w:fill="auto"/>
            <w:noWrap/>
            <w:hideMark/>
          </w:tcPr>
          <w:p w14:paraId="6EDD10F1"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F2" w14:textId="77777777" w:rsidR="003227FF" w:rsidRPr="007114AF" w:rsidRDefault="003227FF" w:rsidP="003227FF">
            <w:pPr>
              <w:spacing w:after="0" w:line="240" w:lineRule="auto"/>
              <w:jc w:val="center"/>
              <w:rPr>
                <w:rFonts w:ascii="Garamond" w:hAnsi="Garamond"/>
              </w:rPr>
            </w:pPr>
            <w:r w:rsidRPr="007114AF">
              <w:rPr>
                <w:rFonts w:ascii="Garamond" w:hAnsi="Garamond"/>
              </w:rPr>
              <w:t>133,500.00</w:t>
            </w:r>
          </w:p>
        </w:tc>
      </w:tr>
      <w:tr w:rsidR="003227FF" w:rsidRPr="007114AF" w14:paraId="6EDD10FA"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0F4" w14:textId="77777777" w:rsidR="003227FF" w:rsidRPr="007114AF" w:rsidRDefault="003227FF" w:rsidP="003227FF">
            <w:pPr>
              <w:spacing w:after="0" w:line="240" w:lineRule="auto"/>
              <w:jc w:val="center"/>
              <w:rPr>
                <w:rFonts w:ascii="Garamond" w:hAnsi="Garamond"/>
              </w:rPr>
            </w:pPr>
            <w:r w:rsidRPr="007114AF">
              <w:rPr>
                <w:rFonts w:ascii="Garamond" w:hAnsi="Garamond"/>
              </w:rPr>
              <w:t>PA12</w:t>
            </w:r>
          </w:p>
        </w:tc>
        <w:tc>
          <w:tcPr>
            <w:tcW w:w="1710" w:type="dxa"/>
            <w:tcBorders>
              <w:top w:val="nil"/>
              <w:left w:val="nil"/>
              <w:bottom w:val="single" w:sz="4" w:space="0" w:color="auto"/>
              <w:right w:val="single" w:sz="4" w:space="0" w:color="auto"/>
            </w:tcBorders>
            <w:shd w:val="clear" w:color="auto" w:fill="auto"/>
            <w:noWrap/>
            <w:hideMark/>
          </w:tcPr>
          <w:p w14:paraId="6EDD10F5" w14:textId="77777777" w:rsidR="003227FF" w:rsidRPr="007114AF" w:rsidRDefault="003227FF" w:rsidP="003227FF">
            <w:pPr>
              <w:spacing w:after="0" w:line="240" w:lineRule="auto"/>
              <w:jc w:val="center"/>
              <w:rPr>
                <w:rFonts w:ascii="Garamond" w:hAnsi="Garamond"/>
              </w:rPr>
            </w:pPr>
            <w:r w:rsidRPr="007114AF">
              <w:rPr>
                <w:rFonts w:ascii="Garamond" w:hAnsi="Garamond"/>
              </w:rPr>
              <w:t>202,500.00</w:t>
            </w:r>
          </w:p>
        </w:tc>
        <w:tc>
          <w:tcPr>
            <w:tcW w:w="1392" w:type="dxa"/>
            <w:tcBorders>
              <w:top w:val="nil"/>
              <w:left w:val="nil"/>
              <w:bottom w:val="single" w:sz="4" w:space="0" w:color="auto"/>
              <w:right w:val="single" w:sz="4" w:space="0" w:color="auto"/>
            </w:tcBorders>
            <w:shd w:val="clear" w:color="auto" w:fill="auto"/>
            <w:noWrap/>
            <w:hideMark/>
          </w:tcPr>
          <w:p w14:paraId="6EDD10F6" w14:textId="77777777" w:rsidR="003227FF" w:rsidRPr="007114AF" w:rsidRDefault="003227FF" w:rsidP="003227FF">
            <w:pPr>
              <w:spacing w:after="0" w:line="240" w:lineRule="auto"/>
              <w:jc w:val="center"/>
              <w:rPr>
                <w:rFonts w:ascii="Garamond" w:hAnsi="Garamond"/>
              </w:rPr>
            </w:pPr>
            <w:r w:rsidRPr="007114AF">
              <w:rPr>
                <w:rFonts w:ascii="Garamond" w:hAnsi="Garamond"/>
              </w:rPr>
              <w:t>13,500.00</w:t>
            </w:r>
          </w:p>
        </w:tc>
        <w:tc>
          <w:tcPr>
            <w:tcW w:w="1392" w:type="dxa"/>
            <w:tcBorders>
              <w:top w:val="nil"/>
              <w:left w:val="nil"/>
              <w:bottom w:val="single" w:sz="4" w:space="0" w:color="auto"/>
              <w:right w:val="single" w:sz="4" w:space="0" w:color="auto"/>
            </w:tcBorders>
            <w:shd w:val="clear" w:color="auto" w:fill="auto"/>
            <w:noWrap/>
            <w:hideMark/>
          </w:tcPr>
          <w:p w14:paraId="6EDD10F7"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120" w:type="dxa"/>
            <w:tcBorders>
              <w:top w:val="nil"/>
              <w:left w:val="nil"/>
              <w:bottom w:val="single" w:sz="4" w:space="0" w:color="auto"/>
              <w:right w:val="single" w:sz="4" w:space="0" w:color="auto"/>
            </w:tcBorders>
            <w:shd w:val="clear" w:color="auto" w:fill="auto"/>
            <w:noWrap/>
            <w:hideMark/>
          </w:tcPr>
          <w:p w14:paraId="6EDD10F8"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0F9" w14:textId="77777777" w:rsidR="003227FF" w:rsidRPr="007114AF" w:rsidRDefault="003227FF" w:rsidP="003227FF">
            <w:pPr>
              <w:spacing w:after="0" w:line="240" w:lineRule="auto"/>
              <w:jc w:val="center"/>
              <w:rPr>
                <w:rFonts w:ascii="Garamond" w:hAnsi="Garamond"/>
              </w:rPr>
            </w:pPr>
            <w:r w:rsidRPr="007114AF">
              <w:rPr>
                <w:rFonts w:ascii="Garamond" w:hAnsi="Garamond"/>
              </w:rPr>
              <w:t>189,000.00</w:t>
            </w:r>
          </w:p>
        </w:tc>
      </w:tr>
      <w:tr w:rsidR="003227FF" w:rsidRPr="007114AF" w14:paraId="6EDD1101"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0FB" w14:textId="77777777" w:rsidR="003227FF" w:rsidRPr="007114AF" w:rsidRDefault="003227FF" w:rsidP="003227FF">
            <w:pPr>
              <w:spacing w:after="0" w:line="240" w:lineRule="auto"/>
              <w:jc w:val="center"/>
              <w:rPr>
                <w:rFonts w:ascii="Garamond" w:hAnsi="Garamond"/>
              </w:rPr>
            </w:pPr>
            <w:r w:rsidRPr="007114AF">
              <w:rPr>
                <w:rFonts w:ascii="Garamond" w:hAnsi="Garamond"/>
              </w:rPr>
              <w:t>PA13</w:t>
            </w:r>
          </w:p>
        </w:tc>
        <w:tc>
          <w:tcPr>
            <w:tcW w:w="1710" w:type="dxa"/>
            <w:tcBorders>
              <w:top w:val="nil"/>
              <w:left w:val="nil"/>
              <w:bottom w:val="single" w:sz="4" w:space="0" w:color="auto"/>
              <w:right w:val="single" w:sz="4" w:space="0" w:color="auto"/>
            </w:tcBorders>
            <w:shd w:val="clear" w:color="auto" w:fill="auto"/>
            <w:noWrap/>
            <w:hideMark/>
          </w:tcPr>
          <w:p w14:paraId="6EDD10FC" w14:textId="77777777" w:rsidR="003227FF" w:rsidRPr="007114AF" w:rsidRDefault="003227FF" w:rsidP="003227FF">
            <w:pPr>
              <w:spacing w:after="0" w:line="240" w:lineRule="auto"/>
              <w:jc w:val="center"/>
              <w:rPr>
                <w:rFonts w:ascii="Garamond" w:hAnsi="Garamond"/>
              </w:rPr>
            </w:pPr>
            <w:r w:rsidRPr="007114AF">
              <w:rPr>
                <w:rFonts w:ascii="Garamond" w:hAnsi="Garamond"/>
              </w:rPr>
              <w:t>81,200.00</w:t>
            </w:r>
          </w:p>
        </w:tc>
        <w:tc>
          <w:tcPr>
            <w:tcW w:w="1392" w:type="dxa"/>
            <w:tcBorders>
              <w:top w:val="nil"/>
              <w:left w:val="nil"/>
              <w:bottom w:val="single" w:sz="4" w:space="0" w:color="auto"/>
              <w:right w:val="single" w:sz="4" w:space="0" w:color="auto"/>
            </w:tcBorders>
            <w:shd w:val="clear" w:color="auto" w:fill="auto"/>
            <w:noWrap/>
            <w:hideMark/>
          </w:tcPr>
          <w:p w14:paraId="6EDD10FD" w14:textId="77777777" w:rsidR="003227FF" w:rsidRPr="007114AF" w:rsidRDefault="003227FF" w:rsidP="003227FF">
            <w:pPr>
              <w:spacing w:after="0" w:line="240" w:lineRule="auto"/>
              <w:jc w:val="center"/>
              <w:rPr>
                <w:rFonts w:ascii="Garamond" w:hAnsi="Garamond"/>
              </w:rPr>
            </w:pPr>
            <w:r w:rsidRPr="007114AF">
              <w:rPr>
                <w:rFonts w:ascii="Garamond" w:hAnsi="Garamond"/>
              </w:rPr>
              <w:t>16,000.00</w:t>
            </w:r>
          </w:p>
        </w:tc>
        <w:tc>
          <w:tcPr>
            <w:tcW w:w="1392" w:type="dxa"/>
            <w:tcBorders>
              <w:top w:val="nil"/>
              <w:left w:val="nil"/>
              <w:bottom w:val="single" w:sz="4" w:space="0" w:color="auto"/>
              <w:right w:val="single" w:sz="4" w:space="0" w:color="auto"/>
            </w:tcBorders>
            <w:shd w:val="clear" w:color="auto" w:fill="auto"/>
            <w:noWrap/>
            <w:hideMark/>
          </w:tcPr>
          <w:p w14:paraId="6EDD10FE"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120" w:type="dxa"/>
            <w:tcBorders>
              <w:top w:val="nil"/>
              <w:left w:val="nil"/>
              <w:bottom w:val="single" w:sz="4" w:space="0" w:color="auto"/>
              <w:right w:val="single" w:sz="4" w:space="0" w:color="auto"/>
            </w:tcBorders>
            <w:shd w:val="clear" w:color="auto" w:fill="auto"/>
            <w:noWrap/>
            <w:hideMark/>
          </w:tcPr>
          <w:p w14:paraId="6EDD10FF"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100" w14:textId="77777777" w:rsidR="003227FF" w:rsidRPr="007114AF" w:rsidRDefault="003227FF" w:rsidP="003227FF">
            <w:pPr>
              <w:spacing w:after="0" w:line="240" w:lineRule="auto"/>
              <w:jc w:val="center"/>
              <w:rPr>
                <w:rFonts w:ascii="Garamond" w:hAnsi="Garamond"/>
              </w:rPr>
            </w:pPr>
            <w:r w:rsidRPr="007114AF">
              <w:rPr>
                <w:rFonts w:ascii="Garamond" w:hAnsi="Garamond"/>
              </w:rPr>
              <w:t>65,200.00</w:t>
            </w:r>
          </w:p>
        </w:tc>
      </w:tr>
      <w:tr w:rsidR="003227FF" w:rsidRPr="007114AF" w14:paraId="6EDD1108"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102" w14:textId="77777777" w:rsidR="003227FF" w:rsidRPr="007114AF" w:rsidRDefault="003227FF" w:rsidP="003227FF">
            <w:pPr>
              <w:spacing w:after="0" w:line="240" w:lineRule="auto"/>
              <w:jc w:val="center"/>
              <w:rPr>
                <w:rFonts w:ascii="Garamond" w:hAnsi="Garamond"/>
              </w:rPr>
            </w:pPr>
            <w:r w:rsidRPr="007114AF">
              <w:rPr>
                <w:rFonts w:ascii="Garamond" w:hAnsi="Garamond"/>
              </w:rPr>
              <w:t>PA14</w:t>
            </w:r>
          </w:p>
        </w:tc>
        <w:tc>
          <w:tcPr>
            <w:tcW w:w="1710" w:type="dxa"/>
            <w:tcBorders>
              <w:top w:val="nil"/>
              <w:left w:val="nil"/>
              <w:bottom w:val="single" w:sz="4" w:space="0" w:color="auto"/>
              <w:right w:val="single" w:sz="4" w:space="0" w:color="auto"/>
            </w:tcBorders>
            <w:shd w:val="clear" w:color="auto" w:fill="auto"/>
            <w:noWrap/>
            <w:hideMark/>
          </w:tcPr>
          <w:p w14:paraId="6EDD1103" w14:textId="77777777" w:rsidR="003227FF" w:rsidRPr="007114AF" w:rsidRDefault="003227FF" w:rsidP="003227FF">
            <w:pPr>
              <w:spacing w:after="0" w:line="240" w:lineRule="auto"/>
              <w:jc w:val="center"/>
              <w:rPr>
                <w:rFonts w:ascii="Garamond" w:hAnsi="Garamond"/>
              </w:rPr>
            </w:pPr>
            <w:r w:rsidRPr="007114AF">
              <w:rPr>
                <w:rFonts w:ascii="Garamond" w:hAnsi="Garamond"/>
              </w:rPr>
              <w:t>1,201,500.00</w:t>
            </w:r>
          </w:p>
        </w:tc>
        <w:tc>
          <w:tcPr>
            <w:tcW w:w="1392" w:type="dxa"/>
            <w:tcBorders>
              <w:top w:val="nil"/>
              <w:left w:val="nil"/>
              <w:bottom w:val="single" w:sz="4" w:space="0" w:color="auto"/>
              <w:right w:val="single" w:sz="4" w:space="0" w:color="auto"/>
            </w:tcBorders>
            <w:shd w:val="clear" w:color="auto" w:fill="auto"/>
            <w:noWrap/>
            <w:hideMark/>
          </w:tcPr>
          <w:p w14:paraId="6EDD1104" w14:textId="77777777" w:rsidR="003227FF" w:rsidRPr="007114AF" w:rsidRDefault="003227FF" w:rsidP="003227FF">
            <w:pPr>
              <w:spacing w:after="0" w:line="240" w:lineRule="auto"/>
              <w:jc w:val="center"/>
              <w:rPr>
                <w:rFonts w:ascii="Garamond" w:hAnsi="Garamond"/>
              </w:rPr>
            </w:pPr>
            <w:r w:rsidRPr="007114AF">
              <w:rPr>
                <w:rFonts w:ascii="Garamond" w:hAnsi="Garamond"/>
              </w:rPr>
              <w:t>243,000.00</w:t>
            </w:r>
          </w:p>
        </w:tc>
        <w:tc>
          <w:tcPr>
            <w:tcW w:w="1392" w:type="dxa"/>
            <w:tcBorders>
              <w:top w:val="nil"/>
              <w:left w:val="nil"/>
              <w:bottom w:val="single" w:sz="4" w:space="0" w:color="auto"/>
              <w:right w:val="single" w:sz="4" w:space="0" w:color="auto"/>
            </w:tcBorders>
            <w:shd w:val="clear" w:color="auto" w:fill="auto"/>
            <w:noWrap/>
            <w:hideMark/>
          </w:tcPr>
          <w:p w14:paraId="6EDD1105" w14:textId="77777777" w:rsidR="003227FF" w:rsidRPr="007114AF" w:rsidRDefault="003227FF" w:rsidP="003227FF">
            <w:pPr>
              <w:spacing w:after="0" w:line="240" w:lineRule="auto"/>
              <w:jc w:val="center"/>
              <w:rPr>
                <w:rFonts w:ascii="Garamond" w:hAnsi="Garamond"/>
              </w:rPr>
            </w:pPr>
            <w:r w:rsidRPr="007114AF">
              <w:rPr>
                <w:rFonts w:ascii="Garamond" w:hAnsi="Garamond"/>
              </w:rPr>
              <w:t>958,500.00</w:t>
            </w:r>
          </w:p>
        </w:tc>
        <w:tc>
          <w:tcPr>
            <w:tcW w:w="1120" w:type="dxa"/>
            <w:tcBorders>
              <w:top w:val="nil"/>
              <w:left w:val="nil"/>
              <w:bottom w:val="single" w:sz="4" w:space="0" w:color="auto"/>
              <w:right w:val="single" w:sz="4" w:space="0" w:color="auto"/>
            </w:tcBorders>
            <w:shd w:val="clear" w:color="auto" w:fill="auto"/>
            <w:noWrap/>
            <w:hideMark/>
          </w:tcPr>
          <w:p w14:paraId="6EDD1106"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107"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r>
      <w:tr w:rsidR="003227FF" w:rsidRPr="007114AF" w14:paraId="6EDD110F" w14:textId="77777777" w:rsidTr="003227FF">
        <w:trPr>
          <w:trHeight w:val="300"/>
        </w:trPr>
        <w:tc>
          <w:tcPr>
            <w:tcW w:w="2265" w:type="dxa"/>
            <w:tcBorders>
              <w:top w:val="nil"/>
              <w:left w:val="single" w:sz="4" w:space="0" w:color="auto"/>
              <w:bottom w:val="single" w:sz="4" w:space="0" w:color="auto"/>
              <w:right w:val="single" w:sz="4" w:space="0" w:color="auto"/>
            </w:tcBorders>
            <w:shd w:val="clear" w:color="auto" w:fill="auto"/>
            <w:noWrap/>
            <w:hideMark/>
          </w:tcPr>
          <w:p w14:paraId="6EDD1109" w14:textId="77777777" w:rsidR="003227FF" w:rsidRPr="007114AF" w:rsidRDefault="003227FF" w:rsidP="003227FF">
            <w:pPr>
              <w:spacing w:after="0" w:line="240" w:lineRule="auto"/>
              <w:jc w:val="center"/>
              <w:rPr>
                <w:rFonts w:ascii="Garamond" w:hAnsi="Garamond"/>
              </w:rPr>
            </w:pPr>
            <w:r w:rsidRPr="007114AF">
              <w:rPr>
                <w:rFonts w:ascii="Garamond" w:hAnsi="Garamond"/>
              </w:rPr>
              <w:t>PA15</w:t>
            </w:r>
          </w:p>
        </w:tc>
        <w:tc>
          <w:tcPr>
            <w:tcW w:w="1710" w:type="dxa"/>
            <w:tcBorders>
              <w:top w:val="nil"/>
              <w:left w:val="nil"/>
              <w:bottom w:val="single" w:sz="4" w:space="0" w:color="auto"/>
              <w:right w:val="single" w:sz="4" w:space="0" w:color="auto"/>
            </w:tcBorders>
            <w:shd w:val="clear" w:color="auto" w:fill="auto"/>
            <w:noWrap/>
            <w:hideMark/>
          </w:tcPr>
          <w:p w14:paraId="6EDD110A" w14:textId="77777777" w:rsidR="003227FF" w:rsidRPr="007114AF" w:rsidRDefault="003227FF" w:rsidP="003227FF">
            <w:pPr>
              <w:spacing w:after="0" w:line="240" w:lineRule="auto"/>
              <w:jc w:val="center"/>
              <w:rPr>
                <w:rFonts w:ascii="Garamond" w:hAnsi="Garamond"/>
              </w:rPr>
            </w:pPr>
            <w:r w:rsidRPr="007114AF">
              <w:rPr>
                <w:rFonts w:ascii="Garamond" w:hAnsi="Garamond"/>
              </w:rPr>
              <w:t>242,000.00</w:t>
            </w:r>
          </w:p>
        </w:tc>
        <w:tc>
          <w:tcPr>
            <w:tcW w:w="1392" w:type="dxa"/>
            <w:tcBorders>
              <w:top w:val="nil"/>
              <w:left w:val="nil"/>
              <w:bottom w:val="single" w:sz="4" w:space="0" w:color="auto"/>
              <w:right w:val="single" w:sz="4" w:space="0" w:color="auto"/>
            </w:tcBorders>
            <w:shd w:val="clear" w:color="auto" w:fill="auto"/>
            <w:noWrap/>
            <w:hideMark/>
          </w:tcPr>
          <w:p w14:paraId="6EDD110B" w14:textId="77777777" w:rsidR="003227FF" w:rsidRPr="007114AF" w:rsidRDefault="003227FF" w:rsidP="003227FF">
            <w:pPr>
              <w:spacing w:after="0" w:line="240" w:lineRule="auto"/>
              <w:jc w:val="center"/>
              <w:rPr>
                <w:rFonts w:ascii="Garamond" w:hAnsi="Garamond"/>
              </w:rPr>
            </w:pPr>
            <w:r w:rsidRPr="007114AF">
              <w:rPr>
                <w:rFonts w:ascii="Garamond" w:hAnsi="Garamond"/>
              </w:rPr>
              <w:t>48,400.00</w:t>
            </w:r>
          </w:p>
        </w:tc>
        <w:tc>
          <w:tcPr>
            <w:tcW w:w="1392" w:type="dxa"/>
            <w:tcBorders>
              <w:top w:val="nil"/>
              <w:left w:val="nil"/>
              <w:bottom w:val="single" w:sz="4" w:space="0" w:color="auto"/>
              <w:right w:val="single" w:sz="4" w:space="0" w:color="auto"/>
            </w:tcBorders>
            <w:shd w:val="clear" w:color="auto" w:fill="auto"/>
            <w:noWrap/>
            <w:hideMark/>
          </w:tcPr>
          <w:p w14:paraId="6EDD110C" w14:textId="77777777" w:rsidR="003227FF" w:rsidRPr="007114AF" w:rsidRDefault="003227FF" w:rsidP="003227FF">
            <w:pPr>
              <w:spacing w:after="0" w:line="240" w:lineRule="auto"/>
              <w:jc w:val="center"/>
              <w:rPr>
                <w:rFonts w:ascii="Garamond" w:hAnsi="Garamond"/>
              </w:rPr>
            </w:pPr>
            <w:r w:rsidRPr="007114AF">
              <w:rPr>
                <w:rFonts w:ascii="Garamond" w:hAnsi="Garamond"/>
              </w:rPr>
              <w:t>193,600.00</w:t>
            </w:r>
          </w:p>
        </w:tc>
        <w:tc>
          <w:tcPr>
            <w:tcW w:w="1120" w:type="dxa"/>
            <w:tcBorders>
              <w:top w:val="nil"/>
              <w:left w:val="nil"/>
              <w:bottom w:val="single" w:sz="4" w:space="0" w:color="auto"/>
              <w:right w:val="single" w:sz="4" w:space="0" w:color="auto"/>
            </w:tcBorders>
            <w:shd w:val="clear" w:color="auto" w:fill="auto"/>
            <w:noWrap/>
            <w:hideMark/>
          </w:tcPr>
          <w:p w14:paraId="6EDD110D"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c>
          <w:tcPr>
            <w:tcW w:w="1392" w:type="dxa"/>
            <w:tcBorders>
              <w:top w:val="nil"/>
              <w:left w:val="nil"/>
              <w:bottom w:val="single" w:sz="4" w:space="0" w:color="auto"/>
              <w:right w:val="single" w:sz="4" w:space="0" w:color="auto"/>
            </w:tcBorders>
            <w:shd w:val="clear" w:color="auto" w:fill="auto"/>
            <w:noWrap/>
            <w:hideMark/>
          </w:tcPr>
          <w:p w14:paraId="6EDD110E" w14:textId="77777777" w:rsidR="003227FF" w:rsidRPr="007114AF" w:rsidRDefault="003227FF" w:rsidP="003227FF">
            <w:pPr>
              <w:spacing w:after="0" w:line="240" w:lineRule="auto"/>
              <w:jc w:val="center"/>
              <w:rPr>
                <w:rFonts w:ascii="Garamond" w:hAnsi="Garamond"/>
              </w:rPr>
            </w:pPr>
            <w:r w:rsidRPr="007114AF">
              <w:rPr>
                <w:rFonts w:ascii="Garamond" w:hAnsi="Garamond"/>
              </w:rPr>
              <w:t>-</w:t>
            </w:r>
          </w:p>
        </w:tc>
      </w:tr>
      <w:tr w:rsidR="003227FF" w:rsidRPr="007114AF" w14:paraId="6EDD1116" w14:textId="77777777" w:rsidTr="003227FF">
        <w:trPr>
          <w:trHeight w:val="126"/>
        </w:trPr>
        <w:tc>
          <w:tcPr>
            <w:tcW w:w="2265" w:type="dxa"/>
            <w:tcBorders>
              <w:top w:val="nil"/>
              <w:left w:val="single" w:sz="4" w:space="0" w:color="auto"/>
              <w:bottom w:val="single" w:sz="4" w:space="0" w:color="auto"/>
              <w:right w:val="single" w:sz="4" w:space="0" w:color="auto"/>
            </w:tcBorders>
            <w:shd w:val="clear" w:color="auto" w:fill="auto"/>
            <w:noWrap/>
            <w:hideMark/>
          </w:tcPr>
          <w:p w14:paraId="6EDD1110" w14:textId="77777777" w:rsidR="003227FF" w:rsidRPr="007114AF" w:rsidRDefault="003227FF" w:rsidP="003227FF">
            <w:pPr>
              <w:spacing w:after="0" w:line="240" w:lineRule="auto"/>
              <w:jc w:val="center"/>
              <w:rPr>
                <w:rFonts w:ascii="Garamond" w:hAnsi="Garamond"/>
                <w:b/>
              </w:rPr>
            </w:pPr>
            <w:r w:rsidRPr="007114AF">
              <w:rPr>
                <w:rFonts w:ascii="Garamond" w:hAnsi="Garamond"/>
                <w:b/>
              </w:rPr>
              <w:t>Total</w:t>
            </w:r>
          </w:p>
        </w:tc>
        <w:tc>
          <w:tcPr>
            <w:tcW w:w="1710" w:type="dxa"/>
            <w:tcBorders>
              <w:top w:val="nil"/>
              <w:left w:val="nil"/>
              <w:bottom w:val="single" w:sz="4" w:space="0" w:color="auto"/>
              <w:right w:val="single" w:sz="4" w:space="0" w:color="auto"/>
            </w:tcBorders>
            <w:shd w:val="clear" w:color="auto" w:fill="auto"/>
            <w:noWrap/>
            <w:hideMark/>
          </w:tcPr>
          <w:p w14:paraId="6EDD1111" w14:textId="77777777" w:rsidR="003227FF" w:rsidRPr="007114AF" w:rsidRDefault="003227FF" w:rsidP="003227FF">
            <w:pPr>
              <w:spacing w:after="0" w:line="240" w:lineRule="auto"/>
              <w:jc w:val="center"/>
              <w:rPr>
                <w:rFonts w:ascii="Garamond" w:hAnsi="Garamond"/>
                <w:b/>
              </w:rPr>
            </w:pPr>
            <w:r w:rsidRPr="007114AF">
              <w:rPr>
                <w:rFonts w:ascii="Garamond" w:hAnsi="Garamond"/>
                <w:b/>
              </w:rPr>
              <w:t>11,036,250.00</w:t>
            </w:r>
          </w:p>
        </w:tc>
        <w:tc>
          <w:tcPr>
            <w:tcW w:w="1392" w:type="dxa"/>
            <w:tcBorders>
              <w:top w:val="nil"/>
              <w:left w:val="nil"/>
              <w:bottom w:val="single" w:sz="4" w:space="0" w:color="auto"/>
              <w:right w:val="single" w:sz="4" w:space="0" w:color="auto"/>
            </w:tcBorders>
            <w:shd w:val="clear" w:color="auto" w:fill="auto"/>
            <w:noWrap/>
            <w:hideMark/>
          </w:tcPr>
          <w:p w14:paraId="6EDD1112" w14:textId="77777777" w:rsidR="003227FF" w:rsidRPr="007114AF" w:rsidRDefault="003227FF" w:rsidP="003227FF">
            <w:pPr>
              <w:spacing w:after="0" w:line="240" w:lineRule="auto"/>
              <w:jc w:val="center"/>
              <w:rPr>
                <w:rFonts w:ascii="Garamond" w:hAnsi="Garamond"/>
                <w:b/>
              </w:rPr>
            </w:pPr>
            <w:r w:rsidRPr="007114AF">
              <w:rPr>
                <w:rFonts w:ascii="Garamond" w:hAnsi="Garamond"/>
                <w:b/>
              </w:rPr>
              <w:t>2,970,620.00</w:t>
            </w:r>
          </w:p>
        </w:tc>
        <w:tc>
          <w:tcPr>
            <w:tcW w:w="1392" w:type="dxa"/>
            <w:tcBorders>
              <w:top w:val="nil"/>
              <w:left w:val="nil"/>
              <w:bottom w:val="single" w:sz="4" w:space="0" w:color="auto"/>
              <w:right w:val="single" w:sz="4" w:space="0" w:color="auto"/>
            </w:tcBorders>
            <w:shd w:val="clear" w:color="auto" w:fill="auto"/>
            <w:noWrap/>
            <w:hideMark/>
          </w:tcPr>
          <w:p w14:paraId="6EDD1113" w14:textId="77777777" w:rsidR="003227FF" w:rsidRPr="007114AF" w:rsidRDefault="003227FF" w:rsidP="003227FF">
            <w:pPr>
              <w:spacing w:after="0" w:line="240" w:lineRule="auto"/>
              <w:jc w:val="center"/>
              <w:rPr>
                <w:rFonts w:ascii="Garamond" w:hAnsi="Garamond"/>
                <w:b/>
              </w:rPr>
            </w:pPr>
            <w:r w:rsidRPr="007114AF">
              <w:rPr>
                <w:rFonts w:ascii="Garamond" w:hAnsi="Garamond"/>
                <w:b/>
              </w:rPr>
              <w:t>6,925,800.00</w:t>
            </w:r>
          </w:p>
        </w:tc>
        <w:tc>
          <w:tcPr>
            <w:tcW w:w="1120" w:type="dxa"/>
            <w:tcBorders>
              <w:top w:val="nil"/>
              <w:left w:val="nil"/>
              <w:bottom w:val="single" w:sz="4" w:space="0" w:color="auto"/>
              <w:right w:val="single" w:sz="4" w:space="0" w:color="auto"/>
            </w:tcBorders>
            <w:shd w:val="clear" w:color="auto" w:fill="auto"/>
            <w:noWrap/>
            <w:hideMark/>
          </w:tcPr>
          <w:p w14:paraId="6EDD1114" w14:textId="77777777" w:rsidR="003227FF" w:rsidRPr="007114AF" w:rsidRDefault="003227FF" w:rsidP="003227FF">
            <w:pPr>
              <w:spacing w:after="0" w:line="240" w:lineRule="auto"/>
              <w:jc w:val="center"/>
              <w:rPr>
                <w:rFonts w:ascii="Garamond" w:hAnsi="Garamond"/>
                <w:b/>
              </w:rPr>
            </w:pPr>
            <w:r w:rsidRPr="007114AF">
              <w:rPr>
                <w:rFonts w:ascii="Garamond" w:hAnsi="Garamond"/>
                <w:b/>
              </w:rPr>
              <w:t>51,250.00</w:t>
            </w:r>
          </w:p>
        </w:tc>
        <w:tc>
          <w:tcPr>
            <w:tcW w:w="1392" w:type="dxa"/>
            <w:tcBorders>
              <w:top w:val="nil"/>
              <w:left w:val="nil"/>
              <w:bottom w:val="single" w:sz="4" w:space="0" w:color="auto"/>
              <w:right w:val="single" w:sz="4" w:space="0" w:color="auto"/>
            </w:tcBorders>
            <w:shd w:val="clear" w:color="auto" w:fill="auto"/>
            <w:noWrap/>
            <w:hideMark/>
          </w:tcPr>
          <w:p w14:paraId="6EDD1115" w14:textId="77777777" w:rsidR="003227FF" w:rsidRPr="007114AF" w:rsidRDefault="003227FF" w:rsidP="003227FF">
            <w:pPr>
              <w:spacing w:after="0" w:line="240" w:lineRule="auto"/>
              <w:jc w:val="center"/>
              <w:rPr>
                <w:rFonts w:ascii="Garamond" w:hAnsi="Garamond"/>
                <w:b/>
              </w:rPr>
            </w:pPr>
            <w:r w:rsidRPr="007114AF">
              <w:rPr>
                <w:rFonts w:ascii="Garamond" w:hAnsi="Garamond"/>
                <w:b/>
              </w:rPr>
              <w:t>1,088,580.00</w:t>
            </w:r>
          </w:p>
        </w:tc>
      </w:tr>
    </w:tbl>
    <w:p w14:paraId="6EDD1117" w14:textId="423D6EBE" w:rsidR="002F3D92" w:rsidRPr="007114AF" w:rsidRDefault="002F3D92" w:rsidP="002F3D92">
      <w:pPr>
        <w:pStyle w:val="FIGURA"/>
      </w:pPr>
      <w:r w:rsidRPr="007114AF">
        <w:t>Tabela 21 – Buxheti total i nevojshëm për zbatimin e NAP-it</w:t>
      </w:r>
      <w:r w:rsidR="000A2A01" w:rsidRPr="007114AF">
        <w:t xml:space="preserve"> </w:t>
      </w:r>
      <w:r w:rsidRPr="007114AF">
        <w:t>i ndarë sipas burimeve të financimit</w:t>
      </w:r>
    </w:p>
    <w:p w14:paraId="6EDD1118" w14:textId="77777777" w:rsidR="002F3D92" w:rsidRPr="007114AF" w:rsidRDefault="002F3D92" w:rsidP="002F3D92">
      <w:pPr>
        <w:pStyle w:val="FIGURA"/>
        <w:jc w:val="left"/>
        <w:rPr>
          <w:sz w:val="18"/>
        </w:rPr>
      </w:pPr>
    </w:p>
    <w:p w14:paraId="6EDD1119" w14:textId="26C83541" w:rsidR="00BC1DB5" w:rsidRPr="007114AF" w:rsidRDefault="00BC1DB5" w:rsidP="00BC1DB5">
      <w:pPr>
        <w:pStyle w:val="TEKSTI"/>
        <w:rPr>
          <w:spacing w:val="-4"/>
        </w:rPr>
      </w:pPr>
      <w:r w:rsidRPr="007114AF">
        <w:rPr>
          <w:spacing w:val="-4"/>
        </w:rPr>
        <w:t>Në figurën 32 jepet ndarja e kostove sipas gupeve tematike. Veprimet prioritare që zbatohen nga Ministria e Turizmit dhe Mjedisit kanë kryesisht të bëjnë me udhëheqjen e procesit të NAP-it, dhe përbëjnë</w:t>
      </w:r>
      <w:r w:rsidR="000A2A01" w:rsidRPr="007114AF">
        <w:rPr>
          <w:spacing w:val="-4"/>
        </w:rPr>
        <w:t xml:space="preserve"> </w:t>
      </w:r>
      <w:r w:rsidRPr="007114AF">
        <w:rPr>
          <w:spacing w:val="-4"/>
        </w:rPr>
        <w:t>11% të kostos totale të buxhetit të planifikuar, ndërsa veprimet konkrete përbëjnë</w:t>
      </w:r>
      <w:r w:rsidR="000A2A01" w:rsidRPr="007114AF">
        <w:rPr>
          <w:spacing w:val="-4"/>
        </w:rPr>
        <w:t xml:space="preserve"> </w:t>
      </w:r>
      <w:r w:rsidRPr="007114AF">
        <w:rPr>
          <w:spacing w:val="-4"/>
        </w:rPr>
        <w:t>89%</w:t>
      </w:r>
      <w:r w:rsidR="000A2A01" w:rsidRPr="007114AF">
        <w:rPr>
          <w:spacing w:val="-4"/>
        </w:rPr>
        <w:t xml:space="preserve"> </w:t>
      </w:r>
      <w:r w:rsidRPr="007114AF">
        <w:rPr>
          <w:spacing w:val="-4"/>
        </w:rPr>
        <w:t xml:space="preserve">të buxhetit. </w:t>
      </w:r>
    </w:p>
    <w:p w14:paraId="6EDD111A" w14:textId="77777777" w:rsidR="00BC1DB5" w:rsidRPr="007114AF" w:rsidRDefault="00BC1DB5" w:rsidP="00BC1DB5">
      <w:pPr>
        <w:pStyle w:val="TEKSTI"/>
        <w:rPr>
          <w:spacing w:val="-4"/>
          <w:sz w:val="18"/>
        </w:rPr>
      </w:pPr>
    </w:p>
    <w:p w14:paraId="6EDD111B" w14:textId="77777777" w:rsidR="00BC1DB5" w:rsidRPr="007114AF" w:rsidRDefault="00BC1DB5" w:rsidP="00BC1DB5">
      <w:pPr>
        <w:pStyle w:val="TEKSTI"/>
        <w:rPr>
          <w:spacing w:val="-4"/>
        </w:rPr>
      </w:pPr>
      <w:r w:rsidRPr="007114AF">
        <w:rPr>
          <w:spacing w:val="-4"/>
        </w:rPr>
        <w:t>Figura 32 – Ndarja e buxhetit sipas grupeve tematike</w:t>
      </w:r>
    </w:p>
    <w:p w14:paraId="6EDD111C" w14:textId="77777777" w:rsidR="00BC1DB5" w:rsidRPr="007114AF" w:rsidRDefault="00BC1DB5" w:rsidP="00BC1DB5">
      <w:pPr>
        <w:pStyle w:val="TEKSTI"/>
        <w:rPr>
          <w:spacing w:val="-4"/>
          <w:sz w:val="18"/>
        </w:rPr>
      </w:pPr>
    </w:p>
    <w:p w14:paraId="6EDD111D" w14:textId="17ED8463" w:rsidR="00BC1DB5" w:rsidRPr="007114AF" w:rsidRDefault="00BC1DB5" w:rsidP="00BC1DB5">
      <w:pPr>
        <w:pStyle w:val="TEKSTI"/>
        <w:rPr>
          <w:spacing w:val="-4"/>
        </w:rPr>
      </w:pPr>
      <w:r w:rsidRPr="007114AF">
        <w:rPr>
          <w:spacing w:val="-4"/>
        </w:rPr>
        <w:t>Figura 33 ilustron ndarjen e buxhetit sipas burimeve të financimit. Boshllëku financiar prej 10% i takon kryesisht veprimeve prioritare sektoriale, rrespektivisht</w:t>
      </w:r>
      <w:r w:rsidR="000A2A01" w:rsidRPr="007114AF">
        <w:rPr>
          <w:spacing w:val="-4"/>
        </w:rPr>
        <w:t xml:space="preserve"> </w:t>
      </w:r>
      <w:r w:rsidRPr="007114AF">
        <w:rPr>
          <w:spacing w:val="-4"/>
        </w:rPr>
        <w:t>PA7, PA10, PA11, PA12 dhe PA13.</w:t>
      </w:r>
    </w:p>
    <w:p w14:paraId="6EDD111E" w14:textId="77777777" w:rsidR="00BC1DB5" w:rsidRPr="007114AF" w:rsidRDefault="00BC1DB5" w:rsidP="00BC1DB5">
      <w:pPr>
        <w:spacing w:after="200"/>
        <w:jc w:val="center"/>
        <w:rPr>
          <w:rFonts w:ascii="Garamond" w:hAnsi="Garamond"/>
        </w:rPr>
      </w:pPr>
      <w:r w:rsidRPr="007114AF">
        <w:rPr>
          <w:rFonts w:ascii="Garamond" w:hAnsi="Garamond"/>
          <w:noProof/>
          <w:lang w:val="en-US" w:eastAsia="en-US"/>
        </w:rPr>
        <w:drawing>
          <wp:inline distT="0" distB="0" distL="0" distR="0" wp14:anchorId="6EDD17C6" wp14:editId="6EDD17C7">
            <wp:extent cx="4579951" cy="2099145"/>
            <wp:effectExtent l="0" t="0" r="11430" b="15875"/>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EDD111F" w14:textId="77777777" w:rsidR="00BC1DB5" w:rsidRPr="007114AF" w:rsidRDefault="00BC1DB5" w:rsidP="00BC1DB5">
      <w:pPr>
        <w:pStyle w:val="FIGURA"/>
      </w:pPr>
      <w:r w:rsidRPr="007114AF">
        <w:t>Figura 33 – Ndarja e buxhetit sipas kontribuesve</w:t>
      </w:r>
    </w:p>
    <w:p w14:paraId="6EDD1120" w14:textId="77777777" w:rsidR="00BC1DB5" w:rsidRPr="007114AF" w:rsidRDefault="00BC1DB5" w:rsidP="00BC1DB5">
      <w:pPr>
        <w:pStyle w:val="FIGURA"/>
        <w:rPr>
          <w:bCs/>
          <w:iCs/>
        </w:rPr>
      </w:pPr>
    </w:p>
    <w:p w14:paraId="6EDD1121" w14:textId="77777777" w:rsidR="00BC1DB5" w:rsidRPr="007114AF" w:rsidRDefault="00BC1DB5" w:rsidP="00BC1DB5">
      <w:pPr>
        <w:pStyle w:val="TEKSTI"/>
      </w:pPr>
      <w:r w:rsidRPr="007114AF">
        <w:t>Në një mënyrë ilustruese, ndarja e buxhetit sipas veprimeve prioritare jepet në figurën 34</w:t>
      </w:r>
    </w:p>
    <w:p w14:paraId="6EDD1122" w14:textId="77777777" w:rsidR="00BC1DB5" w:rsidRPr="007114AF" w:rsidRDefault="00BC1DB5" w:rsidP="00BC1DB5">
      <w:pPr>
        <w:pStyle w:val="TEKSTI"/>
        <w:rPr>
          <w:b/>
        </w:rPr>
      </w:pPr>
    </w:p>
    <w:p w14:paraId="6EDD1123" w14:textId="77777777" w:rsidR="00BC1DB5" w:rsidRPr="007114AF" w:rsidRDefault="00BC1DB5" w:rsidP="00BC1DB5">
      <w:pPr>
        <w:spacing w:after="200"/>
        <w:jc w:val="center"/>
        <w:rPr>
          <w:rFonts w:ascii="Garamond" w:hAnsi="Garamond"/>
          <w:b/>
          <w:bCs/>
          <w:iCs/>
        </w:rPr>
      </w:pPr>
      <w:r w:rsidRPr="007114AF">
        <w:rPr>
          <w:rFonts w:ascii="Garamond" w:hAnsi="Garamond"/>
          <w:noProof/>
          <w:lang w:val="en-US" w:eastAsia="en-US"/>
        </w:rPr>
        <w:drawing>
          <wp:inline distT="0" distB="0" distL="0" distR="0" wp14:anchorId="6EDD17C8" wp14:editId="6EDD17C9">
            <wp:extent cx="5231218" cy="3466214"/>
            <wp:effectExtent l="0" t="0" r="26670" b="20320"/>
            <wp:docPr id="688" name="Chart 6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EDD1124" w14:textId="515EB2C3" w:rsidR="00BC1DB5" w:rsidRPr="007114AF" w:rsidRDefault="00BC1DB5" w:rsidP="00BC1DB5">
      <w:pPr>
        <w:pStyle w:val="FIGURA"/>
      </w:pPr>
      <w:r w:rsidRPr="007114AF">
        <w:t>Figura 34</w:t>
      </w:r>
      <w:r w:rsidR="005D5DCB">
        <w:t xml:space="preserve"> </w:t>
      </w:r>
      <w:r w:rsidRPr="007114AF">
        <w:t>– Ndarja e buxhetit sipas veprimeve prioritare</w:t>
      </w:r>
    </w:p>
    <w:p w14:paraId="6EDD1125" w14:textId="77777777" w:rsidR="00BC1DB5" w:rsidRPr="007114AF" w:rsidRDefault="00BC1DB5" w:rsidP="00BC1DB5">
      <w:pPr>
        <w:pStyle w:val="FIGURA"/>
      </w:pPr>
    </w:p>
    <w:p w14:paraId="6EDD1126" w14:textId="5371CA49" w:rsidR="001147F6" w:rsidRPr="007114AF" w:rsidRDefault="00AC0CE4" w:rsidP="001147F6">
      <w:pPr>
        <w:pStyle w:val="TEKSTI"/>
        <w:rPr>
          <w:b/>
        </w:rPr>
      </w:pPr>
      <w:r w:rsidRPr="007114AF">
        <w:rPr>
          <w:b/>
        </w:rPr>
        <w:t xml:space="preserve">6.4 </w:t>
      </w:r>
      <w:r w:rsidR="001147F6" w:rsidRPr="007114AF">
        <w:rPr>
          <w:b/>
        </w:rPr>
        <w:t xml:space="preserve">Zhvillimi </w:t>
      </w:r>
      <w:r w:rsidR="005D5DCB">
        <w:rPr>
          <w:b/>
        </w:rPr>
        <w:t>i</w:t>
      </w:r>
      <w:r w:rsidR="001147F6" w:rsidRPr="007114AF">
        <w:rPr>
          <w:b/>
        </w:rPr>
        <w:t xml:space="preserve"> kapaciteteve, informimi dhe përfshirja</w:t>
      </w:r>
    </w:p>
    <w:p w14:paraId="6EDD1127" w14:textId="77777777" w:rsidR="001147F6" w:rsidRPr="007114AF" w:rsidRDefault="001147F6" w:rsidP="001147F6">
      <w:pPr>
        <w:pStyle w:val="TEKSTI"/>
      </w:pPr>
      <w:r w:rsidRPr="007114AF">
        <w:t xml:space="preserve">Kapacitetet adekuate administrative, ndërgjegjësimi i publikut, shkëmbimi i informacionit, komunikimi dhe angazhimi janë elemente të rëndësishme për rritjen në mënyrë të efektshme të aftësisë ripërtëritëse ndaj ndryshimeve klimatike në Shqipëri. Pasqyrimi i nevojave për përshtatje në </w:t>
      </w:r>
      <w:r w:rsidRPr="007114AF">
        <w:rPr>
          <w:b/>
        </w:rPr>
        <w:t>institucionet publike dhe organet vendimmarrëse të politikave</w:t>
      </w:r>
      <w:r w:rsidRPr="007114AF">
        <w:t xml:space="preserve"> është rritur padyshim, gjatë viteve të fundit, sidomos nëpërmjet projekteve të ndryshme në lidhje me përshtatjen në disa sektorë shtetërorë (shih kapitullin 7), nevojat institucionale për të arritur progres në harmonizimin me </w:t>
      </w:r>
      <w:r w:rsidRPr="007114AF">
        <w:rPr>
          <w:i/>
        </w:rPr>
        <w:t>Acquis</w:t>
      </w:r>
      <w:r w:rsidRPr="007114AF">
        <w:t>-në e BE-së në fushën e klimës dhe nëpërmjet krijimit të Grupit Ndërministror të Punës për Ndryshimet Klimatike.</w:t>
      </w:r>
    </w:p>
    <w:p w14:paraId="6EDD1128" w14:textId="77777777" w:rsidR="001147F6" w:rsidRPr="007114AF" w:rsidRDefault="001147F6" w:rsidP="001147F6">
      <w:pPr>
        <w:pStyle w:val="TEKSTI"/>
        <w:rPr>
          <w:b/>
        </w:rPr>
      </w:pPr>
      <w:r w:rsidRPr="007114AF">
        <w:rPr>
          <w:b/>
        </w:rPr>
        <w:t>Kapacitetet institucionale për përshtatjen</w:t>
      </w:r>
    </w:p>
    <w:p w14:paraId="6EDD1129" w14:textId="08E32FB0" w:rsidR="001147F6" w:rsidRPr="007114AF" w:rsidRDefault="001147F6" w:rsidP="001147F6">
      <w:pPr>
        <w:pStyle w:val="TEKSTI"/>
      </w:pPr>
      <w:r w:rsidRPr="007114AF">
        <w:t>Ekziston një nevojë e ngutshme për të zhvilluar dhe mbështetur më tej kapacitetet institucionale dhe për të vendosur bazën për të vepruar, duke u dalë përpara ndryshimeve klimatike në të gjitha politikat sektoriale përkatëse. Kjo vlen në nivel të pushtetit qendror, të administratës rajonale, komuniteteve dhe të sektorit të OJQ-ve. Ministria e Turizmit dhe Mjedisit ka treguar gatishmërinë e kësaj ministrie në drejtim të përmirësimit të kapaciteteve institucionale. Decentralizimi (i cili ka filluar në vitin 2000) ka sjellë rritje të përgjegjësive të qarqeve, përfshirë në fushën e mbrojtjes së mjedisit dhe administrimit të burimeve natyrore. Decentralizimi ofron mundësinë për t</w:t>
      </w:r>
      <w:r w:rsidR="00D10DAB" w:rsidRPr="007114AF">
        <w:t>’</w:t>
      </w:r>
      <w:r w:rsidRPr="007114AF">
        <w:t>i rritur kapacitetet në nivel vendor dhe rajonal, në mënyrë që të minimizohen dhe menaxhohen rreziqet që sjellë ndryshimi klimatik, nëpërmjet politikave dhe masave adekuate të kundërpërgjigjes. Por bashkitë kanë nevojë për mbështetje dhe orientim për një angazhim më të fuqishëm, për përshtatjen ndaj ndryshimit klimatik. Mbështetjen në këtë aspekt e organizon veprimi prioritar</w:t>
      </w:r>
      <w:r w:rsidR="00242009" w:rsidRPr="007114AF">
        <w:t xml:space="preserve"> nr. </w:t>
      </w:r>
      <w:r w:rsidRPr="007114AF">
        <w:t>8.</w:t>
      </w:r>
    </w:p>
    <w:p w14:paraId="6EDD112A" w14:textId="77777777" w:rsidR="001147F6" w:rsidRPr="007114AF" w:rsidRDefault="001147F6" w:rsidP="001147F6">
      <w:pPr>
        <w:pStyle w:val="TEKSTI"/>
        <w:rPr>
          <w:b/>
        </w:rPr>
      </w:pPr>
      <w:r w:rsidRPr="007114AF">
        <w:rPr>
          <w:b/>
        </w:rPr>
        <w:t>Fuqizimi i ndërgjegjësimit publik</w:t>
      </w:r>
    </w:p>
    <w:p w14:paraId="6EDD112B" w14:textId="77777777" w:rsidR="001147F6" w:rsidRPr="007114AF" w:rsidRDefault="001147F6" w:rsidP="001147F6">
      <w:pPr>
        <w:pStyle w:val="TEKSTI"/>
      </w:pPr>
      <w:r w:rsidRPr="007114AF">
        <w:t xml:space="preserve">Puna për rritjen e </w:t>
      </w:r>
      <w:r w:rsidRPr="007114AF">
        <w:rPr>
          <w:b/>
        </w:rPr>
        <w:t>ndërgjegjësimit publik</w:t>
      </w:r>
      <w:r w:rsidRPr="007114AF">
        <w:t xml:space="preserve"> për ndryshimin klimatik ka kontribuar pozitivisht në procesin e integrimit të çështjeve të ndryshimit klimatik. Por rëndësia e ndryshimeve klimatike ende nuk merr vlerësimin e duhur në opinionin publik. Ndërgjegjësimi klimatik në të gjitha nivelet mbetet i ulët dhe bashkëpunimi ndërmjet të gjitha palëve përkatëse të interesit kërkon fuqizim të mëtejshëm.</w:t>
      </w:r>
    </w:p>
    <w:p w14:paraId="6EDD112C" w14:textId="77777777" w:rsidR="001147F6" w:rsidRPr="007114AF" w:rsidRDefault="001147F6" w:rsidP="001147F6">
      <w:pPr>
        <w:pStyle w:val="TEKSTI"/>
        <w:rPr>
          <w:b/>
        </w:rPr>
      </w:pPr>
      <w:r w:rsidRPr="007114AF">
        <w:rPr>
          <w:b/>
        </w:rPr>
        <w:t>Qasjet e ardhshme</w:t>
      </w:r>
    </w:p>
    <w:p w14:paraId="6EDD112D" w14:textId="0D32FFA7" w:rsidR="001147F6" w:rsidRPr="007114AF" w:rsidRDefault="001147F6" w:rsidP="001147F6">
      <w:pPr>
        <w:pStyle w:val="TEKSTI"/>
      </w:pPr>
      <w:r w:rsidRPr="007114AF">
        <w:t>Pavarësisht punës së kryer për ndërgjegjësimin dhe komunikimin, trajnimin dhe edukimin e lidhur me ndryshimin klimatik, ka nevojë për ndërhyrje madhore të tjera. Kjo përfshin edhe aktivitetet e zhvillimit të kapaciteteve në nivel qendror dhe vendor, si edhe një strategji komunikimi për çështjet e ndryshimit klimatik, e cila t</w:t>
      </w:r>
      <w:r w:rsidR="00D10DAB" w:rsidRPr="007114AF">
        <w:t>’</w:t>
      </w:r>
      <w:r w:rsidRPr="007114AF">
        <w:t>u drejtohet nivelit qendror dhe vendor, si edhe palëve publike dhe private të interesit. Kjo qasje përcaktohet në veprimin prioritar</w:t>
      </w:r>
      <w:r w:rsidR="00242009" w:rsidRPr="007114AF">
        <w:t xml:space="preserve"> nr. </w:t>
      </w:r>
      <w:r w:rsidRPr="007114AF">
        <w:t>6 (shih shtojcën 1).</w:t>
      </w:r>
    </w:p>
    <w:p w14:paraId="6EDD112E" w14:textId="77777777" w:rsidR="001147F6" w:rsidRPr="007114AF" w:rsidRDefault="001147F6" w:rsidP="001147F6">
      <w:pPr>
        <w:pStyle w:val="TEKSTI"/>
      </w:pPr>
      <w:r w:rsidRPr="007114AF">
        <w:t>Kjo qasje kërkon një strategji gjithëpërfshirëse për zhvillimin e kapaciteteve, punën afruese me publikun dhe angazhimin. Kjo strategji do të mbulojë në veçanti drejtimet e mëposhtme të punës:</w:t>
      </w:r>
    </w:p>
    <w:p w14:paraId="6EDD112F" w14:textId="77777777" w:rsidR="001147F6" w:rsidRPr="007114AF" w:rsidRDefault="00AC0CE4" w:rsidP="001147F6">
      <w:pPr>
        <w:pStyle w:val="TEKSTI"/>
        <w:rPr>
          <w:b/>
        </w:rPr>
      </w:pPr>
      <w:r w:rsidRPr="007114AF">
        <w:rPr>
          <w:b/>
        </w:rPr>
        <w:t xml:space="preserve">1. </w:t>
      </w:r>
      <w:r w:rsidR="001147F6" w:rsidRPr="007114AF">
        <w:rPr>
          <w:b/>
        </w:rPr>
        <w:t>Zhvillimi i kapaciteteve për institucionet shtetërore</w:t>
      </w:r>
    </w:p>
    <w:p w14:paraId="6EDD1130" w14:textId="77777777" w:rsidR="001147F6" w:rsidRPr="007114AF" w:rsidRDefault="001147F6" w:rsidP="001147F6">
      <w:pPr>
        <w:pStyle w:val="TEKSTI"/>
      </w:pPr>
      <w:r w:rsidRPr="007114AF">
        <w:t>Dhënia e mbështetjes institucionale për rritjen e kapaciteteve në fushën e ndryshimeve klimatike pranë Ministrisë së Turizmit dhe Mjedisit;</w:t>
      </w:r>
    </w:p>
    <w:p w14:paraId="6EDD1131" w14:textId="77777777" w:rsidR="001147F6" w:rsidRPr="007114AF" w:rsidRDefault="001147F6" w:rsidP="001147F6">
      <w:pPr>
        <w:pStyle w:val="TEKSTI"/>
      </w:pPr>
      <w:r w:rsidRPr="007114AF">
        <w:t>Përmirësimi i komunikimit ndërmjet institucionet publike dhe shpërndarja e informacioneve klimatike tek ato;</w:t>
      </w:r>
    </w:p>
    <w:p w14:paraId="6EDD1132" w14:textId="77777777" w:rsidR="001147F6" w:rsidRPr="007114AF" w:rsidRDefault="001147F6" w:rsidP="001147F6">
      <w:pPr>
        <w:pStyle w:val="TEKSTI"/>
      </w:pPr>
      <w:r w:rsidRPr="007114AF">
        <w:t xml:space="preserve">Kryerja e një vlerësimi të nevojave për trajnim dhe dhënia e kontributeve të synuara trajnuese personelit përkatës të institucioneve publike. </w:t>
      </w:r>
    </w:p>
    <w:p w14:paraId="6EDD1133" w14:textId="77777777" w:rsidR="001147F6" w:rsidRPr="007114AF" w:rsidRDefault="00AC0CE4" w:rsidP="001147F6">
      <w:pPr>
        <w:pStyle w:val="TEKSTI"/>
        <w:rPr>
          <w:b/>
        </w:rPr>
      </w:pPr>
      <w:r w:rsidRPr="007114AF">
        <w:rPr>
          <w:b/>
        </w:rPr>
        <w:t xml:space="preserve">2. </w:t>
      </w:r>
      <w:r w:rsidR="001147F6" w:rsidRPr="007114AF">
        <w:rPr>
          <w:b/>
        </w:rPr>
        <w:t>Punë afruese nëpërmjet institucioneve arsimore</w:t>
      </w:r>
    </w:p>
    <w:p w14:paraId="6EDD1134" w14:textId="77777777" w:rsidR="001147F6" w:rsidRPr="007114AF" w:rsidRDefault="001147F6" w:rsidP="001147F6">
      <w:pPr>
        <w:pStyle w:val="TEKSTI"/>
      </w:pPr>
      <w:r w:rsidRPr="007114AF">
        <w:t>Hartimi i moduleve edukuese për ndryshimin klimatik dhe prezantimi i fushatave në shkolla;</w:t>
      </w:r>
    </w:p>
    <w:p w14:paraId="6EDD1135" w14:textId="77777777" w:rsidR="001147F6" w:rsidRPr="007114AF" w:rsidRDefault="001147F6" w:rsidP="001147F6">
      <w:pPr>
        <w:pStyle w:val="TEKSTI"/>
      </w:pPr>
      <w:r w:rsidRPr="007114AF">
        <w:t xml:space="preserve">Përfshirja e njohurive për ndryshimet klimatike në programet mësimore përkatëse. </w:t>
      </w:r>
    </w:p>
    <w:p w14:paraId="6EDD1136" w14:textId="77777777" w:rsidR="001147F6" w:rsidRPr="007114AF" w:rsidRDefault="00AC0CE4" w:rsidP="001147F6">
      <w:pPr>
        <w:pStyle w:val="TEKSTI"/>
        <w:rPr>
          <w:b/>
        </w:rPr>
      </w:pPr>
      <w:r w:rsidRPr="007114AF">
        <w:rPr>
          <w:b/>
        </w:rPr>
        <w:t xml:space="preserve">3. </w:t>
      </w:r>
      <w:r w:rsidR="001147F6" w:rsidRPr="007114AF">
        <w:rPr>
          <w:b/>
        </w:rPr>
        <w:t>Punë afruese dhe angazhimi me shoqërinë civile</w:t>
      </w:r>
    </w:p>
    <w:p w14:paraId="6EDD1137" w14:textId="77777777" w:rsidR="001147F6" w:rsidRPr="007114AF" w:rsidRDefault="001147F6" w:rsidP="001147F6">
      <w:pPr>
        <w:pStyle w:val="TEKSTI"/>
      </w:pPr>
      <w:r w:rsidRPr="007114AF">
        <w:t>Hartimi i një plani veprimi për pjesëmarrjen dhe punën afruese me publikun;</w:t>
      </w:r>
    </w:p>
    <w:p w14:paraId="6EDD1138" w14:textId="77777777" w:rsidR="001147F6" w:rsidRPr="007114AF" w:rsidRDefault="001147F6" w:rsidP="001147F6">
      <w:pPr>
        <w:pStyle w:val="TEKSTI"/>
      </w:pPr>
      <w:r w:rsidRPr="007114AF">
        <w:t>Organizimi i angazhimit dhe debatit publik për aktivitetet e lidhura me përshtatjen;</w:t>
      </w:r>
    </w:p>
    <w:p w14:paraId="6EDD1139" w14:textId="77777777" w:rsidR="001147F6" w:rsidRPr="007114AF" w:rsidRDefault="001147F6" w:rsidP="001147F6">
      <w:pPr>
        <w:pStyle w:val="TEKSTI"/>
      </w:pPr>
      <w:r w:rsidRPr="007114AF">
        <w:t>Fuqizimi i ndërgjegjësimit nëpërmjet fushatave (mediave, organizatave të shoqërisë civile etj.);</w:t>
      </w:r>
    </w:p>
    <w:p w14:paraId="6EDD113A" w14:textId="77777777" w:rsidR="001147F6" w:rsidRPr="007114AF" w:rsidRDefault="001147F6" w:rsidP="001147F6">
      <w:pPr>
        <w:pStyle w:val="TEKSTI"/>
      </w:pPr>
      <w:r w:rsidRPr="007114AF">
        <w:t xml:space="preserve">Zhvillimi i aktiviteteve konkrete të promovimit (p.sh. nëpërmjet konkurseve, aktiviteteve publike). </w:t>
      </w:r>
    </w:p>
    <w:p w14:paraId="6EDD113B" w14:textId="77777777" w:rsidR="001147F6" w:rsidRPr="007114AF" w:rsidRDefault="00AC0CE4" w:rsidP="001147F6">
      <w:pPr>
        <w:pStyle w:val="TEKSTI"/>
        <w:rPr>
          <w:b/>
        </w:rPr>
      </w:pPr>
      <w:r w:rsidRPr="007114AF">
        <w:rPr>
          <w:b/>
        </w:rPr>
        <w:t xml:space="preserve">4. </w:t>
      </w:r>
      <w:r w:rsidR="001147F6" w:rsidRPr="007114AF">
        <w:rPr>
          <w:b/>
        </w:rPr>
        <w:t>Shpërndarje e informacionit sektorëve ekonomikë përkatës</w:t>
      </w:r>
    </w:p>
    <w:p w14:paraId="6EDD113C" w14:textId="77777777" w:rsidR="001147F6" w:rsidRPr="007114AF" w:rsidRDefault="001147F6" w:rsidP="001147F6">
      <w:pPr>
        <w:pStyle w:val="TEKSTI"/>
      </w:pPr>
      <w:r w:rsidRPr="007114AF">
        <w:t>Përfshirja e informacioneve klimatike në shërbimet mbështetëse për bujqit.</w:t>
      </w:r>
    </w:p>
    <w:p w14:paraId="6EDD113D" w14:textId="77777777" w:rsidR="001147F6" w:rsidRPr="007114AF" w:rsidRDefault="001147F6" w:rsidP="001147F6">
      <w:pPr>
        <w:pStyle w:val="TEKSTI"/>
        <w:rPr>
          <w:b/>
        </w:rPr>
      </w:pPr>
      <w:r w:rsidRPr="007114AF">
        <w:rPr>
          <w:b/>
        </w:rPr>
        <w:t>RAPORTIMI DHE MONITORIMI</w:t>
      </w:r>
    </w:p>
    <w:p w14:paraId="6EDD113E" w14:textId="77777777" w:rsidR="001147F6" w:rsidRPr="007114AF" w:rsidRDefault="001147F6" w:rsidP="001147F6">
      <w:pPr>
        <w:pStyle w:val="TEKSTI"/>
      </w:pPr>
      <w:r w:rsidRPr="007114AF">
        <w:rPr>
          <w:rFonts w:cstheme="minorHAnsi"/>
        </w:rPr>
        <w:t>Është krijuar</w:t>
      </w:r>
      <w:r w:rsidRPr="007114AF">
        <w:t xml:space="preserve"> nj</w:t>
      </w:r>
      <w:r w:rsidRPr="007114AF">
        <w:rPr>
          <w:rFonts w:cstheme="minorHAnsi"/>
        </w:rPr>
        <w:t>ë sistem koherent monitorimi dhe vlerësimi në mënyrë që të sigurohet një arritje efikase dhe efektive e objektivave të strategjisë</w:t>
      </w:r>
      <w:r w:rsidRPr="007114AF">
        <w:t xml:space="preserve">. </w:t>
      </w:r>
    </w:p>
    <w:p w14:paraId="6EDD113F" w14:textId="77777777" w:rsidR="001147F6" w:rsidRPr="007114AF" w:rsidRDefault="001147F6" w:rsidP="001147F6">
      <w:pPr>
        <w:pStyle w:val="TEKSTI"/>
      </w:pPr>
      <w:r w:rsidRPr="007114AF">
        <w:t>Dokumenti i SKNK&amp;P-ës bazohet n</w:t>
      </w:r>
      <w:r w:rsidRPr="007114AF">
        <w:rPr>
          <w:rFonts w:cstheme="minorHAnsi"/>
        </w:rPr>
        <w:t>ë disa strategji sektoriale dhe ndërsektoriale, si dhe plane që parashikojnë në strukturën e tyre monitorimin institucional</w:t>
      </w:r>
      <w:r w:rsidRPr="007114AF">
        <w:t xml:space="preserve"> dhe kuadrin e vler</w:t>
      </w:r>
      <w:r w:rsidRPr="007114AF">
        <w:rPr>
          <w:rFonts w:cstheme="minorHAnsi"/>
        </w:rPr>
        <w:t>ësimit, me objektiva dhe tregues, sipas një metodologjie specifike dhe institucionet përgjegjëse</w:t>
      </w:r>
      <w:r w:rsidRPr="007114AF">
        <w:t xml:space="preserve"> (tabela20).</w:t>
      </w:r>
    </w:p>
    <w:p w14:paraId="6EDD1140" w14:textId="4A3AEB38" w:rsidR="001147F6" w:rsidRPr="007114AF" w:rsidRDefault="001147F6" w:rsidP="001147F6">
      <w:pPr>
        <w:pStyle w:val="TEKSTI"/>
      </w:pPr>
      <w:r w:rsidRPr="007114AF">
        <w:t>Bashk</w:t>
      </w:r>
      <w:r w:rsidRPr="007114AF">
        <w:rPr>
          <w:rFonts w:cstheme="minorHAnsi"/>
        </w:rPr>
        <w:t xml:space="preserve">ërendimi i përgjithshëm i aktiviteteve në lidhje me strategjinë është përgjegjësi e </w:t>
      </w:r>
      <w:r w:rsidRPr="007114AF">
        <w:t>Ministris</w:t>
      </w:r>
      <w:r w:rsidRPr="007114AF">
        <w:rPr>
          <w:rFonts w:cstheme="minorHAnsi"/>
        </w:rPr>
        <w:t>ë së Turizmit dhe Mjedisit</w:t>
      </w:r>
      <w:r w:rsidRPr="007114AF">
        <w:t xml:space="preserve">. </w:t>
      </w:r>
      <w:r w:rsidRPr="007114AF">
        <w:rPr>
          <w:i/>
        </w:rPr>
        <w:t>Grupi i pun</w:t>
      </w:r>
      <w:r w:rsidRPr="007114AF">
        <w:rPr>
          <w:rFonts w:cstheme="minorHAnsi"/>
          <w:i/>
        </w:rPr>
        <w:t>ë</w:t>
      </w:r>
      <w:r w:rsidRPr="007114AF">
        <w:rPr>
          <w:i/>
        </w:rPr>
        <w:t>s n</w:t>
      </w:r>
      <w:r w:rsidRPr="007114AF">
        <w:rPr>
          <w:rFonts w:cstheme="minorHAnsi"/>
          <w:i/>
        </w:rPr>
        <w:t>ë fushën e Ndryshimeve Klimatike</w:t>
      </w:r>
      <w:r w:rsidRPr="007114AF">
        <w:t>, krijuar n</w:t>
      </w:r>
      <w:r w:rsidRPr="007114AF">
        <w:rPr>
          <w:rFonts w:cstheme="minorHAnsi"/>
        </w:rPr>
        <w:t xml:space="preserve">ë bazë të Urdhrit </w:t>
      </w:r>
      <w:r w:rsidRPr="007114AF">
        <w:t>t</w:t>
      </w:r>
      <w:r w:rsidRPr="007114AF">
        <w:rPr>
          <w:rFonts w:cstheme="minorHAnsi"/>
        </w:rPr>
        <w:t>ë Kryeministrit</w:t>
      </w:r>
      <w:r w:rsidR="00242009" w:rsidRPr="007114AF">
        <w:rPr>
          <w:rFonts w:cstheme="minorHAnsi"/>
        </w:rPr>
        <w:t xml:space="preserve"> nr. </w:t>
      </w:r>
      <w:r w:rsidRPr="007114AF">
        <w:t>155, dat</w:t>
      </w:r>
      <w:r w:rsidRPr="007114AF">
        <w:rPr>
          <w:rFonts w:cstheme="minorHAnsi"/>
        </w:rPr>
        <w:t>ë</w:t>
      </w:r>
      <w:r w:rsidR="005D5DCB">
        <w:t xml:space="preserve"> 25.</w:t>
      </w:r>
      <w:r w:rsidRPr="007114AF">
        <w:t>4.2014</w:t>
      </w:r>
      <w:r w:rsidRPr="007114AF">
        <w:rPr>
          <w:rStyle w:val="FootnoteReference"/>
        </w:rPr>
        <w:footnoteReference w:id="57"/>
      </w:r>
      <w:r w:rsidRPr="007114AF">
        <w:t>dhe i kryesuar nga Ministria e Turizmit dhe Mjedisit</w:t>
      </w:r>
      <w:r w:rsidR="003F649E" w:rsidRPr="007114AF">
        <w:t>,</w:t>
      </w:r>
      <w:r w:rsidRPr="007114AF">
        <w:t xml:space="preserve"> do t</w:t>
      </w:r>
      <w:r w:rsidRPr="007114AF">
        <w:rPr>
          <w:rFonts w:cstheme="minorHAnsi"/>
        </w:rPr>
        <w:t xml:space="preserve">ë vlerësojë çdo vit, përparimin e strategjive kombëtare dhe planeve që lidhen me ndryshimet klimatike </w:t>
      </w:r>
      <w:r w:rsidRPr="007114AF">
        <w:t>dhe q</w:t>
      </w:r>
      <w:r w:rsidRPr="007114AF">
        <w:rPr>
          <w:rFonts w:cstheme="minorHAnsi"/>
        </w:rPr>
        <w:t>ë ndodhen në listë</w:t>
      </w:r>
      <w:r w:rsidRPr="007114AF">
        <w:t xml:space="preserve">. </w:t>
      </w:r>
      <w:r w:rsidRPr="007114AF">
        <w:rPr>
          <w:rFonts w:cstheme="minorHAnsi"/>
        </w:rPr>
        <w:t>Ç</w:t>
      </w:r>
      <w:r w:rsidRPr="007114AF">
        <w:t>do vit, ministrit</w:t>
      </w:r>
      <w:r w:rsidRPr="007114AF">
        <w:rPr>
          <w:rFonts w:cstheme="minorHAnsi"/>
        </w:rPr>
        <w:t>ë përkatëse do të raportojnë mbi përparimin në përmbushjet e objektivave, sa i përket aspektit cilësor dhe sasior të strategjive dhe planeve përkatëse, si dhe do të informojnë rregullisht Kryeministrin mbi zhvillimet në sektor</w:t>
      </w:r>
      <w:r w:rsidRPr="007114AF">
        <w:t>.</w:t>
      </w:r>
    </w:p>
    <w:p w14:paraId="6EDD1141" w14:textId="14918333" w:rsidR="001147F6" w:rsidRPr="007114AF" w:rsidRDefault="001147F6" w:rsidP="001147F6">
      <w:pPr>
        <w:pStyle w:val="TEKSTI"/>
      </w:pPr>
      <w:r w:rsidRPr="007114AF">
        <w:t xml:space="preserve">Në zbatim të </w:t>
      </w:r>
      <w:r w:rsidR="005D5DCB">
        <w:t>u</w:t>
      </w:r>
      <w:r w:rsidRPr="007114AF">
        <w:t>rdhrit të Kryeministrit</w:t>
      </w:r>
      <w:r w:rsidR="00242009" w:rsidRPr="007114AF">
        <w:t xml:space="preserve"> nr. </w:t>
      </w:r>
      <w:r w:rsidRPr="007114AF">
        <w:t xml:space="preserve">157, datë 22.10.2018 </w:t>
      </w:r>
      <w:r w:rsidR="000A2A01" w:rsidRPr="007114AF">
        <w:t>“</w:t>
      </w:r>
      <w:r w:rsidRPr="007114AF">
        <w:t>Për marrjen e masave për zbatimin e qasjes së gjerë sektoriale/ndërsektoriale, si dhe ngritjen dhe funksionimin e mekanizmit sektoril/ndërsektorial të integruar</w:t>
      </w:r>
      <w:r w:rsidR="000A2A01" w:rsidRPr="007114AF">
        <w:t>”</w:t>
      </w:r>
      <w:r w:rsidRPr="007114AF">
        <w:t xml:space="preserve">, u miratua </w:t>
      </w:r>
      <w:r w:rsidR="005D5DCB" w:rsidRPr="007114AF">
        <w:t xml:space="preserve">urdhri i ministrit </w:t>
      </w:r>
      <w:r w:rsidRPr="007114AF">
        <w:t xml:space="preserve">të </w:t>
      </w:r>
      <w:r w:rsidR="005D5DCB" w:rsidRPr="007114AF">
        <w:t xml:space="preserve">Turizmit </w:t>
      </w:r>
      <w:r w:rsidRPr="007114AF">
        <w:t>dhe Mjedisit nr</w:t>
      </w:r>
      <w:r w:rsidR="005D5DCB">
        <w:t>.</w:t>
      </w:r>
      <w:r w:rsidRPr="007114AF">
        <w:t xml:space="preserve"> 34, </w:t>
      </w:r>
      <w:r w:rsidR="005D5DCB">
        <w:t>datë 19.</w:t>
      </w:r>
      <w:r w:rsidRPr="007114AF">
        <w:t xml:space="preserve">2.2019 </w:t>
      </w:r>
      <w:r w:rsidR="000A2A01" w:rsidRPr="007114AF">
        <w:t>“</w:t>
      </w:r>
      <w:r w:rsidRPr="007114AF">
        <w:t>Për ngritjen e sekretariatit teknik, në kuadër të funksionimit të komitetit drejtues sektorial, (KDS) në fushën e mjedisit, klimës dhe menaxhimit të mbetjeve</w:t>
      </w:r>
      <w:r w:rsidR="000A2A01" w:rsidRPr="007114AF">
        <w:t>”</w:t>
      </w:r>
      <w:r w:rsidRPr="007114AF">
        <w:t xml:space="preserve">. Referuar </w:t>
      </w:r>
      <w:r w:rsidR="005D5DCB">
        <w:t>urdh</w:t>
      </w:r>
      <w:r w:rsidRPr="007114AF">
        <w:t>rit nr</w:t>
      </w:r>
      <w:r w:rsidR="005D5DCB">
        <w:t>.</w:t>
      </w:r>
      <w:r w:rsidRPr="007114AF">
        <w:t xml:space="preserve"> 34/2019</w:t>
      </w:r>
      <w:r w:rsidR="005D5DCB">
        <w:t>,</w:t>
      </w:r>
      <w:r w:rsidRPr="007114AF">
        <w:t xml:space="preserve"> Komiteti Drejtues sektorial </w:t>
      </w:r>
      <w:r w:rsidR="000A2A01" w:rsidRPr="007114AF">
        <w:t>“</w:t>
      </w:r>
      <w:r w:rsidRPr="007114AF">
        <w:t>Mjedisi, klima dhe menaxhimi i mbetjeve</w:t>
      </w:r>
      <w:r w:rsidR="000A2A01" w:rsidRPr="007114AF">
        <w:t>”</w:t>
      </w:r>
      <w:r w:rsidRPr="007114AF">
        <w:t xml:space="preserve">, drejtohet nga Ministri i Turizmit dhe Mjedisit dhe luan rolin e Komitetit Sektorial të monitorimit të IPA-s për Mjedisin, klimën dhe menazhimin e mbetjeve, për 2 </w:t>
      </w:r>
      <w:r w:rsidR="005D5DCB">
        <w:t>g</w:t>
      </w:r>
      <w:r w:rsidRPr="007114AF">
        <w:t xml:space="preserve">rupet tematike </w:t>
      </w:r>
      <w:r w:rsidR="000A2A01" w:rsidRPr="007114AF">
        <w:t>“</w:t>
      </w:r>
      <w:r w:rsidRPr="007114AF">
        <w:t>Mjedisi dhe ndryshimet klimatike</w:t>
      </w:r>
      <w:r w:rsidR="000A2A01" w:rsidRPr="007114AF">
        <w:t>”</w:t>
      </w:r>
      <w:r w:rsidRPr="007114AF">
        <w:t xml:space="preserve"> si dhe </w:t>
      </w:r>
      <w:r w:rsidR="000A2A01" w:rsidRPr="007114AF">
        <w:t>“</w:t>
      </w:r>
      <w:r w:rsidRPr="007114AF">
        <w:t>Menaxhimi i mbetjeve të ngurta</w:t>
      </w:r>
      <w:r w:rsidR="000A2A01" w:rsidRPr="007114AF">
        <w:t>”</w:t>
      </w:r>
      <w:r w:rsidRPr="007114AF">
        <w:t>.</w:t>
      </w:r>
    </w:p>
    <w:p w14:paraId="6EDD1142" w14:textId="77777777" w:rsidR="001147F6" w:rsidRPr="007114AF" w:rsidRDefault="001147F6" w:rsidP="001147F6">
      <w:pPr>
        <w:pStyle w:val="TEKSTI"/>
      </w:pPr>
      <w:r w:rsidRPr="007114AF">
        <w:t>S</w:t>
      </w:r>
      <w:r w:rsidRPr="007114AF">
        <w:rPr>
          <w:rFonts w:cstheme="minorHAnsi"/>
        </w:rPr>
        <w:t xml:space="preserve">ë fundi, një vlerësim </w:t>
      </w:r>
      <w:r w:rsidRPr="007114AF">
        <w:rPr>
          <w:rFonts w:cstheme="minorHAnsi"/>
          <w:i/>
        </w:rPr>
        <w:t xml:space="preserve">ex-post </w:t>
      </w:r>
      <w:r w:rsidRPr="007114AF">
        <w:rPr>
          <w:rFonts w:cstheme="minorHAnsi"/>
        </w:rPr>
        <w:t>do të përqendrohet në vlerësimin e përgjithshëm të rëndësisë, efikasitetit, ndikimit dhe qëndrueshmërisë së ndërhyrjeve të strategjisë ndërsektoriale dhe analizës së faktorëve që ndikojnë në efektivitetin dhe ndikimin e strategjisë dhe mësimet e nxjerra</w:t>
      </w:r>
      <w:r w:rsidRPr="007114AF">
        <w:t>. Rezultatet e vler</w:t>
      </w:r>
      <w:r w:rsidRPr="007114AF">
        <w:rPr>
          <w:rFonts w:cstheme="minorHAnsi"/>
        </w:rPr>
        <w:t xml:space="preserve">ësimit </w:t>
      </w:r>
      <w:r w:rsidRPr="007114AF">
        <w:rPr>
          <w:i/>
        </w:rPr>
        <w:t>ex-post</w:t>
      </w:r>
      <w:r w:rsidRPr="007114AF">
        <w:t xml:space="preserve"> do t</w:t>
      </w:r>
      <w:r w:rsidRPr="007114AF">
        <w:rPr>
          <w:rFonts w:cstheme="minorHAnsi"/>
        </w:rPr>
        <w:t>ë përdoren për planifikim dhe rishikim të veprimeve të masave zbutëse të ndryshimeve klimatike</w:t>
      </w:r>
      <w:r w:rsidRPr="007114AF">
        <w:t>.</w:t>
      </w:r>
    </w:p>
    <w:p w14:paraId="6EDD1143" w14:textId="41A67394" w:rsidR="001147F6" w:rsidRPr="007114AF" w:rsidRDefault="001147F6" w:rsidP="001147F6">
      <w:pPr>
        <w:pStyle w:val="TEKSTI"/>
      </w:pPr>
      <w:r w:rsidRPr="007114AF">
        <w:t>P</w:t>
      </w:r>
      <w:r w:rsidRPr="007114AF">
        <w:rPr>
          <w:rFonts w:cstheme="minorHAnsi"/>
        </w:rPr>
        <w:t xml:space="preserve">ër sa </w:t>
      </w:r>
      <w:r w:rsidR="00362F59">
        <w:rPr>
          <w:rFonts w:cstheme="minorHAnsi"/>
        </w:rPr>
        <w:t>u</w:t>
      </w:r>
      <w:r w:rsidRPr="007114AF">
        <w:rPr>
          <w:rFonts w:cstheme="minorHAnsi"/>
        </w:rPr>
        <w:t xml:space="preserve"> përket planeve të energjisë </w:t>
      </w:r>
      <w:r w:rsidRPr="007114AF">
        <w:t>PKVEE, institucioni kryesor p</w:t>
      </w:r>
      <w:r w:rsidRPr="007114AF">
        <w:rPr>
          <w:rFonts w:cstheme="minorHAnsi"/>
        </w:rPr>
        <w:t xml:space="preserve">ërgjegjës për zbatimin dhe monitorimin e tyre janë </w:t>
      </w:r>
      <w:r w:rsidRPr="007114AF">
        <w:t>Ministria e Infrastrukturës dhe</w:t>
      </w:r>
      <w:r w:rsidRPr="007114AF">
        <w:rPr>
          <w:rFonts w:cstheme="minorHAnsi"/>
        </w:rPr>
        <w:t xml:space="preserve"> Energjisë dhe agjencia e saj e varësisë</w:t>
      </w:r>
      <w:r w:rsidRPr="007114AF">
        <w:t>– AKBN-ja, por duke q</w:t>
      </w:r>
      <w:r w:rsidRPr="007114AF">
        <w:rPr>
          <w:rFonts w:cstheme="minorHAnsi"/>
        </w:rPr>
        <w:t>enë se ajo mbulon të gjithë sektorët, të gjitha ministritë e tjera janë pjesë e zbatimit të tyre</w:t>
      </w:r>
      <w:r w:rsidRPr="007114AF">
        <w:t xml:space="preserve">. </w:t>
      </w:r>
    </w:p>
    <w:p w14:paraId="6EDD1144" w14:textId="77777777" w:rsidR="001147F6" w:rsidRPr="007114AF" w:rsidRDefault="001147F6" w:rsidP="001147F6">
      <w:pPr>
        <w:pStyle w:val="FIGURA"/>
        <w:jc w:val="left"/>
      </w:pPr>
    </w:p>
    <w:p w14:paraId="6EDD1145" w14:textId="77777777" w:rsidR="00BC1DB5" w:rsidRPr="007114AF" w:rsidRDefault="00BC1DB5" w:rsidP="00BC1DB5">
      <w:pPr>
        <w:spacing w:after="200"/>
        <w:rPr>
          <w:rFonts w:ascii="Garamond" w:hAnsi="Garamond"/>
          <w:b/>
          <w:bCs/>
          <w:iCs/>
        </w:rPr>
      </w:pPr>
    </w:p>
    <w:p w14:paraId="6EDD1146" w14:textId="77777777" w:rsidR="005D20DB" w:rsidRPr="007114AF" w:rsidRDefault="005D20DB" w:rsidP="00BC1DB5">
      <w:pPr>
        <w:spacing w:after="200"/>
        <w:rPr>
          <w:rFonts w:ascii="Garamond" w:hAnsi="Garamond"/>
          <w:b/>
          <w:bCs/>
          <w:iCs/>
        </w:rPr>
      </w:pPr>
    </w:p>
    <w:p w14:paraId="6EDD1147" w14:textId="77777777" w:rsidR="005D20DB" w:rsidRPr="007114AF" w:rsidRDefault="005D20DB" w:rsidP="00BC1DB5">
      <w:pPr>
        <w:spacing w:after="200"/>
        <w:rPr>
          <w:rFonts w:ascii="Garamond" w:hAnsi="Garamond"/>
          <w:b/>
          <w:bCs/>
          <w:iCs/>
        </w:rPr>
      </w:pPr>
    </w:p>
    <w:p w14:paraId="6EDD1148" w14:textId="77777777" w:rsidR="005D20DB" w:rsidRPr="007114AF" w:rsidRDefault="005D20DB" w:rsidP="00BC1DB5">
      <w:pPr>
        <w:spacing w:after="200"/>
        <w:rPr>
          <w:rFonts w:ascii="Garamond" w:hAnsi="Garamond"/>
          <w:b/>
          <w:bCs/>
          <w:iCs/>
        </w:rPr>
      </w:pPr>
    </w:p>
    <w:p w14:paraId="6EDD1149" w14:textId="77777777" w:rsidR="005D20DB" w:rsidRPr="007114AF" w:rsidRDefault="005D20DB" w:rsidP="00BC1DB5">
      <w:pPr>
        <w:spacing w:after="200"/>
        <w:rPr>
          <w:rFonts w:ascii="Garamond" w:hAnsi="Garamond"/>
          <w:b/>
          <w:bCs/>
          <w:iCs/>
        </w:rPr>
      </w:pPr>
    </w:p>
    <w:p w14:paraId="6EDD114A" w14:textId="77777777" w:rsidR="005D20DB" w:rsidRPr="007114AF" w:rsidRDefault="005D20DB" w:rsidP="00BC1DB5">
      <w:pPr>
        <w:spacing w:after="200"/>
        <w:rPr>
          <w:rFonts w:ascii="Garamond" w:hAnsi="Garamond"/>
          <w:b/>
          <w:bCs/>
          <w:iCs/>
        </w:rPr>
      </w:pPr>
    </w:p>
    <w:p w14:paraId="6EDD114B" w14:textId="77777777" w:rsidR="005D20DB" w:rsidRPr="007114AF" w:rsidRDefault="005D20DB" w:rsidP="00BC1DB5">
      <w:pPr>
        <w:spacing w:after="200"/>
        <w:rPr>
          <w:rFonts w:ascii="Garamond" w:hAnsi="Garamond"/>
          <w:b/>
          <w:bCs/>
          <w:iCs/>
        </w:rPr>
      </w:pPr>
    </w:p>
    <w:p w14:paraId="6EDD114C" w14:textId="77777777" w:rsidR="005D20DB" w:rsidRPr="007114AF" w:rsidRDefault="005D20DB" w:rsidP="00BC1DB5">
      <w:pPr>
        <w:spacing w:after="200"/>
        <w:rPr>
          <w:rFonts w:ascii="Garamond" w:hAnsi="Garamond"/>
          <w:b/>
          <w:bCs/>
          <w:iCs/>
        </w:rPr>
      </w:pPr>
    </w:p>
    <w:p w14:paraId="6EDD114D" w14:textId="77777777" w:rsidR="005D20DB" w:rsidRPr="007114AF" w:rsidRDefault="005D20DB" w:rsidP="00BC1DB5">
      <w:pPr>
        <w:spacing w:after="200"/>
        <w:rPr>
          <w:rFonts w:ascii="Garamond" w:hAnsi="Garamond"/>
          <w:b/>
          <w:bCs/>
          <w:iCs/>
        </w:rPr>
        <w:sectPr w:rsidR="005D20DB" w:rsidRPr="007114AF" w:rsidSect="00A45C8C">
          <w:pgSz w:w="11907" w:h="16840" w:code="9"/>
          <w:pgMar w:top="1418" w:right="1418" w:bottom="1418" w:left="1418" w:header="1304" w:footer="1134" w:gutter="0"/>
          <w:cols w:space="708"/>
          <w:noEndnote/>
          <w:docGrid w:linePitch="326"/>
        </w:sectPr>
      </w:pPr>
    </w:p>
    <w:p w14:paraId="6EDD114E" w14:textId="77777777" w:rsidR="00193B62" w:rsidRPr="007114AF" w:rsidRDefault="00193B62" w:rsidP="00193B62">
      <w:pPr>
        <w:pStyle w:val="FIGURA"/>
      </w:pPr>
      <w:r w:rsidRPr="007114AF">
        <w:t>Tabela 22 – Marr</w:t>
      </w:r>
      <w:r w:rsidRPr="007114AF">
        <w:rPr>
          <w:rFonts w:cs="Calibri"/>
        </w:rPr>
        <w:t xml:space="preserve">ëveshje </w:t>
      </w:r>
      <w:r w:rsidRPr="007114AF">
        <w:t>Monitorimi dhe Vler</w:t>
      </w:r>
      <w:r w:rsidRPr="007114AF">
        <w:rPr>
          <w:rFonts w:cs="Calibri"/>
        </w:rPr>
        <w:t xml:space="preserve">ësimi </w:t>
      </w:r>
      <w:r w:rsidRPr="007114AF">
        <w:t>(M&amp;E) t</w:t>
      </w:r>
      <w:r w:rsidRPr="007114AF">
        <w:rPr>
          <w:rFonts w:cs="Calibri"/>
        </w:rPr>
        <w:t xml:space="preserve">ë krijuara për secilin </w:t>
      </w:r>
      <w:r w:rsidRPr="007114AF">
        <w:t>Plan dhe Strategji t</w:t>
      </w:r>
      <w:r w:rsidRPr="007114AF">
        <w:rPr>
          <w:rFonts w:cs="Calibri"/>
        </w:rPr>
        <w:t>ë marrë në konsideratë</w:t>
      </w:r>
    </w:p>
    <w:tbl>
      <w:tblPr>
        <w:tblStyle w:val="GridTable6Colorful-Accent11"/>
        <w:tblpPr w:leftFromText="180" w:rightFromText="180" w:horzAnchor="margin" w:tblpY="636"/>
        <w:tblW w:w="5000" w:type="pct"/>
        <w:tblLayout w:type="fixed"/>
        <w:tblLook w:val="04A0" w:firstRow="1" w:lastRow="0" w:firstColumn="1" w:lastColumn="0" w:noHBand="0" w:noVBand="1"/>
      </w:tblPr>
      <w:tblGrid>
        <w:gridCol w:w="3773"/>
        <w:gridCol w:w="999"/>
        <w:gridCol w:w="2099"/>
        <w:gridCol w:w="2416"/>
      </w:tblGrid>
      <w:tr w:rsidR="00193B62" w:rsidRPr="007114AF" w14:paraId="6EDD1153" w14:textId="77777777" w:rsidTr="0057466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4F" w14:textId="77777777" w:rsidR="00193B62" w:rsidRPr="007114AF" w:rsidRDefault="00193B62" w:rsidP="00193B62">
            <w:pPr>
              <w:spacing w:after="0"/>
              <w:rPr>
                <w:rFonts w:ascii="Garamond" w:hAnsi="Garamond"/>
                <w:sz w:val="18"/>
                <w:szCs w:val="18"/>
              </w:rPr>
            </w:pPr>
            <w:r w:rsidRPr="007114AF">
              <w:rPr>
                <w:rFonts w:ascii="Garamond" w:hAnsi="Garamond"/>
                <w:sz w:val="18"/>
                <w:szCs w:val="18"/>
              </w:rPr>
              <w:t>Dokumenti</w:t>
            </w:r>
          </w:p>
        </w:tc>
        <w:tc>
          <w:tcPr>
            <w:tcW w:w="538" w:type="pct"/>
            <w:vAlign w:val="center"/>
            <w:hideMark/>
          </w:tcPr>
          <w:p w14:paraId="6EDD1150" w14:textId="77777777" w:rsidR="00193B62" w:rsidRPr="007114AF" w:rsidRDefault="00193B62" w:rsidP="00193B62">
            <w:pPr>
              <w:spacing w:after="0"/>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Vlefshm</w:t>
            </w:r>
            <w:r w:rsidRPr="007114AF">
              <w:rPr>
                <w:rFonts w:ascii="Garamond" w:hAnsi="Garamond" w:cstheme="minorHAnsi"/>
                <w:sz w:val="18"/>
                <w:szCs w:val="18"/>
              </w:rPr>
              <w:t>ë</w:t>
            </w:r>
            <w:r w:rsidRPr="007114AF">
              <w:rPr>
                <w:rFonts w:ascii="Garamond" w:hAnsi="Garamond"/>
                <w:sz w:val="18"/>
                <w:szCs w:val="18"/>
              </w:rPr>
              <w:t>ria</w:t>
            </w:r>
          </w:p>
        </w:tc>
        <w:tc>
          <w:tcPr>
            <w:tcW w:w="1130" w:type="pct"/>
            <w:vAlign w:val="center"/>
            <w:hideMark/>
          </w:tcPr>
          <w:p w14:paraId="6EDD1151" w14:textId="77777777" w:rsidR="00193B62" w:rsidRPr="007114AF" w:rsidRDefault="00193B62" w:rsidP="00193B62">
            <w:pPr>
              <w:spacing w:after="0"/>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Institucioni/M&amp;E</w:t>
            </w:r>
          </w:p>
        </w:tc>
        <w:tc>
          <w:tcPr>
            <w:tcW w:w="1301" w:type="pct"/>
            <w:vAlign w:val="center"/>
            <w:hideMark/>
          </w:tcPr>
          <w:p w14:paraId="6EDD1152" w14:textId="77777777" w:rsidR="00193B62" w:rsidRPr="007114AF" w:rsidRDefault="00193B62" w:rsidP="00193B62">
            <w:pPr>
              <w:spacing w:after="0"/>
              <w:cnfStyle w:val="100000000000" w:firstRow="1"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Metodologjia e M&amp;E</w:t>
            </w:r>
          </w:p>
        </w:tc>
      </w:tr>
      <w:tr w:rsidR="00193B62" w:rsidRPr="007114AF" w14:paraId="6EDD1158" w14:textId="77777777" w:rsidTr="00574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noWrap/>
            <w:vAlign w:val="center"/>
            <w:hideMark/>
          </w:tcPr>
          <w:p w14:paraId="6EDD1154" w14:textId="77777777" w:rsidR="00193B62" w:rsidRPr="007114AF" w:rsidRDefault="00193B62" w:rsidP="00193B62">
            <w:pPr>
              <w:spacing w:after="0"/>
              <w:rPr>
                <w:rFonts w:ascii="Garamond" w:hAnsi="Garamond"/>
                <w:b w:val="0"/>
                <w:sz w:val="18"/>
                <w:szCs w:val="18"/>
              </w:rPr>
            </w:pPr>
            <w:r w:rsidRPr="007114AF">
              <w:rPr>
                <w:rFonts w:ascii="Garamond" w:hAnsi="Garamond"/>
                <w:sz w:val="18"/>
                <w:szCs w:val="18"/>
              </w:rPr>
              <w:t>Kontributi i Kombëtar i Pikësynuar (INDC) n</w:t>
            </w:r>
            <w:r w:rsidRPr="007114AF">
              <w:rPr>
                <w:rFonts w:ascii="Garamond" w:hAnsi="Garamond" w:cstheme="minorHAnsi"/>
                <w:sz w:val="18"/>
                <w:szCs w:val="18"/>
              </w:rPr>
              <w:t xml:space="preserve">ë kuadrin e </w:t>
            </w:r>
            <w:r w:rsidRPr="007114AF">
              <w:rPr>
                <w:rFonts w:ascii="Garamond" w:hAnsi="Garamond"/>
                <w:sz w:val="18"/>
                <w:szCs w:val="18"/>
              </w:rPr>
              <w:t>UNFCCC-ës</w:t>
            </w:r>
          </w:p>
        </w:tc>
        <w:tc>
          <w:tcPr>
            <w:tcW w:w="538" w:type="pct"/>
            <w:vAlign w:val="center"/>
            <w:hideMark/>
          </w:tcPr>
          <w:p w14:paraId="6EDD1155"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2015-2030</w:t>
            </w:r>
          </w:p>
        </w:tc>
        <w:tc>
          <w:tcPr>
            <w:tcW w:w="1130" w:type="pct"/>
            <w:vAlign w:val="center"/>
            <w:hideMark/>
          </w:tcPr>
          <w:p w14:paraId="6EDD1156"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 xml:space="preserve">Ministria e Turizmit dhe Mjedisit </w:t>
            </w:r>
          </w:p>
        </w:tc>
        <w:tc>
          <w:tcPr>
            <w:tcW w:w="1301" w:type="pct"/>
            <w:vAlign w:val="center"/>
            <w:hideMark/>
          </w:tcPr>
          <w:p w14:paraId="6EDD1157"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E pap</w:t>
            </w:r>
            <w:r w:rsidRPr="007114AF">
              <w:rPr>
                <w:rFonts w:ascii="Garamond" w:hAnsi="Garamond" w:cstheme="minorHAnsi"/>
                <w:sz w:val="18"/>
                <w:szCs w:val="18"/>
              </w:rPr>
              <w:t>ë</w:t>
            </w:r>
            <w:r w:rsidRPr="007114AF">
              <w:rPr>
                <w:rFonts w:ascii="Garamond" w:hAnsi="Garamond"/>
                <w:sz w:val="18"/>
                <w:szCs w:val="18"/>
              </w:rPr>
              <w:t xml:space="preserve">rcaktuar </w:t>
            </w:r>
          </w:p>
        </w:tc>
      </w:tr>
      <w:tr w:rsidR="00193B62" w:rsidRPr="007114AF" w14:paraId="6EDD115D" w14:textId="77777777" w:rsidTr="00574660">
        <w:trPr>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59" w14:textId="77777777" w:rsidR="00193B62" w:rsidRPr="007114AF" w:rsidRDefault="00193B62" w:rsidP="00193B62">
            <w:pPr>
              <w:spacing w:after="0"/>
              <w:rPr>
                <w:rFonts w:ascii="Garamond" w:hAnsi="Garamond"/>
                <w:b w:val="0"/>
                <w:sz w:val="18"/>
                <w:szCs w:val="18"/>
              </w:rPr>
            </w:pPr>
            <w:r w:rsidRPr="007114AF">
              <w:rPr>
                <w:rFonts w:ascii="Garamond" w:hAnsi="Garamond"/>
                <w:sz w:val="18"/>
                <w:szCs w:val="18"/>
              </w:rPr>
              <w:t>Strategjia e Nd</w:t>
            </w:r>
            <w:r w:rsidRPr="007114AF">
              <w:rPr>
                <w:rFonts w:ascii="Garamond" w:hAnsi="Garamond" w:cstheme="minorHAnsi"/>
                <w:sz w:val="18"/>
                <w:szCs w:val="18"/>
              </w:rPr>
              <w:t>ë</w:t>
            </w:r>
            <w:r w:rsidRPr="007114AF">
              <w:rPr>
                <w:rFonts w:ascii="Garamond" w:hAnsi="Garamond"/>
                <w:sz w:val="18"/>
                <w:szCs w:val="18"/>
              </w:rPr>
              <w:t xml:space="preserve">rlidhur Mjedisore (SMNS) </w:t>
            </w:r>
          </w:p>
        </w:tc>
        <w:tc>
          <w:tcPr>
            <w:tcW w:w="538" w:type="pct"/>
            <w:vAlign w:val="center"/>
            <w:hideMark/>
          </w:tcPr>
          <w:p w14:paraId="6EDD115A"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2015-2020</w:t>
            </w:r>
          </w:p>
        </w:tc>
        <w:tc>
          <w:tcPr>
            <w:tcW w:w="1130" w:type="pct"/>
            <w:vAlign w:val="center"/>
            <w:hideMark/>
          </w:tcPr>
          <w:p w14:paraId="6EDD115B"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 xml:space="preserve">Ministria e Turizmit dhe Mjedisit </w:t>
            </w:r>
          </w:p>
        </w:tc>
        <w:tc>
          <w:tcPr>
            <w:tcW w:w="1301" w:type="pct"/>
            <w:vAlign w:val="center"/>
            <w:hideMark/>
          </w:tcPr>
          <w:p w14:paraId="6EDD115C" w14:textId="3C50CBC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VKM</w:t>
            </w:r>
            <w:r w:rsidR="00242009" w:rsidRPr="007114AF">
              <w:rPr>
                <w:rFonts w:ascii="Garamond" w:hAnsi="Garamond"/>
                <w:sz w:val="18"/>
                <w:szCs w:val="18"/>
              </w:rPr>
              <w:t xml:space="preserve"> nr. </w:t>
            </w:r>
            <w:r w:rsidRPr="007114AF">
              <w:rPr>
                <w:rFonts w:ascii="Garamond" w:hAnsi="Garamond"/>
                <w:sz w:val="18"/>
                <w:szCs w:val="18"/>
              </w:rPr>
              <w:t>1189 dat</w:t>
            </w:r>
            <w:r w:rsidRPr="007114AF">
              <w:rPr>
                <w:rFonts w:ascii="Garamond" w:hAnsi="Garamond" w:cstheme="minorHAnsi"/>
                <w:sz w:val="18"/>
                <w:szCs w:val="18"/>
              </w:rPr>
              <w:t>ë</w:t>
            </w:r>
            <w:r w:rsidRPr="007114AF">
              <w:rPr>
                <w:rFonts w:ascii="Garamond" w:hAnsi="Garamond"/>
                <w:sz w:val="18"/>
                <w:szCs w:val="18"/>
              </w:rPr>
              <w:t xml:space="preserve"> 18/11/2009 </w:t>
            </w:r>
            <w:r w:rsidR="000A2A01" w:rsidRPr="007114AF">
              <w:rPr>
                <w:rFonts w:ascii="Garamond" w:hAnsi="Garamond"/>
                <w:sz w:val="18"/>
                <w:szCs w:val="18"/>
              </w:rPr>
              <w:t>“</w:t>
            </w:r>
            <w:r w:rsidRPr="007114AF">
              <w:rPr>
                <w:rFonts w:ascii="Garamond" w:hAnsi="Garamond"/>
                <w:sz w:val="18"/>
                <w:szCs w:val="18"/>
              </w:rPr>
              <w:t>Mbi rregullat dhe procedurat p</w:t>
            </w:r>
            <w:r w:rsidRPr="007114AF">
              <w:rPr>
                <w:rFonts w:ascii="Garamond" w:hAnsi="Garamond" w:cstheme="minorHAnsi"/>
                <w:sz w:val="18"/>
                <w:szCs w:val="18"/>
              </w:rPr>
              <w:t>ër hartimin dhe zbatimin e programit kombëtar të monitorimit mjedisor</w:t>
            </w:r>
            <w:r w:rsidR="000A2A01" w:rsidRPr="007114AF">
              <w:rPr>
                <w:rFonts w:ascii="Garamond" w:hAnsi="Garamond"/>
                <w:sz w:val="18"/>
                <w:szCs w:val="18"/>
              </w:rPr>
              <w:t>”</w:t>
            </w:r>
          </w:p>
        </w:tc>
      </w:tr>
      <w:tr w:rsidR="00193B62" w:rsidRPr="007114AF" w14:paraId="6EDD1162" w14:textId="77777777" w:rsidTr="00574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5E" w14:textId="77777777" w:rsidR="00193B62" w:rsidRPr="007114AF" w:rsidRDefault="00193B62" w:rsidP="00193B62">
            <w:pPr>
              <w:spacing w:after="0"/>
              <w:rPr>
                <w:rFonts w:ascii="Garamond" w:hAnsi="Garamond"/>
                <w:b w:val="0"/>
                <w:sz w:val="18"/>
                <w:szCs w:val="18"/>
              </w:rPr>
            </w:pPr>
            <w:r w:rsidRPr="007114AF">
              <w:rPr>
                <w:rFonts w:ascii="Garamond" w:hAnsi="Garamond"/>
                <w:sz w:val="18"/>
                <w:szCs w:val="18"/>
              </w:rPr>
              <w:t>Strategjia Komb</w:t>
            </w:r>
            <w:r w:rsidRPr="007114AF">
              <w:rPr>
                <w:rFonts w:ascii="Garamond" w:hAnsi="Garamond" w:cstheme="minorHAnsi"/>
                <w:sz w:val="18"/>
                <w:szCs w:val="18"/>
              </w:rPr>
              <w:t>ëtare p</w:t>
            </w:r>
            <w:r w:rsidRPr="007114AF">
              <w:rPr>
                <w:rFonts w:ascii="Garamond" w:hAnsi="Garamond" w:cs="Calibri"/>
                <w:sz w:val="18"/>
                <w:szCs w:val="18"/>
              </w:rPr>
              <w:t xml:space="preserve">ër Integrim dhe Zhvillim </w:t>
            </w:r>
            <w:r w:rsidRPr="007114AF">
              <w:rPr>
                <w:rFonts w:ascii="Garamond" w:hAnsi="Garamond"/>
                <w:sz w:val="18"/>
                <w:szCs w:val="18"/>
              </w:rPr>
              <w:t xml:space="preserve">(SKZHI-II) </w:t>
            </w:r>
          </w:p>
        </w:tc>
        <w:tc>
          <w:tcPr>
            <w:tcW w:w="538" w:type="pct"/>
            <w:vAlign w:val="center"/>
            <w:hideMark/>
          </w:tcPr>
          <w:p w14:paraId="6EDD115F"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2014-2020</w:t>
            </w:r>
          </w:p>
        </w:tc>
        <w:tc>
          <w:tcPr>
            <w:tcW w:w="1130" w:type="pct"/>
            <w:vAlign w:val="center"/>
            <w:hideMark/>
          </w:tcPr>
          <w:p w14:paraId="6EDD1160"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DDFFA- Departamenti i Financimeve t</w:t>
            </w:r>
            <w:r w:rsidRPr="007114AF">
              <w:rPr>
                <w:rFonts w:ascii="Garamond" w:hAnsi="Garamond" w:cstheme="minorHAnsi"/>
                <w:sz w:val="18"/>
                <w:szCs w:val="18"/>
              </w:rPr>
              <w:t>ë Zhvillimit dhe Ndihmës së Huaj</w:t>
            </w:r>
          </w:p>
        </w:tc>
        <w:tc>
          <w:tcPr>
            <w:tcW w:w="1301" w:type="pct"/>
            <w:vAlign w:val="center"/>
            <w:hideMark/>
          </w:tcPr>
          <w:p w14:paraId="6EDD1161"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Raportim vjetor (metodologjia e p</w:t>
            </w:r>
            <w:r w:rsidRPr="007114AF">
              <w:rPr>
                <w:rFonts w:ascii="Garamond" w:hAnsi="Garamond" w:cstheme="minorHAnsi"/>
                <w:sz w:val="18"/>
                <w:szCs w:val="18"/>
              </w:rPr>
              <w:t xml:space="preserve">ërshkruar në </w:t>
            </w:r>
            <w:r w:rsidRPr="007114AF">
              <w:rPr>
                <w:rFonts w:ascii="Garamond" w:hAnsi="Garamond"/>
                <w:sz w:val="18"/>
                <w:szCs w:val="18"/>
              </w:rPr>
              <w:t>SKZHI II)</w:t>
            </w:r>
          </w:p>
        </w:tc>
      </w:tr>
      <w:tr w:rsidR="00193B62" w:rsidRPr="007114AF" w14:paraId="6EDD1167" w14:textId="77777777" w:rsidTr="00574660">
        <w:trPr>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63" w14:textId="77777777" w:rsidR="00193B62" w:rsidRPr="007114AF" w:rsidRDefault="00193B62" w:rsidP="00193B62">
            <w:pPr>
              <w:spacing w:after="0"/>
              <w:rPr>
                <w:rFonts w:ascii="Garamond" w:hAnsi="Garamond"/>
                <w:b w:val="0"/>
                <w:sz w:val="18"/>
                <w:szCs w:val="18"/>
              </w:rPr>
            </w:pPr>
            <w:r w:rsidRPr="007114AF">
              <w:rPr>
                <w:rFonts w:ascii="Garamond" w:hAnsi="Garamond"/>
                <w:sz w:val="18"/>
                <w:szCs w:val="18"/>
              </w:rPr>
              <w:t>NAMA: Zëvendësimi i lëndëve djegëse fosile me mbetje të parrezikshme në industrinë shqiptare të çimentos</w:t>
            </w:r>
          </w:p>
        </w:tc>
        <w:tc>
          <w:tcPr>
            <w:tcW w:w="538" w:type="pct"/>
            <w:vAlign w:val="center"/>
            <w:hideMark/>
          </w:tcPr>
          <w:p w14:paraId="6EDD1164"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2015-2020</w:t>
            </w:r>
          </w:p>
        </w:tc>
        <w:tc>
          <w:tcPr>
            <w:tcW w:w="1130" w:type="pct"/>
            <w:vAlign w:val="center"/>
            <w:hideMark/>
          </w:tcPr>
          <w:p w14:paraId="6EDD1165"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Ministria e Infrastrukturës dhe Energjisë</w:t>
            </w:r>
          </w:p>
        </w:tc>
        <w:tc>
          <w:tcPr>
            <w:tcW w:w="1301" w:type="pct"/>
            <w:vAlign w:val="center"/>
            <w:hideMark/>
          </w:tcPr>
          <w:p w14:paraId="6EDD1166"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Raportim vjetor n</w:t>
            </w:r>
            <w:r w:rsidRPr="007114AF">
              <w:rPr>
                <w:rFonts w:ascii="Garamond" w:hAnsi="Garamond" w:cstheme="minorHAnsi"/>
                <w:sz w:val="18"/>
                <w:szCs w:val="18"/>
              </w:rPr>
              <w:t>ë</w:t>
            </w:r>
            <w:r w:rsidRPr="007114AF">
              <w:rPr>
                <w:rFonts w:ascii="Garamond" w:hAnsi="Garamond"/>
                <w:sz w:val="18"/>
                <w:szCs w:val="18"/>
              </w:rPr>
              <w:t xml:space="preserve"> procesin e MRV-ës</w:t>
            </w:r>
          </w:p>
        </w:tc>
      </w:tr>
      <w:tr w:rsidR="00193B62" w:rsidRPr="007114AF" w14:paraId="6EDD116C" w14:textId="77777777" w:rsidTr="00574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68" w14:textId="2CAF8F57" w:rsidR="00193B62" w:rsidRPr="007114AF" w:rsidRDefault="00193B62" w:rsidP="00193B62">
            <w:pPr>
              <w:spacing w:after="0"/>
              <w:rPr>
                <w:rFonts w:ascii="Garamond" w:hAnsi="Garamond"/>
                <w:b w:val="0"/>
                <w:sz w:val="18"/>
                <w:szCs w:val="18"/>
              </w:rPr>
            </w:pPr>
            <w:r w:rsidRPr="007114AF">
              <w:rPr>
                <w:rFonts w:ascii="Garamond" w:hAnsi="Garamond" w:cstheme="minorHAnsi"/>
                <w:sz w:val="18"/>
                <w:szCs w:val="18"/>
              </w:rPr>
              <w:t>NAMA – Mekanizëm Financimi për</w:t>
            </w:r>
            <w:r w:rsidR="000A2A01" w:rsidRPr="007114AF">
              <w:rPr>
                <w:rFonts w:ascii="Garamond" w:hAnsi="Garamond" w:cstheme="minorHAnsi"/>
                <w:sz w:val="18"/>
                <w:szCs w:val="18"/>
              </w:rPr>
              <w:t xml:space="preserve"> </w:t>
            </w:r>
            <w:r w:rsidRPr="007114AF">
              <w:rPr>
                <w:rFonts w:ascii="Garamond" w:hAnsi="Garamond"/>
                <w:color w:val="000000"/>
                <w:sz w:val="18"/>
                <w:szCs w:val="18"/>
              </w:rPr>
              <w:t>Eficiencën</w:t>
            </w:r>
            <w:r w:rsidRPr="007114AF">
              <w:rPr>
                <w:rFonts w:ascii="Garamond" w:hAnsi="Garamond" w:cstheme="minorHAnsi"/>
                <w:sz w:val="18"/>
                <w:szCs w:val="18"/>
              </w:rPr>
              <w:t xml:space="preserve"> e Energjisë në Banesa</w:t>
            </w:r>
          </w:p>
        </w:tc>
        <w:tc>
          <w:tcPr>
            <w:tcW w:w="538" w:type="pct"/>
            <w:vAlign w:val="center"/>
            <w:hideMark/>
          </w:tcPr>
          <w:p w14:paraId="6EDD1169"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2015-2020</w:t>
            </w:r>
          </w:p>
        </w:tc>
        <w:tc>
          <w:tcPr>
            <w:tcW w:w="1130" w:type="pct"/>
            <w:vAlign w:val="center"/>
            <w:hideMark/>
          </w:tcPr>
          <w:p w14:paraId="6EDD116A" w14:textId="2F0EE02C"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Ministria e Infrastrukturës dhe Energjisë</w:t>
            </w:r>
            <w:r w:rsidRPr="007114AF" w:rsidDel="003801B4">
              <w:rPr>
                <w:rFonts w:ascii="Garamond" w:hAnsi="Garamond"/>
                <w:sz w:val="18"/>
                <w:szCs w:val="18"/>
              </w:rPr>
              <w:t xml:space="preserve"> </w:t>
            </w:r>
            <w:r w:rsidRPr="007114AF">
              <w:rPr>
                <w:rFonts w:ascii="Garamond" w:hAnsi="Garamond"/>
                <w:sz w:val="18"/>
                <w:szCs w:val="18"/>
              </w:rPr>
              <w:t>(n</w:t>
            </w:r>
            <w:r w:rsidRPr="007114AF">
              <w:rPr>
                <w:rFonts w:ascii="Garamond" w:hAnsi="Garamond" w:cstheme="minorHAnsi"/>
                <w:sz w:val="18"/>
                <w:szCs w:val="18"/>
              </w:rPr>
              <w:t>ën përgjegjësinë e Palës Zbatuese të</w:t>
            </w:r>
            <w:r w:rsidR="000A2A01" w:rsidRPr="007114AF">
              <w:rPr>
                <w:rFonts w:ascii="Garamond" w:hAnsi="Garamond" w:cstheme="minorHAnsi"/>
                <w:sz w:val="18"/>
                <w:szCs w:val="18"/>
              </w:rPr>
              <w:t xml:space="preserve"> </w:t>
            </w:r>
            <w:r w:rsidRPr="007114AF">
              <w:rPr>
                <w:rFonts w:ascii="Garamond" w:hAnsi="Garamond"/>
                <w:sz w:val="18"/>
                <w:szCs w:val="18"/>
              </w:rPr>
              <w:t>NAMA-s)</w:t>
            </w:r>
          </w:p>
        </w:tc>
        <w:tc>
          <w:tcPr>
            <w:tcW w:w="1301" w:type="pct"/>
            <w:vAlign w:val="center"/>
            <w:hideMark/>
          </w:tcPr>
          <w:p w14:paraId="6EDD116B"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Raportim vjetor n</w:t>
            </w:r>
            <w:r w:rsidRPr="007114AF">
              <w:rPr>
                <w:rFonts w:ascii="Garamond" w:hAnsi="Garamond" w:cstheme="minorHAnsi"/>
                <w:sz w:val="18"/>
                <w:szCs w:val="18"/>
              </w:rPr>
              <w:t>ë</w:t>
            </w:r>
            <w:r w:rsidRPr="007114AF">
              <w:rPr>
                <w:rFonts w:ascii="Garamond" w:hAnsi="Garamond"/>
                <w:sz w:val="18"/>
                <w:szCs w:val="18"/>
              </w:rPr>
              <w:t xml:space="preserve"> procesin e MRV-ës</w:t>
            </w:r>
          </w:p>
        </w:tc>
      </w:tr>
      <w:tr w:rsidR="00193B62" w:rsidRPr="007114AF" w14:paraId="6EDD1171" w14:textId="77777777" w:rsidTr="00574660">
        <w:trPr>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6D" w14:textId="61866388" w:rsidR="00193B62" w:rsidRPr="007114AF" w:rsidRDefault="00193B62" w:rsidP="00193B62">
            <w:pPr>
              <w:spacing w:after="0"/>
              <w:rPr>
                <w:rFonts w:ascii="Garamond" w:hAnsi="Garamond"/>
                <w:b w:val="0"/>
                <w:sz w:val="18"/>
                <w:szCs w:val="18"/>
              </w:rPr>
            </w:pPr>
            <w:r w:rsidRPr="007114AF">
              <w:rPr>
                <w:rFonts w:ascii="Garamond" w:hAnsi="Garamond"/>
                <w:sz w:val="18"/>
                <w:szCs w:val="18"/>
              </w:rPr>
              <w:t>Plani i Parë i Veprimit në Nivel Kombëtar mbi</w:t>
            </w:r>
            <w:r w:rsidR="000A2A01" w:rsidRPr="007114AF">
              <w:rPr>
                <w:rFonts w:ascii="Garamond" w:hAnsi="Garamond"/>
                <w:sz w:val="18"/>
                <w:szCs w:val="18"/>
              </w:rPr>
              <w:t xml:space="preserve"> </w:t>
            </w:r>
            <w:r w:rsidRPr="007114AF">
              <w:rPr>
                <w:rFonts w:ascii="Garamond" w:hAnsi="Garamond"/>
                <w:color w:val="000000"/>
                <w:sz w:val="18"/>
                <w:szCs w:val="18"/>
              </w:rPr>
              <w:t>Eficiencën</w:t>
            </w:r>
            <w:r w:rsidRPr="007114AF">
              <w:rPr>
                <w:rFonts w:ascii="Garamond" w:hAnsi="Garamond"/>
                <w:sz w:val="18"/>
                <w:szCs w:val="18"/>
              </w:rPr>
              <w:t xml:space="preserve"> e Energjisë </w:t>
            </w:r>
          </w:p>
        </w:tc>
        <w:tc>
          <w:tcPr>
            <w:tcW w:w="538" w:type="pct"/>
            <w:noWrap/>
            <w:vAlign w:val="center"/>
            <w:hideMark/>
          </w:tcPr>
          <w:p w14:paraId="6EDD116E"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2010-2018</w:t>
            </w:r>
          </w:p>
        </w:tc>
        <w:tc>
          <w:tcPr>
            <w:tcW w:w="1130" w:type="pct"/>
            <w:vAlign w:val="center"/>
            <w:hideMark/>
          </w:tcPr>
          <w:p w14:paraId="6EDD116F"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Ministria e Infrastrukturës dhe Energjisë</w:t>
            </w:r>
          </w:p>
        </w:tc>
        <w:tc>
          <w:tcPr>
            <w:tcW w:w="1301" w:type="pct"/>
            <w:noWrap/>
            <w:vAlign w:val="center"/>
            <w:hideMark/>
          </w:tcPr>
          <w:p w14:paraId="6EDD1170"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Raportim vjetor sipas Planit</w:t>
            </w:r>
          </w:p>
        </w:tc>
      </w:tr>
      <w:tr w:rsidR="00193B62" w:rsidRPr="007114AF" w14:paraId="6EDD1176" w14:textId="77777777" w:rsidTr="00574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72" w14:textId="77777777" w:rsidR="00193B62" w:rsidRPr="007114AF" w:rsidRDefault="00193B62" w:rsidP="00193B62">
            <w:pPr>
              <w:spacing w:after="0"/>
              <w:rPr>
                <w:rFonts w:ascii="Garamond" w:hAnsi="Garamond"/>
                <w:b w:val="0"/>
                <w:sz w:val="18"/>
                <w:szCs w:val="18"/>
              </w:rPr>
            </w:pPr>
            <w:r w:rsidRPr="007114AF">
              <w:rPr>
                <w:rFonts w:ascii="Garamond" w:hAnsi="Garamond"/>
                <w:color w:val="000000"/>
                <w:sz w:val="18"/>
                <w:szCs w:val="18"/>
              </w:rPr>
              <w:t>Plani i Veprimit (BER) mbi Burimet e Energjisë së Rinovueshme në Shqip</w:t>
            </w:r>
            <w:r w:rsidRPr="007114AF">
              <w:rPr>
                <w:rFonts w:ascii="Garamond" w:hAnsi="Garamond" w:cstheme="minorHAnsi"/>
                <w:color w:val="000000"/>
                <w:sz w:val="18"/>
                <w:szCs w:val="18"/>
              </w:rPr>
              <w:t>ë</w:t>
            </w:r>
            <w:r w:rsidRPr="007114AF">
              <w:rPr>
                <w:rFonts w:ascii="Garamond" w:hAnsi="Garamond"/>
                <w:color w:val="000000"/>
                <w:sz w:val="18"/>
                <w:szCs w:val="18"/>
              </w:rPr>
              <w:t>ri</w:t>
            </w:r>
          </w:p>
        </w:tc>
        <w:tc>
          <w:tcPr>
            <w:tcW w:w="538" w:type="pct"/>
            <w:noWrap/>
            <w:vAlign w:val="center"/>
            <w:hideMark/>
          </w:tcPr>
          <w:p w14:paraId="6EDD1173"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2015-2020</w:t>
            </w:r>
          </w:p>
        </w:tc>
        <w:tc>
          <w:tcPr>
            <w:tcW w:w="1130" w:type="pct"/>
            <w:noWrap/>
            <w:vAlign w:val="center"/>
            <w:hideMark/>
          </w:tcPr>
          <w:p w14:paraId="6EDD1174"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Ministria e Infrastrukturës dhe Energjisë</w:t>
            </w:r>
          </w:p>
        </w:tc>
        <w:tc>
          <w:tcPr>
            <w:tcW w:w="1301" w:type="pct"/>
            <w:noWrap/>
            <w:vAlign w:val="center"/>
            <w:hideMark/>
          </w:tcPr>
          <w:p w14:paraId="6EDD1175"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Raportim vjetor sipas Planit</w:t>
            </w:r>
          </w:p>
        </w:tc>
      </w:tr>
      <w:tr w:rsidR="00193B62" w:rsidRPr="007114AF" w14:paraId="6EDD117B" w14:textId="77777777" w:rsidTr="00574660">
        <w:trPr>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77" w14:textId="77777777" w:rsidR="00193B62" w:rsidRPr="007114AF" w:rsidRDefault="00193B62" w:rsidP="00193B62">
            <w:pPr>
              <w:spacing w:after="0"/>
              <w:rPr>
                <w:rFonts w:ascii="Garamond" w:hAnsi="Garamond"/>
                <w:b w:val="0"/>
                <w:sz w:val="18"/>
                <w:szCs w:val="18"/>
              </w:rPr>
            </w:pPr>
            <w:r w:rsidRPr="007114AF">
              <w:rPr>
                <w:rFonts w:ascii="Garamond" w:hAnsi="Garamond"/>
                <w:sz w:val="18"/>
                <w:szCs w:val="18"/>
              </w:rPr>
              <w:t>Strategjia Ndërsektoriale për Zhvillimin e Bujqësisë dhe atë Rural (SNBZHR)</w:t>
            </w:r>
          </w:p>
        </w:tc>
        <w:tc>
          <w:tcPr>
            <w:tcW w:w="538" w:type="pct"/>
            <w:vAlign w:val="center"/>
            <w:hideMark/>
          </w:tcPr>
          <w:p w14:paraId="6EDD1178"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2013-2020</w:t>
            </w:r>
          </w:p>
        </w:tc>
        <w:tc>
          <w:tcPr>
            <w:tcW w:w="1130" w:type="pct"/>
            <w:noWrap/>
            <w:vAlign w:val="center"/>
            <w:hideMark/>
          </w:tcPr>
          <w:p w14:paraId="6EDD1179"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Ministria e Bujq</w:t>
            </w:r>
            <w:r w:rsidRPr="007114AF">
              <w:rPr>
                <w:rFonts w:ascii="Garamond" w:hAnsi="Garamond" w:cstheme="minorHAnsi"/>
                <w:sz w:val="18"/>
                <w:szCs w:val="18"/>
              </w:rPr>
              <w:t>ësisë dhe Zhvillimit Rural</w:t>
            </w:r>
          </w:p>
        </w:tc>
        <w:tc>
          <w:tcPr>
            <w:tcW w:w="1301" w:type="pct"/>
            <w:vAlign w:val="center"/>
            <w:hideMark/>
          </w:tcPr>
          <w:p w14:paraId="6EDD117A" w14:textId="42A888B5"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Raportim vjetor sipas Vendimit t</w:t>
            </w:r>
            <w:r w:rsidRPr="007114AF">
              <w:rPr>
                <w:rFonts w:ascii="Garamond" w:hAnsi="Garamond" w:cstheme="minorHAnsi"/>
                <w:sz w:val="18"/>
                <w:szCs w:val="18"/>
              </w:rPr>
              <w:t>ë Kryeministrit</w:t>
            </w:r>
            <w:r w:rsidR="00242009" w:rsidRPr="007114AF">
              <w:rPr>
                <w:rFonts w:ascii="Garamond" w:hAnsi="Garamond"/>
                <w:sz w:val="18"/>
                <w:szCs w:val="18"/>
              </w:rPr>
              <w:t xml:space="preserve"> nr. </w:t>
            </w:r>
            <w:r w:rsidRPr="007114AF">
              <w:rPr>
                <w:rFonts w:ascii="Garamond" w:hAnsi="Garamond"/>
                <w:sz w:val="18"/>
                <w:szCs w:val="18"/>
              </w:rPr>
              <w:t>139, datë 1/07/2010</w:t>
            </w:r>
          </w:p>
        </w:tc>
      </w:tr>
      <w:tr w:rsidR="00193B62" w:rsidRPr="007114AF" w14:paraId="6EDD1180" w14:textId="77777777" w:rsidTr="00574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7C" w14:textId="5F7345D6" w:rsidR="00193B62" w:rsidRPr="007114AF" w:rsidRDefault="00193B62" w:rsidP="00193B62">
            <w:pPr>
              <w:spacing w:after="0"/>
              <w:rPr>
                <w:rFonts w:ascii="Garamond" w:hAnsi="Garamond"/>
                <w:b w:val="0"/>
                <w:sz w:val="18"/>
                <w:szCs w:val="18"/>
              </w:rPr>
            </w:pPr>
            <w:r w:rsidRPr="007114AF">
              <w:rPr>
                <w:rFonts w:ascii="Garamond" w:hAnsi="Garamond"/>
                <w:sz w:val="18"/>
                <w:szCs w:val="18"/>
              </w:rPr>
              <w:t xml:space="preserve">Programi i Zhvillimit Rural </w:t>
            </w:r>
            <w:r w:rsidR="00C6608F" w:rsidRPr="007114AF">
              <w:rPr>
                <w:rFonts w:ascii="Garamond" w:hAnsi="Garamond"/>
                <w:sz w:val="18"/>
                <w:szCs w:val="18"/>
              </w:rPr>
              <w:t>2014–2020</w:t>
            </w:r>
            <w:r w:rsidRPr="007114AF">
              <w:rPr>
                <w:rFonts w:ascii="Garamond" w:hAnsi="Garamond"/>
                <w:sz w:val="18"/>
                <w:szCs w:val="18"/>
              </w:rPr>
              <w:t>në kuadrin e Instrumentit të Asistencës Paraanëtarësim (IPARD)</w:t>
            </w:r>
          </w:p>
        </w:tc>
        <w:tc>
          <w:tcPr>
            <w:tcW w:w="538" w:type="pct"/>
            <w:vAlign w:val="center"/>
            <w:hideMark/>
          </w:tcPr>
          <w:p w14:paraId="6EDD117D"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2014-2020</w:t>
            </w:r>
          </w:p>
        </w:tc>
        <w:tc>
          <w:tcPr>
            <w:tcW w:w="1130" w:type="pct"/>
            <w:vAlign w:val="center"/>
            <w:hideMark/>
          </w:tcPr>
          <w:p w14:paraId="6EDD117E"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Ministria e Bujq</w:t>
            </w:r>
            <w:r w:rsidRPr="007114AF">
              <w:rPr>
                <w:rFonts w:ascii="Garamond" w:hAnsi="Garamond" w:cstheme="minorHAnsi"/>
                <w:sz w:val="18"/>
                <w:szCs w:val="18"/>
              </w:rPr>
              <w:t>ësisë dhe Zhvillimit Rural</w:t>
            </w:r>
          </w:p>
        </w:tc>
        <w:tc>
          <w:tcPr>
            <w:tcW w:w="1301" w:type="pct"/>
            <w:vAlign w:val="center"/>
            <w:hideMark/>
          </w:tcPr>
          <w:p w14:paraId="6EDD117F"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Raportim vjetor (metodologjia e përshkruar në këtë dokument)</w:t>
            </w:r>
          </w:p>
        </w:tc>
      </w:tr>
      <w:tr w:rsidR="00193B62" w:rsidRPr="007114AF" w14:paraId="6EDD1185" w14:textId="77777777" w:rsidTr="00574660">
        <w:trPr>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81" w14:textId="77777777" w:rsidR="00193B62" w:rsidRPr="007114AF" w:rsidRDefault="00193B62" w:rsidP="00193B62">
            <w:pPr>
              <w:spacing w:after="0"/>
              <w:rPr>
                <w:rFonts w:ascii="Garamond" w:hAnsi="Garamond"/>
                <w:b w:val="0"/>
                <w:sz w:val="18"/>
                <w:szCs w:val="18"/>
              </w:rPr>
            </w:pPr>
            <w:r w:rsidRPr="007114AF">
              <w:rPr>
                <w:rFonts w:ascii="Garamond" w:hAnsi="Garamond"/>
                <w:sz w:val="18"/>
                <w:szCs w:val="18"/>
              </w:rPr>
              <w:t>Dokument i politikave Strategjike p</w:t>
            </w:r>
            <w:r w:rsidRPr="007114AF">
              <w:rPr>
                <w:rFonts w:ascii="Garamond" w:hAnsi="Garamond" w:cstheme="minorHAnsi"/>
                <w:sz w:val="18"/>
                <w:szCs w:val="18"/>
              </w:rPr>
              <w:t>ë</w:t>
            </w:r>
            <w:r w:rsidRPr="007114AF">
              <w:rPr>
                <w:rFonts w:ascii="Garamond" w:hAnsi="Garamond"/>
                <w:sz w:val="18"/>
                <w:szCs w:val="18"/>
              </w:rPr>
              <w:t>r Mbrojtjen e Biodiversitetit (DPSMB)</w:t>
            </w:r>
          </w:p>
        </w:tc>
        <w:tc>
          <w:tcPr>
            <w:tcW w:w="538" w:type="pct"/>
            <w:vAlign w:val="center"/>
            <w:hideMark/>
          </w:tcPr>
          <w:p w14:paraId="6EDD1182"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2016-2020</w:t>
            </w:r>
          </w:p>
        </w:tc>
        <w:tc>
          <w:tcPr>
            <w:tcW w:w="1130" w:type="pct"/>
            <w:vAlign w:val="center"/>
            <w:hideMark/>
          </w:tcPr>
          <w:p w14:paraId="6EDD1183"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 xml:space="preserve">Ministria e Turizmit dhe Mjedisit </w:t>
            </w:r>
          </w:p>
        </w:tc>
        <w:tc>
          <w:tcPr>
            <w:tcW w:w="1301" w:type="pct"/>
            <w:vAlign w:val="center"/>
            <w:hideMark/>
          </w:tcPr>
          <w:p w14:paraId="6EDD1184"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Raportim vjetor (metodologjia e p</w:t>
            </w:r>
            <w:r w:rsidRPr="007114AF">
              <w:rPr>
                <w:rFonts w:ascii="Garamond" w:hAnsi="Garamond" w:cstheme="minorHAnsi"/>
                <w:sz w:val="18"/>
                <w:szCs w:val="18"/>
              </w:rPr>
              <w:t>ërshkruar në Plan</w:t>
            </w:r>
            <w:r w:rsidRPr="007114AF">
              <w:rPr>
                <w:rFonts w:ascii="Garamond" w:hAnsi="Garamond"/>
                <w:sz w:val="18"/>
                <w:szCs w:val="18"/>
              </w:rPr>
              <w:t>)</w:t>
            </w:r>
          </w:p>
        </w:tc>
      </w:tr>
      <w:tr w:rsidR="00193B62" w:rsidRPr="007114AF" w14:paraId="6EDD118A" w14:textId="77777777" w:rsidTr="00574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86" w14:textId="77777777" w:rsidR="00193B62" w:rsidRPr="007114AF" w:rsidRDefault="00193B62" w:rsidP="00193B62">
            <w:pPr>
              <w:spacing w:after="0"/>
              <w:rPr>
                <w:rFonts w:ascii="Garamond" w:hAnsi="Garamond"/>
                <w:b w:val="0"/>
                <w:sz w:val="18"/>
                <w:szCs w:val="18"/>
              </w:rPr>
            </w:pPr>
            <w:r w:rsidRPr="007114AF">
              <w:rPr>
                <w:rFonts w:ascii="Garamond" w:hAnsi="Garamond"/>
                <w:sz w:val="18"/>
                <w:szCs w:val="18"/>
              </w:rPr>
              <w:t>Strategjia e Sektorit të Transportit dhe Plani i Veprimit (SSTPV)</w:t>
            </w:r>
          </w:p>
        </w:tc>
        <w:tc>
          <w:tcPr>
            <w:tcW w:w="538" w:type="pct"/>
            <w:noWrap/>
            <w:vAlign w:val="center"/>
            <w:hideMark/>
          </w:tcPr>
          <w:p w14:paraId="6EDD1187"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2016-2020</w:t>
            </w:r>
          </w:p>
        </w:tc>
        <w:tc>
          <w:tcPr>
            <w:tcW w:w="1130" w:type="pct"/>
            <w:noWrap/>
            <w:vAlign w:val="center"/>
            <w:hideMark/>
          </w:tcPr>
          <w:p w14:paraId="6EDD1188"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Ministria e Infrastrukturës dhe Energjisë</w:t>
            </w:r>
          </w:p>
        </w:tc>
        <w:tc>
          <w:tcPr>
            <w:tcW w:w="1301" w:type="pct"/>
            <w:noWrap/>
            <w:vAlign w:val="center"/>
            <w:hideMark/>
          </w:tcPr>
          <w:p w14:paraId="6EDD1189" w14:textId="77777777" w:rsidR="00193B62" w:rsidRPr="007114AF" w:rsidRDefault="00193B62" w:rsidP="00193B62">
            <w:pPr>
              <w:spacing w:after="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7114AF">
              <w:rPr>
                <w:rFonts w:ascii="Garamond" w:hAnsi="Garamond"/>
                <w:sz w:val="18"/>
                <w:szCs w:val="18"/>
              </w:rPr>
              <w:t> n/a</w:t>
            </w:r>
          </w:p>
        </w:tc>
      </w:tr>
      <w:tr w:rsidR="00193B62" w:rsidRPr="007114AF" w14:paraId="6EDD118F" w14:textId="77777777" w:rsidTr="00574660">
        <w:trPr>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hideMark/>
          </w:tcPr>
          <w:p w14:paraId="6EDD118B" w14:textId="77777777" w:rsidR="00193B62" w:rsidRPr="007114AF" w:rsidRDefault="00193B62" w:rsidP="00193B62">
            <w:pPr>
              <w:spacing w:after="0"/>
              <w:rPr>
                <w:rFonts w:ascii="Garamond" w:hAnsi="Garamond"/>
                <w:b w:val="0"/>
                <w:sz w:val="18"/>
                <w:szCs w:val="18"/>
              </w:rPr>
            </w:pPr>
            <w:r w:rsidRPr="007114AF">
              <w:rPr>
                <w:rFonts w:ascii="Garamond" w:hAnsi="Garamond"/>
                <w:sz w:val="18"/>
                <w:szCs w:val="18"/>
              </w:rPr>
              <w:t>Plani i Transportit t</w:t>
            </w:r>
            <w:r w:rsidRPr="007114AF">
              <w:rPr>
                <w:rFonts w:ascii="Garamond" w:hAnsi="Garamond" w:cstheme="minorHAnsi"/>
                <w:sz w:val="18"/>
                <w:szCs w:val="18"/>
              </w:rPr>
              <w:t>ë</w:t>
            </w:r>
            <w:r w:rsidRPr="007114AF">
              <w:rPr>
                <w:rFonts w:ascii="Garamond" w:hAnsi="Garamond"/>
                <w:sz w:val="18"/>
                <w:szCs w:val="18"/>
              </w:rPr>
              <w:t xml:space="preserve"> Qëndrueshëm (TECTQ) – Dokumenti bazë </w:t>
            </w:r>
          </w:p>
        </w:tc>
        <w:tc>
          <w:tcPr>
            <w:tcW w:w="538" w:type="pct"/>
            <w:noWrap/>
            <w:vAlign w:val="center"/>
            <w:hideMark/>
          </w:tcPr>
          <w:p w14:paraId="6EDD118C"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2016-2020</w:t>
            </w:r>
          </w:p>
        </w:tc>
        <w:tc>
          <w:tcPr>
            <w:tcW w:w="1130" w:type="pct"/>
            <w:vAlign w:val="center"/>
            <w:hideMark/>
          </w:tcPr>
          <w:p w14:paraId="6EDD118D" w14:textId="77777777" w:rsidR="00193B62" w:rsidRPr="007114AF" w:rsidRDefault="00193B62" w:rsidP="00193B62">
            <w:pPr>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Ministria e Infrastrukturës dhe Energjisë</w:t>
            </w:r>
          </w:p>
        </w:tc>
        <w:tc>
          <w:tcPr>
            <w:tcW w:w="1301" w:type="pct"/>
            <w:vAlign w:val="center"/>
            <w:hideMark/>
          </w:tcPr>
          <w:p w14:paraId="6EDD118E" w14:textId="639D21F6" w:rsidR="00193B62" w:rsidRPr="007114AF" w:rsidRDefault="00193B62" w:rsidP="00193B62">
            <w:pPr>
              <w:keepNext/>
              <w:spacing w:after="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7114AF">
              <w:rPr>
                <w:rFonts w:ascii="Garamond" w:hAnsi="Garamond"/>
                <w:sz w:val="18"/>
                <w:szCs w:val="18"/>
              </w:rPr>
              <w:t>Raportim vjetor,</w:t>
            </w:r>
            <w:r w:rsidR="005D5DCB">
              <w:rPr>
                <w:rFonts w:ascii="Garamond" w:hAnsi="Garamond"/>
                <w:sz w:val="18"/>
                <w:szCs w:val="18"/>
              </w:rPr>
              <w:t xml:space="preserve"> </w:t>
            </w:r>
            <w:r w:rsidRPr="007114AF">
              <w:rPr>
                <w:rFonts w:ascii="Garamond" w:hAnsi="Garamond"/>
                <w:sz w:val="18"/>
                <w:szCs w:val="18"/>
              </w:rPr>
              <w:t>treguesit e raportuar n</w:t>
            </w:r>
            <w:r w:rsidRPr="007114AF">
              <w:rPr>
                <w:rFonts w:ascii="Garamond" w:hAnsi="Garamond" w:cstheme="minorHAnsi"/>
                <w:sz w:val="18"/>
                <w:szCs w:val="18"/>
              </w:rPr>
              <w:t>ë d</w:t>
            </w:r>
            <w:r w:rsidRPr="007114AF">
              <w:rPr>
                <w:rFonts w:ascii="Garamond" w:hAnsi="Garamond"/>
                <w:sz w:val="18"/>
                <w:szCs w:val="18"/>
              </w:rPr>
              <w:t>okument</w:t>
            </w:r>
          </w:p>
        </w:tc>
      </w:tr>
    </w:tbl>
    <w:p w14:paraId="6EDD1190" w14:textId="77777777" w:rsidR="005D20DB" w:rsidRPr="007114AF" w:rsidRDefault="005D20DB" w:rsidP="00BC1DB5">
      <w:pPr>
        <w:spacing w:after="200"/>
        <w:rPr>
          <w:rFonts w:ascii="Garamond" w:hAnsi="Garamond"/>
          <w:b/>
          <w:bCs/>
          <w:iCs/>
        </w:rPr>
      </w:pPr>
    </w:p>
    <w:p w14:paraId="6EDD1191" w14:textId="77777777" w:rsidR="005D20DB" w:rsidRPr="007114AF" w:rsidRDefault="005D20DB" w:rsidP="00BC1DB5">
      <w:pPr>
        <w:spacing w:after="200"/>
        <w:rPr>
          <w:rFonts w:ascii="Garamond" w:hAnsi="Garamond"/>
          <w:b/>
          <w:bCs/>
          <w:iCs/>
        </w:rPr>
      </w:pPr>
    </w:p>
    <w:p w14:paraId="6EDD1192" w14:textId="77777777" w:rsidR="00193B62" w:rsidRPr="007114AF" w:rsidRDefault="00193B62" w:rsidP="00BC1DB5">
      <w:pPr>
        <w:spacing w:after="200"/>
        <w:rPr>
          <w:rFonts w:ascii="Garamond" w:hAnsi="Garamond"/>
          <w:b/>
          <w:bCs/>
          <w:iCs/>
        </w:rPr>
      </w:pPr>
    </w:p>
    <w:p w14:paraId="6EDD1193" w14:textId="77777777" w:rsidR="00193B62" w:rsidRPr="007114AF" w:rsidRDefault="00193B62" w:rsidP="00BC1DB5">
      <w:pPr>
        <w:spacing w:after="200"/>
        <w:rPr>
          <w:rFonts w:ascii="Garamond" w:hAnsi="Garamond"/>
          <w:b/>
          <w:bCs/>
          <w:iCs/>
        </w:rPr>
      </w:pPr>
    </w:p>
    <w:p w14:paraId="6EDD1194" w14:textId="77777777" w:rsidR="00193B62" w:rsidRPr="007114AF" w:rsidRDefault="00193B62" w:rsidP="00BC1DB5">
      <w:pPr>
        <w:spacing w:after="200"/>
        <w:rPr>
          <w:rFonts w:ascii="Garamond" w:hAnsi="Garamond"/>
          <w:b/>
          <w:bCs/>
          <w:iCs/>
        </w:rPr>
      </w:pPr>
    </w:p>
    <w:p w14:paraId="6EDD1195" w14:textId="77777777" w:rsidR="00193B62" w:rsidRPr="007114AF" w:rsidRDefault="00193B62" w:rsidP="00BC1DB5">
      <w:pPr>
        <w:spacing w:after="200"/>
        <w:rPr>
          <w:rFonts w:ascii="Garamond" w:hAnsi="Garamond"/>
          <w:b/>
          <w:bCs/>
          <w:iCs/>
        </w:rPr>
      </w:pPr>
    </w:p>
    <w:p w14:paraId="6EDD1196" w14:textId="77777777" w:rsidR="00EF480D" w:rsidRPr="007114AF" w:rsidRDefault="00EF480D" w:rsidP="00BC1DB5">
      <w:pPr>
        <w:spacing w:after="200"/>
        <w:rPr>
          <w:rFonts w:ascii="Garamond" w:hAnsi="Garamond"/>
          <w:b/>
          <w:bCs/>
          <w:iCs/>
        </w:rPr>
        <w:sectPr w:rsidR="00EF480D" w:rsidRPr="007114AF" w:rsidSect="00A45C8C">
          <w:pgSz w:w="11907" w:h="16840" w:code="9"/>
          <w:pgMar w:top="1418" w:right="1418" w:bottom="1418" w:left="1418" w:header="567" w:footer="458" w:gutter="0"/>
          <w:cols w:space="708"/>
          <w:noEndnote/>
          <w:docGrid w:linePitch="326"/>
        </w:sectPr>
      </w:pPr>
    </w:p>
    <w:p w14:paraId="6EDD1197" w14:textId="59E5E55E" w:rsidR="00EF480D" w:rsidRPr="007114AF" w:rsidRDefault="00EF480D" w:rsidP="00286663">
      <w:pPr>
        <w:pStyle w:val="TEKSTI"/>
        <w:rPr>
          <w:b/>
        </w:rPr>
      </w:pPr>
      <w:r w:rsidRPr="007114AF">
        <w:rPr>
          <w:b/>
        </w:rPr>
        <w:t>Aneksi1 – Lista e plot</w:t>
      </w:r>
      <w:r w:rsidRPr="007114AF">
        <w:rPr>
          <w:rFonts w:cs="Calibri"/>
          <w:b/>
        </w:rPr>
        <w:t>ë</w:t>
      </w:r>
      <w:r w:rsidRPr="007114AF">
        <w:rPr>
          <w:b/>
        </w:rPr>
        <w:t xml:space="preserve"> e dokumenteve t</w:t>
      </w:r>
      <w:r w:rsidRPr="007114AF">
        <w:rPr>
          <w:rFonts w:cs="Calibri"/>
          <w:b/>
        </w:rPr>
        <w:t xml:space="preserve">ë </w:t>
      </w:r>
      <w:r w:rsidRPr="007114AF">
        <w:rPr>
          <w:b/>
        </w:rPr>
        <w:t>analizuara</w:t>
      </w:r>
      <w:r w:rsidR="005D5DCB">
        <w:rPr>
          <w:b/>
        </w:rPr>
        <w:t xml:space="preserve"> </w:t>
      </w:r>
      <w:r w:rsidRPr="007114AF">
        <w:rPr>
          <w:b/>
        </w:rPr>
        <w:t>për Planin e Zbutjes së Nd</w:t>
      </w:r>
      <w:r w:rsidR="005D5DCB">
        <w:rPr>
          <w:b/>
        </w:rPr>
        <w:t>r</w:t>
      </w:r>
      <w:r w:rsidRPr="007114AF">
        <w:rPr>
          <w:b/>
        </w:rPr>
        <w:t>yshimeve Klimatike</w:t>
      </w:r>
    </w:p>
    <w:tbl>
      <w:tblPr>
        <w:tblStyle w:val="GridTable1Light-Accent11"/>
        <w:tblW w:w="5000" w:type="pct"/>
        <w:jc w:val="center"/>
        <w:tblLook w:val="0620" w:firstRow="1" w:lastRow="0" w:firstColumn="0" w:lastColumn="0" w:noHBand="1" w:noVBand="1"/>
      </w:tblPr>
      <w:tblGrid>
        <w:gridCol w:w="7121"/>
        <w:gridCol w:w="2166"/>
      </w:tblGrid>
      <w:tr w:rsidR="00286663" w:rsidRPr="007114AF" w14:paraId="6EDD119A" w14:textId="77777777" w:rsidTr="00286663">
        <w:trPr>
          <w:cnfStyle w:val="100000000000" w:firstRow="1" w:lastRow="0" w:firstColumn="0" w:lastColumn="0" w:oddVBand="0" w:evenVBand="0" w:oddHBand="0" w:evenHBand="0" w:firstRowFirstColumn="0" w:firstRowLastColumn="0" w:lastRowFirstColumn="0" w:lastRowLastColumn="0"/>
          <w:trHeight w:val="300"/>
          <w:tblHeader/>
          <w:jc w:val="center"/>
        </w:trPr>
        <w:tc>
          <w:tcPr>
            <w:tcW w:w="4009" w:type="pct"/>
            <w:vAlign w:val="center"/>
          </w:tcPr>
          <w:p w14:paraId="6EDD1198" w14:textId="77777777" w:rsidR="00286663" w:rsidRPr="007114AF" w:rsidRDefault="00286663" w:rsidP="00286663">
            <w:pPr>
              <w:tabs>
                <w:tab w:val="left" w:pos="1752"/>
              </w:tabs>
              <w:spacing w:after="0"/>
              <w:rPr>
                <w:rFonts w:ascii="Garamond" w:hAnsi="Garamond"/>
                <w:sz w:val="18"/>
                <w:szCs w:val="18"/>
              </w:rPr>
            </w:pPr>
            <w:r w:rsidRPr="007114AF">
              <w:rPr>
                <w:rFonts w:ascii="Garamond" w:hAnsi="Garamond"/>
                <w:sz w:val="18"/>
                <w:szCs w:val="18"/>
              </w:rPr>
              <w:t>Titulli i Dokumentit</w:t>
            </w:r>
          </w:p>
        </w:tc>
        <w:tc>
          <w:tcPr>
            <w:tcW w:w="991" w:type="pct"/>
            <w:vAlign w:val="center"/>
          </w:tcPr>
          <w:p w14:paraId="6EDD1199"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Viti i publikimit</w:t>
            </w:r>
          </w:p>
        </w:tc>
      </w:tr>
      <w:tr w:rsidR="00286663" w:rsidRPr="007114AF" w14:paraId="6EDD119D" w14:textId="77777777" w:rsidTr="00286663">
        <w:trPr>
          <w:trHeight w:val="300"/>
          <w:jc w:val="center"/>
        </w:trPr>
        <w:tc>
          <w:tcPr>
            <w:tcW w:w="4009" w:type="pct"/>
            <w:vAlign w:val="center"/>
            <w:hideMark/>
          </w:tcPr>
          <w:p w14:paraId="6EDD119B"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Komunikimi i Par</w:t>
            </w:r>
            <w:r w:rsidRPr="007114AF">
              <w:rPr>
                <w:rFonts w:ascii="Garamond" w:hAnsi="Garamond" w:cstheme="minorHAnsi"/>
                <w:sz w:val="18"/>
                <w:szCs w:val="18"/>
              </w:rPr>
              <w:t>ë Kombëtar i Shqipërisë me</w:t>
            </w:r>
            <w:r w:rsidRPr="007114AF">
              <w:rPr>
                <w:rFonts w:ascii="Garamond" w:hAnsi="Garamond"/>
                <w:sz w:val="18"/>
                <w:szCs w:val="18"/>
              </w:rPr>
              <w:t xml:space="preserve"> UNFCCC-ën(KPK)</w:t>
            </w:r>
          </w:p>
        </w:tc>
        <w:tc>
          <w:tcPr>
            <w:tcW w:w="991" w:type="pct"/>
            <w:vAlign w:val="center"/>
            <w:hideMark/>
          </w:tcPr>
          <w:p w14:paraId="6EDD119C"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2002</w:t>
            </w:r>
          </w:p>
        </w:tc>
      </w:tr>
      <w:tr w:rsidR="00286663" w:rsidRPr="007114AF" w14:paraId="6EDD11A0" w14:textId="77777777" w:rsidTr="00286663">
        <w:trPr>
          <w:trHeight w:val="300"/>
          <w:jc w:val="center"/>
        </w:trPr>
        <w:tc>
          <w:tcPr>
            <w:tcW w:w="4009" w:type="pct"/>
            <w:vAlign w:val="center"/>
            <w:hideMark/>
          </w:tcPr>
          <w:p w14:paraId="6EDD119E"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Raporti i Vler</w:t>
            </w:r>
            <w:r w:rsidRPr="007114AF">
              <w:rPr>
                <w:rFonts w:ascii="Garamond" w:hAnsi="Garamond" w:cstheme="minorHAnsi"/>
                <w:sz w:val="18"/>
                <w:szCs w:val="18"/>
              </w:rPr>
              <w:t>ësimit të Nevojave Teknologjike të Shqipërisë</w:t>
            </w:r>
          </w:p>
        </w:tc>
        <w:tc>
          <w:tcPr>
            <w:tcW w:w="991" w:type="pct"/>
            <w:vAlign w:val="center"/>
            <w:hideMark/>
          </w:tcPr>
          <w:p w14:paraId="6EDD119F"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2005</w:t>
            </w:r>
          </w:p>
        </w:tc>
      </w:tr>
      <w:tr w:rsidR="00286663" w:rsidRPr="007114AF" w14:paraId="6EDD11A3" w14:textId="77777777" w:rsidTr="00286663">
        <w:trPr>
          <w:trHeight w:val="600"/>
          <w:jc w:val="center"/>
        </w:trPr>
        <w:tc>
          <w:tcPr>
            <w:tcW w:w="4009" w:type="pct"/>
            <w:vAlign w:val="center"/>
            <w:hideMark/>
          </w:tcPr>
          <w:p w14:paraId="6EDD11A1"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Komunikimi i Dyt</w:t>
            </w:r>
            <w:r w:rsidRPr="007114AF">
              <w:rPr>
                <w:rFonts w:ascii="Garamond" w:hAnsi="Garamond" w:cstheme="minorHAnsi"/>
                <w:sz w:val="18"/>
                <w:szCs w:val="18"/>
              </w:rPr>
              <w:t>ë Kombëtar i Shqipërisë në Konferencën e Palëve në kuadrin e Konventës Kuadër të Kombeve të Bashkuara për Ndryshimet Klimatike</w:t>
            </w:r>
            <w:r w:rsidRPr="007114AF">
              <w:rPr>
                <w:rFonts w:ascii="Garamond" w:hAnsi="Garamond"/>
                <w:sz w:val="18"/>
                <w:szCs w:val="18"/>
              </w:rPr>
              <w:t xml:space="preserve"> (KDK)</w:t>
            </w:r>
          </w:p>
        </w:tc>
        <w:tc>
          <w:tcPr>
            <w:tcW w:w="991" w:type="pct"/>
            <w:vAlign w:val="center"/>
            <w:hideMark/>
          </w:tcPr>
          <w:p w14:paraId="6EDD11A2"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2009</w:t>
            </w:r>
          </w:p>
        </w:tc>
      </w:tr>
      <w:tr w:rsidR="00286663" w:rsidRPr="007114AF" w14:paraId="6EDD11A6" w14:textId="77777777" w:rsidTr="00286663">
        <w:trPr>
          <w:trHeight w:val="300"/>
          <w:jc w:val="center"/>
        </w:trPr>
        <w:tc>
          <w:tcPr>
            <w:tcW w:w="4009" w:type="pct"/>
            <w:vAlign w:val="center"/>
            <w:hideMark/>
          </w:tcPr>
          <w:p w14:paraId="6EDD11A4"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Komunikimi i Tret</w:t>
            </w:r>
            <w:r w:rsidRPr="007114AF">
              <w:rPr>
                <w:rFonts w:ascii="Garamond" w:hAnsi="Garamond" w:cstheme="minorHAnsi"/>
                <w:sz w:val="18"/>
                <w:szCs w:val="18"/>
              </w:rPr>
              <w:t>ë Kombëtar i Shqipërisë</w:t>
            </w:r>
          </w:p>
        </w:tc>
        <w:tc>
          <w:tcPr>
            <w:tcW w:w="991" w:type="pct"/>
            <w:vAlign w:val="center"/>
            <w:hideMark/>
          </w:tcPr>
          <w:p w14:paraId="6EDD11A5"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2016</w:t>
            </w:r>
          </w:p>
        </w:tc>
      </w:tr>
      <w:tr w:rsidR="00286663" w:rsidRPr="007114AF" w14:paraId="6EDD11A9" w14:textId="77777777" w:rsidTr="00286663">
        <w:trPr>
          <w:trHeight w:val="600"/>
          <w:jc w:val="center"/>
        </w:trPr>
        <w:tc>
          <w:tcPr>
            <w:tcW w:w="4009" w:type="pct"/>
            <w:vAlign w:val="center"/>
            <w:hideMark/>
          </w:tcPr>
          <w:p w14:paraId="6EDD11A7" w14:textId="241D3897" w:rsidR="00286663" w:rsidRPr="007114AF" w:rsidRDefault="00286663" w:rsidP="00286663">
            <w:pPr>
              <w:spacing w:after="0"/>
              <w:rPr>
                <w:rFonts w:ascii="Garamond" w:hAnsi="Garamond"/>
                <w:sz w:val="18"/>
                <w:szCs w:val="18"/>
              </w:rPr>
            </w:pPr>
            <w:r w:rsidRPr="007114AF">
              <w:rPr>
                <w:rFonts w:ascii="Garamond" w:hAnsi="Garamond"/>
                <w:sz w:val="18"/>
                <w:szCs w:val="18"/>
              </w:rPr>
              <w:t>Vendimi i K</w:t>
            </w:r>
            <w:r w:rsidRPr="007114AF">
              <w:rPr>
                <w:rFonts w:ascii="Garamond" w:hAnsi="Garamond" w:cstheme="minorHAnsi"/>
                <w:sz w:val="18"/>
                <w:szCs w:val="18"/>
              </w:rPr>
              <w:t>ëshillit të Ministrave</w:t>
            </w:r>
            <w:r w:rsidR="00242009" w:rsidRPr="007114AF">
              <w:rPr>
                <w:rFonts w:ascii="Garamond" w:hAnsi="Garamond" w:cstheme="minorHAnsi"/>
                <w:sz w:val="18"/>
                <w:szCs w:val="18"/>
              </w:rPr>
              <w:t xml:space="preserve"> nr. </w:t>
            </w:r>
            <w:r w:rsidRPr="007114AF">
              <w:rPr>
                <w:rFonts w:ascii="Garamond" w:hAnsi="Garamond"/>
                <w:sz w:val="18"/>
                <w:szCs w:val="18"/>
              </w:rPr>
              <w:t>691, dat</w:t>
            </w:r>
            <w:r w:rsidRPr="007114AF">
              <w:rPr>
                <w:rFonts w:ascii="Garamond" w:hAnsi="Garamond" w:cstheme="minorHAnsi"/>
                <w:sz w:val="18"/>
                <w:szCs w:val="18"/>
              </w:rPr>
              <w:t>ë</w:t>
            </w:r>
            <w:r w:rsidRPr="007114AF">
              <w:rPr>
                <w:rFonts w:ascii="Garamond" w:hAnsi="Garamond"/>
                <w:sz w:val="18"/>
                <w:szCs w:val="18"/>
              </w:rPr>
              <w:t xml:space="preserve"> 29.7.2015 Mbi aprovimin e strategjis</w:t>
            </w:r>
            <w:r w:rsidRPr="007114AF">
              <w:rPr>
                <w:rFonts w:ascii="Garamond" w:hAnsi="Garamond" w:cstheme="minorHAnsi"/>
                <w:sz w:val="18"/>
                <w:szCs w:val="18"/>
              </w:rPr>
              <w:t xml:space="preserve">ë ndërsektoriale për </w:t>
            </w:r>
            <w:r w:rsidRPr="007114AF">
              <w:rPr>
                <w:rFonts w:ascii="Garamond" w:hAnsi="Garamond"/>
                <w:sz w:val="18"/>
                <w:szCs w:val="18"/>
              </w:rPr>
              <w:t>decentralizimin dhe qeverisjen vendore 2015-2020</w:t>
            </w:r>
          </w:p>
        </w:tc>
        <w:tc>
          <w:tcPr>
            <w:tcW w:w="991" w:type="pct"/>
            <w:vAlign w:val="center"/>
            <w:hideMark/>
          </w:tcPr>
          <w:p w14:paraId="6EDD11A8"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2015</w:t>
            </w:r>
          </w:p>
        </w:tc>
      </w:tr>
      <w:tr w:rsidR="00286663" w:rsidRPr="007114AF" w14:paraId="6EDD11AC" w14:textId="77777777" w:rsidTr="00286663">
        <w:trPr>
          <w:trHeight w:val="300"/>
          <w:jc w:val="center"/>
        </w:trPr>
        <w:tc>
          <w:tcPr>
            <w:tcW w:w="4009" w:type="pct"/>
            <w:vAlign w:val="center"/>
            <w:hideMark/>
          </w:tcPr>
          <w:p w14:paraId="6EDD11AA"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Ndryshimet klimatike dhe biodiversiteti n</w:t>
            </w:r>
            <w:r w:rsidRPr="007114AF">
              <w:rPr>
                <w:rFonts w:ascii="Garamond" w:hAnsi="Garamond" w:cstheme="minorHAnsi"/>
                <w:sz w:val="18"/>
                <w:szCs w:val="18"/>
              </w:rPr>
              <w:t>ë Evropën Juglindore</w:t>
            </w:r>
            <w:r w:rsidRPr="007114AF">
              <w:rPr>
                <w:rFonts w:ascii="Garamond" w:hAnsi="Garamond"/>
                <w:sz w:val="18"/>
                <w:szCs w:val="18"/>
              </w:rPr>
              <w:t>. Ndikimet dhe veprimi i raportit me natyr</w:t>
            </w:r>
            <w:r w:rsidRPr="007114AF">
              <w:rPr>
                <w:rFonts w:ascii="Garamond" w:hAnsi="Garamond" w:cstheme="minorHAnsi"/>
                <w:sz w:val="18"/>
                <w:szCs w:val="18"/>
              </w:rPr>
              <w:t>ë teknike</w:t>
            </w:r>
          </w:p>
        </w:tc>
        <w:tc>
          <w:tcPr>
            <w:tcW w:w="991" w:type="pct"/>
            <w:vAlign w:val="center"/>
            <w:hideMark/>
          </w:tcPr>
          <w:p w14:paraId="6EDD11AB"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2008</w:t>
            </w:r>
          </w:p>
        </w:tc>
      </w:tr>
      <w:tr w:rsidR="00286663" w:rsidRPr="007114AF" w14:paraId="6EDD11AF" w14:textId="77777777" w:rsidTr="00286663">
        <w:trPr>
          <w:trHeight w:val="300"/>
          <w:jc w:val="center"/>
        </w:trPr>
        <w:tc>
          <w:tcPr>
            <w:tcW w:w="4009" w:type="pct"/>
            <w:vAlign w:val="center"/>
            <w:hideMark/>
          </w:tcPr>
          <w:p w14:paraId="6EDD11AD"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Ndikimet e Ndryshimeve Klimatike: Politikat Publike dhe Perceptimi n</w:t>
            </w:r>
            <w:r w:rsidRPr="007114AF">
              <w:rPr>
                <w:rFonts w:ascii="Garamond" w:hAnsi="Garamond" w:cstheme="minorHAnsi"/>
                <w:sz w:val="18"/>
                <w:szCs w:val="18"/>
              </w:rPr>
              <w:t>ë Shqipëri</w:t>
            </w:r>
          </w:p>
        </w:tc>
        <w:tc>
          <w:tcPr>
            <w:tcW w:w="991" w:type="pct"/>
            <w:vAlign w:val="center"/>
            <w:hideMark/>
          </w:tcPr>
          <w:p w14:paraId="6EDD11AE"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2013</w:t>
            </w:r>
          </w:p>
        </w:tc>
      </w:tr>
      <w:tr w:rsidR="00286663" w:rsidRPr="007114AF" w14:paraId="6EDD11B2" w14:textId="77777777" w:rsidTr="00286663">
        <w:trPr>
          <w:trHeight w:val="300"/>
          <w:jc w:val="center"/>
        </w:trPr>
        <w:tc>
          <w:tcPr>
            <w:tcW w:w="4009" w:type="pct"/>
            <w:vAlign w:val="center"/>
            <w:hideMark/>
          </w:tcPr>
          <w:p w14:paraId="6EDD11B0"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 xml:space="preserve">Legjislacioni </w:t>
            </w:r>
            <w:r w:rsidRPr="007114AF">
              <w:rPr>
                <w:rFonts w:ascii="Garamond" w:hAnsi="Garamond" w:cstheme="minorHAnsi"/>
                <w:sz w:val="18"/>
                <w:szCs w:val="18"/>
              </w:rPr>
              <w:t>Mjedisor</w:t>
            </w:r>
            <w:r w:rsidRPr="007114AF">
              <w:rPr>
                <w:rFonts w:ascii="Garamond" w:hAnsi="Garamond"/>
                <w:sz w:val="18"/>
                <w:szCs w:val="18"/>
              </w:rPr>
              <w:t>Komb</w:t>
            </w:r>
            <w:r w:rsidRPr="007114AF">
              <w:rPr>
                <w:rFonts w:ascii="Garamond" w:hAnsi="Garamond" w:cstheme="minorHAnsi"/>
                <w:sz w:val="18"/>
                <w:szCs w:val="18"/>
              </w:rPr>
              <w:t>ëtar krahasuar me Legjislacionin Mjedisor të BE-së</w:t>
            </w:r>
          </w:p>
        </w:tc>
        <w:tc>
          <w:tcPr>
            <w:tcW w:w="991" w:type="pct"/>
            <w:vAlign w:val="center"/>
            <w:hideMark/>
          </w:tcPr>
          <w:p w14:paraId="6EDD11B1"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2013</w:t>
            </w:r>
          </w:p>
        </w:tc>
      </w:tr>
      <w:tr w:rsidR="00286663" w:rsidRPr="007114AF" w14:paraId="6EDD11B5" w14:textId="77777777" w:rsidTr="00286663">
        <w:trPr>
          <w:trHeight w:val="300"/>
          <w:jc w:val="center"/>
        </w:trPr>
        <w:tc>
          <w:tcPr>
            <w:tcW w:w="4009" w:type="pct"/>
            <w:vAlign w:val="center"/>
            <w:hideMark/>
          </w:tcPr>
          <w:p w14:paraId="6EDD11B3"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Ndryshimet klimatike n</w:t>
            </w:r>
            <w:r w:rsidRPr="007114AF">
              <w:rPr>
                <w:rFonts w:ascii="Garamond" w:hAnsi="Garamond" w:cstheme="minorHAnsi"/>
                <w:sz w:val="18"/>
                <w:szCs w:val="18"/>
              </w:rPr>
              <w:t>ë Zonat Bregdetare të Mesdheut</w:t>
            </w:r>
          </w:p>
        </w:tc>
        <w:tc>
          <w:tcPr>
            <w:tcW w:w="991" w:type="pct"/>
            <w:vAlign w:val="center"/>
            <w:hideMark/>
          </w:tcPr>
          <w:p w14:paraId="6EDD11B4"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2010</w:t>
            </w:r>
          </w:p>
        </w:tc>
      </w:tr>
      <w:tr w:rsidR="00286663" w:rsidRPr="007114AF" w14:paraId="6EDD11B8" w14:textId="77777777" w:rsidTr="00286663">
        <w:trPr>
          <w:trHeight w:val="300"/>
          <w:jc w:val="center"/>
        </w:trPr>
        <w:tc>
          <w:tcPr>
            <w:tcW w:w="4009" w:type="pct"/>
            <w:vAlign w:val="center"/>
            <w:hideMark/>
          </w:tcPr>
          <w:p w14:paraId="6EDD11B6"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Ndryshimet Klimatike n</w:t>
            </w:r>
            <w:r w:rsidRPr="007114AF">
              <w:rPr>
                <w:rFonts w:ascii="Garamond" w:hAnsi="Garamond" w:cstheme="minorHAnsi"/>
                <w:sz w:val="18"/>
                <w:szCs w:val="18"/>
              </w:rPr>
              <w:t>ë Ballkanin Perëndimor</w:t>
            </w:r>
          </w:p>
        </w:tc>
        <w:tc>
          <w:tcPr>
            <w:tcW w:w="991" w:type="pct"/>
            <w:vAlign w:val="center"/>
            <w:hideMark/>
          </w:tcPr>
          <w:p w14:paraId="6EDD11B7"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2012</w:t>
            </w:r>
          </w:p>
        </w:tc>
      </w:tr>
      <w:tr w:rsidR="00286663" w:rsidRPr="007114AF" w14:paraId="6EDD11BB" w14:textId="77777777" w:rsidTr="00286663">
        <w:trPr>
          <w:trHeight w:val="300"/>
          <w:jc w:val="center"/>
        </w:trPr>
        <w:tc>
          <w:tcPr>
            <w:tcW w:w="4009" w:type="pct"/>
            <w:vAlign w:val="center"/>
            <w:hideMark/>
          </w:tcPr>
          <w:p w14:paraId="6EDD11B9"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Transferimi i njohurive dhe nevojat k</w:t>
            </w:r>
            <w:r w:rsidRPr="007114AF">
              <w:rPr>
                <w:rFonts w:ascii="Garamond" w:hAnsi="Garamond" w:cstheme="minorHAnsi"/>
                <w:sz w:val="18"/>
                <w:szCs w:val="18"/>
              </w:rPr>
              <w:t>ërkimore për përgatitjen e portofolit të politikave të zbutjes</w:t>
            </w:r>
            <w:r w:rsidRPr="007114AF">
              <w:rPr>
                <w:rFonts w:ascii="Garamond" w:hAnsi="Garamond"/>
                <w:sz w:val="18"/>
                <w:szCs w:val="18"/>
              </w:rPr>
              <w:t>/p</w:t>
            </w:r>
            <w:r w:rsidRPr="007114AF">
              <w:rPr>
                <w:rFonts w:ascii="Garamond" w:hAnsi="Garamond" w:cstheme="minorHAnsi"/>
                <w:sz w:val="18"/>
                <w:szCs w:val="18"/>
              </w:rPr>
              <w:t xml:space="preserve">ërshtatjes </w:t>
            </w:r>
          </w:p>
        </w:tc>
        <w:tc>
          <w:tcPr>
            <w:tcW w:w="991" w:type="pct"/>
            <w:vAlign w:val="center"/>
            <w:hideMark/>
          </w:tcPr>
          <w:p w14:paraId="6EDD11BA"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2013</w:t>
            </w:r>
          </w:p>
        </w:tc>
      </w:tr>
      <w:tr w:rsidR="00286663" w:rsidRPr="007114AF" w14:paraId="6EDD11BE" w14:textId="77777777" w:rsidTr="00286663">
        <w:trPr>
          <w:trHeight w:val="300"/>
          <w:jc w:val="center"/>
        </w:trPr>
        <w:tc>
          <w:tcPr>
            <w:tcW w:w="4009" w:type="pct"/>
            <w:noWrap/>
            <w:vAlign w:val="center"/>
            <w:hideMark/>
          </w:tcPr>
          <w:p w14:paraId="6EDD11BC"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Dokument me natyr</w:t>
            </w:r>
            <w:r w:rsidRPr="007114AF">
              <w:rPr>
                <w:rFonts w:ascii="Garamond" w:hAnsi="Garamond" w:cstheme="minorHAnsi"/>
                <w:sz w:val="18"/>
                <w:szCs w:val="18"/>
              </w:rPr>
              <w:t xml:space="preserve">ë teknike i </w:t>
            </w:r>
            <w:r w:rsidRPr="007114AF">
              <w:rPr>
                <w:rFonts w:ascii="Garamond" w:hAnsi="Garamond"/>
                <w:sz w:val="18"/>
                <w:szCs w:val="18"/>
              </w:rPr>
              <w:t>INDC-it p</w:t>
            </w:r>
            <w:r w:rsidRPr="007114AF">
              <w:rPr>
                <w:rFonts w:ascii="Garamond" w:hAnsi="Garamond" w:cstheme="minorHAnsi"/>
                <w:sz w:val="18"/>
                <w:szCs w:val="18"/>
              </w:rPr>
              <w:t>ër Shqipërinë</w:t>
            </w:r>
          </w:p>
        </w:tc>
        <w:tc>
          <w:tcPr>
            <w:tcW w:w="991" w:type="pct"/>
            <w:vAlign w:val="center"/>
            <w:hideMark/>
          </w:tcPr>
          <w:p w14:paraId="6EDD11BD"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2015</w:t>
            </w:r>
          </w:p>
        </w:tc>
      </w:tr>
      <w:tr w:rsidR="00286663" w:rsidRPr="007114AF" w14:paraId="6EDD11C1" w14:textId="77777777" w:rsidTr="00286663">
        <w:trPr>
          <w:trHeight w:val="300"/>
          <w:jc w:val="center"/>
        </w:trPr>
        <w:tc>
          <w:tcPr>
            <w:tcW w:w="4009" w:type="pct"/>
            <w:vAlign w:val="center"/>
            <w:hideMark/>
          </w:tcPr>
          <w:p w14:paraId="6EDD11BF"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Strategjia Nd</w:t>
            </w:r>
            <w:r w:rsidRPr="007114AF">
              <w:rPr>
                <w:rFonts w:ascii="Garamond" w:hAnsi="Garamond" w:cstheme="minorHAnsi"/>
                <w:sz w:val="18"/>
                <w:szCs w:val="18"/>
              </w:rPr>
              <w:t xml:space="preserve">ërsektoriale Mjedisore </w:t>
            </w:r>
            <w:r w:rsidRPr="007114AF">
              <w:rPr>
                <w:rFonts w:ascii="Garamond" w:hAnsi="Garamond"/>
                <w:sz w:val="18"/>
                <w:szCs w:val="18"/>
              </w:rPr>
              <w:t>2015-2020</w:t>
            </w:r>
          </w:p>
        </w:tc>
        <w:tc>
          <w:tcPr>
            <w:tcW w:w="991" w:type="pct"/>
            <w:vAlign w:val="center"/>
            <w:hideMark/>
          </w:tcPr>
          <w:p w14:paraId="6EDD11C0"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2015</w:t>
            </w:r>
          </w:p>
        </w:tc>
      </w:tr>
      <w:tr w:rsidR="00286663" w:rsidRPr="007114AF" w14:paraId="6EDD11C4" w14:textId="77777777" w:rsidTr="00286663">
        <w:trPr>
          <w:trHeight w:val="300"/>
          <w:jc w:val="center"/>
        </w:trPr>
        <w:tc>
          <w:tcPr>
            <w:tcW w:w="4009" w:type="pct"/>
            <w:vAlign w:val="center"/>
            <w:hideMark/>
          </w:tcPr>
          <w:p w14:paraId="6EDD11C2"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Strategjia Komb</w:t>
            </w:r>
            <w:r w:rsidRPr="007114AF">
              <w:rPr>
                <w:rFonts w:ascii="Garamond" w:hAnsi="Garamond" w:cstheme="minorHAnsi"/>
                <w:sz w:val="18"/>
                <w:szCs w:val="18"/>
              </w:rPr>
              <w:t>ëtare për integrim dhe zhvillim</w:t>
            </w:r>
          </w:p>
        </w:tc>
        <w:tc>
          <w:tcPr>
            <w:tcW w:w="991" w:type="pct"/>
            <w:noWrap/>
            <w:vAlign w:val="center"/>
            <w:hideMark/>
          </w:tcPr>
          <w:p w14:paraId="6EDD11C3"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Drafti i dyt</w:t>
            </w:r>
            <w:r w:rsidRPr="007114AF">
              <w:rPr>
                <w:rFonts w:ascii="Garamond" w:hAnsi="Garamond" w:cstheme="minorHAnsi"/>
                <w:sz w:val="18"/>
                <w:szCs w:val="18"/>
              </w:rPr>
              <w:t>ë</w:t>
            </w:r>
            <w:r w:rsidRPr="007114AF">
              <w:rPr>
                <w:rFonts w:ascii="Garamond" w:hAnsi="Garamond"/>
                <w:sz w:val="18"/>
                <w:szCs w:val="18"/>
              </w:rPr>
              <w:t>, 31 korrik 2015</w:t>
            </w:r>
          </w:p>
        </w:tc>
      </w:tr>
      <w:tr w:rsidR="00286663" w:rsidRPr="007114AF" w14:paraId="6EDD11C7" w14:textId="77777777" w:rsidTr="00286663">
        <w:trPr>
          <w:trHeight w:val="300"/>
          <w:jc w:val="center"/>
        </w:trPr>
        <w:tc>
          <w:tcPr>
            <w:tcW w:w="4009" w:type="pct"/>
            <w:vAlign w:val="center"/>
            <w:hideMark/>
          </w:tcPr>
          <w:p w14:paraId="6EDD11C5"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Krijimi dhe funksionimi i Grupit Nd</w:t>
            </w:r>
            <w:r w:rsidRPr="007114AF">
              <w:rPr>
                <w:rFonts w:ascii="Garamond" w:hAnsi="Garamond" w:cstheme="minorHAnsi"/>
                <w:sz w:val="18"/>
                <w:szCs w:val="18"/>
              </w:rPr>
              <w:t>ër</w:t>
            </w:r>
            <w:r w:rsidRPr="007114AF">
              <w:rPr>
                <w:rFonts w:ascii="Garamond" w:hAnsi="Garamond"/>
                <w:sz w:val="18"/>
                <w:szCs w:val="18"/>
              </w:rPr>
              <w:t>ministror t</w:t>
            </w:r>
            <w:r w:rsidRPr="007114AF">
              <w:rPr>
                <w:rFonts w:ascii="Garamond" w:hAnsi="Garamond" w:cstheme="minorHAnsi"/>
                <w:sz w:val="18"/>
                <w:szCs w:val="18"/>
              </w:rPr>
              <w:t>ë Punës në fushën e Ndryshimeve Klimatike</w:t>
            </w:r>
          </w:p>
        </w:tc>
        <w:tc>
          <w:tcPr>
            <w:tcW w:w="991" w:type="pct"/>
            <w:vAlign w:val="center"/>
            <w:hideMark/>
          </w:tcPr>
          <w:p w14:paraId="6EDD11C6"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2014</w:t>
            </w:r>
          </w:p>
        </w:tc>
      </w:tr>
      <w:tr w:rsidR="00286663" w:rsidRPr="007114AF" w14:paraId="6EDD11CA" w14:textId="77777777" w:rsidTr="00286663">
        <w:trPr>
          <w:trHeight w:val="300"/>
          <w:jc w:val="center"/>
        </w:trPr>
        <w:tc>
          <w:tcPr>
            <w:tcW w:w="4009" w:type="pct"/>
            <w:vAlign w:val="center"/>
            <w:hideMark/>
          </w:tcPr>
          <w:p w14:paraId="6EDD11C8"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Teknologjia Kombëtare në Shqipëri (Ndryshimet Klimatike)</w:t>
            </w:r>
          </w:p>
        </w:tc>
        <w:tc>
          <w:tcPr>
            <w:tcW w:w="991" w:type="pct"/>
            <w:noWrap/>
            <w:vAlign w:val="center"/>
            <w:hideMark/>
          </w:tcPr>
          <w:p w14:paraId="6EDD11C9"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2013</w:t>
            </w:r>
          </w:p>
        </w:tc>
      </w:tr>
      <w:tr w:rsidR="00286663" w:rsidRPr="007114AF" w14:paraId="6EDD11CD" w14:textId="77777777" w:rsidTr="00286663">
        <w:trPr>
          <w:trHeight w:val="300"/>
          <w:jc w:val="center"/>
        </w:trPr>
        <w:tc>
          <w:tcPr>
            <w:tcW w:w="4009" w:type="pct"/>
            <w:vAlign w:val="center"/>
            <w:hideMark/>
          </w:tcPr>
          <w:p w14:paraId="6EDD11CB"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Udh</w:t>
            </w:r>
            <w:r w:rsidRPr="007114AF">
              <w:rPr>
                <w:rFonts w:ascii="Garamond" w:hAnsi="Garamond" w:cstheme="minorHAnsi"/>
                <w:sz w:val="18"/>
                <w:szCs w:val="18"/>
              </w:rPr>
              <w:t>ëzime për Transferimin e Bashkërenduar të Legjislacionit të BE-së në Fushën e Ndryshimeve Klimatike</w:t>
            </w:r>
          </w:p>
        </w:tc>
        <w:tc>
          <w:tcPr>
            <w:tcW w:w="991" w:type="pct"/>
            <w:noWrap/>
            <w:vAlign w:val="center"/>
            <w:hideMark/>
          </w:tcPr>
          <w:p w14:paraId="6EDD11CC"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2014</w:t>
            </w:r>
          </w:p>
        </w:tc>
      </w:tr>
      <w:tr w:rsidR="00286663" w:rsidRPr="007114AF" w14:paraId="6EDD11D0" w14:textId="77777777" w:rsidTr="00286663">
        <w:trPr>
          <w:trHeight w:val="300"/>
          <w:jc w:val="center"/>
        </w:trPr>
        <w:tc>
          <w:tcPr>
            <w:tcW w:w="4009" w:type="pct"/>
            <w:vAlign w:val="center"/>
            <w:hideMark/>
          </w:tcPr>
          <w:p w14:paraId="6EDD11CE"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NAMA Zëvendësimi i lëndëve djegëse fosile me mbetje të parrezikshme në industrinë shqiptare të çimentos</w:t>
            </w:r>
          </w:p>
        </w:tc>
        <w:tc>
          <w:tcPr>
            <w:tcW w:w="991" w:type="pct"/>
            <w:vAlign w:val="center"/>
            <w:hideMark/>
          </w:tcPr>
          <w:p w14:paraId="6EDD11CF"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2015</w:t>
            </w:r>
          </w:p>
        </w:tc>
      </w:tr>
      <w:tr w:rsidR="00286663" w:rsidRPr="007114AF" w14:paraId="6EDD11D3" w14:textId="77777777" w:rsidTr="00286663">
        <w:trPr>
          <w:trHeight w:val="300"/>
          <w:jc w:val="center"/>
        </w:trPr>
        <w:tc>
          <w:tcPr>
            <w:tcW w:w="4009" w:type="pct"/>
            <w:vAlign w:val="center"/>
            <w:hideMark/>
          </w:tcPr>
          <w:p w14:paraId="6EDD11D1" w14:textId="21A49DD6" w:rsidR="00286663" w:rsidRPr="007114AF" w:rsidRDefault="00286663" w:rsidP="00286663">
            <w:pPr>
              <w:spacing w:after="0"/>
              <w:rPr>
                <w:rFonts w:ascii="Garamond" w:hAnsi="Garamond"/>
                <w:sz w:val="18"/>
                <w:szCs w:val="18"/>
              </w:rPr>
            </w:pPr>
            <w:r w:rsidRPr="007114AF">
              <w:rPr>
                <w:rFonts w:ascii="Garamond" w:hAnsi="Garamond"/>
                <w:sz w:val="18"/>
                <w:szCs w:val="18"/>
              </w:rPr>
              <w:t>NAMA</w:t>
            </w:r>
            <w:r w:rsidR="000A2A01" w:rsidRPr="007114AF">
              <w:rPr>
                <w:rFonts w:ascii="Garamond" w:hAnsi="Garamond"/>
                <w:sz w:val="18"/>
                <w:szCs w:val="18"/>
              </w:rPr>
              <w:t xml:space="preserve"> </w:t>
            </w:r>
            <w:r w:rsidRPr="007114AF">
              <w:rPr>
                <w:rFonts w:ascii="Garamond" w:hAnsi="Garamond"/>
                <w:sz w:val="18"/>
                <w:szCs w:val="18"/>
              </w:rPr>
              <w:t>Mekanizëm Financimi për</w:t>
            </w:r>
            <w:r w:rsidR="000A2A01" w:rsidRPr="007114AF">
              <w:rPr>
                <w:rFonts w:ascii="Garamond" w:hAnsi="Garamond"/>
                <w:sz w:val="18"/>
                <w:szCs w:val="18"/>
              </w:rPr>
              <w:t xml:space="preserve"> </w:t>
            </w:r>
            <w:r w:rsidRPr="007114AF">
              <w:rPr>
                <w:rFonts w:ascii="Garamond" w:hAnsi="Garamond"/>
                <w:color w:val="000000"/>
                <w:sz w:val="18"/>
                <w:szCs w:val="18"/>
              </w:rPr>
              <w:t xml:space="preserve">Eficiencën </w:t>
            </w:r>
            <w:r w:rsidRPr="007114AF">
              <w:rPr>
                <w:rFonts w:ascii="Garamond" w:hAnsi="Garamond"/>
                <w:sz w:val="18"/>
                <w:szCs w:val="18"/>
              </w:rPr>
              <w:t>e Energjisë në Banesa</w:t>
            </w:r>
          </w:p>
        </w:tc>
        <w:tc>
          <w:tcPr>
            <w:tcW w:w="991" w:type="pct"/>
            <w:vAlign w:val="center"/>
            <w:hideMark/>
          </w:tcPr>
          <w:p w14:paraId="6EDD11D2"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2014</w:t>
            </w:r>
          </w:p>
        </w:tc>
      </w:tr>
      <w:tr w:rsidR="00286663" w:rsidRPr="007114AF" w14:paraId="6EDD11D6" w14:textId="77777777" w:rsidTr="00286663">
        <w:trPr>
          <w:trHeight w:val="300"/>
          <w:jc w:val="center"/>
        </w:trPr>
        <w:tc>
          <w:tcPr>
            <w:tcW w:w="4009" w:type="pct"/>
            <w:vAlign w:val="center"/>
            <w:hideMark/>
          </w:tcPr>
          <w:p w14:paraId="6EDD11D4"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 xml:space="preserve">Plani Kombëtar i Veprimit mbi </w:t>
            </w:r>
            <w:r w:rsidRPr="007114AF">
              <w:rPr>
                <w:rFonts w:ascii="Garamond" w:hAnsi="Garamond"/>
                <w:color w:val="000000"/>
                <w:sz w:val="18"/>
                <w:szCs w:val="18"/>
              </w:rPr>
              <w:t>Eficiencën</w:t>
            </w:r>
            <w:r w:rsidRPr="007114AF">
              <w:rPr>
                <w:rFonts w:ascii="Garamond" w:hAnsi="Garamond"/>
                <w:sz w:val="18"/>
                <w:szCs w:val="18"/>
              </w:rPr>
              <w:t xml:space="preserve"> e Energjisë</w:t>
            </w:r>
          </w:p>
        </w:tc>
        <w:tc>
          <w:tcPr>
            <w:tcW w:w="991" w:type="pct"/>
            <w:noWrap/>
            <w:vAlign w:val="center"/>
            <w:hideMark/>
          </w:tcPr>
          <w:p w14:paraId="6EDD11D5"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2011</w:t>
            </w:r>
          </w:p>
        </w:tc>
      </w:tr>
      <w:tr w:rsidR="00286663" w:rsidRPr="007114AF" w14:paraId="6EDD11D9" w14:textId="77777777" w:rsidTr="00286663">
        <w:trPr>
          <w:trHeight w:val="300"/>
          <w:jc w:val="center"/>
        </w:trPr>
        <w:tc>
          <w:tcPr>
            <w:tcW w:w="4009" w:type="pct"/>
            <w:vAlign w:val="center"/>
            <w:hideMark/>
          </w:tcPr>
          <w:p w14:paraId="6EDD11D7"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 xml:space="preserve">SLED (Projekte për shkarkimet e ulëta) </w:t>
            </w:r>
          </w:p>
        </w:tc>
        <w:tc>
          <w:tcPr>
            <w:tcW w:w="991" w:type="pct"/>
            <w:vAlign w:val="center"/>
            <w:hideMark/>
          </w:tcPr>
          <w:p w14:paraId="6EDD11D8"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2013</w:t>
            </w:r>
          </w:p>
        </w:tc>
      </w:tr>
      <w:tr w:rsidR="00286663" w:rsidRPr="007114AF" w14:paraId="6EDD11DC" w14:textId="77777777" w:rsidTr="00286663">
        <w:trPr>
          <w:trHeight w:val="300"/>
          <w:jc w:val="center"/>
        </w:trPr>
        <w:tc>
          <w:tcPr>
            <w:tcW w:w="4009" w:type="pct"/>
            <w:vAlign w:val="center"/>
            <w:hideMark/>
          </w:tcPr>
          <w:p w14:paraId="6EDD11DA"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 xml:space="preserve">Shqipëria –Projekt për Rimëkëmbjen e Energjisë: P144029 –Raporti i Statusit të Zbatimit të Rezultateve: Sekuenca 02 (Anglisht) </w:t>
            </w:r>
          </w:p>
        </w:tc>
        <w:tc>
          <w:tcPr>
            <w:tcW w:w="991" w:type="pct"/>
            <w:vAlign w:val="center"/>
            <w:hideMark/>
          </w:tcPr>
          <w:p w14:paraId="6EDD11DB"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2016</w:t>
            </w:r>
          </w:p>
        </w:tc>
      </w:tr>
      <w:tr w:rsidR="00286663" w:rsidRPr="007114AF" w14:paraId="6EDD11DF" w14:textId="77777777" w:rsidTr="00286663">
        <w:trPr>
          <w:trHeight w:val="300"/>
          <w:jc w:val="center"/>
        </w:trPr>
        <w:tc>
          <w:tcPr>
            <w:tcW w:w="4009" w:type="pct"/>
            <w:vAlign w:val="center"/>
            <w:hideMark/>
          </w:tcPr>
          <w:p w14:paraId="6EDD11DD"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Raporti i Studimit dhe Përmbledhje Joteknike për Vlerësimin e Ndikimit Mjedisor dhe Social të Gazsjellësit Trans Adriatik (TAP)</w:t>
            </w:r>
          </w:p>
        </w:tc>
        <w:tc>
          <w:tcPr>
            <w:tcW w:w="991" w:type="pct"/>
            <w:vAlign w:val="center"/>
            <w:hideMark/>
          </w:tcPr>
          <w:p w14:paraId="6EDD11DE"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2012</w:t>
            </w:r>
          </w:p>
        </w:tc>
      </w:tr>
      <w:tr w:rsidR="00286663" w:rsidRPr="007114AF" w14:paraId="6EDD11E2" w14:textId="77777777" w:rsidTr="00286663">
        <w:trPr>
          <w:trHeight w:val="600"/>
          <w:jc w:val="center"/>
        </w:trPr>
        <w:tc>
          <w:tcPr>
            <w:tcW w:w="4009" w:type="pct"/>
            <w:vAlign w:val="center"/>
            <w:hideMark/>
          </w:tcPr>
          <w:p w14:paraId="6EDD11E0"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Komunikimi i Tret</w:t>
            </w:r>
            <w:r w:rsidRPr="007114AF">
              <w:rPr>
                <w:rFonts w:ascii="Garamond" w:hAnsi="Garamond" w:cstheme="minorHAnsi"/>
                <w:sz w:val="18"/>
                <w:szCs w:val="18"/>
              </w:rPr>
              <w:t xml:space="preserve">ë Kombëtar i Shqipërisë </w:t>
            </w:r>
            <w:r w:rsidRPr="007114AF">
              <w:rPr>
                <w:rFonts w:ascii="Garamond" w:hAnsi="Garamond"/>
                <w:sz w:val="18"/>
                <w:szCs w:val="18"/>
              </w:rPr>
              <w:t>–Skenari Baz</w:t>
            </w:r>
            <w:r w:rsidRPr="007114AF">
              <w:rPr>
                <w:rFonts w:ascii="Garamond" w:hAnsi="Garamond" w:cstheme="minorHAnsi"/>
                <w:sz w:val="18"/>
                <w:szCs w:val="18"/>
              </w:rPr>
              <w:t>ë dhe Masat Zbutëse</w:t>
            </w:r>
            <w:r w:rsidRPr="007114AF">
              <w:rPr>
                <w:rFonts w:ascii="Garamond" w:hAnsi="Garamond"/>
                <w:sz w:val="18"/>
                <w:szCs w:val="18"/>
              </w:rPr>
              <w:t>– Raport mbi Analizat e Masave Zbutëse p</w:t>
            </w:r>
            <w:r w:rsidRPr="007114AF">
              <w:rPr>
                <w:rFonts w:ascii="Garamond" w:hAnsi="Garamond" w:cstheme="minorHAnsi"/>
                <w:sz w:val="18"/>
                <w:szCs w:val="18"/>
              </w:rPr>
              <w:t>ër shkarkimet GES në energji dhe transport</w:t>
            </w:r>
          </w:p>
        </w:tc>
        <w:tc>
          <w:tcPr>
            <w:tcW w:w="991" w:type="pct"/>
            <w:vAlign w:val="center"/>
            <w:hideMark/>
          </w:tcPr>
          <w:p w14:paraId="6EDD11E1"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2016</w:t>
            </w:r>
          </w:p>
        </w:tc>
      </w:tr>
      <w:tr w:rsidR="00286663" w:rsidRPr="007114AF" w14:paraId="6EDD11E5" w14:textId="77777777" w:rsidTr="00286663">
        <w:trPr>
          <w:trHeight w:val="300"/>
          <w:jc w:val="center"/>
        </w:trPr>
        <w:tc>
          <w:tcPr>
            <w:tcW w:w="4009" w:type="pct"/>
            <w:vAlign w:val="center"/>
          </w:tcPr>
          <w:p w14:paraId="6EDD11E3"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Komunikimi i Tret</w:t>
            </w:r>
            <w:r w:rsidRPr="007114AF">
              <w:rPr>
                <w:rFonts w:ascii="Garamond" w:hAnsi="Garamond" w:cstheme="minorHAnsi"/>
                <w:sz w:val="18"/>
                <w:szCs w:val="18"/>
              </w:rPr>
              <w:t xml:space="preserve">ë Kombëtar i Shqipërisë </w:t>
            </w:r>
            <w:r w:rsidRPr="007114AF">
              <w:rPr>
                <w:rFonts w:ascii="Garamond" w:hAnsi="Garamond"/>
                <w:sz w:val="18"/>
                <w:szCs w:val="18"/>
              </w:rPr>
              <w:t>–Skenari Baz</w:t>
            </w:r>
            <w:r w:rsidRPr="007114AF">
              <w:rPr>
                <w:rFonts w:ascii="Garamond" w:hAnsi="Garamond" w:cstheme="minorHAnsi"/>
                <w:sz w:val="18"/>
                <w:szCs w:val="18"/>
              </w:rPr>
              <w:t>ë dhe Masat Zbutëse</w:t>
            </w:r>
            <w:r w:rsidRPr="007114AF">
              <w:rPr>
                <w:rFonts w:ascii="Garamond" w:hAnsi="Garamond"/>
                <w:sz w:val="18"/>
                <w:szCs w:val="18"/>
              </w:rPr>
              <w:t>– Raport mbi Analizat e Masave Zbutëse p</w:t>
            </w:r>
            <w:r w:rsidRPr="007114AF">
              <w:rPr>
                <w:rFonts w:ascii="Garamond" w:hAnsi="Garamond" w:cstheme="minorHAnsi"/>
                <w:sz w:val="18"/>
                <w:szCs w:val="18"/>
              </w:rPr>
              <w:t xml:space="preserve">ër shkarkimet GES në Bujqësi dhe </w:t>
            </w:r>
            <w:r w:rsidRPr="007114AF">
              <w:rPr>
                <w:rFonts w:ascii="Garamond" w:hAnsi="Garamond"/>
                <w:sz w:val="18"/>
                <w:szCs w:val="18"/>
              </w:rPr>
              <w:t>LUCF-ë</w:t>
            </w:r>
          </w:p>
        </w:tc>
        <w:tc>
          <w:tcPr>
            <w:tcW w:w="991" w:type="pct"/>
            <w:noWrap/>
            <w:vAlign w:val="center"/>
          </w:tcPr>
          <w:p w14:paraId="6EDD11E4"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2016</w:t>
            </w:r>
          </w:p>
        </w:tc>
      </w:tr>
      <w:tr w:rsidR="00286663" w:rsidRPr="007114AF" w14:paraId="6EDD11E8" w14:textId="77777777" w:rsidTr="00286663">
        <w:trPr>
          <w:trHeight w:val="300"/>
          <w:jc w:val="center"/>
        </w:trPr>
        <w:tc>
          <w:tcPr>
            <w:tcW w:w="4009" w:type="pct"/>
            <w:vAlign w:val="center"/>
            <w:hideMark/>
          </w:tcPr>
          <w:p w14:paraId="6EDD11E6"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Plani i P</w:t>
            </w:r>
            <w:r w:rsidRPr="007114AF">
              <w:rPr>
                <w:rFonts w:ascii="Garamond" w:hAnsi="Garamond" w:cstheme="minorHAnsi"/>
                <w:sz w:val="18"/>
                <w:szCs w:val="18"/>
              </w:rPr>
              <w:t>ërpunimit të karbonit me nivel të ulët</w:t>
            </w:r>
            <w:r w:rsidRPr="007114AF">
              <w:rPr>
                <w:rFonts w:ascii="Garamond" w:hAnsi="Garamond"/>
                <w:sz w:val="18"/>
                <w:szCs w:val="18"/>
              </w:rPr>
              <w:t xml:space="preserve"> – Shqipëri</w:t>
            </w:r>
          </w:p>
        </w:tc>
        <w:tc>
          <w:tcPr>
            <w:tcW w:w="991" w:type="pct"/>
            <w:noWrap/>
            <w:vAlign w:val="center"/>
            <w:hideMark/>
          </w:tcPr>
          <w:p w14:paraId="6EDD11E7"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2014</w:t>
            </w:r>
          </w:p>
        </w:tc>
      </w:tr>
      <w:tr w:rsidR="00286663" w:rsidRPr="007114AF" w14:paraId="6EDD11EB" w14:textId="77777777" w:rsidTr="00286663">
        <w:trPr>
          <w:trHeight w:val="600"/>
          <w:jc w:val="center"/>
        </w:trPr>
        <w:tc>
          <w:tcPr>
            <w:tcW w:w="4009" w:type="pct"/>
            <w:vAlign w:val="center"/>
            <w:hideMark/>
          </w:tcPr>
          <w:p w14:paraId="6EDD11E9"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Vler</w:t>
            </w:r>
            <w:r w:rsidRPr="007114AF">
              <w:rPr>
                <w:rFonts w:ascii="Garamond" w:hAnsi="Garamond" w:cstheme="minorHAnsi"/>
                <w:sz w:val="18"/>
                <w:szCs w:val="18"/>
              </w:rPr>
              <w:t>ësimi i dobësive</w:t>
            </w:r>
            <w:r w:rsidRPr="007114AF">
              <w:rPr>
                <w:rFonts w:ascii="Garamond" w:hAnsi="Garamond"/>
                <w:sz w:val="18"/>
                <w:szCs w:val="18"/>
              </w:rPr>
              <w:t xml:space="preserve"> klimatike–Nj</w:t>
            </w:r>
            <w:r w:rsidRPr="007114AF">
              <w:rPr>
                <w:rFonts w:ascii="Garamond" w:hAnsi="Garamond" w:cstheme="minorHAnsi"/>
                <w:sz w:val="18"/>
                <w:szCs w:val="18"/>
              </w:rPr>
              <w:t>ë Vlerësim i Dobësive të Ndryshimeve Klimatike dhe Përshtatja në Sektorin Shqiptar të Energjisë Elektrike</w:t>
            </w:r>
          </w:p>
        </w:tc>
        <w:tc>
          <w:tcPr>
            <w:tcW w:w="991" w:type="pct"/>
            <w:noWrap/>
            <w:vAlign w:val="center"/>
            <w:hideMark/>
          </w:tcPr>
          <w:p w14:paraId="6EDD11EA"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2009</w:t>
            </w:r>
          </w:p>
        </w:tc>
      </w:tr>
      <w:tr w:rsidR="00286663" w:rsidRPr="007114AF" w14:paraId="6EDD11EE" w14:textId="77777777" w:rsidTr="00286663">
        <w:trPr>
          <w:trHeight w:val="300"/>
          <w:jc w:val="center"/>
        </w:trPr>
        <w:tc>
          <w:tcPr>
            <w:tcW w:w="4009" w:type="pct"/>
            <w:vAlign w:val="center"/>
            <w:hideMark/>
          </w:tcPr>
          <w:p w14:paraId="6EDD11EC"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Plani i Veprimit p</w:t>
            </w:r>
            <w:r w:rsidRPr="007114AF">
              <w:rPr>
                <w:rFonts w:ascii="Garamond" w:hAnsi="Garamond" w:cstheme="minorHAnsi"/>
                <w:sz w:val="18"/>
                <w:szCs w:val="18"/>
              </w:rPr>
              <w:t xml:space="preserve">ër Burimet e Energjisë së Rinovueshme në Shqipëri </w:t>
            </w:r>
            <w:r w:rsidRPr="007114AF">
              <w:rPr>
                <w:rFonts w:ascii="Garamond" w:hAnsi="Garamond"/>
                <w:sz w:val="18"/>
                <w:szCs w:val="18"/>
              </w:rPr>
              <w:t>(BER)</w:t>
            </w:r>
          </w:p>
        </w:tc>
        <w:tc>
          <w:tcPr>
            <w:tcW w:w="991" w:type="pct"/>
            <w:vAlign w:val="center"/>
            <w:hideMark/>
          </w:tcPr>
          <w:p w14:paraId="6EDD11ED"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2016</w:t>
            </w:r>
          </w:p>
        </w:tc>
      </w:tr>
      <w:tr w:rsidR="00286663" w:rsidRPr="007114AF" w14:paraId="6EDD11F1" w14:textId="77777777" w:rsidTr="00286663">
        <w:trPr>
          <w:trHeight w:val="300"/>
          <w:jc w:val="center"/>
        </w:trPr>
        <w:tc>
          <w:tcPr>
            <w:tcW w:w="4009" w:type="pct"/>
            <w:vAlign w:val="center"/>
            <w:hideMark/>
          </w:tcPr>
          <w:p w14:paraId="6EDD11EF"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Ndryshimet Klimatike dhe Bujq</w:t>
            </w:r>
            <w:r w:rsidRPr="007114AF">
              <w:rPr>
                <w:rFonts w:ascii="Garamond" w:hAnsi="Garamond" w:cstheme="minorHAnsi"/>
                <w:sz w:val="18"/>
                <w:szCs w:val="18"/>
              </w:rPr>
              <w:t>ësia në Shqipëri</w:t>
            </w:r>
            <w:r w:rsidRPr="007114AF">
              <w:rPr>
                <w:rFonts w:ascii="Garamond" w:hAnsi="Garamond"/>
                <w:sz w:val="18"/>
                <w:szCs w:val="18"/>
              </w:rPr>
              <w:t>–Nota e shtetit shqiptar</w:t>
            </w:r>
          </w:p>
        </w:tc>
        <w:tc>
          <w:tcPr>
            <w:tcW w:w="991" w:type="pct"/>
            <w:vAlign w:val="center"/>
            <w:hideMark/>
          </w:tcPr>
          <w:p w14:paraId="6EDD11F0"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2011</w:t>
            </w:r>
          </w:p>
        </w:tc>
      </w:tr>
      <w:tr w:rsidR="00286663" w:rsidRPr="007114AF" w14:paraId="6EDD11F4" w14:textId="77777777" w:rsidTr="00286663">
        <w:trPr>
          <w:trHeight w:val="300"/>
          <w:jc w:val="center"/>
        </w:trPr>
        <w:tc>
          <w:tcPr>
            <w:tcW w:w="4009" w:type="pct"/>
            <w:vAlign w:val="center"/>
            <w:hideMark/>
          </w:tcPr>
          <w:p w14:paraId="6EDD11F2"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Raporti i Kat</w:t>
            </w:r>
            <w:r w:rsidRPr="007114AF">
              <w:rPr>
                <w:rFonts w:ascii="Garamond" w:hAnsi="Garamond" w:cstheme="minorHAnsi"/>
                <w:sz w:val="18"/>
                <w:szCs w:val="18"/>
              </w:rPr>
              <w:t xml:space="preserve">ërt Vendor në Konventën e Kombeve të Bashkuara mbi Diversitetin </w:t>
            </w:r>
            <w:r w:rsidRPr="007114AF">
              <w:rPr>
                <w:rFonts w:ascii="Garamond" w:hAnsi="Garamond"/>
                <w:sz w:val="18"/>
                <w:szCs w:val="18"/>
              </w:rPr>
              <w:t>Biologjik</w:t>
            </w:r>
          </w:p>
        </w:tc>
        <w:tc>
          <w:tcPr>
            <w:tcW w:w="991" w:type="pct"/>
            <w:vAlign w:val="center"/>
            <w:hideMark/>
          </w:tcPr>
          <w:p w14:paraId="6EDD11F3"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2011</w:t>
            </w:r>
          </w:p>
        </w:tc>
      </w:tr>
      <w:tr w:rsidR="00286663" w:rsidRPr="007114AF" w14:paraId="6EDD11F7" w14:textId="77777777" w:rsidTr="00286663">
        <w:trPr>
          <w:trHeight w:val="600"/>
          <w:jc w:val="center"/>
        </w:trPr>
        <w:tc>
          <w:tcPr>
            <w:tcW w:w="4009" w:type="pct"/>
            <w:vAlign w:val="center"/>
            <w:hideMark/>
          </w:tcPr>
          <w:p w14:paraId="6EDD11F5" w14:textId="59E7D125" w:rsidR="00286663" w:rsidRPr="007114AF" w:rsidRDefault="00286663" w:rsidP="005D5DCB">
            <w:pPr>
              <w:spacing w:after="0"/>
              <w:rPr>
                <w:rFonts w:ascii="Garamond" w:hAnsi="Garamond"/>
                <w:sz w:val="18"/>
                <w:szCs w:val="18"/>
              </w:rPr>
            </w:pPr>
            <w:r w:rsidRPr="007114AF">
              <w:rPr>
                <w:rFonts w:ascii="Garamond" w:hAnsi="Garamond"/>
                <w:sz w:val="18"/>
                <w:szCs w:val="18"/>
              </w:rPr>
              <w:t>Integrimi Mjedisit n</w:t>
            </w:r>
            <w:r w:rsidRPr="007114AF">
              <w:rPr>
                <w:rFonts w:ascii="Garamond" w:hAnsi="Garamond" w:cstheme="minorHAnsi"/>
                <w:sz w:val="18"/>
                <w:szCs w:val="18"/>
              </w:rPr>
              <w:t>ë Bujqësi dhe Progresin Pyjor dhe Perspektivat në E</w:t>
            </w:r>
            <w:r w:rsidR="005D5DCB">
              <w:rPr>
                <w:rFonts w:ascii="Garamond" w:hAnsi="Garamond" w:cstheme="minorHAnsi"/>
                <w:sz w:val="18"/>
                <w:szCs w:val="18"/>
              </w:rPr>
              <w:t>v</w:t>
            </w:r>
            <w:r w:rsidRPr="007114AF">
              <w:rPr>
                <w:rFonts w:ascii="Garamond" w:hAnsi="Garamond" w:cstheme="minorHAnsi"/>
                <w:sz w:val="18"/>
                <w:szCs w:val="18"/>
              </w:rPr>
              <w:t>ropën Lindore dhe Azinë Qendrore</w:t>
            </w:r>
            <w:r w:rsidRPr="007114AF">
              <w:rPr>
                <w:rFonts w:ascii="Garamond" w:hAnsi="Garamond"/>
                <w:sz w:val="18"/>
                <w:szCs w:val="18"/>
              </w:rPr>
              <w:t xml:space="preserve"> Volumi II SHQIP</w:t>
            </w:r>
            <w:r w:rsidRPr="007114AF">
              <w:rPr>
                <w:rFonts w:ascii="Garamond" w:hAnsi="Garamond" w:cstheme="minorHAnsi"/>
                <w:sz w:val="18"/>
                <w:szCs w:val="18"/>
              </w:rPr>
              <w:t>ËRIA Shqyrtim Vendor</w:t>
            </w:r>
          </w:p>
        </w:tc>
        <w:tc>
          <w:tcPr>
            <w:tcW w:w="991" w:type="pct"/>
            <w:vAlign w:val="center"/>
            <w:hideMark/>
          </w:tcPr>
          <w:p w14:paraId="6EDD11F6"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2007</w:t>
            </w:r>
          </w:p>
        </w:tc>
      </w:tr>
      <w:tr w:rsidR="00286663" w:rsidRPr="007114AF" w14:paraId="6EDD11FA" w14:textId="77777777" w:rsidTr="00286663">
        <w:trPr>
          <w:trHeight w:val="300"/>
          <w:jc w:val="center"/>
        </w:trPr>
        <w:tc>
          <w:tcPr>
            <w:tcW w:w="4009" w:type="pct"/>
            <w:vAlign w:val="center"/>
            <w:hideMark/>
          </w:tcPr>
          <w:p w14:paraId="6EDD11F8"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Strategjia nd</w:t>
            </w:r>
            <w:r w:rsidRPr="007114AF">
              <w:rPr>
                <w:rFonts w:ascii="Garamond" w:hAnsi="Garamond" w:cstheme="minorHAnsi"/>
                <w:sz w:val="18"/>
                <w:szCs w:val="18"/>
              </w:rPr>
              <w:t>ërsektoriale për zhvillimin e bujqësisë dhe atë rural në Shqipëri</w:t>
            </w:r>
          </w:p>
        </w:tc>
        <w:tc>
          <w:tcPr>
            <w:tcW w:w="991" w:type="pct"/>
            <w:vAlign w:val="center"/>
            <w:hideMark/>
          </w:tcPr>
          <w:p w14:paraId="6EDD11F9"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2014</w:t>
            </w:r>
          </w:p>
        </w:tc>
      </w:tr>
      <w:tr w:rsidR="00286663" w:rsidRPr="007114AF" w14:paraId="6EDD11FD" w14:textId="77777777" w:rsidTr="00286663">
        <w:trPr>
          <w:trHeight w:val="300"/>
          <w:jc w:val="center"/>
        </w:trPr>
        <w:tc>
          <w:tcPr>
            <w:tcW w:w="4009" w:type="pct"/>
            <w:vAlign w:val="center"/>
            <w:hideMark/>
          </w:tcPr>
          <w:p w14:paraId="6EDD11FB"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Programi p</w:t>
            </w:r>
            <w:r w:rsidRPr="007114AF">
              <w:rPr>
                <w:rFonts w:ascii="Garamond" w:hAnsi="Garamond" w:cstheme="minorHAnsi"/>
                <w:sz w:val="18"/>
                <w:szCs w:val="18"/>
              </w:rPr>
              <w:t xml:space="preserve">ër Zhvillimin </w:t>
            </w:r>
            <w:r w:rsidRPr="007114AF">
              <w:rPr>
                <w:rFonts w:ascii="Garamond" w:hAnsi="Garamond"/>
                <w:sz w:val="18"/>
                <w:szCs w:val="18"/>
              </w:rPr>
              <w:t>Rural 2014-2020, n</w:t>
            </w:r>
            <w:r w:rsidRPr="007114AF">
              <w:rPr>
                <w:rFonts w:ascii="Garamond" w:hAnsi="Garamond" w:cstheme="minorHAnsi"/>
                <w:sz w:val="18"/>
                <w:szCs w:val="18"/>
              </w:rPr>
              <w:t>ë kuadrin e I</w:t>
            </w:r>
            <w:r w:rsidRPr="007114AF">
              <w:rPr>
                <w:rFonts w:ascii="Garamond" w:hAnsi="Garamond"/>
                <w:sz w:val="18"/>
                <w:szCs w:val="18"/>
              </w:rPr>
              <w:t>nstrumentit të Asistenc</w:t>
            </w:r>
            <w:r w:rsidRPr="007114AF">
              <w:rPr>
                <w:rFonts w:ascii="Garamond" w:hAnsi="Garamond" w:cstheme="minorHAnsi"/>
                <w:sz w:val="18"/>
                <w:szCs w:val="18"/>
              </w:rPr>
              <w:t>ës së Para</w:t>
            </w:r>
            <w:r w:rsidRPr="007114AF">
              <w:rPr>
                <w:rFonts w:ascii="Garamond" w:hAnsi="Garamond"/>
                <w:sz w:val="18"/>
                <w:szCs w:val="18"/>
              </w:rPr>
              <w:t>an</w:t>
            </w:r>
            <w:r w:rsidRPr="007114AF">
              <w:rPr>
                <w:rFonts w:ascii="Garamond" w:hAnsi="Garamond" w:cstheme="minorHAnsi"/>
                <w:sz w:val="18"/>
                <w:szCs w:val="18"/>
              </w:rPr>
              <w:t>ëtarësimit</w:t>
            </w:r>
            <w:r w:rsidRPr="007114AF">
              <w:rPr>
                <w:rFonts w:ascii="Garamond" w:hAnsi="Garamond"/>
                <w:sz w:val="18"/>
                <w:szCs w:val="18"/>
              </w:rPr>
              <w:t xml:space="preserve"> (IPA)</w:t>
            </w:r>
          </w:p>
        </w:tc>
        <w:tc>
          <w:tcPr>
            <w:tcW w:w="991" w:type="pct"/>
            <w:vAlign w:val="center"/>
            <w:hideMark/>
          </w:tcPr>
          <w:p w14:paraId="6EDD11FC"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2015</w:t>
            </w:r>
          </w:p>
        </w:tc>
      </w:tr>
      <w:tr w:rsidR="00286663" w:rsidRPr="007114AF" w14:paraId="6EDD1200" w14:textId="77777777" w:rsidTr="00286663">
        <w:trPr>
          <w:trHeight w:val="300"/>
          <w:jc w:val="center"/>
        </w:trPr>
        <w:tc>
          <w:tcPr>
            <w:tcW w:w="4009" w:type="pct"/>
            <w:vAlign w:val="center"/>
            <w:hideMark/>
          </w:tcPr>
          <w:p w14:paraId="6EDD11FE"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Dokument strategjik i Planit t</w:t>
            </w:r>
            <w:r w:rsidRPr="007114AF">
              <w:rPr>
                <w:rFonts w:ascii="Garamond" w:hAnsi="Garamond" w:cstheme="minorHAnsi"/>
                <w:sz w:val="18"/>
                <w:szCs w:val="18"/>
              </w:rPr>
              <w:t>ë</w:t>
            </w:r>
            <w:r w:rsidRPr="007114AF">
              <w:rPr>
                <w:rFonts w:ascii="Garamond" w:hAnsi="Garamond"/>
                <w:sz w:val="18"/>
                <w:szCs w:val="18"/>
              </w:rPr>
              <w:t xml:space="preserve"> Veprimit mbi </w:t>
            </w:r>
            <w:r w:rsidRPr="007114AF">
              <w:rPr>
                <w:rFonts w:ascii="Garamond" w:hAnsi="Garamond" w:cstheme="minorHAnsi"/>
                <w:sz w:val="18"/>
                <w:szCs w:val="18"/>
              </w:rPr>
              <w:t xml:space="preserve">Mbrojtjen e </w:t>
            </w:r>
            <w:r w:rsidRPr="007114AF">
              <w:rPr>
                <w:rFonts w:ascii="Garamond" w:hAnsi="Garamond"/>
                <w:sz w:val="18"/>
                <w:szCs w:val="18"/>
              </w:rPr>
              <w:t>Biodiversitetit</w:t>
            </w:r>
          </w:p>
        </w:tc>
        <w:tc>
          <w:tcPr>
            <w:tcW w:w="991" w:type="pct"/>
            <w:vAlign w:val="center"/>
            <w:hideMark/>
          </w:tcPr>
          <w:p w14:paraId="6EDD11FF"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2016</w:t>
            </w:r>
          </w:p>
        </w:tc>
      </w:tr>
      <w:tr w:rsidR="00286663" w:rsidRPr="007114AF" w14:paraId="6EDD1203" w14:textId="77777777" w:rsidTr="00286663">
        <w:trPr>
          <w:trHeight w:val="300"/>
          <w:jc w:val="center"/>
        </w:trPr>
        <w:tc>
          <w:tcPr>
            <w:tcW w:w="4009" w:type="pct"/>
            <w:vAlign w:val="center"/>
            <w:hideMark/>
          </w:tcPr>
          <w:p w14:paraId="6EDD1201"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Ligji p</w:t>
            </w:r>
            <w:r w:rsidRPr="007114AF">
              <w:rPr>
                <w:rFonts w:ascii="Garamond" w:hAnsi="Garamond" w:cstheme="minorHAnsi"/>
                <w:sz w:val="18"/>
                <w:szCs w:val="18"/>
              </w:rPr>
              <w:t>ër pyjet</w:t>
            </w:r>
            <w:r w:rsidRPr="007114AF">
              <w:rPr>
                <w:rFonts w:ascii="Garamond" w:hAnsi="Garamond"/>
                <w:sz w:val="18"/>
                <w:szCs w:val="18"/>
              </w:rPr>
              <w:t xml:space="preserve">–Fondi </w:t>
            </w:r>
            <w:r w:rsidRPr="007114AF">
              <w:rPr>
                <w:rFonts w:ascii="Garamond" w:hAnsi="Garamond" w:cstheme="minorHAnsi"/>
                <w:sz w:val="18"/>
                <w:szCs w:val="18"/>
              </w:rPr>
              <w:t>kombëtar</w:t>
            </w:r>
            <w:r w:rsidRPr="007114AF">
              <w:rPr>
                <w:rFonts w:ascii="Garamond" w:hAnsi="Garamond"/>
                <w:sz w:val="18"/>
                <w:szCs w:val="18"/>
              </w:rPr>
              <w:t xml:space="preserve"> p</w:t>
            </w:r>
            <w:r w:rsidRPr="007114AF">
              <w:rPr>
                <w:rFonts w:ascii="Garamond" w:hAnsi="Garamond" w:cstheme="minorHAnsi"/>
                <w:sz w:val="18"/>
                <w:szCs w:val="18"/>
              </w:rPr>
              <w:t>ër administrimin e pyjeve në Republikën e Shqipërisë (draft)</w:t>
            </w:r>
          </w:p>
        </w:tc>
        <w:tc>
          <w:tcPr>
            <w:tcW w:w="991" w:type="pct"/>
            <w:vAlign w:val="center"/>
            <w:hideMark/>
          </w:tcPr>
          <w:p w14:paraId="6EDD1202"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2018</w:t>
            </w:r>
          </w:p>
        </w:tc>
      </w:tr>
      <w:tr w:rsidR="00286663" w:rsidRPr="007114AF" w14:paraId="6EDD1206" w14:textId="77777777" w:rsidTr="00286663">
        <w:trPr>
          <w:trHeight w:val="300"/>
          <w:jc w:val="center"/>
        </w:trPr>
        <w:tc>
          <w:tcPr>
            <w:tcW w:w="4009" w:type="pct"/>
            <w:vAlign w:val="center"/>
            <w:hideMark/>
          </w:tcPr>
          <w:p w14:paraId="6EDD1204"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Raporti fillestar i studimit t</w:t>
            </w:r>
            <w:r w:rsidRPr="007114AF">
              <w:rPr>
                <w:rFonts w:ascii="Garamond" w:hAnsi="Garamond" w:cstheme="minorHAnsi"/>
                <w:sz w:val="18"/>
                <w:szCs w:val="18"/>
              </w:rPr>
              <w:t>ë</w:t>
            </w:r>
            <w:r w:rsidRPr="007114AF">
              <w:rPr>
                <w:rFonts w:ascii="Garamond" w:hAnsi="Garamond"/>
                <w:sz w:val="18"/>
                <w:szCs w:val="18"/>
              </w:rPr>
              <w:t xml:space="preserve"> sektorit mbi ngrohjen me baz</w:t>
            </w:r>
            <w:r w:rsidRPr="007114AF">
              <w:rPr>
                <w:rFonts w:ascii="Garamond" w:hAnsi="Garamond" w:cstheme="minorHAnsi"/>
                <w:sz w:val="18"/>
                <w:szCs w:val="18"/>
              </w:rPr>
              <w:t xml:space="preserve">ë </w:t>
            </w:r>
            <w:r w:rsidRPr="007114AF">
              <w:rPr>
                <w:rFonts w:ascii="Garamond" w:hAnsi="Garamond"/>
                <w:sz w:val="18"/>
                <w:szCs w:val="18"/>
              </w:rPr>
              <w:t>biomase n</w:t>
            </w:r>
            <w:r w:rsidRPr="007114AF">
              <w:rPr>
                <w:rFonts w:ascii="Garamond" w:hAnsi="Garamond" w:cstheme="minorHAnsi"/>
                <w:sz w:val="18"/>
                <w:szCs w:val="18"/>
              </w:rPr>
              <w:t>ë Ballkanin Perëndimor</w:t>
            </w:r>
          </w:p>
        </w:tc>
        <w:tc>
          <w:tcPr>
            <w:tcW w:w="991" w:type="pct"/>
            <w:vAlign w:val="center"/>
            <w:hideMark/>
          </w:tcPr>
          <w:p w14:paraId="6EDD1205"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2015</w:t>
            </w:r>
          </w:p>
        </w:tc>
      </w:tr>
      <w:tr w:rsidR="00286663" w:rsidRPr="007114AF" w14:paraId="6EDD1209" w14:textId="77777777" w:rsidTr="00286663">
        <w:trPr>
          <w:trHeight w:val="600"/>
          <w:jc w:val="center"/>
        </w:trPr>
        <w:tc>
          <w:tcPr>
            <w:tcW w:w="4009" w:type="pct"/>
            <w:vAlign w:val="center"/>
            <w:hideMark/>
          </w:tcPr>
          <w:p w14:paraId="6EDD1207" w14:textId="6FEF3A20" w:rsidR="00286663" w:rsidRPr="007114AF" w:rsidRDefault="00286663" w:rsidP="005D5DCB">
            <w:pPr>
              <w:spacing w:after="0"/>
              <w:rPr>
                <w:rFonts w:ascii="Garamond" w:hAnsi="Garamond"/>
                <w:sz w:val="18"/>
                <w:szCs w:val="18"/>
              </w:rPr>
            </w:pPr>
            <w:r w:rsidRPr="007114AF">
              <w:rPr>
                <w:rFonts w:ascii="Garamond" w:hAnsi="Garamond" w:cstheme="minorHAnsi"/>
                <w:sz w:val="18"/>
                <w:szCs w:val="18"/>
              </w:rPr>
              <w:t>Riformatimi i Bujqësisë në E</w:t>
            </w:r>
            <w:r w:rsidR="005D5DCB">
              <w:rPr>
                <w:rFonts w:ascii="Garamond" w:hAnsi="Garamond" w:cstheme="minorHAnsi"/>
                <w:sz w:val="18"/>
                <w:szCs w:val="18"/>
              </w:rPr>
              <w:t>v</w:t>
            </w:r>
            <w:r w:rsidRPr="007114AF">
              <w:rPr>
                <w:rFonts w:ascii="Garamond" w:hAnsi="Garamond" w:cstheme="minorHAnsi"/>
                <w:sz w:val="18"/>
                <w:szCs w:val="18"/>
              </w:rPr>
              <w:t>ropën Lindore dhe Azinë Qendrore si Pasojë e Ndikimeve të Ndryshimeve Klimatike dhe Reagimeve të Përshtatura</w:t>
            </w:r>
          </w:p>
        </w:tc>
        <w:tc>
          <w:tcPr>
            <w:tcW w:w="991" w:type="pct"/>
            <w:vAlign w:val="center"/>
            <w:hideMark/>
          </w:tcPr>
          <w:p w14:paraId="6EDD1208"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2013</w:t>
            </w:r>
          </w:p>
        </w:tc>
      </w:tr>
      <w:tr w:rsidR="00286663" w:rsidRPr="007114AF" w14:paraId="6EDD120C" w14:textId="77777777" w:rsidTr="00286663">
        <w:trPr>
          <w:trHeight w:val="300"/>
          <w:jc w:val="center"/>
        </w:trPr>
        <w:tc>
          <w:tcPr>
            <w:tcW w:w="4009" w:type="pct"/>
            <w:vAlign w:val="center"/>
            <w:hideMark/>
          </w:tcPr>
          <w:p w14:paraId="6EDD120A"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Ulja e ndjeshm</w:t>
            </w:r>
            <w:r w:rsidRPr="007114AF">
              <w:rPr>
                <w:rFonts w:ascii="Garamond" w:hAnsi="Garamond" w:cstheme="minorHAnsi"/>
                <w:sz w:val="18"/>
                <w:szCs w:val="18"/>
              </w:rPr>
              <w:t>ërisë së sistemit bujqësor shqiptar ndaj ndryshimeve klimatike</w:t>
            </w:r>
          </w:p>
        </w:tc>
        <w:tc>
          <w:tcPr>
            <w:tcW w:w="991" w:type="pct"/>
            <w:noWrap/>
            <w:vAlign w:val="center"/>
            <w:hideMark/>
          </w:tcPr>
          <w:p w14:paraId="6EDD120B"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2013</w:t>
            </w:r>
          </w:p>
        </w:tc>
      </w:tr>
      <w:tr w:rsidR="00286663" w:rsidRPr="007114AF" w14:paraId="6EDD120F" w14:textId="77777777" w:rsidTr="00286663">
        <w:trPr>
          <w:trHeight w:val="300"/>
          <w:jc w:val="center"/>
        </w:trPr>
        <w:tc>
          <w:tcPr>
            <w:tcW w:w="4009" w:type="pct"/>
            <w:vAlign w:val="center"/>
            <w:hideMark/>
          </w:tcPr>
          <w:p w14:paraId="6EDD120D" w14:textId="75B4DCF5" w:rsidR="00286663" w:rsidRPr="007114AF" w:rsidRDefault="00286663" w:rsidP="00286663">
            <w:pPr>
              <w:spacing w:after="0"/>
              <w:rPr>
                <w:rFonts w:ascii="Garamond" w:hAnsi="Garamond"/>
                <w:sz w:val="18"/>
                <w:szCs w:val="18"/>
              </w:rPr>
            </w:pPr>
            <w:r w:rsidRPr="007114AF">
              <w:rPr>
                <w:rFonts w:ascii="Garamond" w:hAnsi="Garamond"/>
                <w:sz w:val="18"/>
                <w:szCs w:val="18"/>
              </w:rPr>
              <w:t>Raport i Rigjenerimit Natyror t</w:t>
            </w:r>
            <w:r w:rsidRPr="007114AF">
              <w:rPr>
                <w:rFonts w:ascii="Garamond" w:hAnsi="Garamond" w:cstheme="minorHAnsi"/>
                <w:sz w:val="18"/>
                <w:szCs w:val="18"/>
              </w:rPr>
              <w:t>ë</w:t>
            </w:r>
            <w:r w:rsidR="005D5DCB">
              <w:rPr>
                <w:rFonts w:ascii="Garamond" w:hAnsi="Garamond" w:cstheme="minorHAnsi"/>
                <w:sz w:val="18"/>
                <w:szCs w:val="18"/>
              </w:rPr>
              <w:t xml:space="preserve"> </w:t>
            </w:r>
            <w:r w:rsidRPr="007114AF">
              <w:rPr>
                <w:rFonts w:ascii="Garamond" w:hAnsi="Garamond"/>
                <w:sz w:val="18"/>
                <w:szCs w:val="18"/>
              </w:rPr>
              <w:t>Asistuar t</w:t>
            </w:r>
            <w:r w:rsidRPr="007114AF">
              <w:rPr>
                <w:rFonts w:ascii="Garamond" w:hAnsi="Garamond" w:cstheme="minorHAnsi"/>
                <w:sz w:val="18"/>
                <w:szCs w:val="18"/>
              </w:rPr>
              <w:t>ë</w:t>
            </w:r>
            <w:r w:rsidRPr="007114AF">
              <w:rPr>
                <w:rFonts w:ascii="Garamond" w:hAnsi="Garamond"/>
                <w:sz w:val="18"/>
                <w:szCs w:val="18"/>
              </w:rPr>
              <w:t xml:space="preserve"> Tokave t</w:t>
            </w:r>
            <w:r w:rsidRPr="007114AF">
              <w:rPr>
                <w:rFonts w:ascii="Garamond" w:hAnsi="Garamond" w:cstheme="minorHAnsi"/>
                <w:sz w:val="18"/>
                <w:szCs w:val="18"/>
              </w:rPr>
              <w:t>ë Degraduara në Shqipëri</w:t>
            </w:r>
          </w:p>
        </w:tc>
        <w:tc>
          <w:tcPr>
            <w:tcW w:w="991" w:type="pct"/>
            <w:noWrap/>
            <w:vAlign w:val="center"/>
            <w:hideMark/>
          </w:tcPr>
          <w:p w14:paraId="6EDD120E"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2005-2012</w:t>
            </w:r>
          </w:p>
        </w:tc>
      </w:tr>
      <w:tr w:rsidR="00286663" w:rsidRPr="007114AF" w14:paraId="6EDD1213" w14:textId="77777777" w:rsidTr="00286663">
        <w:trPr>
          <w:trHeight w:val="300"/>
          <w:jc w:val="center"/>
        </w:trPr>
        <w:tc>
          <w:tcPr>
            <w:tcW w:w="4009" w:type="pct"/>
            <w:vAlign w:val="center"/>
            <w:hideMark/>
          </w:tcPr>
          <w:p w14:paraId="6EDD1210"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Asistenc</w:t>
            </w:r>
            <w:r w:rsidRPr="007114AF">
              <w:rPr>
                <w:rFonts w:ascii="Garamond" w:hAnsi="Garamond" w:cstheme="minorHAnsi"/>
                <w:sz w:val="18"/>
                <w:szCs w:val="18"/>
              </w:rPr>
              <w:t xml:space="preserve">ë Teknike për përgatitjen e Strategjisë së Sektorit të </w:t>
            </w:r>
            <w:r w:rsidRPr="007114AF">
              <w:rPr>
                <w:rFonts w:ascii="Garamond" w:hAnsi="Garamond"/>
                <w:sz w:val="18"/>
                <w:szCs w:val="18"/>
              </w:rPr>
              <w:t xml:space="preserve">Transportit </w:t>
            </w:r>
            <w:r w:rsidRPr="007114AF">
              <w:rPr>
                <w:rFonts w:ascii="Garamond" w:hAnsi="Garamond" w:cstheme="minorHAnsi"/>
                <w:sz w:val="18"/>
                <w:szCs w:val="18"/>
              </w:rPr>
              <w:t>në Shqipëri</w:t>
            </w:r>
            <w:r w:rsidRPr="007114AF">
              <w:rPr>
                <w:rFonts w:ascii="Garamond" w:hAnsi="Garamond"/>
                <w:sz w:val="18"/>
                <w:szCs w:val="18"/>
              </w:rPr>
              <w:t>–Strategjia P</w:t>
            </w:r>
            <w:r w:rsidRPr="007114AF">
              <w:rPr>
                <w:rFonts w:ascii="Garamond" w:hAnsi="Garamond" w:cstheme="minorHAnsi"/>
                <w:sz w:val="18"/>
                <w:szCs w:val="18"/>
              </w:rPr>
              <w:t>ërfundimtare dhe Plani i Veprimit</w:t>
            </w:r>
          </w:p>
        </w:tc>
        <w:tc>
          <w:tcPr>
            <w:tcW w:w="991" w:type="pct"/>
            <w:noWrap/>
            <w:vAlign w:val="center"/>
            <w:hideMark/>
          </w:tcPr>
          <w:p w14:paraId="6EDD1211" w14:textId="450267C7" w:rsidR="00286663" w:rsidRPr="007114AF" w:rsidRDefault="00286663" w:rsidP="00286663">
            <w:pPr>
              <w:spacing w:after="0"/>
              <w:rPr>
                <w:rFonts w:ascii="Garamond" w:hAnsi="Garamond" w:cstheme="minorHAnsi"/>
                <w:sz w:val="18"/>
                <w:szCs w:val="18"/>
              </w:rPr>
            </w:pPr>
            <w:r w:rsidRPr="007114AF">
              <w:rPr>
                <w:rFonts w:ascii="Garamond" w:hAnsi="Garamond"/>
                <w:sz w:val="18"/>
                <w:szCs w:val="18"/>
              </w:rPr>
              <w:t>Draft 0.1 i dat</w:t>
            </w:r>
            <w:r w:rsidRPr="007114AF">
              <w:rPr>
                <w:rFonts w:ascii="Garamond" w:hAnsi="Garamond" w:cstheme="minorHAnsi"/>
                <w:sz w:val="18"/>
                <w:szCs w:val="18"/>
              </w:rPr>
              <w:t>ës</w:t>
            </w:r>
            <w:r w:rsidR="008D30FC" w:rsidRPr="007114AF">
              <w:rPr>
                <w:rFonts w:ascii="Garamond" w:hAnsi="Garamond" w:cstheme="minorHAnsi"/>
                <w:sz w:val="18"/>
                <w:szCs w:val="18"/>
              </w:rPr>
              <w:t xml:space="preserve">  </w:t>
            </w:r>
          </w:p>
          <w:p w14:paraId="6EDD1212" w14:textId="77777777" w:rsidR="00286663" w:rsidRPr="007114AF" w:rsidRDefault="00286663" w:rsidP="00286663">
            <w:pPr>
              <w:spacing w:after="0"/>
              <w:rPr>
                <w:rFonts w:ascii="Garamond" w:hAnsi="Garamond" w:cstheme="minorHAnsi"/>
                <w:sz w:val="18"/>
                <w:szCs w:val="18"/>
              </w:rPr>
            </w:pPr>
            <w:r w:rsidRPr="007114AF">
              <w:rPr>
                <w:rFonts w:ascii="Garamond" w:hAnsi="Garamond"/>
                <w:sz w:val="18"/>
                <w:szCs w:val="18"/>
              </w:rPr>
              <w:t>31 janar 2016</w:t>
            </w:r>
          </w:p>
        </w:tc>
      </w:tr>
      <w:tr w:rsidR="00286663" w:rsidRPr="007114AF" w14:paraId="6EDD1216" w14:textId="77777777" w:rsidTr="00286663">
        <w:trPr>
          <w:trHeight w:val="300"/>
          <w:jc w:val="center"/>
        </w:trPr>
        <w:tc>
          <w:tcPr>
            <w:tcW w:w="4009" w:type="pct"/>
            <w:vAlign w:val="center"/>
            <w:hideMark/>
          </w:tcPr>
          <w:p w14:paraId="6EDD1214"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Shqip</w:t>
            </w:r>
            <w:r w:rsidRPr="007114AF">
              <w:rPr>
                <w:rFonts w:ascii="Garamond" w:hAnsi="Garamond" w:cstheme="minorHAnsi"/>
                <w:sz w:val="18"/>
                <w:szCs w:val="18"/>
              </w:rPr>
              <w:t>ëri</w:t>
            </w:r>
            <w:r w:rsidRPr="007114AF">
              <w:rPr>
                <w:rFonts w:ascii="Garamond" w:hAnsi="Garamond"/>
                <w:sz w:val="18"/>
                <w:szCs w:val="18"/>
              </w:rPr>
              <w:t>a: Plani i Transportit t</w:t>
            </w:r>
            <w:r w:rsidRPr="007114AF">
              <w:rPr>
                <w:rFonts w:ascii="Garamond" w:hAnsi="Garamond" w:cstheme="minorHAnsi"/>
                <w:sz w:val="18"/>
                <w:szCs w:val="18"/>
              </w:rPr>
              <w:t>ë Qëndrueshëm</w:t>
            </w:r>
            <w:r w:rsidRPr="007114AF">
              <w:rPr>
                <w:rFonts w:ascii="Garamond" w:hAnsi="Garamond"/>
                <w:sz w:val="18"/>
                <w:szCs w:val="18"/>
              </w:rPr>
              <w:t xml:space="preserve"> – Raporti Fillestar</w:t>
            </w:r>
          </w:p>
        </w:tc>
        <w:tc>
          <w:tcPr>
            <w:tcW w:w="991" w:type="pct"/>
            <w:vAlign w:val="center"/>
            <w:hideMark/>
          </w:tcPr>
          <w:p w14:paraId="6EDD1215"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2015</w:t>
            </w:r>
          </w:p>
        </w:tc>
      </w:tr>
      <w:tr w:rsidR="00286663" w:rsidRPr="007114AF" w14:paraId="6EDD1219" w14:textId="77777777" w:rsidTr="00286663">
        <w:trPr>
          <w:trHeight w:val="300"/>
          <w:jc w:val="center"/>
        </w:trPr>
        <w:tc>
          <w:tcPr>
            <w:tcW w:w="4009" w:type="pct"/>
            <w:vAlign w:val="center"/>
            <w:hideMark/>
          </w:tcPr>
          <w:p w14:paraId="6EDD1217"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Shqip</w:t>
            </w:r>
            <w:r w:rsidRPr="007114AF">
              <w:rPr>
                <w:rFonts w:ascii="Garamond" w:hAnsi="Garamond" w:cstheme="minorHAnsi"/>
                <w:sz w:val="18"/>
                <w:szCs w:val="18"/>
              </w:rPr>
              <w:t>ëri</w:t>
            </w:r>
            <w:r w:rsidRPr="007114AF">
              <w:rPr>
                <w:rFonts w:ascii="Garamond" w:hAnsi="Garamond"/>
                <w:sz w:val="18"/>
                <w:szCs w:val="18"/>
              </w:rPr>
              <w:t>a: Rishikimi i Praktikave m</w:t>
            </w:r>
            <w:r w:rsidRPr="007114AF">
              <w:rPr>
                <w:rFonts w:ascii="Garamond" w:hAnsi="Garamond" w:cstheme="minorHAnsi"/>
                <w:sz w:val="18"/>
                <w:szCs w:val="18"/>
              </w:rPr>
              <w:t xml:space="preserve">ë të Mira të Planit të Transportit të Qëndrueshëm </w:t>
            </w:r>
            <w:r w:rsidRPr="007114AF">
              <w:rPr>
                <w:rFonts w:ascii="Garamond" w:hAnsi="Garamond"/>
                <w:sz w:val="18"/>
                <w:szCs w:val="18"/>
              </w:rPr>
              <w:t>&amp;Raporti i Objektivave t</w:t>
            </w:r>
            <w:r w:rsidRPr="007114AF">
              <w:rPr>
                <w:rFonts w:ascii="Garamond" w:hAnsi="Garamond" w:cstheme="minorHAnsi"/>
                <w:sz w:val="18"/>
                <w:szCs w:val="18"/>
              </w:rPr>
              <w:t>ë Qëndrueshmërisë</w:t>
            </w:r>
          </w:p>
        </w:tc>
        <w:tc>
          <w:tcPr>
            <w:tcW w:w="991" w:type="pct"/>
            <w:vAlign w:val="center"/>
            <w:hideMark/>
          </w:tcPr>
          <w:p w14:paraId="6EDD1218"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2015</w:t>
            </w:r>
          </w:p>
        </w:tc>
      </w:tr>
      <w:tr w:rsidR="00286663" w:rsidRPr="007114AF" w14:paraId="6EDD121C" w14:textId="77777777" w:rsidTr="00286663">
        <w:trPr>
          <w:trHeight w:val="300"/>
          <w:jc w:val="center"/>
        </w:trPr>
        <w:tc>
          <w:tcPr>
            <w:tcW w:w="4009" w:type="pct"/>
            <w:hideMark/>
          </w:tcPr>
          <w:p w14:paraId="6EDD121A"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Shqip</w:t>
            </w:r>
            <w:r w:rsidRPr="007114AF">
              <w:rPr>
                <w:rFonts w:ascii="Garamond" w:hAnsi="Garamond" w:cstheme="minorHAnsi"/>
                <w:sz w:val="18"/>
                <w:szCs w:val="18"/>
              </w:rPr>
              <w:t>ëri</w:t>
            </w:r>
            <w:r w:rsidRPr="007114AF">
              <w:rPr>
                <w:rFonts w:ascii="Garamond" w:hAnsi="Garamond"/>
                <w:sz w:val="18"/>
                <w:szCs w:val="18"/>
              </w:rPr>
              <w:t>a: Projektplani i Transportit t</w:t>
            </w:r>
            <w:r w:rsidRPr="007114AF">
              <w:rPr>
                <w:rFonts w:ascii="Garamond" w:hAnsi="Garamond" w:cstheme="minorHAnsi"/>
                <w:sz w:val="18"/>
                <w:szCs w:val="18"/>
              </w:rPr>
              <w:t>ë Qëndrueshëm</w:t>
            </w:r>
          </w:p>
        </w:tc>
        <w:tc>
          <w:tcPr>
            <w:tcW w:w="991" w:type="pct"/>
            <w:vAlign w:val="center"/>
            <w:hideMark/>
          </w:tcPr>
          <w:p w14:paraId="6EDD121B" w14:textId="77777777" w:rsidR="00286663" w:rsidRPr="007114AF" w:rsidRDefault="00286663" w:rsidP="00286663">
            <w:pPr>
              <w:spacing w:after="0"/>
              <w:rPr>
                <w:rFonts w:ascii="Garamond" w:hAnsi="Garamond"/>
                <w:sz w:val="18"/>
                <w:szCs w:val="18"/>
              </w:rPr>
            </w:pPr>
            <w:r w:rsidRPr="007114AF">
              <w:rPr>
                <w:rFonts w:ascii="Garamond" w:hAnsi="Garamond"/>
                <w:sz w:val="18"/>
                <w:szCs w:val="18"/>
              </w:rPr>
              <w:t>2016</w:t>
            </w:r>
          </w:p>
        </w:tc>
      </w:tr>
    </w:tbl>
    <w:p w14:paraId="6EDD121D" w14:textId="77777777" w:rsidR="00286663" w:rsidRPr="007114AF" w:rsidRDefault="00286663" w:rsidP="00286663">
      <w:pPr>
        <w:pStyle w:val="TEKSTI"/>
      </w:pPr>
    </w:p>
    <w:p w14:paraId="6EDD121E" w14:textId="77777777" w:rsidR="00286663" w:rsidRPr="007114AF" w:rsidRDefault="00286663" w:rsidP="00286663">
      <w:pPr>
        <w:pStyle w:val="TEKSTI"/>
        <w:rPr>
          <w:b/>
        </w:rPr>
      </w:pPr>
      <w:r w:rsidRPr="007114AF">
        <w:rPr>
          <w:b/>
        </w:rPr>
        <w:t>Aneksi2 – Lista e legjislacionit të BE-së për masat zbutëse p</w:t>
      </w:r>
      <w:r w:rsidRPr="007114AF">
        <w:rPr>
          <w:rFonts w:cs="Calibri"/>
          <w:b/>
        </w:rPr>
        <w:t>ër</w:t>
      </w:r>
      <w:r w:rsidRPr="007114AF">
        <w:rPr>
          <w:b/>
        </w:rPr>
        <w:t xml:space="preserve"> GES-in</w:t>
      </w:r>
    </w:p>
    <w:tbl>
      <w:tblPr>
        <w:tblStyle w:val="GridTable1Light-Accent11"/>
        <w:tblW w:w="0" w:type="auto"/>
        <w:tblLook w:val="0000" w:firstRow="0" w:lastRow="0" w:firstColumn="0" w:lastColumn="0" w:noHBand="0" w:noVBand="0"/>
      </w:tblPr>
      <w:tblGrid>
        <w:gridCol w:w="2041"/>
        <w:gridCol w:w="7246"/>
      </w:tblGrid>
      <w:tr w:rsidR="00286663" w:rsidRPr="007114AF" w14:paraId="6EDD1220" w14:textId="77777777" w:rsidTr="00574660">
        <w:tc>
          <w:tcPr>
            <w:tcW w:w="0" w:type="auto"/>
            <w:gridSpan w:val="2"/>
            <w:shd w:val="clear" w:color="auto" w:fill="C6D9F1" w:themeFill="text2" w:themeFillTint="33"/>
            <w:vAlign w:val="center"/>
          </w:tcPr>
          <w:p w14:paraId="6EDD121F" w14:textId="77777777" w:rsidR="00286663" w:rsidRPr="007114AF" w:rsidRDefault="00286663" w:rsidP="00286663">
            <w:pPr>
              <w:spacing w:after="0"/>
              <w:rPr>
                <w:rFonts w:ascii="Garamond" w:hAnsi="Garamond" w:cs="Calibri"/>
                <w:b/>
                <w:sz w:val="18"/>
                <w:szCs w:val="18"/>
              </w:rPr>
            </w:pPr>
            <w:r w:rsidRPr="007114AF">
              <w:rPr>
                <w:rFonts w:ascii="Garamond" w:hAnsi="Garamond" w:cs="Calibri"/>
                <w:b/>
                <w:sz w:val="18"/>
                <w:szCs w:val="18"/>
              </w:rPr>
              <w:t>Skema tregtare e shkarkimeve në BE</w:t>
            </w:r>
          </w:p>
        </w:tc>
      </w:tr>
      <w:tr w:rsidR="00286663" w:rsidRPr="007114AF" w14:paraId="6EDD1223" w14:textId="77777777" w:rsidTr="00574660">
        <w:tc>
          <w:tcPr>
            <w:tcW w:w="0" w:type="auto"/>
            <w:vAlign w:val="center"/>
          </w:tcPr>
          <w:p w14:paraId="6EDD1221"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2003/87/EC</w:t>
            </w:r>
          </w:p>
        </w:tc>
        <w:tc>
          <w:tcPr>
            <w:tcW w:w="0" w:type="auto"/>
            <w:vAlign w:val="center"/>
          </w:tcPr>
          <w:p w14:paraId="6EDD1222" w14:textId="2FCBD4EF"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2003/87/EC e Parlamentit Evropian dhe Këshillit, e datës 13 tetor 2003 përcakton një skemë për kuotën tregtare të shkarkimit të gazeve serrë brenda Komunitetit, që ndryshon</w:t>
            </w:r>
            <w:r w:rsidR="000A2A01" w:rsidRPr="007114AF">
              <w:rPr>
                <w:rFonts w:ascii="Garamond" w:hAnsi="Garamond" w:cs="Calibri"/>
                <w:sz w:val="18"/>
                <w:szCs w:val="18"/>
              </w:rPr>
              <w:t xml:space="preserve"> </w:t>
            </w:r>
            <w:r w:rsidRPr="007114AF">
              <w:rPr>
                <w:rFonts w:ascii="Garamond" w:hAnsi="Garamond" w:cs="Calibri"/>
                <w:sz w:val="18"/>
                <w:szCs w:val="18"/>
              </w:rPr>
              <w:t xml:space="preserve">Direktivën e Këshillit 96/61/EC </w:t>
            </w:r>
          </w:p>
        </w:tc>
      </w:tr>
      <w:tr w:rsidR="00286663" w:rsidRPr="007114AF" w14:paraId="6EDD1226" w14:textId="77777777" w:rsidTr="00574660">
        <w:tc>
          <w:tcPr>
            <w:tcW w:w="0" w:type="auto"/>
            <w:vAlign w:val="center"/>
          </w:tcPr>
          <w:p w14:paraId="6EDD1224"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2004/101/EC</w:t>
            </w:r>
          </w:p>
        </w:tc>
        <w:tc>
          <w:tcPr>
            <w:tcW w:w="0" w:type="auto"/>
            <w:vAlign w:val="center"/>
          </w:tcPr>
          <w:p w14:paraId="6EDD1225"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2004/101/ EC e Parlamentit Evropian dhe Këshillit, e datës 27 tetor 2004, që ndryshon Direktivën 2003/87/EC e cila përcakton një skemë për kuotën tregtare të shkarkimit të gazeve serrë brenda Komunitetit, në lidhje me mekanizmat e projektit të Protokollit të Kiotos</w:t>
            </w:r>
          </w:p>
        </w:tc>
      </w:tr>
      <w:tr w:rsidR="00286663" w:rsidRPr="007114AF" w14:paraId="6EDD1229" w14:textId="77777777" w:rsidTr="00574660">
        <w:tc>
          <w:tcPr>
            <w:tcW w:w="0" w:type="auto"/>
            <w:vAlign w:val="center"/>
          </w:tcPr>
          <w:p w14:paraId="6EDD1227" w14:textId="6438BA72"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(EC) Nr 2216/2004 e datës 21 dhjetor 2004</w:t>
            </w:r>
          </w:p>
        </w:tc>
        <w:tc>
          <w:tcPr>
            <w:tcW w:w="0" w:type="auto"/>
            <w:vAlign w:val="center"/>
          </w:tcPr>
          <w:p w14:paraId="6EDD1228" w14:textId="420B2E2F"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 xml:space="preserve">(EC)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2216/2004 e datës 21 dhjetor 2004 për një sistem të standardizuar dhe të sigurt të regjistrave ndryshuar nga: Rregullorja e Komisionit (EC)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916/2007 e datës 31 korrik 2007 dhe Rregullorja e Komisionit (EC)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994/2008 e datës 8 tetor 2008 - version i zbatueshëm deri në 31 dhjetor 2011 </w:t>
            </w:r>
          </w:p>
        </w:tc>
      </w:tr>
      <w:tr w:rsidR="00286663" w:rsidRPr="007114AF" w14:paraId="6EDD122C" w14:textId="77777777" w:rsidTr="00574660">
        <w:tc>
          <w:tcPr>
            <w:tcW w:w="0" w:type="auto"/>
            <w:vAlign w:val="center"/>
          </w:tcPr>
          <w:p w14:paraId="6EDD122A" w14:textId="21049D56"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2006/780/EC e datës 13 nëntor 2006</w:t>
            </w:r>
          </w:p>
        </w:tc>
        <w:tc>
          <w:tcPr>
            <w:tcW w:w="0" w:type="auto"/>
            <w:vAlign w:val="center"/>
          </w:tcPr>
          <w:p w14:paraId="6EDD122B" w14:textId="3BF77133"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 xml:space="preserve">2006/780/EC e datës 13 nëntor 2006 mbi shmangien e numërimit të dyfishtë të shkarkimeve të gazeve serrë, nën skemën tregtare të shkarkimeve të Komunitetit për aktivitete të projektit në kuadrin e Protokollit të Kiotos në përputhje me Direktivën 2003/87/EC të Parlamentit Evropian dhe Këshillit (bërë me dije në dokumentin me numër C(2006) 5362) </w:t>
            </w:r>
          </w:p>
        </w:tc>
      </w:tr>
      <w:tr w:rsidR="00286663" w:rsidRPr="007114AF" w14:paraId="6EDD122F" w14:textId="77777777" w:rsidTr="00574660">
        <w:tc>
          <w:tcPr>
            <w:tcW w:w="0" w:type="auto"/>
            <w:vAlign w:val="center"/>
          </w:tcPr>
          <w:p w14:paraId="6EDD122D" w14:textId="3789113D"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Komisionit 2007/589/EC i datës</w:t>
            </w:r>
            <w:r w:rsidR="008D30FC" w:rsidRPr="007114AF">
              <w:rPr>
                <w:rFonts w:ascii="Garamond" w:hAnsi="Garamond" w:cs="Calibri"/>
                <w:sz w:val="18"/>
                <w:szCs w:val="18"/>
              </w:rPr>
              <w:t xml:space="preserve">    </w:t>
            </w:r>
            <w:r w:rsidRPr="007114AF">
              <w:rPr>
                <w:rFonts w:ascii="Garamond" w:hAnsi="Garamond" w:cs="Calibri"/>
                <w:sz w:val="18"/>
                <w:szCs w:val="18"/>
              </w:rPr>
              <w:t>18 korrik 2007</w:t>
            </w:r>
          </w:p>
        </w:tc>
        <w:tc>
          <w:tcPr>
            <w:tcW w:w="0" w:type="auto"/>
            <w:vAlign w:val="center"/>
          </w:tcPr>
          <w:p w14:paraId="6EDD122E"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Vendimi i Komisionit 2007/589/EC i datës 18 korrik 2007 për vendosjen e udhëzimeve për monitorimin dhe raportimin e shkarkimeve të gazeve serrë në përputhje me Direktivën 2003/87/EC e Parlamentit Evropian dhe Këshillit, ndryshuar me Vendim të Komisionit 2009/73/EC dhe Vendimit të Komisionit 2009/339/EC </w:t>
            </w:r>
          </w:p>
        </w:tc>
      </w:tr>
      <w:tr w:rsidR="00286663" w:rsidRPr="007114AF" w14:paraId="6EDD1232" w14:textId="77777777" w:rsidTr="00574660">
        <w:tc>
          <w:tcPr>
            <w:tcW w:w="0" w:type="auto"/>
            <w:vAlign w:val="center"/>
          </w:tcPr>
          <w:p w14:paraId="6EDD1230"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2009/29/EC</w:t>
            </w:r>
          </w:p>
        </w:tc>
        <w:tc>
          <w:tcPr>
            <w:tcW w:w="0" w:type="auto"/>
            <w:vAlign w:val="center"/>
          </w:tcPr>
          <w:p w14:paraId="6EDD1231"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2009/29/EC e Parlamentit Evropian dhe Këshillit, e datës 23 prill 2009 që ndryshon Direktivën 2003/87/EC për të përmirësuar dhe zgjeruar kuotën tregtare të shkarkimit të gazeve serrë të Komunitetit</w:t>
            </w:r>
          </w:p>
        </w:tc>
      </w:tr>
      <w:tr w:rsidR="00286663" w:rsidRPr="007114AF" w14:paraId="6EDD1235" w14:textId="77777777" w:rsidTr="00574660">
        <w:tc>
          <w:tcPr>
            <w:tcW w:w="0" w:type="auto"/>
            <w:vAlign w:val="center"/>
          </w:tcPr>
          <w:p w14:paraId="6EDD1233" w14:textId="01BB7AA4"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Komisionit 2010/2/EU i datës</w:t>
            </w:r>
            <w:r w:rsidR="008D30FC" w:rsidRPr="007114AF">
              <w:rPr>
                <w:rFonts w:ascii="Garamond" w:hAnsi="Garamond" w:cs="Calibri"/>
                <w:sz w:val="18"/>
                <w:szCs w:val="18"/>
              </w:rPr>
              <w:t xml:space="preserve">    </w:t>
            </w:r>
            <w:r w:rsidR="000A2A01" w:rsidRPr="007114AF">
              <w:rPr>
                <w:rFonts w:ascii="Garamond" w:hAnsi="Garamond" w:cs="Calibri"/>
                <w:sz w:val="18"/>
                <w:szCs w:val="18"/>
              </w:rPr>
              <w:t xml:space="preserve"> </w:t>
            </w:r>
            <w:r w:rsidRPr="007114AF">
              <w:rPr>
                <w:rFonts w:ascii="Garamond" w:hAnsi="Garamond" w:cs="Calibri"/>
                <w:sz w:val="18"/>
                <w:szCs w:val="18"/>
              </w:rPr>
              <w:t>24 dhjetor 2009</w:t>
            </w:r>
          </w:p>
        </w:tc>
        <w:tc>
          <w:tcPr>
            <w:tcW w:w="0" w:type="auto"/>
            <w:vAlign w:val="center"/>
          </w:tcPr>
          <w:p w14:paraId="6EDD1234"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Vendimi i Komisionit 2010/2/EU i datës 24 dhjetor 2009 përcakton një listë të sektorëve dhe nënsektorëve të cilët konsiderohen të ekspozuar ndaj një rreziku të konsiderueshëm të rrjedhjes së karbonit, në përputhje me Direktivën 2003/87/EC të Parlamentit Evropian dhe Këshillit </w:t>
            </w:r>
          </w:p>
        </w:tc>
      </w:tr>
      <w:tr w:rsidR="00286663" w:rsidRPr="007114AF" w14:paraId="6EDD1238" w14:textId="77777777" w:rsidTr="00574660">
        <w:tc>
          <w:tcPr>
            <w:tcW w:w="0" w:type="auto"/>
            <w:vAlign w:val="center"/>
          </w:tcPr>
          <w:p w14:paraId="6EDD1236" w14:textId="6FC90FD6"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(EU)</w:t>
            </w:r>
            <w:r w:rsidR="00242009" w:rsidRPr="007114AF">
              <w:rPr>
                <w:rFonts w:ascii="Garamond" w:hAnsi="Garamond" w:cs="Calibri"/>
                <w:sz w:val="18"/>
                <w:szCs w:val="18"/>
              </w:rPr>
              <w:t xml:space="preserve"> nr. </w:t>
            </w:r>
            <w:r w:rsidRPr="007114AF">
              <w:rPr>
                <w:rFonts w:ascii="Garamond" w:hAnsi="Garamond" w:cs="Calibri"/>
                <w:sz w:val="18"/>
                <w:szCs w:val="18"/>
              </w:rPr>
              <w:t>920/2010 e datës 7 tetor 2010 f</w:t>
            </w:r>
          </w:p>
        </w:tc>
        <w:tc>
          <w:tcPr>
            <w:tcW w:w="0" w:type="auto"/>
            <w:vAlign w:val="center"/>
          </w:tcPr>
          <w:p w14:paraId="6EDD1237" w14:textId="2D87ABAA"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 xml:space="preserve">(EU)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920/2010 e datës 7 tetor 2010 për një sistem standard dhe të sigurt regjistrash, në përputhje me Direktivën 2003/87/EC të Parlamentit Evropian dhe Këshillit dhe </w:t>
            </w:r>
            <w:r w:rsidR="00FF11ED" w:rsidRPr="007114AF">
              <w:rPr>
                <w:rFonts w:ascii="Garamond" w:hAnsi="Garamond" w:cs="Calibri"/>
                <w:sz w:val="18"/>
                <w:szCs w:val="18"/>
              </w:rPr>
              <w:t>vendimit nr</w:t>
            </w:r>
            <w:r w:rsidR="00FF11ED">
              <w:rPr>
                <w:rFonts w:ascii="Garamond" w:hAnsi="Garamond" w:cs="Calibri"/>
                <w:sz w:val="18"/>
                <w:szCs w:val="18"/>
              </w:rPr>
              <w:t>.</w:t>
            </w:r>
            <w:r w:rsidRPr="007114AF">
              <w:rPr>
                <w:rFonts w:ascii="Garamond" w:hAnsi="Garamond" w:cs="Calibri"/>
                <w:sz w:val="18"/>
                <w:szCs w:val="18"/>
              </w:rPr>
              <w:t>280/2004/EC të Parlamentit Evropian dhe Këshillit</w:t>
            </w:r>
          </w:p>
        </w:tc>
      </w:tr>
      <w:tr w:rsidR="00286663" w:rsidRPr="007114AF" w14:paraId="6EDD123B" w14:textId="77777777" w:rsidTr="00574660">
        <w:tc>
          <w:tcPr>
            <w:tcW w:w="0" w:type="auto"/>
            <w:vAlign w:val="center"/>
          </w:tcPr>
          <w:p w14:paraId="6EDD1239" w14:textId="0C883D65"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(EU)</w:t>
            </w:r>
            <w:r w:rsidR="00242009" w:rsidRPr="007114AF">
              <w:rPr>
                <w:rFonts w:ascii="Garamond" w:hAnsi="Garamond" w:cs="Calibri"/>
                <w:sz w:val="18"/>
                <w:szCs w:val="18"/>
              </w:rPr>
              <w:t xml:space="preserve"> nr. </w:t>
            </w:r>
            <w:r w:rsidRPr="007114AF">
              <w:rPr>
                <w:rFonts w:ascii="Garamond" w:hAnsi="Garamond" w:cs="Calibri"/>
                <w:sz w:val="18"/>
                <w:szCs w:val="18"/>
              </w:rPr>
              <w:t>1031/2010 of 12 nëntor 2010</w:t>
            </w:r>
          </w:p>
        </w:tc>
        <w:tc>
          <w:tcPr>
            <w:tcW w:w="0" w:type="auto"/>
            <w:vAlign w:val="center"/>
          </w:tcPr>
          <w:p w14:paraId="6EDD123A" w14:textId="5E102C1F"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 xml:space="preserve">(EU)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1031/2010 i datës 12 nëntor 2010 mbi kohën dhe administrimin, si dhe aspekte të tjera të ankandit të kuotave të shkarkimeve të gazeve serrë, në përputhje me Direktivën 2003/87/EC të Parlamentit Evropian dhe Këshillit, e cila përcakton një skemë për kuotën tregtare të shkarkimit të gazeve serrë brenda Komunitetit </w:t>
            </w:r>
          </w:p>
        </w:tc>
      </w:tr>
      <w:tr w:rsidR="00286663" w:rsidRPr="007114AF" w14:paraId="6EDD123E" w14:textId="77777777" w:rsidTr="00574660">
        <w:tc>
          <w:tcPr>
            <w:tcW w:w="0" w:type="auto"/>
            <w:vAlign w:val="center"/>
          </w:tcPr>
          <w:p w14:paraId="6EDD123C" w14:textId="013EC6CD"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Komisionit 2011/278/EU i datës</w:t>
            </w:r>
            <w:r w:rsidR="008D30FC" w:rsidRPr="007114AF">
              <w:rPr>
                <w:rFonts w:ascii="Garamond" w:hAnsi="Garamond" w:cs="Calibri"/>
                <w:sz w:val="18"/>
                <w:szCs w:val="18"/>
              </w:rPr>
              <w:t xml:space="preserve">  </w:t>
            </w:r>
            <w:r w:rsidR="000A2A01" w:rsidRPr="007114AF">
              <w:rPr>
                <w:rFonts w:ascii="Garamond" w:hAnsi="Garamond" w:cs="Calibri"/>
                <w:sz w:val="18"/>
                <w:szCs w:val="18"/>
              </w:rPr>
              <w:t xml:space="preserve"> </w:t>
            </w:r>
            <w:r w:rsidRPr="007114AF">
              <w:rPr>
                <w:rFonts w:ascii="Garamond" w:hAnsi="Garamond" w:cs="Calibri"/>
                <w:sz w:val="18"/>
                <w:szCs w:val="18"/>
              </w:rPr>
              <w:t>27 prill 2011</w:t>
            </w:r>
          </w:p>
        </w:tc>
        <w:tc>
          <w:tcPr>
            <w:tcW w:w="0" w:type="auto"/>
            <w:vAlign w:val="center"/>
          </w:tcPr>
          <w:p w14:paraId="6EDD123D"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Komisionit 2011/278/EU i datës 27 prill 2011 përcakton kushte tranzitore për të gjitha sindikatat për dhënien e lirë të fondeve të shkarkimeve, në përputhje me Nenin 10a të Direktivës 2003/87/EC të Parlamentit Evropian dhe Këshillit</w:t>
            </w:r>
          </w:p>
        </w:tc>
      </w:tr>
      <w:tr w:rsidR="00286663" w:rsidRPr="007114AF" w14:paraId="6EDD1241" w14:textId="77777777" w:rsidTr="00574660">
        <w:tc>
          <w:tcPr>
            <w:tcW w:w="0" w:type="auto"/>
            <w:vAlign w:val="center"/>
          </w:tcPr>
          <w:p w14:paraId="6EDD123F" w14:textId="406C4CA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(EU) Nr 550/2011 e datës</w:t>
            </w:r>
            <w:r w:rsidR="000A2A01" w:rsidRPr="007114AF">
              <w:rPr>
                <w:rFonts w:ascii="Garamond" w:hAnsi="Garamond" w:cs="Calibri"/>
                <w:sz w:val="18"/>
                <w:szCs w:val="18"/>
              </w:rPr>
              <w:t xml:space="preserve"> </w:t>
            </w:r>
            <w:r w:rsidRPr="007114AF">
              <w:rPr>
                <w:rFonts w:ascii="Garamond" w:hAnsi="Garamond" w:cs="Calibri"/>
                <w:sz w:val="18"/>
                <w:szCs w:val="18"/>
              </w:rPr>
              <w:t>7 qershor 2011</w:t>
            </w:r>
          </w:p>
        </w:tc>
        <w:tc>
          <w:tcPr>
            <w:tcW w:w="0" w:type="auto"/>
            <w:vAlign w:val="center"/>
          </w:tcPr>
          <w:p w14:paraId="6EDD1240" w14:textId="05C0FD1D"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(EU)</w:t>
            </w:r>
            <w:r w:rsidR="00242009" w:rsidRPr="007114AF">
              <w:rPr>
                <w:rFonts w:ascii="Garamond" w:hAnsi="Garamond" w:cs="Calibri"/>
                <w:sz w:val="18"/>
                <w:szCs w:val="18"/>
              </w:rPr>
              <w:t xml:space="preserve"> nr. </w:t>
            </w:r>
            <w:r w:rsidRPr="007114AF">
              <w:rPr>
                <w:rFonts w:ascii="Garamond" w:hAnsi="Garamond" w:cs="Calibri"/>
                <w:sz w:val="18"/>
                <w:szCs w:val="18"/>
              </w:rPr>
              <w:t>550/2011 e datës 7 qershor 2011 për përcaktimin e disa kufizimeve të zbatueshme në përdorimin e kredive ndërkombëtare nga projekte që lidhen me gazet industriale, në përputhje me Direktivën 2003/87/EC të Parlamentit Evropian dhe Këshillit</w:t>
            </w:r>
            <w:r w:rsidR="000A2A01" w:rsidRPr="007114AF">
              <w:rPr>
                <w:rFonts w:ascii="Garamond" w:hAnsi="Garamond" w:cs="Calibri"/>
                <w:sz w:val="18"/>
                <w:szCs w:val="18"/>
              </w:rPr>
              <w:t xml:space="preserve"> </w:t>
            </w:r>
          </w:p>
        </w:tc>
      </w:tr>
      <w:tr w:rsidR="00286663" w:rsidRPr="007114AF" w14:paraId="6EDD1244" w14:textId="77777777" w:rsidTr="00574660">
        <w:tc>
          <w:tcPr>
            <w:tcW w:w="0" w:type="auto"/>
            <w:vAlign w:val="center"/>
          </w:tcPr>
          <w:p w14:paraId="6EDD1242" w14:textId="7CEC0AF6"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Komisionit 2011/745/EU i datës</w:t>
            </w:r>
            <w:r w:rsidR="008D30FC" w:rsidRPr="007114AF">
              <w:rPr>
                <w:rFonts w:ascii="Garamond" w:hAnsi="Garamond" w:cs="Calibri"/>
                <w:sz w:val="18"/>
                <w:szCs w:val="18"/>
              </w:rPr>
              <w:t xml:space="preserve">  </w:t>
            </w:r>
            <w:r w:rsidRPr="007114AF">
              <w:rPr>
                <w:rFonts w:ascii="Garamond" w:hAnsi="Garamond" w:cs="Calibri"/>
                <w:sz w:val="18"/>
                <w:szCs w:val="18"/>
              </w:rPr>
              <w:t xml:space="preserve"> 11 nëntor 2011</w:t>
            </w:r>
          </w:p>
        </w:tc>
        <w:tc>
          <w:tcPr>
            <w:tcW w:w="0" w:type="auto"/>
            <w:vAlign w:val="center"/>
          </w:tcPr>
          <w:p w14:paraId="6EDD1243" w14:textId="22E48EC3" w:rsidR="00286663" w:rsidRPr="007114AF" w:rsidRDefault="00286663" w:rsidP="00FF11ED">
            <w:pPr>
              <w:spacing w:after="0"/>
              <w:rPr>
                <w:rFonts w:ascii="Garamond" w:hAnsi="Garamond" w:cs="Calibri"/>
                <w:sz w:val="18"/>
                <w:szCs w:val="18"/>
              </w:rPr>
            </w:pPr>
            <w:r w:rsidRPr="007114AF">
              <w:rPr>
                <w:rFonts w:ascii="Garamond" w:hAnsi="Garamond" w:cs="Calibri"/>
                <w:sz w:val="18"/>
                <w:szCs w:val="18"/>
              </w:rPr>
              <w:t xml:space="preserve">Vendimi i Komisionit 2011/745/EU i datës 11 nëntor 2011 që ndryshon </w:t>
            </w:r>
            <w:r w:rsidR="00FF11ED">
              <w:rPr>
                <w:rFonts w:ascii="Garamond" w:hAnsi="Garamond" w:cs="Calibri"/>
                <w:sz w:val="18"/>
                <w:szCs w:val="18"/>
              </w:rPr>
              <w:t>v</w:t>
            </w:r>
            <w:r w:rsidRPr="007114AF">
              <w:rPr>
                <w:rFonts w:ascii="Garamond" w:hAnsi="Garamond" w:cs="Calibri"/>
                <w:sz w:val="18"/>
                <w:szCs w:val="18"/>
              </w:rPr>
              <w:t>endimet 2010/2/EU dhe 2011/278/EU që kanë të bëjnë me sektorët dhe nënsektorët të cilët janë të ekspozuar ndaj një rreziku të konsiderueshëm të rrjedhjes së karbonit</w:t>
            </w:r>
          </w:p>
        </w:tc>
      </w:tr>
      <w:tr w:rsidR="00286663" w:rsidRPr="007114AF" w14:paraId="6EDD1247" w14:textId="77777777" w:rsidTr="00574660">
        <w:tc>
          <w:tcPr>
            <w:tcW w:w="0" w:type="auto"/>
            <w:vAlign w:val="center"/>
          </w:tcPr>
          <w:p w14:paraId="6EDD1245" w14:textId="5474E162"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8D30FC" w:rsidRPr="007114AF">
              <w:rPr>
                <w:rFonts w:ascii="Garamond" w:hAnsi="Garamond" w:cs="Calibri"/>
                <w:sz w:val="18"/>
                <w:szCs w:val="18"/>
              </w:rPr>
              <w:t xml:space="preserve"> </w:t>
            </w:r>
            <w:r w:rsidRPr="007114AF">
              <w:rPr>
                <w:rFonts w:ascii="Garamond" w:hAnsi="Garamond" w:cs="Calibri"/>
                <w:sz w:val="18"/>
                <w:szCs w:val="18"/>
              </w:rPr>
              <w:t>Nr 1193/2011 e datës</w:t>
            </w:r>
            <w:r w:rsidR="008D30FC" w:rsidRPr="007114AF">
              <w:rPr>
                <w:rFonts w:ascii="Garamond" w:hAnsi="Garamond" w:cs="Calibri"/>
                <w:sz w:val="18"/>
                <w:szCs w:val="18"/>
              </w:rPr>
              <w:t xml:space="preserve">  </w:t>
            </w:r>
            <w:r w:rsidRPr="007114AF">
              <w:rPr>
                <w:rFonts w:ascii="Garamond" w:hAnsi="Garamond" w:cs="Calibri"/>
                <w:sz w:val="18"/>
                <w:szCs w:val="18"/>
              </w:rPr>
              <w:t>18 nëntor 2011</w:t>
            </w:r>
          </w:p>
        </w:tc>
        <w:tc>
          <w:tcPr>
            <w:tcW w:w="0" w:type="auto"/>
            <w:vAlign w:val="center"/>
          </w:tcPr>
          <w:p w14:paraId="6EDD1246" w14:textId="1F7536A5"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 1193/2011 e datës 18 nëntor 2011 krijon një Regjistër të Sindikatave për periudhën e tregtisë duke filluar nga data 1 janar 2013, dhe periudha të mëvonshme tregtare të skemës tregtare të shkarkimeve të Sindikatave në përputhje me Direktivën 2003/87/EC të Parlamentit Evropian dhe Këshillit dhe </w:t>
            </w:r>
            <w:r w:rsidR="00FF11ED" w:rsidRPr="007114AF">
              <w:rPr>
                <w:rFonts w:ascii="Garamond" w:hAnsi="Garamond" w:cs="Calibri"/>
                <w:sz w:val="18"/>
                <w:szCs w:val="18"/>
              </w:rPr>
              <w:t>vendimi nr</w:t>
            </w:r>
            <w:r w:rsidR="00FF11ED">
              <w:rPr>
                <w:rFonts w:ascii="Garamond" w:hAnsi="Garamond" w:cs="Calibri"/>
                <w:sz w:val="18"/>
                <w:szCs w:val="18"/>
              </w:rPr>
              <w:t>.</w:t>
            </w:r>
            <w:r w:rsidR="00FF11ED" w:rsidRPr="007114AF">
              <w:rPr>
                <w:rFonts w:ascii="Garamond" w:hAnsi="Garamond" w:cs="Calibri"/>
                <w:sz w:val="18"/>
                <w:szCs w:val="18"/>
              </w:rPr>
              <w:t xml:space="preserve"> </w:t>
            </w:r>
            <w:r w:rsidRPr="007114AF">
              <w:rPr>
                <w:rFonts w:ascii="Garamond" w:hAnsi="Garamond" w:cs="Calibri"/>
                <w:sz w:val="18"/>
                <w:szCs w:val="18"/>
              </w:rPr>
              <w:t xml:space="preserve">280/2004/EC i Parlamentit Evropian dhe Këshillit që ndryshojnë Rregulloret e Komisionit (EC) </w:t>
            </w:r>
            <w:r w:rsidR="00FF11ED" w:rsidRPr="007114AF">
              <w:rPr>
                <w:rFonts w:ascii="Garamond" w:hAnsi="Garamond" w:cs="Calibri"/>
                <w:sz w:val="18"/>
                <w:szCs w:val="18"/>
              </w:rPr>
              <w:t>nr</w:t>
            </w:r>
            <w:r w:rsidR="00FF11ED">
              <w:rPr>
                <w:rFonts w:ascii="Garamond" w:hAnsi="Garamond" w:cs="Calibri"/>
                <w:sz w:val="18"/>
                <w:szCs w:val="18"/>
              </w:rPr>
              <w:t xml:space="preserve">. </w:t>
            </w:r>
            <w:r w:rsidRPr="007114AF">
              <w:rPr>
                <w:rFonts w:ascii="Garamond" w:hAnsi="Garamond" w:cs="Calibri"/>
                <w:sz w:val="18"/>
                <w:szCs w:val="18"/>
              </w:rPr>
              <w:t xml:space="preserve">2216/2004 dhe (EU) </w:t>
            </w:r>
            <w:r w:rsidR="00FF11ED" w:rsidRPr="007114AF">
              <w:rPr>
                <w:rFonts w:ascii="Garamond" w:hAnsi="Garamond" w:cs="Calibri"/>
                <w:sz w:val="18"/>
                <w:szCs w:val="18"/>
              </w:rPr>
              <w:t>nr</w:t>
            </w:r>
            <w:r w:rsidR="00FF11ED">
              <w:rPr>
                <w:rFonts w:ascii="Garamond" w:hAnsi="Garamond" w:cs="Calibri"/>
                <w:sz w:val="18"/>
                <w:szCs w:val="18"/>
              </w:rPr>
              <w:t xml:space="preserve">. </w:t>
            </w:r>
            <w:r w:rsidRPr="007114AF">
              <w:rPr>
                <w:rFonts w:ascii="Garamond" w:hAnsi="Garamond" w:cs="Calibri"/>
                <w:sz w:val="18"/>
                <w:szCs w:val="18"/>
              </w:rPr>
              <w:t xml:space="preserve">920/2010 </w:t>
            </w:r>
          </w:p>
        </w:tc>
      </w:tr>
      <w:tr w:rsidR="00286663" w:rsidRPr="007114AF" w14:paraId="6EDD124A" w14:textId="77777777" w:rsidTr="00574660">
        <w:trPr>
          <w:trHeight w:val="841"/>
        </w:trPr>
        <w:tc>
          <w:tcPr>
            <w:tcW w:w="0" w:type="auto"/>
            <w:vAlign w:val="center"/>
          </w:tcPr>
          <w:p w14:paraId="6EDD1248" w14:textId="067E0164"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8D30FC" w:rsidRPr="007114AF">
              <w:rPr>
                <w:rFonts w:ascii="Garamond" w:hAnsi="Garamond" w:cs="Calibri"/>
                <w:sz w:val="18"/>
                <w:szCs w:val="18"/>
              </w:rPr>
              <w:t xml:space="preserve"> </w:t>
            </w:r>
            <w:r w:rsidRPr="007114AF">
              <w:rPr>
                <w:rFonts w:ascii="Garamond" w:hAnsi="Garamond" w:cs="Calibri"/>
                <w:sz w:val="18"/>
                <w:szCs w:val="18"/>
              </w:rPr>
              <w:t>601/2012 e datës 21 qershor 2012</w:t>
            </w:r>
          </w:p>
        </w:tc>
        <w:tc>
          <w:tcPr>
            <w:tcW w:w="0" w:type="auto"/>
            <w:vAlign w:val="center"/>
          </w:tcPr>
          <w:p w14:paraId="6EDD1249" w14:textId="71E00968"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601/2012 e datës 21 qershor 2012 mbi monitorimin dhe raportimin e shkarkimeve të gazeve serë në përputhje me Direktivën 2003/87/EC e Parlamentit Evropian dhe Këshillit</w:t>
            </w:r>
          </w:p>
        </w:tc>
      </w:tr>
      <w:tr w:rsidR="00286663" w:rsidRPr="007114AF" w14:paraId="6EDD124D" w14:textId="77777777" w:rsidTr="00574660">
        <w:tc>
          <w:tcPr>
            <w:tcW w:w="0" w:type="auto"/>
            <w:vAlign w:val="center"/>
          </w:tcPr>
          <w:p w14:paraId="6EDD124B"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Komisionit 2012/498/EU i datës 17 gusht 2012</w:t>
            </w:r>
          </w:p>
        </w:tc>
        <w:tc>
          <w:tcPr>
            <w:tcW w:w="0" w:type="auto"/>
            <w:vAlign w:val="center"/>
          </w:tcPr>
          <w:p w14:paraId="6EDD124C"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Komisionit 2012/498/EU i datës 17 gusht 2012, Vendimet e ndryshuara 2010/2/EU dhe 2011/278/EU që kanë lidhje me sektorët dhe nënsektorët të cilët janë të ekspozuar ndaj një rreziku të konsiderueshëm të rrjedhjes së karbonit</w:t>
            </w:r>
          </w:p>
        </w:tc>
      </w:tr>
      <w:tr w:rsidR="00286663" w:rsidRPr="007114AF" w14:paraId="6EDD1250" w14:textId="77777777" w:rsidTr="00574660">
        <w:tc>
          <w:tcPr>
            <w:tcW w:w="0" w:type="auto"/>
            <w:vAlign w:val="center"/>
          </w:tcPr>
          <w:p w14:paraId="6EDD124E" w14:textId="6C61E93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8D30FC" w:rsidRPr="007114AF">
              <w:rPr>
                <w:rFonts w:ascii="Garamond" w:hAnsi="Garamond" w:cs="Calibri"/>
                <w:sz w:val="18"/>
                <w:szCs w:val="18"/>
              </w:rPr>
              <w:t xml:space="preserve"> </w:t>
            </w:r>
            <w:r w:rsidRPr="007114AF">
              <w:rPr>
                <w:rFonts w:ascii="Garamond" w:hAnsi="Garamond" w:cs="Calibri"/>
                <w:sz w:val="18"/>
                <w:szCs w:val="18"/>
              </w:rPr>
              <w:t>(EU) 784/2012 e datës 31 gusht 2012</w:t>
            </w:r>
          </w:p>
        </w:tc>
        <w:tc>
          <w:tcPr>
            <w:tcW w:w="0" w:type="auto"/>
            <w:vAlign w:val="center"/>
          </w:tcPr>
          <w:p w14:paraId="6EDD124F" w14:textId="6C682A72"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Rregullorja e Komisionit (EU) 784/2012 e datës 31 gusht 2012, që ndryshon Rregulloren (EU) </w:t>
            </w:r>
            <w:r w:rsidR="00FF11ED" w:rsidRPr="007114AF">
              <w:rPr>
                <w:rFonts w:ascii="Garamond" w:hAnsi="Garamond" w:cs="Calibri"/>
                <w:sz w:val="18"/>
                <w:szCs w:val="18"/>
              </w:rPr>
              <w:t>nr</w:t>
            </w:r>
            <w:r w:rsidR="00FF11ED">
              <w:rPr>
                <w:rFonts w:ascii="Garamond" w:hAnsi="Garamond" w:cs="Calibri"/>
                <w:sz w:val="18"/>
                <w:szCs w:val="18"/>
              </w:rPr>
              <w:t xml:space="preserve">. </w:t>
            </w:r>
            <w:r w:rsidRPr="007114AF">
              <w:rPr>
                <w:rFonts w:ascii="Garamond" w:hAnsi="Garamond" w:cs="Calibri"/>
                <w:sz w:val="18"/>
                <w:szCs w:val="18"/>
              </w:rPr>
              <w:t>1031/2010 për të renditur një platformë ankandi e cila do të caktohet nga Gjermania dhe korrigjon Nenin 59(7) prej saj</w:t>
            </w:r>
          </w:p>
        </w:tc>
      </w:tr>
      <w:tr w:rsidR="00286663" w:rsidRPr="007114AF" w14:paraId="6EDD1253" w14:textId="77777777" w:rsidTr="00574660">
        <w:tc>
          <w:tcPr>
            <w:tcW w:w="0" w:type="auto"/>
            <w:vAlign w:val="center"/>
          </w:tcPr>
          <w:p w14:paraId="6EDD1251" w14:textId="08123FC6"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8D30FC" w:rsidRPr="007114AF">
              <w:rPr>
                <w:rFonts w:ascii="Garamond" w:hAnsi="Garamond" w:cs="Calibri"/>
                <w:sz w:val="18"/>
                <w:szCs w:val="18"/>
              </w:rPr>
              <w:t xml:space="preserve"> </w:t>
            </w:r>
            <w:r w:rsidRPr="007114AF">
              <w:rPr>
                <w:rFonts w:ascii="Garamond" w:hAnsi="Garamond" w:cs="Calibri"/>
                <w:sz w:val="18"/>
                <w:szCs w:val="18"/>
              </w:rPr>
              <w:t xml:space="preserve">(EU)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1042/2012 e datës 7 nëntor 2012</w:t>
            </w:r>
          </w:p>
        </w:tc>
        <w:tc>
          <w:tcPr>
            <w:tcW w:w="0" w:type="auto"/>
            <w:vAlign w:val="center"/>
          </w:tcPr>
          <w:p w14:paraId="6EDD1252" w14:textId="030226C5"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 (EU)</w:t>
            </w:r>
            <w:r w:rsidR="00242009" w:rsidRPr="007114AF">
              <w:rPr>
                <w:rFonts w:ascii="Garamond" w:hAnsi="Garamond" w:cs="Calibri"/>
                <w:sz w:val="18"/>
                <w:szCs w:val="18"/>
              </w:rPr>
              <w:t xml:space="preserve"> nr. </w:t>
            </w:r>
            <w:r w:rsidRPr="007114AF">
              <w:rPr>
                <w:rFonts w:ascii="Garamond" w:hAnsi="Garamond" w:cs="Calibri"/>
                <w:sz w:val="18"/>
                <w:szCs w:val="18"/>
              </w:rPr>
              <w:t xml:space="preserve">1042/2012 e datës 7 nëntor 2012, që ndryshon Rregulloren (EU) </w:t>
            </w:r>
            <w:r w:rsidR="00FF11ED" w:rsidRPr="007114AF">
              <w:rPr>
                <w:rFonts w:ascii="Garamond" w:hAnsi="Garamond" w:cs="Calibri"/>
                <w:sz w:val="18"/>
                <w:szCs w:val="18"/>
              </w:rPr>
              <w:t>nr</w:t>
            </w:r>
            <w:r w:rsidR="00FF11ED">
              <w:rPr>
                <w:rFonts w:ascii="Garamond" w:hAnsi="Garamond" w:cs="Calibri"/>
                <w:sz w:val="18"/>
                <w:szCs w:val="18"/>
              </w:rPr>
              <w:t xml:space="preserve">. </w:t>
            </w:r>
            <w:r w:rsidRPr="007114AF">
              <w:rPr>
                <w:rFonts w:ascii="Garamond" w:hAnsi="Garamond" w:cs="Calibri"/>
                <w:sz w:val="18"/>
                <w:szCs w:val="18"/>
              </w:rPr>
              <w:t>1031/2010 për të renditur një platformë ankandi e cila do të caktohet nga Mbretëria e Bashkuar</w:t>
            </w:r>
          </w:p>
        </w:tc>
      </w:tr>
      <w:tr w:rsidR="00286663" w:rsidRPr="007114AF" w14:paraId="6EDD1256" w14:textId="77777777" w:rsidTr="00574660">
        <w:tc>
          <w:tcPr>
            <w:tcW w:w="0" w:type="auto"/>
            <w:vAlign w:val="center"/>
          </w:tcPr>
          <w:p w14:paraId="6EDD1254" w14:textId="120CC381"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Vendimi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377/2013/EU</w:t>
            </w:r>
          </w:p>
        </w:tc>
        <w:tc>
          <w:tcPr>
            <w:tcW w:w="0" w:type="auto"/>
            <w:vAlign w:val="center"/>
          </w:tcPr>
          <w:p w14:paraId="6EDD1255" w14:textId="0C50AA68"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Vendimi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377/2013/EU i Parlamentit Evropian dhe Këshillit, i datës 24 prill 2013 shmang përkohësisht Direktivën 2003/87/EC, krijimin e një skeme për kuotën tregtare të shkarkimit të gazeve serë brenda Komunitetit</w:t>
            </w:r>
          </w:p>
        </w:tc>
      </w:tr>
      <w:tr w:rsidR="00286663" w:rsidRPr="007114AF" w14:paraId="6EDD1259" w14:textId="77777777" w:rsidTr="00574660">
        <w:tc>
          <w:tcPr>
            <w:tcW w:w="0" w:type="auto"/>
            <w:vAlign w:val="center"/>
          </w:tcPr>
          <w:p w14:paraId="6EDD1257" w14:textId="13DD522C"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8D30FC" w:rsidRPr="007114AF">
              <w:rPr>
                <w:rFonts w:ascii="Garamond" w:hAnsi="Garamond" w:cs="Calibri"/>
                <w:sz w:val="18"/>
                <w:szCs w:val="18"/>
              </w:rPr>
              <w:t xml:space="preserve"> </w:t>
            </w:r>
            <w:r w:rsidRPr="007114AF">
              <w:rPr>
                <w:rFonts w:ascii="Garamond" w:hAnsi="Garamond" w:cs="Calibri"/>
                <w:sz w:val="18"/>
                <w:szCs w:val="18"/>
              </w:rPr>
              <w:t>EU</w:t>
            </w:r>
            <w:r w:rsidR="00242009" w:rsidRPr="007114AF">
              <w:rPr>
                <w:rFonts w:ascii="Garamond" w:hAnsi="Garamond" w:cs="Calibri"/>
                <w:sz w:val="18"/>
                <w:szCs w:val="18"/>
              </w:rPr>
              <w:t xml:space="preserve"> nr. </w:t>
            </w:r>
            <w:r w:rsidRPr="007114AF">
              <w:rPr>
                <w:rFonts w:ascii="Garamond" w:hAnsi="Garamond" w:cs="Calibri"/>
                <w:sz w:val="18"/>
                <w:szCs w:val="18"/>
              </w:rPr>
              <w:t>389/2013 e datës 5 maj 2013</w:t>
            </w:r>
          </w:p>
        </w:tc>
        <w:tc>
          <w:tcPr>
            <w:tcW w:w="0" w:type="auto"/>
            <w:vAlign w:val="center"/>
          </w:tcPr>
          <w:p w14:paraId="6EDD1258" w14:textId="219B1C04"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 xml:space="preserve">EU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389/2013 e datës 5 maj 2013 për krijimin e një Regjistri të Sindikatave në përputhje me Direktivën 2003/87/EC të Parlamentit Evropian dhe Këshillit, Vendimi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280/2004/EC dhe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406/2009/EC i Parlamentit Evropian dhe Këshillit dhe shfuqizimi i Rregulloreve të Komisionit (EU)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920/2010 dhe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1193/2011 </w:t>
            </w:r>
          </w:p>
        </w:tc>
      </w:tr>
      <w:tr w:rsidR="00286663" w:rsidRPr="007114AF" w14:paraId="6EDD125C" w14:textId="77777777" w:rsidTr="00574660">
        <w:tc>
          <w:tcPr>
            <w:tcW w:w="0" w:type="auto"/>
            <w:vAlign w:val="center"/>
          </w:tcPr>
          <w:p w14:paraId="6EDD125A"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(EU) 2015/1814</w:t>
            </w:r>
          </w:p>
        </w:tc>
        <w:tc>
          <w:tcPr>
            <w:tcW w:w="0" w:type="auto"/>
            <w:vAlign w:val="center"/>
          </w:tcPr>
          <w:p w14:paraId="6EDD125B"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Vendimi (EU) 2015/1814 i Parlamentit Evropian dhe Këshillit, i datës 6 tetor 2015 lidhur me krijimin dhe funksionimin e një rezerve të qëndrueshme tregu për skemën tregtare të shkarkimit të gazeve serrë të Sindikatës që ndryshon Direktivën 2003/87/EC </w:t>
            </w:r>
          </w:p>
        </w:tc>
      </w:tr>
      <w:tr w:rsidR="00286663" w:rsidRPr="007114AF" w14:paraId="6EDD125F" w14:textId="77777777" w:rsidTr="00574660">
        <w:tc>
          <w:tcPr>
            <w:tcW w:w="0" w:type="auto"/>
            <w:vAlign w:val="center"/>
          </w:tcPr>
          <w:p w14:paraId="6EDD125D" w14:textId="4F38D820"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Vendimi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406/2009/EC</w:t>
            </w:r>
          </w:p>
        </w:tc>
        <w:tc>
          <w:tcPr>
            <w:tcW w:w="0" w:type="auto"/>
            <w:vAlign w:val="center"/>
          </w:tcPr>
          <w:p w14:paraId="6EDD125E" w14:textId="63D6FC1D"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Vendimi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 xml:space="preserve">406/2009/EC i Parlamentit Evropian dhe Këshillit i datës 23 prill 2009 mbi përpjekjen e Shteteve Anëtare për të ulur shkarkimet e tyre të gazeve serrë në përmbushjen e angazhimeve për uljen e shkarkimit të gazeve serrë të Komunitetit, deri në vitin 2020 </w:t>
            </w:r>
          </w:p>
        </w:tc>
      </w:tr>
      <w:tr w:rsidR="00286663" w:rsidRPr="007114AF" w14:paraId="6EDD1262" w14:textId="77777777" w:rsidTr="00574660">
        <w:tc>
          <w:tcPr>
            <w:tcW w:w="0" w:type="auto"/>
            <w:vAlign w:val="center"/>
          </w:tcPr>
          <w:p w14:paraId="6EDD1260"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Komisionit i datës 26 mars 2013</w:t>
            </w:r>
          </w:p>
        </w:tc>
        <w:tc>
          <w:tcPr>
            <w:tcW w:w="0" w:type="auto"/>
            <w:vAlign w:val="center"/>
          </w:tcPr>
          <w:p w14:paraId="6EDD1261" w14:textId="7E4F5678"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Komisionit i datës 26 mars 2013 mbi përcaktimin e shpërndarjes së shkarkimit vjetor të Shteteve Anëtare për periudhën nga viti 2013 në vitin 2020 në përputhje me Vendimin</w:t>
            </w:r>
            <w:r w:rsidR="00242009" w:rsidRPr="007114AF">
              <w:rPr>
                <w:rFonts w:ascii="Garamond" w:hAnsi="Garamond" w:cs="Calibri"/>
                <w:sz w:val="18"/>
                <w:szCs w:val="18"/>
              </w:rPr>
              <w:t xml:space="preserve"> nr. </w:t>
            </w:r>
            <w:r w:rsidRPr="007114AF">
              <w:rPr>
                <w:rFonts w:ascii="Garamond" w:hAnsi="Garamond" w:cs="Calibri"/>
                <w:sz w:val="18"/>
                <w:szCs w:val="18"/>
              </w:rPr>
              <w:t>406/2009/EC të Parlamentit Evropian dhe Këshillit</w:t>
            </w:r>
          </w:p>
        </w:tc>
      </w:tr>
      <w:tr w:rsidR="00286663" w:rsidRPr="007114AF" w14:paraId="6EDD1265" w14:textId="77777777" w:rsidTr="00574660">
        <w:tc>
          <w:tcPr>
            <w:tcW w:w="0" w:type="auto"/>
            <w:vAlign w:val="center"/>
          </w:tcPr>
          <w:p w14:paraId="6EDD1263"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2009/31/EC</w:t>
            </w:r>
          </w:p>
        </w:tc>
        <w:tc>
          <w:tcPr>
            <w:tcW w:w="0" w:type="auto"/>
            <w:vAlign w:val="center"/>
          </w:tcPr>
          <w:p w14:paraId="6EDD1264" w14:textId="341824BE"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Direktiva 2009/31/EC i Parlamentit Evropian dhe Këshillit i datës 23 Prill 2009 mbi depozitimin gjeologjik të dioksidit të karbonit që ndryshon Direktivën e Këshillit 85/337/EEC, Direktivat e Parlamentit Evropian dhe Këshillit 2000/60/EC, 2001/80/EC, 2004/35/EC, 2006/12/EC, 2008/1/EC dhe Rregulloren (EC) </w:t>
            </w:r>
            <w:r w:rsidR="00FF11ED" w:rsidRPr="007114AF">
              <w:rPr>
                <w:rFonts w:ascii="Garamond" w:hAnsi="Garamond" w:cs="Calibri"/>
                <w:sz w:val="18"/>
                <w:szCs w:val="18"/>
              </w:rPr>
              <w:t>nr</w:t>
            </w:r>
            <w:r w:rsidR="00FF11ED">
              <w:rPr>
                <w:rFonts w:ascii="Garamond" w:hAnsi="Garamond" w:cs="Calibri"/>
                <w:sz w:val="18"/>
                <w:szCs w:val="18"/>
              </w:rPr>
              <w:t>.</w:t>
            </w:r>
            <w:r w:rsidRPr="007114AF">
              <w:rPr>
                <w:rFonts w:ascii="Garamond" w:hAnsi="Garamond" w:cs="Calibri"/>
                <w:sz w:val="18"/>
                <w:szCs w:val="18"/>
              </w:rPr>
              <w:t>1013/2006</w:t>
            </w:r>
          </w:p>
        </w:tc>
      </w:tr>
      <w:tr w:rsidR="00286663" w:rsidRPr="007114AF" w14:paraId="6EDD1268" w14:textId="77777777" w:rsidTr="00574660">
        <w:tc>
          <w:tcPr>
            <w:tcW w:w="0" w:type="auto"/>
            <w:vAlign w:val="center"/>
          </w:tcPr>
          <w:p w14:paraId="6EDD1266"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Komisionit 2010/670/EU</w:t>
            </w:r>
          </w:p>
        </w:tc>
        <w:tc>
          <w:tcPr>
            <w:tcW w:w="0" w:type="auto"/>
            <w:vAlign w:val="center"/>
          </w:tcPr>
          <w:p w14:paraId="6EDD1267" w14:textId="1D466EBB" w:rsidR="00286663" w:rsidRPr="007114AF" w:rsidRDefault="00286663" w:rsidP="00FF11ED">
            <w:pPr>
              <w:spacing w:after="0"/>
              <w:rPr>
                <w:rFonts w:ascii="Garamond" w:hAnsi="Garamond" w:cs="Calibri"/>
                <w:sz w:val="18"/>
                <w:szCs w:val="18"/>
              </w:rPr>
            </w:pPr>
            <w:r w:rsidRPr="007114AF">
              <w:rPr>
                <w:rFonts w:ascii="Garamond" w:hAnsi="Garamond" w:cs="Calibri"/>
                <w:sz w:val="18"/>
                <w:szCs w:val="18"/>
              </w:rPr>
              <w:t>Vendimi i Komisionit 2010/670/EU që përcakton kriteret dhe masat për financimin e projekteve me demonstrim komercial që synojnë një ambient të sigurt dhe depozitim gjeologjik të CO</w:t>
            </w:r>
            <w:r w:rsidRPr="00FF11ED">
              <w:rPr>
                <w:rFonts w:ascii="Garamond" w:hAnsi="Garamond" w:cs="Calibri"/>
                <w:sz w:val="18"/>
                <w:szCs w:val="18"/>
                <w:vertAlign w:val="subscript"/>
              </w:rPr>
              <w:t>2</w:t>
            </w:r>
            <w:r w:rsidRPr="007114AF">
              <w:rPr>
                <w:rFonts w:ascii="Garamond" w:hAnsi="Garamond" w:cs="Calibri"/>
                <w:sz w:val="18"/>
                <w:szCs w:val="18"/>
              </w:rPr>
              <w:t xml:space="preserve"> si dhe projekte demonstrimi të teknologjive të reja të energjisë së rinovueshme nën skemën për kuotat tregtare të shkarkimit të gazeve serrë brenda Komunitetit të përcaktuar nga Direktiva 2003/87/EC e Parlamentit Evropian dhe Këshillit</w:t>
            </w:r>
          </w:p>
        </w:tc>
      </w:tr>
      <w:tr w:rsidR="00286663" w:rsidRPr="007114AF" w14:paraId="6EDD126A" w14:textId="77777777" w:rsidTr="00574660">
        <w:tc>
          <w:tcPr>
            <w:tcW w:w="0" w:type="auto"/>
            <w:gridSpan w:val="2"/>
            <w:shd w:val="clear" w:color="auto" w:fill="C6D9F1" w:themeFill="text2" w:themeFillTint="33"/>
            <w:vAlign w:val="center"/>
          </w:tcPr>
          <w:p w14:paraId="6EDD1269" w14:textId="77777777" w:rsidR="00286663" w:rsidRPr="007114AF" w:rsidRDefault="00286663" w:rsidP="00286663">
            <w:pPr>
              <w:spacing w:after="0"/>
              <w:rPr>
                <w:rFonts w:ascii="Garamond" w:hAnsi="Garamond" w:cs="Calibri"/>
                <w:b/>
                <w:sz w:val="18"/>
                <w:szCs w:val="18"/>
              </w:rPr>
            </w:pPr>
            <w:r w:rsidRPr="007114AF">
              <w:rPr>
                <w:rFonts w:ascii="Garamond" w:hAnsi="Garamond" w:cs="Calibri"/>
                <w:b/>
                <w:sz w:val="18"/>
                <w:szCs w:val="18"/>
              </w:rPr>
              <w:t>Eficenca e Energjisë</w:t>
            </w:r>
          </w:p>
        </w:tc>
      </w:tr>
      <w:tr w:rsidR="00286663" w:rsidRPr="007114AF" w14:paraId="6EDD126D" w14:textId="77777777" w:rsidTr="00574660">
        <w:tc>
          <w:tcPr>
            <w:tcW w:w="0" w:type="auto"/>
            <w:vAlign w:val="center"/>
          </w:tcPr>
          <w:p w14:paraId="6EDD126B"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2012/27/EU</w:t>
            </w:r>
          </w:p>
        </w:tc>
        <w:tc>
          <w:tcPr>
            <w:tcW w:w="0" w:type="auto"/>
            <w:vAlign w:val="center"/>
          </w:tcPr>
          <w:p w14:paraId="6EDD126C"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Direktiva 2012/27/EU mbi </w:t>
            </w:r>
            <w:r w:rsidRPr="007114AF">
              <w:rPr>
                <w:rFonts w:ascii="Garamond" w:hAnsi="Garamond" w:cs="Calibri"/>
                <w:color w:val="000000"/>
                <w:sz w:val="18"/>
                <w:szCs w:val="18"/>
              </w:rPr>
              <w:t>eficiencën</w:t>
            </w:r>
            <w:r w:rsidRPr="007114AF">
              <w:rPr>
                <w:rFonts w:ascii="Garamond" w:hAnsi="Garamond" w:cs="Calibri"/>
                <w:sz w:val="18"/>
                <w:szCs w:val="18"/>
              </w:rPr>
              <w:t xml:space="preserve"> e energjisë, që ndryshon në Direktivat 2009/125/EC dhe 2010/30/EU dhe Direktivat e shfuqizuara 2004/8/EC dhe 2006/32/EC.</w:t>
            </w:r>
          </w:p>
        </w:tc>
      </w:tr>
      <w:tr w:rsidR="00286663" w:rsidRPr="007114AF" w14:paraId="6EDD1270" w14:textId="77777777" w:rsidTr="00574660">
        <w:tc>
          <w:tcPr>
            <w:tcW w:w="0" w:type="auto"/>
            <w:vAlign w:val="center"/>
          </w:tcPr>
          <w:p w14:paraId="6EDD126E"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2010/31/EU</w:t>
            </w:r>
          </w:p>
        </w:tc>
        <w:tc>
          <w:tcPr>
            <w:tcW w:w="0" w:type="auto"/>
            <w:vAlign w:val="center"/>
          </w:tcPr>
          <w:p w14:paraId="6EDD126F"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2010/31/EU mbi performancën e energjisë së banesave</w:t>
            </w:r>
          </w:p>
        </w:tc>
      </w:tr>
      <w:tr w:rsidR="00286663" w:rsidRPr="007114AF" w14:paraId="6EDD1273" w14:textId="77777777" w:rsidTr="00574660">
        <w:tc>
          <w:tcPr>
            <w:tcW w:w="0" w:type="auto"/>
            <w:vAlign w:val="center"/>
          </w:tcPr>
          <w:p w14:paraId="6EDD1271"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2009/28/EC</w:t>
            </w:r>
          </w:p>
        </w:tc>
        <w:tc>
          <w:tcPr>
            <w:tcW w:w="0" w:type="auto"/>
            <w:vAlign w:val="center"/>
          </w:tcPr>
          <w:p w14:paraId="6EDD1272"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2009/28/EC mbi promovimin e përdorimit të energjisë nga burime të rinovueshme që ndryshon dhe më pas shfuqizon Direktivat 2001/77/EC dhe 2003/30/EC.</w:t>
            </w:r>
          </w:p>
        </w:tc>
      </w:tr>
      <w:tr w:rsidR="00286663" w:rsidRPr="007114AF" w14:paraId="6EDD1276" w14:textId="77777777" w:rsidTr="00574660">
        <w:tc>
          <w:tcPr>
            <w:tcW w:w="0" w:type="auto"/>
            <w:vAlign w:val="center"/>
          </w:tcPr>
          <w:p w14:paraId="6EDD1274" w14:textId="78B62A6C"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0A2A01" w:rsidRPr="007114AF">
              <w:rPr>
                <w:rFonts w:ascii="Garamond" w:hAnsi="Garamond" w:cs="Calibri"/>
                <w:sz w:val="18"/>
                <w:szCs w:val="18"/>
              </w:rPr>
              <w:t xml:space="preserve"> </w:t>
            </w:r>
            <w:r w:rsidRPr="007114AF">
              <w:rPr>
                <w:rFonts w:ascii="Garamond" w:hAnsi="Garamond" w:cs="Calibri"/>
                <w:sz w:val="18"/>
                <w:szCs w:val="18"/>
              </w:rPr>
              <w:t>(EC)</w:t>
            </w:r>
            <w:r w:rsidR="00242009" w:rsidRPr="007114AF">
              <w:rPr>
                <w:rFonts w:ascii="Garamond" w:hAnsi="Garamond" w:cs="Calibri"/>
                <w:sz w:val="18"/>
                <w:szCs w:val="18"/>
              </w:rPr>
              <w:t xml:space="preserve"> nr. </w:t>
            </w:r>
            <w:r w:rsidRPr="007114AF">
              <w:rPr>
                <w:rFonts w:ascii="Garamond" w:hAnsi="Garamond" w:cs="Calibri"/>
                <w:sz w:val="18"/>
                <w:szCs w:val="18"/>
              </w:rPr>
              <w:t>245/2009</w:t>
            </w:r>
          </w:p>
        </w:tc>
        <w:tc>
          <w:tcPr>
            <w:tcW w:w="0" w:type="auto"/>
            <w:vAlign w:val="center"/>
          </w:tcPr>
          <w:p w14:paraId="6EDD1275" w14:textId="6419831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 Komisionit</w:t>
            </w:r>
            <w:r w:rsidR="008D30FC" w:rsidRPr="007114AF">
              <w:rPr>
                <w:rFonts w:ascii="Garamond" w:hAnsi="Garamond" w:cs="Calibri"/>
                <w:sz w:val="18"/>
                <w:szCs w:val="18"/>
              </w:rPr>
              <w:t xml:space="preserve"> </w:t>
            </w:r>
            <w:r w:rsidRPr="007114AF">
              <w:rPr>
                <w:rFonts w:ascii="Garamond" w:hAnsi="Garamond" w:cs="Calibri"/>
                <w:sz w:val="18"/>
                <w:szCs w:val="18"/>
              </w:rPr>
              <w:t>(EC)</w:t>
            </w:r>
            <w:r w:rsidR="00242009" w:rsidRPr="007114AF">
              <w:rPr>
                <w:rFonts w:ascii="Garamond" w:hAnsi="Garamond" w:cs="Calibri"/>
                <w:sz w:val="18"/>
                <w:szCs w:val="18"/>
              </w:rPr>
              <w:t xml:space="preserve"> nr. </w:t>
            </w:r>
            <w:r w:rsidRPr="007114AF">
              <w:rPr>
                <w:rFonts w:ascii="Garamond" w:hAnsi="Garamond" w:cs="Calibri"/>
                <w:sz w:val="18"/>
                <w:szCs w:val="18"/>
              </w:rPr>
              <w:t>245/2009 në zbatim të Direktivës 2005/32/EC lidhur me kërkesat e prodhimit të llambave fluoreshente pa balast të integruar, për llamba me intensitet të lartë shkarkimi, dhe për balas dhe abazhurë të aftë të punojnë me të tilla llamba, si dhe Direktiva e shfuqizuar 2000/55/EC</w:t>
            </w:r>
          </w:p>
        </w:tc>
      </w:tr>
      <w:tr w:rsidR="00286663" w:rsidRPr="007114AF" w14:paraId="6EDD1279" w14:textId="77777777" w:rsidTr="00574660">
        <w:tc>
          <w:tcPr>
            <w:tcW w:w="0" w:type="auto"/>
            <w:vAlign w:val="center"/>
          </w:tcPr>
          <w:p w14:paraId="6EDD1277"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2009/125/EC</w:t>
            </w:r>
          </w:p>
        </w:tc>
        <w:tc>
          <w:tcPr>
            <w:tcW w:w="0" w:type="auto"/>
            <w:vAlign w:val="center"/>
          </w:tcPr>
          <w:p w14:paraId="6EDD1278"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2009/125/EC krijon një kuadër për përcaktimin e kërkesave për projektimin ekologjik të produkteve në fushën e energjisë.</w:t>
            </w:r>
          </w:p>
        </w:tc>
      </w:tr>
      <w:tr w:rsidR="00286663" w:rsidRPr="007114AF" w14:paraId="6EDD127C" w14:textId="77777777" w:rsidTr="00574660">
        <w:tc>
          <w:tcPr>
            <w:tcW w:w="0" w:type="auto"/>
            <w:vAlign w:val="center"/>
          </w:tcPr>
          <w:p w14:paraId="6EDD127A"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2008/28/EC</w:t>
            </w:r>
          </w:p>
        </w:tc>
        <w:tc>
          <w:tcPr>
            <w:tcW w:w="0" w:type="auto"/>
            <w:vAlign w:val="center"/>
          </w:tcPr>
          <w:p w14:paraId="6EDD127B"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2008/28/EC që ndryshon Direktivën 2005/32/EC krijon kuadrin e përcaktimit të kërkesave për projektimin ekologjik të produkteve që përdorin energji, si dhe Direktiva 92/42/EEC dhe Direktivat 96/57/EC dhe 2000/55/EC, sa i përket zbatimit të kompetencave të dhëna në Komision</w:t>
            </w:r>
          </w:p>
        </w:tc>
      </w:tr>
      <w:tr w:rsidR="00286663" w:rsidRPr="007114AF" w14:paraId="6EDD127F" w14:textId="77777777" w:rsidTr="00574660">
        <w:tc>
          <w:tcPr>
            <w:tcW w:w="0" w:type="auto"/>
            <w:vAlign w:val="center"/>
          </w:tcPr>
          <w:p w14:paraId="6EDD127D"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2005/32/EC</w:t>
            </w:r>
          </w:p>
        </w:tc>
        <w:tc>
          <w:tcPr>
            <w:tcW w:w="0" w:type="auto"/>
            <w:vAlign w:val="center"/>
          </w:tcPr>
          <w:p w14:paraId="6EDD127E"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2005/32/EC krijon një kuadër për kërkesat me projektim ekologjik të produkteve që përdorin energji dhe që ndryshon Direktivë e Këshillit 92/42/EEC dhe Direktivat 96/57/EC dhe 2000/55/EC të Parlamentit Evropian dhe Këshillit</w:t>
            </w:r>
          </w:p>
        </w:tc>
      </w:tr>
      <w:tr w:rsidR="00286663" w:rsidRPr="007114AF" w14:paraId="6EDD1282" w14:textId="77777777" w:rsidTr="00574660">
        <w:tc>
          <w:tcPr>
            <w:tcW w:w="0" w:type="auto"/>
            <w:vAlign w:val="center"/>
          </w:tcPr>
          <w:p w14:paraId="6EDD1280"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i Këshillit 2006/1005/EC</w:t>
            </w:r>
          </w:p>
        </w:tc>
        <w:tc>
          <w:tcPr>
            <w:tcW w:w="0" w:type="auto"/>
            <w:vAlign w:val="center"/>
          </w:tcPr>
          <w:p w14:paraId="6EDD1281"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Vendimi i Këshillit 2006/1005/EC lidhur me përfundimin e marrëveshjes ndërmjet Qeverisë së Shteteve të Bashkuara të Amerikës dhe Komunitetit Evropian mbi bashkërendimin e programeve të etiketimit të </w:t>
            </w:r>
            <w:r w:rsidRPr="007114AF">
              <w:rPr>
                <w:rFonts w:ascii="Garamond" w:hAnsi="Garamond" w:cs="Calibri"/>
                <w:color w:val="000000"/>
                <w:sz w:val="18"/>
                <w:szCs w:val="18"/>
              </w:rPr>
              <w:t>eficiencën</w:t>
            </w:r>
            <w:r w:rsidRPr="007114AF">
              <w:rPr>
                <w:rFonts w:ascii="Garamond" w:hAnsi="Garamond" w:cs="Calibri"/>
                <w:sz w:val="18"/>
                <w:szCs w:val="18"/>
              </w:rPr>
              <w:t xml:space="preserve"> së energjisë në produktet e zyrës</w:t>
            </w:r>
          </w:p>
        </w:tc>
      </w:tr>
      <w:tr w:rsidR="00286663" w:rsidRPr="007114AF" w14:paraId="6EDD1285" w14:textId="77777777" w:rsidTr="00574660">
        <w:tc>
          <w:tcPr>
            <w:tcW w:w="0" w:type="auto"/>
            <w:vAlign w:val="center"/>
          </w:tcPr>
          <w:p w14:paraId="6EDD1283"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e Këshillit 93/68/EEC</w:t>
            </w:r>
          </w:p>
        </w:tc>
        <w:tc>
          <w:tcPr>
            <w:tcW w:w="0" w:type="auto"/>
            <w:vAlign w:val="center"/>
          </w:tcPr>
          <w:p w14:paraId="6EDD1284"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e Këshillit 93/68/EEC që ndryshon Direktivat 87/404/EEC (makina të thjeshta me avull),88/378/EEC (siguria e lodrave), 89/106/EEC (produkte ndërtimi), 9/336/EEC (përputhshmëria elektromagnetike), 89/392/EEC (makineri), 89/686/EEC (pajisje të mbrojtjes personale), 90/384/EEC (instrumente peshimi joautomatike), 90/385/EEC (pajisje transplantuese mjekësore aktive), 90/396/EEC (pajisje që punojnë me lëndë djegëse dhe gaz), 91/263/EEC (pajisje terminali telekomunikacioni),92/42/EEC (bojlerë të rinj me ujë të nxehtë që punojnë me lëndë djegëse të lëngshme ose gaz) dhe 73/23/EEC (pajisje elektrike të projektuara të punojnë me një kufi të caktuar tensioni).</w:t>
            </w:r>
          </w:p>
        </w:tc>
      </w:tr>
      <w:tr w:rsidR="00286663" w:rsidRPr="007114AF" w14:paraId="6EDD1288" w14:textId="77777777" w:rsidTr="00574660">
        <w:tc>
          <w:tcPr>
            <w:tcW w:w="0" w:type="auto"/>
            <w:vAlign w:val="center"/>
          </w:tcPr>
          <w:p w14:paraId="6EDD1286"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2006/32/EC</w:t>
            </w:r>
          </w:p>
        </w:tc>
        <w:tc>
          <w:tcPr>
            <w:tcW w:w="0" w:type="auto"/>
            <w:vAlign w:val="center"/>
          </w:tcPr>
          <w:p w14:paraId="6EDD1287"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2006/32/EC mbi eficiencën e përdorimit fundor të energjisë dhe shërbimet e energjisë dhe shfuqizimi i Direktivave të Këshillit 93/76/EEC</w:t>
            </w:r>
          </w:p>
        </w:tc>
      </w:tr>
      <w:tr w:rsidR="00286663" w:rsidRPr="007114AF" w14:paraId="6EDD128B" w14:textId="77777777" w:rsidTr="00574660">
        <w:tc>
          <w:tcPr>
            <w:tcW w:w="0" w:type="auto"/>
            <w:vAlign w:val="center"/>
          </w:tcPr>
          <w:p w14:paraId="6EDD1289"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2004/8/EC</w:t>
            </w:r>
          </w:p>
        </w:tc>
        <w:tc>
          <w:tcPr>
            <w:tcW w:w="0" w:type="auto"/>
            <w:vAlign w:val="center"/>
          </w:tcPr>
          <w:p w14:paraId="6EDD128A"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2004/8/EC mbi promovimin e bashkëprodhimit bazuar në kërkesat e dobishme për ngrohje në tregun e brendshëm të energjisë që ndryshon Direktivën 92/42/EEC.</w:t>
            </w:r>
          </w:p>
        </w:tc>
      </w:tr>
      <w:tr w:rsidR="00286663" w:rsidRPr="007114AF" w14:paraId="6EDD128E" w14:textId="77777777" w:rsidTr="00574660">
        <w:tc>
          <w:tcPr>
            <w:tcW w:w="0" w:type="auto"/>
            <w:vAlign w:val="center"/>
          </w:tcPr>
          <w:p w14:paraId="6EDD128C"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2010/30/EU</w:t>
            </w:r>
          </w:p>
        </w:tc>
        <w:tc>
          <w:tcPr>
            <w:tcW w:w="0" w:type="auto"/>
            <w:vAlign w:val="center"/>
          </w:tcPr>
          <w:p w14:paraId="6EDD128D"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2010/30/EU mbi treguesit që vijnë nga etiketimi dhe informacioni standard i produktit lidhur me konsumin e energjisë dhe burime të tjera nga produkte të tjera të lidhura me energjinë</w:t>
            </w:r>
          </w:p>
        </w:tc>
      </w:tr>
      <w:tr w:rsidR="00286663" w:rsidRPr="007114AF" w14:paraId="6EDD1291" w14:textId="77777777" w:rsidTr="00574660">
        <w:tc>
          <w:tcPr>
            <w:tcW w:w="0" w:type="auto"/>
            <w:vAlign w:val="center"/>
          </w:tcPr>
          <w:p w14:paraId="6EDD128F"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2009/28/EC</w:t>
            </w:r>
          </w:p>
        </w:tc>
        <w:tc>
          <w:tcPr>
            <w:tcW w:w="0" w:type="auto"/>
            <w:vAlign w:val="center"/>
          </w:tcPr>
          <w:p w14:paraId="6EDD1290"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2009/28/EC mbi promovimin e përdorimit të energjisë nga burime të rinovueshme dhe Direktivat e ndryshuar dhe më pas të shfuqizuara 2001/77/EC dhe 2003/30/EC.</w:t>
            </w:r>
          </w:p>
        </w:tc>
      </w:tr>
      <w:tr w:rsidR="00286663" w:rsidRPr="007114AF" w14:paraId="6EDD1294" w14:textId="77777777" w:rsidTr="00574660">
        <w:tc>
          <w:tcPr>
            <w:tcW w:w="0" w:type="auto"/>
            <w:vAlign w:val="center"/>
          </w:tcPr>
          <w:p w14:paraId="6EDD1292"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2001/77/EC</w:t>
            </w:r>
          </w:p>
        </w:tc>
        <w:tc>
          <w:tcPr>
            <w:tcW w:w="0" w:type="auto"/>
            <w:vAlign w:val="center"/>
          </w:tcPr>
          <w:p w14:paraId="6EDD1293"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2001/77/EC mbi nxitjen e energjisë së prodhuar nga burimet e energjisë së rinovueshme në tregun e brendshëm të energjisë elektrike</w:t>
            </w:r>
          </w:p>
        </w:tc>
      </w:tr>
      <w:tr w:rsidR="00286663" w:rsidRPr="007114AF" w14:paraId="6EDD1296" w14:textId="77777777" w:rsidTr="00574660">
        <w:tc>
          <w:tcPr>
            <w:tcW w:w="0" w:type="auto"/>
            <w:gridSpan w:val="2"/>
            <w:shd w:val="clear" w:color="auto" w:fill="C6D9F1" w:themeFill="text2" w:themeFillTint="33"/>
            <w:vAlign w:val="center"/>
          </w:tcPr>
          <w:p w14:paraId="6EDD1295" w14:textId="77777777" w:rsidR="00286663" w:rsidRPr="007114AF" w:rsidRDefault="00286663" w:rsidP="00286663">
            <w:pPr>
              <w:spacing w:after="0"/>
              <w:rPr>
                <w:rFonts w:ascii="Garamond" w:hAnsi="Garamond" w:cs="Calibri"/>
                <w:b/>
                <w:sz w:val="18"/>
                <w:szCs w:val="18"/>
              </w:rPr>
            </w:pPr>
            <w:r w:rsidRPr="007114AF">
              <w:rPr>
                <w:rFonts w:ascii="Garamond" w:hAnsi="Garamond" w:cs="Calibri"/>
                <w:b/>
                <w:sz w:val="18"/>
                <w:szCs w:val="18"/>
              </w:rPr>
              <w:t>Transporti</w:t>
            </w:r>
          </w:p>
        </w:tc>
      </w:tr>
      <w:tr w:rsidR="00286663" w:rsidRPr="007114AF" w14:paraId="6EDD1299" w14:textId="77777777" w:rsidTr="00574660">
        <w:tc>
          <w:tcPr>
            <w:tcW w:w="0" w:type="auto"/>
            <w:vAlign w:val="center"/>
          </w:tcPr>
          <w:p w14:paraId="6EDD1297"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2009/29/EC</w:t>
            </w:r>
          </w:p>
        </w:tc>
        <w:tc>
          <w:tcPr>
            <w:tcW w:w="0" w:type="auto"/>
            <w:vAlign w:val="center"/>
          </w:tcPr>
          <w:p w14:paraId="6EDD1298" w14:textId="375EABF4"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2009/29/EC E PARLAMENTIT EVROPIAN DHE KËSHILLIT, e datës 23 prill 2009 që ndryshon Direktivën 2003/87/EC në mënyrë që të përmirësojë dhe zgjerojë skemën tregtare të kuotës së shkarkimit të gazeve serrë</w:t>
            </w:r>
            <w:r w:rsidR="000A2A01" w:rsidRPr="007114AF">
              <w:rPr>
                <w:rFonts w:ascii="Garamond" w:hAnsi="Garamond" w:cs="Calibri"/>
                <w:sz w:val="18"/>
                <w:szCs w:val="18"/>
              </w:rPr>
              <w:t xml:space="preserve"> </w:t>
            </w:r>
            <w:r w:rsidRPr="007114AF">
              <w:rPr>
                <w:rFonts w:ascii="Garamond" w:hAnsi="Garamond" w:cs="Calibri"/>
                <w:sz w:val="18"/>
                <w:szCs w:val="18"/>
              </w:rPr>
              <w:t>të Komunitetit</w:t>
            </w:r>
          </w:p>
        </w:tc>
      </w:tr>
      <w:tr w:rsidR="00286663" w:rsidRPr="007114AF" w14:paraId="6EDD129C" w14:textId="77777777" w:rsidTr="00574660">
        <w:tc>
          <w:tcPr>
            <w:tcW w:w="0" w:type="auto"/>
            <w:vAlign w:val="center"/>
          </w:tcPr>
          <w:p w14:paraId="6EDD129A"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2009/28/EC</w:t>
            </w:r>
          </w:p>
        </w:tc>
        <w:tc>
          <w:tcPr>
            <w:tcW w:w="0" w:type="auto"/>
            <w:vAlign w:val="center"/>
          </w:tcPr>
          <w:p w14:paraId="6EDD129B"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2009/28/EC e Parlamentit Evropian dhe Këshillit e datës 23 Prill 2009 mbi nxitjen e përdorimit të energjisë nga burime të rinovueshme, që ndryshon dhe shfuqizon Direktivat 2001/77/EC and 2003/30/EC</w:t>
            </w:r>
          </w:p>
        </w:tc>
      </w:tr>
      <w:tr w:rsidR="00286663" w:rsidRPr="007114AF" w14:paraId="6EDD129F" w14:textId="77777777" w:rsidTr="00574660">
        <w:tc>
          <w:tcPr>
            <w:tcW w:w="0" w:type="auto"/>
            <w:vAlign w:val="center"/>
          </w:tcPr>
          <w:p w14:paraId="6EDD129D"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2009/406 EC</w:t>
            </w:r>
          </w:p>
        </w:tc>
        <w:tc>
          <w:tcPr>
            <w:tcW w:w="0" w:type="auto"/>
            <w:vAlign w:val="center"/>
          </w:tcPr>
          <w:p w14:paraId="6EDD129E"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Nr 406/2009/EC I PARLAMENTIT EVROPIAN DHE KËSHILLIT i datës 23 prill 2009 mbi përpjekjen e Shteteve Anëtare për të ulur shkarkimet e gazeve serrë me qëllim përmbushjen e angazhimeve të uljes së shkarkimit të gazeve serrë të Komunitetit deri në vitin 2020</w:t>
            </w:r>
          </w:p>
        </w:tc>
      </w:tr>
      <w:tr w:rsidR="00286663" w:rsidRPr="007114AF" w14:paraId="6EDD12A2" w14:textId="77777777" w:rsidTr="00574660">
        <w:tc>
          <w:tcPr>
            <w:tcW w:w="0" w:type="auto"/>
            <w:vAlign w:val="center"/>
          </w:tcPr>
          <w:p w14:paraId="6EDD12A0"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Komunikatë 2013/169</w:t>
            </w:r>
          </w:p>
        </w:tc>
        <w:tc>
          <w:tcPr>
            <w:tcW w:w="0" w:type="auto"/>
            <w:vAlign w:val="center"/>
          </w:tcPr>
          <w:p w14:paraId="6EDD12A1"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LIBRI i GJELBËR A 2030 kuadri për politikat klimatike dhe ato mbi energjinë</w:t>
            </w:r>
          </w:p>
        </w:tc>
      </w:tr>
      <w:tr w:rsidR="00286663" w:rsidRPr="007114AF" w14:paraId="6EDD12A5" w14:textId="77777777" w:rsidTr="00574660">
        <w:tc>
          <w:tcPr>
            <w:tcW w:w="0" w:type="auto"/>
            <w:vAlign w:val="center"/>
          </w:tcPr>
          <w:p w14:paraId="6EDD12A3"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Komunikatë 2011/ 112</w:t>
            </w:r>
          </w:p>
        </w:tc>
        <w:tc>
          <w:tcPr>
            <w:tcW w:w="0" w:type="auto"/>
            <w:vAlign w:val="center"/>
          </w:tcPr>
          <w:p w14:paraId="6EDD12A4"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KOMUNIKATA NGA KOMISIONI I PARLAMENTIT EVROPIAN, KËSHILLI, KOMITETI EVROPIAN PËR ÇËSHTJET EKONOMIKE DHE SOCIALE DHE KOMITETI PËR RAJONET Një plan për të lëvizur drejt një ekonomie konkurruese me nivel të ulët të karbonit në vitin 2050</w:t>
            </w:r>
          </w:p>
        </w:tc>
      </w:tr>
      <w:tr w:rsidR="00286663" w:rsidRPr="007114AF" w14:paraId="6EDD12A8" w14:textId="77777777" w:rsidTr="00574660">
        <w:tc>
          <w:tcPr>
            <w:tcW w:w="0" w:type="auto"/>
            <w:vAlign w:val="center"/>
          </w:tcPr>
          <w:p w14:paraId="6EDD12A6"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2009/443/EC</w:t>
            </w:r>
          </w:p>
        </w:tc>
        <w:tc>
          <w:tcPr>
            <w:tcW w:w="0" w:type="auto"/>
            <w:vAlign w:val="center"/>
          </w:tcPr>
          <w:p w14:paraId="6EDD12A7"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(EC) Nr 443/2009 e Parlamentit Evropian dhe Këshillit e datës 23 prill 2009 përcakton standarde të performancës së shkarkimit për makinat e reja për pasagjerë, si pjesë e qasjes së integruar të Komunitetit në uljen e shkarkimeve CO</w:t>
            </w:r>
            <w:r w:rsidRPr="007114AF">
              <w:rPr>
                <w:rFonts w:ascii="Garamond" w:hAnsi="Garamond" w:cs="Calibri"/>
                <w:sz w:val="18"/>
                <w:szCs w:val="18"/>
                <w:vertAlign w:val="subscript"/>
              </w:rPr>
              <w:t>2</w:t>
            </w:r>
            <w:r w:rsidRPr="007114AF">
              <w:rPr>
                <w:rFonts w:ascii="Garamond" w:hAnsi="Garamond" w:cs="Calibri"/>
                <w:sz w:val="18"/>
                <w:szCs w:val="18"/>
              </w:rPr>
              <w:t xml:space="preserve"> nga makinat e vogla</w:t>
            </w:r>
          </w:p>
        </w:tc>
      </w:tr>
      <w:tr w:rsidR="00286663" w:rsidRPr="007114AF" w14:paraId="6EDD12AB" w14:textId="77777777" w:rsidTr="00574660">
        <w:tc>
          <w:tcPr>
            <w:tcW w:w="0" w:type="auto"/>
            <w:vAlign w:val="center"/>
          </w:tcPr>
          <w:p w14:paraId="6EDD12A9"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2011/510 /EU</w:t>
            </w:r>
          </w:p>
        </w:tc>
        <w:tc>
          <w:tcPr>
            <w:tcW w:w="0" w:type="auto"/>
            <w:vAlign w:val="center"/>
          </w:tcPr>
          <w:p w14:paraId="6EDD12AA"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(EU) Nr 510/2011 e Parlamentit Evropian dhe Këshillit e datës 11 maj 2011 e cila vendos standardet e peformancës së shkarkimeve për makinat e reja, të vogla, tregtare si pjesë e qasjes së Integruar të Sindikatës për shkarkimet CO</w:t>
            </w:r>
            <w:r w:rsidRPr="007114AF">
              <w:rPr>
                <w:rFonts w:ascii="Garamond" w:hAnsi="Garamond" w:cs="Calibri"/>
                <w:sz w:val="18"/>
                <w:szCs w:val="18"/>
                <w:vertAlign w:val="subscript"/>
              </w:rPr>
              <w:t>2</w:t>
            </w:r>
            <w:r w:rsidRPr="007114AF">
              <w:rPr>
                <w:rFonts w:ascii="Garamond" w:hAnsi="Garamond" w:cs="Calibri"/>
                <w:sz w:val="18"/>
                <w:szCs w:val="18"/>
              </w:rPr>
              <w:t xml:space="preserve"> nga makinat e vogla në detyrë</w:t>
            </w:r>
          </w:p>
        </w:tc>
      </w:tr>
      <w:tr w:rsidR="00286663" w:rsidRPr="007114AF" w14:paraId="6EDD12AE" w14:textId="77777777" w:rsidTr="00574660">
        <w:tc>
          <w:tcPr>
            <w:tcW w:w="0" w:type="auto"/>
            <w:vAlign w:val="center"/>
          </w:tcPr>
          <w:p w14:paraId="6EDD12AC"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2014/253/EU</w:t>
            </w:r>
          </w:p>
        </w:tc>
        <w:tc>
          <w:tcPr>
            <w:tcW w:w="0" w:type="auto"/>
            <w:vAlign w:val="center"/>
          </w:tcPr>
          <w:p w14:paraId="6EDD12AD"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(EU) Nr 253/2014 e Parlamentit Evropian dhe e Këshillit, e datës 26 shkurt 2014 Rregullorja e ndryshuar (EU) Nr 510/2011 e cila përcakton modalitetet për arritjen e objektivit të vitit 2020 për uljen e shkarkimeve CO</w:t>
            </w:r>
            <w:r w:rsidRPr="007114AF">
              <w:rPr>
                <w:rFonts w:ascii="Garamond" w:hAnsi="Garamond" w:cs="Calibri"/>
                <w:sz w:val="18"/>
                <w:szCs w:val="18"/>
                <w:vertAlign w:val="subscript"/>
              </w:rPr>
              <w:t>2</w:t>
            </w:r>
            <w:r w:rsidRPr="007114AF">
              <w:rPr>
                <w:rFonts w:ascii="Garamond" w:hAnsi="Garamond" w:cs="Calibri"/>
                <w:sz w:val="18"/>
                <w:szCs w:val="18"/>
              </w:rPr>
              <w:t xml:space="preserve"> nga makinat e reja të vogla tregtare </w:t>
            </w:r>
          </w:p>
        </w:tc>
      </w:tr>
      <w:tr w:rsidR="00286663" w:rsidRPr="007114AF" w14:paraId="6EDD12B1" w14:textId="77777777" w:rsidTr="00574660">
        <w:tc>
          <w:tcPr>
            <w:tcW w:w="0" w:type="auto"/>
            <w:vAlign w:val="center"/>
          </w:tcPr>
          <w:p w14:paraId="6EDD12AF"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2014/333/EU</w:t>
            </w:r>
          </w:p>
        </w:tc>
        <w:tc>
          <w:tcPr>
            <w:tcW w:w="0" w:type="auto"/>
            <w:vAlign w:val="center"/>
          </w:tcPr>
          <w:p w14:paraId="6EDD12B0"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(EU) Nr 333/2014 e Parlamentit Evropian dhe Këshillit e datës 11 Mars 2014 që ndryshon Rregulloren (EC) Nr 443/2009 për të përcaktuar modalitetet për të arritur objektivat e vitit 2020 në uljen e shkarkimeve CO</w:t>
            </w:r>
            <w:r w:rsidRPr="007114AF">
              <w:rPr>
                <w:rFonts w:ascii="Garamond" w:hAnsi="Garamond" w:cs="Calibri"/>
                <w:sz w:val="18"/>
                <w:szCs w:val="18"/>
                <w:vertAlign w:val="subscript"/>
              </w:rPr>
              <w:t>2</w:t>
            </w:r>
            <w:r w:rsidRPr="007114AF">
              <w:rPr>
                <w:rFonts w:ascii="Garamond" w:hAnsi="Garamond" w:cs="Calibri"/>
                <w:sz w:val="18"/>
                <w:szCs w:val="18"/>
              </w:rPr>
              <w:t xml:space="preserve"> nga makinat e reja të pasagjerëve</w:t>
            </w:r>
          </w:p>
        </w:tc>
      </w:tr>
      <w:tr w:rsidR="00286663" w:rsidRPr="007114AF" w14:paraId="6EDD12B4" w14:textId="77777777" w:rsidTr="00574660">
        <w:tc>
          <w:tcPr>
            <w:tcW w:w="0" w:type="auto"/>
            <w:vAlign w:val="center"/>
          </w:tcPr>
          <w:p w14:paraId="6EDD12B2"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KOMUNIKATË 2014/ 285 final</w:t>
            </w:r>
          </w:p>
        </w:tc>
        <w:tc>
          <w:tcPr>
            <w:tcW w:w="0" w:type="auto"/>
            <w:vAlign w:val="center"/>
          </w:tcPr>
          <w:p w14:paraId="6EDD12B3"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Strategjia për uljen e konsumit dhe shkarkimet CO</w:t>
            </w:r>
            <w:r w:rsidRPr="007114AF">
              <w:rPr>
                <w:rFonts w:ascii="Garamond" w:hAnsi="Garamond" w:cs="Calibri"/>
                <w:sz w:val="18"/>
                <w:szCs w:val="18"/>
                <w:vertAlign w:val="subscript"/>
              </w:rPr>
              <w:t>2</w:t>
            </w:r>
            <w:r w:rsidRPr="007114AF">
              <w:rPr>
                <w:rFonts w:ascii="Garamond" w:hAnsi="Garamond" w:cs="Calibri"/>
                <w:sz w:val="18"/>
                <w:szCs w:val="18"/>
              </w:rPr>
              <w:t xml:space="preserve"> të makinave të rënda</w:t>
            </w:r>
          </w:p>
        </w:tc>
      </w:tr>
      <w:tr w:rsidR="00286663" w:rsidRPr="007114AF" w14:paraId="6EDD12B7" w14:textId="77777777" w:rsidTr="00574660">
        <w:tc>
          <w:tcPr>
            <w:tcW w:w="0" w:type="auto"/>
            <w:vAlign w:val="center"/>
          </w:tcPr>
          <w:p w14:paraId="6EDD12B5"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Vlerësimi i Direktivës 1999/94/EC</w:t>
            </w:r>
          </w:p>
        </w:tc>
        <w:tc>
          <w:tcPr>
            <w:tcW w:w="0" w:type="auto"/>
            <w:vAlign w:val="center"/>
          </w:tcPr>
          <w:p w14:paraId="6EDD12B6" w14:textId="7FEDF58A"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Vlerësimi i Direktivës 1999/94/EC i Parlamentit Evropian dhe Këshillit, i datës 13 dhjetor 1999 lidhur me disponimin e informacionit nga konsumatori mbi ekonominë e lëndëve djegëse dhe shkarkimeve CO</w:t>
            </w:r>
            <w:r w:rsidRPr="007114AF">
              <w:rPr>
                <w:rFonts w:ascii="Garamond" w:hAnsi="Garamond" w:cs="Calibri"/>
                <w:sz w:val="18"/>
                <w:szCs w:val="18"/>
                <w:vertAlign w:val="subscript"/>
              </w:rPr>
              <w:t xml:space="preserve">2 </w:t>
            </w:r>
            <w:r w:rsidRPr="007114AF">
              <w:rPr>
                <w:rFonts w:ascii="Garamond" w:hAnsi="Garamond" w:cs="Calibri"/>
                <w:sz w:val="18"/>
                <w:szCs w:val="18"/>
              </w:rPr>
              <w:t>në lidhje me marketingun e makinave të pasagjerëve të rinj (</w:t>
            </w:r>
            <w:r w:rsidR="00D10DAB" w:rsidRPr="007114AF">
              <w:rPr>
                <w:rFonts w:ascii="Garamond" w:hAnsi="Garamond" w:cs="Calibri"/>
                <w:sz w:val="18"/>
                <w:szCs w:val="18"/>
              </w:rPr>
              <w:t>‘</w:t>
            </w:r>
            <w:r w:rsidRPr="007114AF">
              <w:rPr>
                <w:rFonts w:ascii="Garamond" w:hAnsi="Garamond" w:cs="Calibri"/>
                <w:sz w:val="18"/>
                <w:szCs w:val="18"/>
              </w:rPr>
              <w:t>Direktiva mbi etiketimin e makinave</w:t>
            </w:r>
            <w:r w:rsidR="00D10DAB" w:rsidRPr="007114AF">
              <w:rPr>
                <w:rFonts w:ascii="Garamond" w:hAnsi="Garamond" w:cs="Calibri"/>
                <w:sz w:val="18"/>
                <w:szCs w:val="18"/>
              </w:rPr>
              <w:t>’</w:t>
            </w:r>
            <w:r w:rsidRPr="007114AF">
              <w:rPr>
                <w:rFonts w:ascii="Garamond" w:hAnsi="Garamond" w:cs="Calibri"/>
                <w:sz w:val="18"/>
                <w:szCs w:val="18"/>
              </w:rPr>
              <w:t>)</w:t>
            </w:r>
          </w:p>
        </w:tc>
      </w:tr>
      <w:tr w:rsidR="00286663" w:rsidRPr="007114AF" w14:paraId="6EDD12BA" w14:textId="77777777" w:rsidTr="00574660">
        <w:tc>
          <w:tcPr>
            <w:tcW w:w="0" w:type="auto"/>
            <w:vAlign w:val="center"/>
          </w:tcPr>
          <w:p w14:paraId="6EDD12B8"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2009/30/EC</w:t>
            </w:r>
          </w:p>
        </w:tc>
        <w:tc>
          <w:tcPr>
            <w:tcW w:w="0" w:type="auto"/>
            <w:vAlign w:val="center"/>
          </w:tcPr>
          <w:p w14:paraId="6EDD12B9" w14:textId="412ECA3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2009/30/EC E PARLAMENTIT EVROPIAN DHE KËSHILLIT e datës 23 prill 2009 që ndryshon Direktivën 98/70/EC në lidhje me cilësinë e benzinës dhe nënprodukteve të naftës naftës dhe gazoilit, si dhe prezantimi i një mekanizmi që monitoron dhe ul shkarkimet e gazeve serrë,</w:t>
            </w:r>
            <w:r w:rsidR="000A2A01" w:rsidRPr="007114AF">
              <w:rPr>
                <w:rFonts w:ascii="Garamond" w:hAnsi="Garamond" w:cs="Calibri"/>
                <w:sz w:val="18"/>
                <w:szCs w:val="18"/>
              </w:rPr>
              <w:t xml:space="preserve"> </w:t>
            </w:r>
            <w:r w:rsidRPr="007114AF">
              <w:rPr>
                <w:rFonts w:ascii="Garamond" w:hAnsi="Garamond" w:cs="Calibri"/>
                <w:sz w:val="18"/>
                <w:szCs w:val="18"/>
              </w:rPr>
              <w:t>që ndryshon Direktivën e Këshillit 1999/32/EC për sa i përket specifikimit të lëndëve të djegshme të përdorura nga anijet që lundrojnë brenda vendit, që shfuqizon Direktivën 93/12/EEC</w:t>
            </w:r>
            <w:r w:rsidRPr="007114AF">
              <w:rPr>
                <w:rFonts w:ascii="Garamond" w:eastAsia="Times New Roman" w:hAnsi="Garamond" w:cs="Calibri"/>
                <w:color w:val="000000"/>
                <w:sz w:val="18"/>
                <w:szCs w:val="18"/>
              </w:rPr>
              <w:t xml:space="preserve"> (Direktiva e Cil</w:t>
            </w:r>
            <w:r w:rsidRPr="007114AF">
              <w:rPr>
                <w:rFonts w:ascii="Garamond" w:hAnsi="Garamond" w:cs="Calibri"/>
                <w:sz w:val="18"/>
                <w:szCs w:val="18"/>
              </w:rPr>
              <w:t>ësisë së Karburantit</w:t>
            </w:r>
            <w:r w:rsidRPr="007114AF">
              <w:rPr>
                <w:rFonts w:ascii="Garamond" w:eastAsia="Times New Roman" w:hAnsi="Garamond" w:cs="Calibri"/>
                <w:color w:val="000000"/>
                <w:sz w:val="18"/>
                <w:szCs w:val="18"/>
              </w:rPr>
              <w:t>)</w:t>
            </w:r>
          </w:p>
        </w:tc>
      </w:tr>
      <w:tr w:rsidR="00286663" w:rsidRPr="007114AF" w14:paraId="6EDD12BD" w14:textId="77777777" w:rsidTr="00574660">
        <w:tc>
          <w:tcPr>
            <w:tcW w:w="0" w:type="auto"/>
            <w:vAlign w:val="center"/>
          </w:tcPr>
          <w:p w14:paraId="6EDD12BB"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2015/757/EU</w:t>
            </w:r>
          </w:p>
        </w:tc>
        <w:tc>
          <w:tcPr>
            <w:tcW w:w="0" w:type="auto"/>
            <w:vAlign w:val="center"/>
          </w:tcPr>
          <w:p w14:paraId="6EDD12BC"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Rregullorja (EU) 2015/757 e Parlamentit Evropian dhe Këshillit, e datës 29 prill 2015 mbi monitorimin, raportimin dhe verifikimin e shkarkimeve të dioksidit të karbonit nga transporti detar, që ndryshon Direktivën 2009/16/EC (Rregullorja MRV)</w:t>
            </w:r>
          </w:p>
        </w:tc>
      </w:tr>
      <w:tr w:rsidR="00286663" w:rsidRPr="007114AF" w14:paraId="6EDD12C0" w14:textId="77777777" w:rsidTr="00574660">
        <w:tc>
          <w:tcPr>
            <w:tcW w:w="0" w:type="auto"/>
            <w:vAlign w:val="center"/>
          </w:tcPr>
          <w:p w14:paraId="6EDD12BE"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Komunikatë 2011/144 – libri i bardhë</w:t>
            </w:r>
          </w:p>
        </w:tc>
        <w:tc>
          <w:tcPr>
            <w:tcW w:w="0" w:type="auto"/>
            <w:vAlign w:val="center"/>
          </w:tcPr>
          <w:p w14:paraId="6EDD12BF"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LIBRI I BARDHË Udhërrëfyesi për një Zonë të Vetme të Transportit Evropian – Drejt një sistemi transporti konkurrues dhe burimi efikas</w:t>
            </w:r>
          </w:p>
        </w:tc>
      </w:tr>
      <w:tr w:rsidR="00286663" w:rsidRPr="007114AF" w14:paraId="6EDD12C3" w14:textId="77777777" w:rsidTr="00574660">
        <w:tc>
          <w:tcPr>
            <w:tcW w:w="0" w:type="auto"/>
            <w:vAlign w:val="center"/>
          </w:tcPr>
          <w:p w14:paraId="6EDD12C1"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2014/94/EU</w:t>
            </w:r>
          </w:p>
        </w:tc>
        <w:tc>
          <w:tcPr>
            <w:tcW w:w="0" w:type="auto"/>
            <w:vAlign w:val="center"/>
          </w:tcPr>
          <w:p w14:paraId="6EDD12C2"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Direktiva 2014/94/EU e Parlamentit Evropian dhe të Këshillit e datës 22 tetor 2014 mbi shpërndarjen e infrastrukturës alternative të karburanteve</w:t>
            </w:r>
          </w:p>
        </w:tc>
      </w:tr>
      <w:tr w:rsidR="00286663" w:rsidRPr="007114AF" w14:paraId="6EDD12C6" w14:textId="77777777" w:rsidTr="00574660">
        <w:tc>
          <w:tcPr>
            <w:tcW w:w="0" w:type="auto"/>
            <w:vAlign w:val="center"/>
          </w:tcPr>
          <w:p w14:paraId="6EDD12C4"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KOMUNIKATË 2013/ 913 final (me Aneks)</w:t>
            </w:r>
          </w:p>
        </w:tc>
        <w:tc>
          <w:tcPr>
            <w:tcW w:w="0" w:type="auto"/>
            <w:vAlign w:val="center"/>
          </w:tcPr>
          <w:p w14:paraId="6EDD12C5"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NJË KONCEPT PËR PLANET URBANISTIKE TË LËVIZJES SË QËNDRUESHME – Së bashku drejt lëvizshmërisë urbane konkurruese dhe me burime efikase </w:t>
            </w:r>
          </w:p>
        </w:tc>
      </w:tr>
      <w:tr w:rsidR="00286663" w:rsidRPr="007114AF" w14:paraId="6EDD12C9" w14:textId="77777777" w:rsidTr="00574660">
        <w:tc>
          <w:tcPr>
            <w:tcW w:w="0" w:type="auto"/>
            <w:vAlign w:val="center"/>
          </w:tcPr>
          <w:p w14:paraId="6EDD12C7"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Komunikatë 2009/ 490 </w:t>
            </w:r>
          </w:p>
        </w:tc>
        <w:tc>
          <w:tcPr>
            <w:tcW w:w="0" w:type="auto"/>
            <w:vAlign w:val="center"/>
          </w:tcPr>
          <w:p w14:paraId="6EDD12C8"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 xml:space="preserve">Komunikatë nga Komisioni i Parlamentit Evropian, Këshilli, Komiteti Evropian për Çështjet Ekonomike dhe Sociale, Komiteti për Rajonet – Plani i Veprimit mbi Lëvizshmërinë Urbane </w:t>
            </w:r>
          </w:p>
        </w:tc>
      </w:tr>
      <w:tr w:rsidR="00286663" w:rsidRPr="007114AF" w14:paraId="6EDD12CB" w14:textId="77777777" w:rsidTr="00574660">
        <w:trPr>
          <w:trHeight w:val="311"/>
        </w:trPr>
        <w:tc>
          <w:tcPr>
            <w:tcW w:w="0" w:type="auto"/>
            <w:gridSpan w:val="2"/>
            <w:shd w:val="clear" w:color="auto" w:fill="C6D9F1" w:themeFill="text2" w:themeFillTint="33"/>
            <w:vAlign w:val="center"/>
          </w:tcPr>
          <w:p w14:paraId="6EDD12CA" w14:textId="77777777" w:rsidR="00286663" w:rsidRPr="007114AF" w:rsidRDefault="00286663" w:rsidP="00286663">
            <w:pPr>
              <w:spacing w:after="0"/>
              <w:rPr>
                <w:rFonts w:ascii="Garamond" w:hAnsi="Garamond" w:cs="Calibri"/>
                <w:b/>
                <w:sz w:val="18"/>
                <w:szCs w:val="18"/>
              </w:rPr>
            </w:pPr>
            <w:r w:rsidRPr="007114AF">
              <w:rPr>
                <w:rFonts w:ascii="Garamond" w:hAnsi="Garamond" w:cs="Calibri"/>
                <w:b/>
                <w:sz w:val="18"/>
                <w:szCs w:val="18"/>
              </w:rPr>
              <w:t>Përdorimi i Tokës, Ndryshimi i Përdorimit të Tokës dhe Pyllëzimi</w:t>
            </w:r>
          </w:p>
        </w:tc>
      </w:tr>
      <w:tr w:rsidR="00286663" w:rsidRPr="007114AF" w14:paraId="6EDD12CE" w14:textId="77777777" w:rsidTr="00574660">
        <w:tc>
          <w:tcPr>
            <w:tcW w:w="0" w:type="auto"/>
            <w:vAlign w:val="center"/>
          </w:tcPr>
          <w:p w14:paraId="6EDD12CC"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529/2013/EU</w:t>
            </w:r>
          </w:p>
        </w:tc>
        <w:tc>
          <w:tcPr>
            <w:tcW w:w="0" w:type="auto"/>
            <w:vAlign w:val="center"/>
          </w:tcPr>
          <w:p w14:paraId="6EDD12CD" w14:textId="77777777" w:rsidR="00286663" w:rsidRPr="007114AF" w:rsidRDefault="00286663" w:rsidP="00286663">
            <w:pPr>
              <w:spacing w:after="0"/>
              <w:rPr>
                <w:rFonts w:ascii="Garamond" w:hAnsi="Garamond" w:cs="Calibri"/>
                <w:sz w:val="18"/>
                <w:szCs w:val="18"/>
              </w:rPr>
            </w:pPr>
            <w:r w:rsidRPr="007114AF">
              <w:rPr>
                <w:rFonts w:ascii="Garamond" w:hAnsi="Garamond" w:cs="Calibri"/>
                <w:sz w:val="18"/>
                <w:szCs w:val="18"/>
              </w:rPr>
              <w:t>Vendimi Nr 529/2013/EU i Parlamentit Evropian dhe Këshillit i datës 21 maj 2013 mbi rregullat e përgjegjësisë mbi shkarkimet e gazeve serrë dhe përthithësve që rezultojnë nga aktivitetet të cilat lidhen me përdorimin e tokës, ndryshimi i përdorimit të tokës dhe pyllëzimi, si dhe mbi informacionin që lidhet me veprimet e lidhura me këto aktivitete</w:t>
            </w:r>
          </w:p>
        </w:tc>
      </w:tr>
    </w:tbl>
    <w:p w14:paraId="6EDD12CF" w14:textId="77777777" w:rsidR="00396573" w:rsidRPr="007114AF" w:rsidRDefault="00396573" w:rsidP="000914E2">
      <w:pPr>
        <w:pStyle w:val="TEKSTI"/>
        <w:rPr>
          <w:b/>
          <w:spacing w:val="-4"/>
        </w:rPr>
      </w:pPr>
      <w:r w:rsidRPr="007114AF">
        <w:rPr>
          <w:b/>
          <w:spacing w:val="-4"/>
        </w:rPr>
        <w:t>Aneksi 3 – Dokumenti i financimit të NAP-it</w:t>
      </w:r>
    </w:p>
    <w:p w14:paraId="6EDD12D0" w14:textId="77777777" w:rsidR="00396573" w:rsidRPr="007114AF" w:rsidRDefault="00396573" w:rsidP="000914E2">
      <w:pPr>
        <w:pStyle w:val="TEKSTI"/>
        <w:rPr>
          <w:i/>
          <w:spacing w:val="-4"/>
        </w:rPr>
      </w:pPr>
      <w:r w:rsidRPr="007114AF">
        <w:rPr>
          <w:i/>
          <w:spacing w:val="-4"/>
        </w:rPr>
        <w:t>Përmbledhje</w:t>
      </w:r>
    </w:p>
    <w:p w14:paraId="6EDD12D1" w14:textId="60EEA744" w:rsidR="00396573" w:rsidRPr="007114AF" w:rsidRDefault="00396573" w:rsidP="000914E2">
      <w:pPr>
        <w:pStyle w:val="TEKSTI"/>
        <w:rPr>
          <w:spacing w:val="-4"/>
        </w:rPr>
      </w:pPr>
      <w:r w:rsidRPr="007114AF">
        <w:rPr>
          <w:spacing w:val="-4"/>
        </w:rPr>
        <w:t>Dokumenti financiar shoqëron dokumentin e Planit Kombëtar të Përshtatjes (NAP) dhe do t</w:t>
      </w:r>
      <w:r w:rsidR="00D10DAB" w:rsidRPr="007114AF">
        <w:rPr>
          <w:spacing w:val="-4"/>
        </w:rPr>
        <w:t>’</w:t>
      </w:r>
      <w:r w:rsidRPr="007114AF">
        <w:rPr>
          <w:spacing w:val="-4"/>
        </w:rPr>
        <w:t>i paraqiten së bashku për miratim Këshillit të Ministrave.</w:t>
      </w:r>
    </w:p>
    <w:p w14:paraId="6EDD12D2" w14:textId="0DBCCEDB" w:rsidR="00396573" w:rsidRPr="007114AF" w:rsidRDefault="00396573" w:rsidP="000914E2">
      <w:pPr>
        <w:pStyle w:val="TEKSTI"/>
        <w:rPr>
          <w:rFonts w:cs="Arial"/>
          <w:spacing w:val="-4"/>
        </w:rPr>
      </w:pPr>
      <w:r w:rsidRPr="007114AF">
        <w:rPr>
          <w:rFonts w:cs="Arial"/>
          <w:spacing w:val="-4"/>
        </w:rPr>
        <w:t>Dokumenti i NAP-it ka krijuar një kuadër zbatimi, kryesisht përmes përcaktimit të objektivave dhe synimeve</w:t>
      </w:r>
      <w:r w:rsidR="000A2A01" w:rsidRPr="007114AF">
        <w:rPr>
          <w:rFonts w:cs="Arial"/>
          <w:spacing w:val="-4"/>
        </w:rPr>
        <w:t xml:space="preserve"> </w:t>
      </w:r>
      <w:r w:rsidRPr="007114AF">
        <w:rPr>
          <w:rFonts w:cs="Arial"/>
          <w:spacing w:val="-4"/>
        </w:rPr>
        <w:t>gjithëpërfshirëse, si edhe të 15 veprimeve prioritare. Gjithashtu, dokumenti financiar ofron udhëzime në lidhje me mënyrën e financimit të</w:t>
      </w:r>
      <w:r w:rsidR="00FF11ED">
        <w:rPr>
          <w:rFonts w:cs="Arial"/>
          <w:spacing w:val="-4"/>
        </w:rPr>
        <w:t xml:space="preserve"> </w:t>
      </w:r>
      <w:r w:rsidRPr="007114AF">
        <w:rPr>
          <w:rFonts w:cs="Arial"/>
          <w:spacing w:val="-4"/>
        </w:rPr>
        <w:t>këtyre veprimeve të propozuara dhe të veprimit për përshtatjen më gjerësisht ndaj ndryshimeve klimatike. Objektivat e dokumentit janë si më poshtë:</w:t>
      </w:r>
    </w:p>
    <w:p w14:paraId="6EDD12D3" w14:textId="77777777" w:rsidR="00396573" w:rsidRPr="007114AF" w:rsidRDefault="00AC0CE4" w:rsidP="000914E2">
      <w:pPr>
        <w:pStyle w:val="TEKSTI"/>
        <w:rPr>
          <w:rFonts w:cs="Arial"/>
          <w:spacing w:val="-4"/>
        </w:rPr>
      </w:pPr>
      <w:r w:rsidRPr="007114AF">
        <w:rPr>
          <w:rFonts w:cs="Arial"/>
          <w:spacing w:val="-4"/>
        </w:rPr>
        <w:t xml:space="preserve">a) </w:t>
      </w:r>
      <w:r w:rsidR="00396573" w:rsidRPr="007114AF">
        <w:rPr>
          <w:rFonts w:cs="Arial"/>
          <w:spacing w:val="-4"/>
        </w:rPr>
        <w:t xml:space="preserve">ofrimi i udhëzimeve për një proces të suksesshëm të aksesit ndaj financimit të përshtatjes, duke përfshirë edhe identifikimin e pikave të hyrjes; </w:t>
      </w:r>
    </w:p>
    <w:p w14:paraId="6EDD12D4" w14:textId="77777777" w:rsidR="00396573" w:rsidRPr="007114AF" w:rsidRDefault="00AC0CE4" w:rsidP="000914E2">
      <w:pPr>
        <w:pStyle w:val="TEKSTI"/>
        <w:rPr>
          <w:rFonts w:cs="Arial"/>
          <w:spacing w:val="-4"/>
        </w:rPr>
      </w:pPr>
      <w:r w:rsidRPr="007114AF">
        <w:rPr>
          <w:rFonts w:cs="Arial"/>
          <w:spacing w:val="-4"/>
        </w:rPr>
        <w:t xml:space="preserve">b) </w:t>
      </w:r>
      <w:r w:rsidR="00396573" w:rsidRPr="007114AF">
        <w:rPr>
          <w:rFonts w:cs="Arial"/>
          <w:spacing w:val="-4"/>
        </w:rPr>
        <w:t xml:space="preserve">dhënia e një përmbledhjeje të mundësive përkatëse në lidhje me burimet e mundshme kombëtare dhe ndërkombëtare për financimin e përshtatjes; </w:t>
      </w:r>
    </w:p>
    <w:p w14:paraId="6EDD12D5" w14:textId="0FB0D3DF" w:rsidR="00396573" w:rsidRPr="007114AF" w:rsidRDefault="00AC0CE4" w:rsidP="000914E2">
      <w:pPr>
        <w:pStyle w:val="TEKSTI"/>
        <w:rPr>
          <w:rFonts w:cs="Arial"/>
          <w:spacing w:val="-4"/>
        </w:rPr>
      </w:pPr>
      <w:r w:rsidRPr="007114AF">
        <w:rPr>
          <w:rFonts w:cs="Arial"/>
          <w:spacing w:val="-4"/>
        </w:rPr>
        <w:t xml:space="preserve">c) </w:t>
      </w:r>
      <w:r w:rsidR="00396573" w:rsidRPr="007114AF">
        <w:rPr>
          <w:rFonts w:cs="Arial"/>
          <w:spacing w:val="-4"/>
        </w:rPr>
        <w:t xml:space="preserve">Identifikimi dhe dhënia e prioritetit hapave që duhen marrë për të pasur akses ndaj financimit të përshtatjes në vitet e ardhshme dhe inicimi i hartimit të një udhërrëfyesi. </w:t>
      </w:r>
    </w:p>
    <w:p w14:paraId="6EDD12D6" w14:textId="7F3E1389" w:rsidR="00396573" w:rsidRPr="007114AF" w:rsidRDefault="00396573" w:rsidP="000914E2">
      <w:pPr>
        <w:pStyle w:val="TEKSTI"/>
        <w:rPr>
          <w:rFonts w:cs="Arial"/>
          <w:spacing w:val="-4"/>
        </w:rPr>
      </w:pPr>
      <w:r w:rsidRPr="007114AF">
        <w:rPr>
          <w:rFonts w:cs="Arial"/>
          <w:spacing w:val="-4"/>
        </w:rPr>
        <w:t>Mobilizimi i burimeve për përshtatjen ndaj ndryshimeve klimatike (NAP) është një çështje e re jo vetëm për Shqipërinë, por edhe në nivel global. Shumë vende kanë miratuar një proces apo qasje të orientuar në kërkesat dhe rrethanat shoqëruese për sigurimin e fondeve të</w:t>
      </w:r>
      <w:r w:rsidR="000A2A01" w:rsidRPr="007114AF">
        <w:rPr>
          <w:rFonts w:cs="Arial"/>
          <w:spacing w:val="-4"/>
        </w:rPr>
        <w:t xml:space="preserve"> </w:t>
      </w:r>
      <w:r w:rsidRPr="007114AF">
        <w:rPr>
          <w:rFonts w:cs="Arial"/>
          <w:spacing w:val="-4"/>
        </w:rPr>
        <w:t xml:space="preserve">klimës. Shumë shtete kanë miratuar një proces ose qasje të orientuar në kërkesat dhe rrethanat shoqëruese </w:t>
      </w:r>
      <w:r w:rsidRPr="007114AF">
        <w:rPr>
          <w:spacing w:val="-4"/>
        </w:rPr>
        <w:t xml:space="preserve">ndaj financimit të klimës. Në thelb, kjo qasje i referohet një procesi me anë të të cilit, një shtet përcakton, përkufizon dhe mobilizon burimet financiare dhe burimet e tjera të nevojshme për kalimin e tij në një rrugë zhvillimi me emetime të ulëta dhe </w:t>
      </w:r>
      <w:r w:rsidRPr="007114AF">
        <w:rPr>
          <w:rFonts w:cs="Arial"/>
          <w:spacing w:val="-4"/>
        </w:rPr>
        <w:t>me aftësi rimëkëmbëse ndaj ndryshimeve të klimës. Dokumenti financiar propozon ndjekjen e një qasjeje të ngjashme për Shqipërinë. Meqë situata dhe modalitetet e financimit të përshtatjes janë duke u formuar gradualisht dhe duke ndryshuar në mënyrë të vazhdueshme, qasja kërkon përditësime të rregullta dhe të përsëritura.</w:t>
      </w:r>
    </w:p>
    <w:p w14:paraId="6EDD12D7" w14:textId="77777777" w:rsidR="00396573" w:rsidRPr="007114AF" w:rsidRDefault="00396573" w:rsidP="000914E2">
      <w:pPr>
        <w:pStyle w:val="TEKSTI"/>
        <w:rPr>
          <w:spacing w:val="-4"/>
        </w:rPr>
      </w:pPr>
      <w:r w:rsidRPr="007114AF">
        <w:rPr>
          <w:spacing w:val="-4"/>
        </w:rPr>
        <w:t xml:space="preserve">Mobilizimi i burimeve për ndërhyrje të përshtatjes së ndryshimeve klimatike është një proces që kërkon vënien në funksionim të disa elementeve kyç: </w:t>
      </w:r>
    </w:p>
    <w:p w14:paraId="6EDD12D8" w14:textId="5ABAC65B" w:rsidR="00396573" w:rsidRPr="007114AF" w:rsidRDefault="00396573" w:rsidP="000914E2">
      <w:pPr>
        <w:pStyle w:val="TEKSTI"/>
        <w:rPr>
          <w:rFonts w:cs="Arial"/>
          <w:spacing w:val="-4"/>
        </w:rPr>
      </w:pPr>
      <w:r w:rsidRPr="007114AF">
        <w:rPr>
          <w:rFonts w:cs="Arial"/>
          <w:spacing w:val="-4"/>
        </w:rPr>
        <w:t>Elementi 1: Krijimi i procesit – Krijimi i një ekipi kryesor; Elementi 2: Arritja e një mbështetjeje politike të një niveli të lartë; Elementi 3: Metodologjia e vlerësimit për përshtatje – Kuptimi i stimujve financiarë – Komunikimi i përshtatjes në një mënyrë që tërheq</w:t>
      </w:r>
      <w:r w:rsidR="000A2A01" w:rsidRPr="007114AF">
        <w:rPr>
          <w:rFonts w:cs="Arial"/>
          <w:spacing w:val="-4"/>
        </w:rPr>
        <w:t xml:space="preserve"> </w:t>
      </w:r>
      <w:r w:rsidRPr="007114AF">
        <w:rPr>
          <w:rFonts w:cs="Arial"/>
          <w:spacing w:val="-4"/>
        </w:rPr>
        <w:t xml:space="preserve">financuesit dhe investuesit; Elementi 4:Ndërtimi i kapaciteteve në financimet e klimës dhe sigurimin e burimeve financiare për mobilizimin e burimeve dhe identifikimin e burimeve të mundshme të financimit në planin afatshkurtër, afatmesëm dhe afatgjatë. </w:t>
      </w:r>
    </w:p>
    <w:p w14:paraId="6EDD12D9" w14:textId="1451BE28" w:rsidR="00396573" w:rsidRPr="007114AF" w:rsidRDefault="00396573" w:rsidP="000914E2">
      <w:pPr>
        <w:pStyle w:val="TEKSTI"/>
        <w:rPr>
          <w:spacing w:val="-4"/>
        </w:rPr>
      </w:pPr>
      <w:r w:rsidRPr="007114AF">
        <w:rPr>
          <w:spacing w:val="-4"/>
        </w:rPr>
        <w:t xml:space="preserve">Në varësi të tipit dhe kategorisë të masës specifike të planifikuar të përshtatjes, strategjia për identifikimin dhe aksesin në financimin për përshtatjen, si dhe shumat e kërkuara mund të ndryshojnë ndjeshëm. Llogaritjet e kostos përkatëse dhe strategjitë e financimit duhet të marrin parasysh specifikat e kategorive të ndërhyrjeve për përshtatje, për shembull kostoja rritëse e realizimit të mbrojtjes klimatike. Financimi i përshtatjes zakonisht kombinohet me financimin </w:t>
      </w:r>
      <w:r w:rsidR="00D10DAB" w:rsidRPr="007114AF">
        <w:rPr>
          <w:spacing w:val="-4"/>
        </w:rPr>
        <w:t>‘</w:t>
      </w:r>
      <w:r w:rsidRPr="007114AF">
        <w:rPr>
          <w:spacing w:val="-4"/>
        </w:rPr>
        <w:t>bazë</w:t>
      </w:r>
      <w:r w:rsidR="00D10DAB" w:rsidRPr="007114AF">
        <w:rPr>
          <w:spacing w:val="-4"/>
        </w:rPr>
        <w:t>’</w:t>
      </w:r>
      <w:r w:rsidRPr="007114AF">
        <w:rPr>
          <w:spacing w:val="-4"/>
        </w:rPr>
        <w:t xml:space="preserve"> që fokusohet në përfitime më të zgjedhura zhvillimore (ekonomike, sociale, mjedisore). </w:t>
      </w:r>
    </w:p>
    <w:p w14:paraId="6EDD12DA" w14:textId="3F069456" w:rsidR="00396573" w:rsidRPr="007114AF" w:rsidRDefault="00396573" w:rsidP="000914E2">
      <w:pPr>
        <w:pStyle w:val="TEKSTI"/>
        <w:rPr>
          <w:spacing w:val="-4"/>
        </w:rPr>
      </w:pPr>
      <w:r w:rsidRPr="007114AF">
        <w:rPr>
          <w:spacing w:val="-4"/>
        </w:rPr>
        <w:t>Dokumenti shqyrton dy burime dhe kanale për aksesin e financimit për përshtatje: 1) buxhetin kombëtar (PBAM) (MTBP);</w:t>
      </w:r>
      <w:r w:rsidR="000A2A01" w:rsidRPr="007114AF">
        <w:rPr>
          <w:spacing w:val="-4"/>
        </w:rPr>
        <w:t xml:space="preserve"> </w:t>
      </w:r>
      <w:r w:rsidRPr="007114AF">
        <w:rPr>
          <w:spacing w:val="-4"/>
        </w:rPr>
        <w:t xml:space="preserve">2) burimet ndërkombëtare. </w:t>
      </w:r>
    </w:p>
    <w:p w14:paraId="6EDD12DB" w14:textId="77777777" w:rsidR="00396573" w:rsidRPr="007114AF" w:rsidRDefault="00396573" w:rsidP="000914E2">
      <w:pPr>
        <w:pStyle w:val="TEKSTI"/>
        <w:rPr>
          <w:spacing w:val="-4"/>
        </w:rPr>
      </w:pPr>
      <w:r w:rsidRPr="007114AF">
        <w:rPr>
          <w:spacing w:val="-4"/>
        </w:rPr>
        <w:t>Duke pasur parasysh buxhetin kombëtar, duhet të krijohen procese dhe kuadro specifike institucionale, me qëllim integrimin e masave prioritare të NAP-it në procesin e PBAM-it (MTBP). Dokumenti paraqet rekomandime më specifike në këtë drejtim. Çështjet e shqyrtuara janë: a) integrimi i PNK-ut në politikat sektoriale, b) dhënia e prioritetit të masave të propozuara prioritare në PBAM (MTBP) në një qasje me ndarje në faza, c) përpjekje sistematike për ndërtimin/rritjen e kapaciteteve të lidhura me NAP-in (në secilën ministri përkatëse),d) forcimi i koordinimit ndërministror dhe masave institucionale, të tilla si roli dhe mandati i ardhshëm i GNNK-ës (IMWG).</w:t>
      </w:r>
    </w:p>
    <w:p w14:paraId="6EDD12DC" w14:textId="77777777" w:rsidR="00396573" w:rsidRPr="007114AF" w:rsidRDefault="00396573" w:rsidP="000914E2">
      <w:pPr>
        <w:pStyle w:val="TEKSTI"/>
        <w:rPr>
          <w:spacing w:val="-4"/>
        </w:rPr>
      </w:pPr>
      <w:r w:rsidRPr="007114AF">
        <w:rPr>
          <w:spacing w:val="-4"/>
        </w:rPr>
        <w:t xml:space="preserve">Ekzistojnë shumë burime të mundshme ndërkombëtare të fondeve të përshtatjes që ofrojnë një gamë të gjerë modalitetesh financimi. Granti tradicional dhe financimi i huave plotësohet nga qasje për kombinimin e fondeve private dhe publike (për shembull partneritetet publike-private), ndërsa modalitete më inovative (për shembull pagesa për shërbime mjedisore, siguracionet e rrezikut) janë testuar aktualisht dhe nuk janë ende gati për të ardhmen afatshkurtër. Megjithatë, kombinimi i këtyre modaliteteve ka shumë të ngjarë të avancojë procesin, me synim përshtatjen e financimit në Shqipëri në planin afatmesëm dhe afatgjatë. Dokumenti jep përshkrime të shkurtra të këtyre modaliteteve dhe shembujve nga aplikimet e tyre fillestare dhe testuese në Shqipëri. </w:t>
      </w:r>
    </w:p>
    <w:p w14:paraId="6EDD12DD" w14:textId="492D7A13" w:rsidR="00396573" w:rsidRPr="007114AF" w:rsidRDefault="00396573" w:rsidP="000914E2">
      <w:pPr>
        <w:pStyle w:val="TEKSTI"/>
        <w:rPr>
          <w:spacing w:val="-4"/>
          <w:u w:val="single"/>
        </w:rPr>
      </w:pPr>
      <w:r w:rsidRPr="007114AF">
        <w:rPr>
          <w:spacing w:val="-4"/>
        </w:rPr>
        <w:t>Më tej, dokumenti jep udhëzime për aspekte përkatëse që janë të rëndësishme për t</w:t>
      </w:r>
      <w:r w:rsidR="00D10DAB" w:rsidRPr="007114AF">
        <w:rPr>
          <w:spacing w:val="-4"/>
        </w:rPr>
        <w:t>’</w:t>
      </w:r>
      <w:r w:rsidRPr="007114AF">
        <w:rPr>
          <w:spacing w:val="-4"/>
        </w:rPr>
        <w:t>u shqyrtuar në procesin e identifikimit dhe aplikimit për financim ndërkombëtar të përshtatjes në sektorë të ndryshëm, të tillë si mobilizimi transnacional i burimeve, cilësia e projektpropozimeve dhe aspektet në lidhje me aksesin e drejtpërdrejtë dhe të tërthortë në fondet ndërkombëtare.</w:t>
      </w:r>
    </w:p>
    <w:p w14:paraId="6EDD12DE" w14:textId="54B9000B" w:rsidR="00396573" w:rsidRPr="007114AF" w:rsidRDefault="00396573" w:rsidP="000914E2">
      <w:pPr>
        <w:pStyle w:val="TEKSTI"/>
        <w:rPr>
          <w:spacing w:val="-4"/>
        </w:rPr>
      </w:pPr>
      <w:r w:rsidRPr="007114AF">
        <w:rPr>
          <w:spacing w:val="-4"/>
        </w:rPr>
        <w:t>Gjithashtu, është përgatitur një metodologji që zbaton një qasje me tre komponentë për t</w:t>
      </w:r>
      <w:r w:rsidR="00D10DAB" w:rsidRPr="007114AF">
        <w:rPr>
          <w:spacing w:val="-4"/>
        </w:rPr>
        <w:t>’</w:t>
      </w:r>
      <w:r w:rsidRPr="007114AF">
        <w:rPr>
          <w:spacing w:val="-4"/>
        </w:rPr>
        <w:t>i dhënë prioritet</w:t>
      </w:r>
      <w:r w:rsidR="000A2A01" w:rsidRPr="007114AF">
        <w:rPr>
          <w:spacing w:val="-4"/>
        </w:rPr>
        <w:t xml:space="preserve"> </w:t>
      </w:r>
      <w:r w:rsidRPr="007114AF">
        <w:rPr>
          <w:spacing w:val="-4"/>
        </w:rPr>
        <w:t>donatorëve dhe financuesve të mundshëm të përshtatshëm:</w:t>
      </w:r>
    </w:p>
    <w:p w14:paraId="6EDD12DF" w14:textId="3CC2F63F" w:rsidR="00396573" w:rsidRPr="007114AF" w:rsidRDefault="00AC0CE4" w:rsidP="000914E2">
      <w:pPr>
        <w:pStyle w:val="TEKSTI"/>
        <w:rPr>
          <w:spacing w:val="-4"/>
        </w:rPr>
      </w:pPr>
      <w:r w:rsidRPr="007114AF">
        <w:rPr>
          <w:spacing w:val="-4"/>
        </w:rPr>
        <w:t xml:space="preserve">1. </w:t>
      </w:r>
      <w:r w:rsidR="00396573" w:rsidRPr="007114AF">
        <w:rPr>
          <w:spacing w:val="-4"/>
        </w:rPr>
        <w:t>Verifikimi dhe dhënia e prioritetit</w:t>
      </w:r>
      <w:r w:rsidR="000A2A01" w:rsidRPr="007114AF">
        <w:rPr>
          <w:spacing w:val="-4"/>
        </w:rPr>
        <w:t xml:space="preserve"> </w:t>
      </w:r>
      <w:r w:rsidR="00396573" w:rsidRPr="007114AF">
        <w:rPr>
          <w:spacing w:val="-4"/>
        </w:rPr>
        <w:t xml:space="preserve">donatorëve të jashtëm/burimeve të financimit </w:t>
      </w:r>
    </w:p>
    <w:p w14:paraId="6EDD12E0" w14:textId="77777777" w:rsidR="00396573" w:rsidRPr="007114AF" w:rsidRDefault="00AC0CE4" w:rsidP="000914E2">
      <w:pPr>
        <w:pStyle w:val="TEKSTI"/>
        <w:rPr>
          <w:spacing w:val="-4"/>
        </w:rPr>
      </w:pPr>
      <w:r w:rsidRPr="007114AF">
        <w:rPr>
          <w:spacing w:val="-4"/>
        </w:rPr>
        <w:t xml:space="preserve">2. </w:t>
      </w:r>
      <w:r w:rsidR="00396573" w:rsidRPr="007114AF">
        <w:rPr>
          <w:spacing w:val="-4"/>
        </w:rPr>
        <w:t>Prioritizimi i PA-ve, Veprimeve Prioritare, duke pasur parasysh gatishmërinë për mobilizimin e burimeve në vitet e ardhshme</w:t>
      </w:r>
    </w:p>
    <w:p w14:paraId="6EDD12E1" w14:textId="6E50CBDD" w:rsidR="00396573" w:rsidRPr="007114AF" w:rsidRDefault="00AC0CE4" w:rsidP="000914E2">
      <w:pPr>
        <w:pStyle w:val="TEKSTI"/>
        <w:rPr>
          <w:spacing w:val="-4"/>
        </w:rPr>
      </w:pPr>
      <w:r w:rsidRPr="007114AF">
        <w:rPr>
          <w:spacing w:val="-4"/>
        </w:rPr>
        <w:t xml:space="preserve">3. </w:t>
      </w:r>
      <w:r w:rsidR="00396573" w:rsidRPr="007114AF">
        <w:rPr>
          <w:spacing w:val="-4"/>
        </w:rPr>
        <w:t>Kombinimi i PA-ve, Veprimeve Prioritare</w:t>
      </w:r>
      <w:r w:rsidR="000A2A01" w:rsidRPr="007114AF">
        <w:rPr>
          <w:spacing w:val="-4"/>
        </w:rPr>
        <w:t xml:space="preserve"> </w:t>
      </w:r>
      <w:r w:rsidR="00396573" w:rsidRPr="007114AF">
        <w:rPr>
          <w:spacing w:val="-4"/>
        </w:rPr>
        <w:t>në bazë të donatorëve të huaj /burimet e financimit.</w:t>
      </w:r>
    </w:p>
    <w:p w14:paraId="6EDD12E2" w14:textId="77777777" w:rsidR="00396573" w:rsidRPr="007114AF" w:rsidRDefault="00396573" w:rsidP="000914E2">
      <w:pPr>
        <w:pStyle w:val="TEKSTI"/>
        <w:rPr>
          <w:spacing w:val="-4"/>
        </w:rPr>
      </w:pPr>
      <w:r w:rsidRPr="007114AF">
        <w:rPr>
          <w:spacing w:val="-4"/>
        </w:rPr>
        <w:t xml:space="preserve">Zbatimi i hapit 1 rezultoi në një verifikim të më shumë se 40 burimeve të mundshme financuese dhe ndihmoi për prioritetin e tyre, duke pasur parasysh fushat e ndryshme prioritare të NAP-it. </w:t>
      </w:r>
    </w:p>
    <w:p w14:paraId="6EDD12E3" w14:textId="59438E24" w:rsidR="00396573" w:rsidRPr="007114AF" w:rsidRDefault="00396573" w:rsidP="000914E2">
      <w:pPr>
        <w:pStyle w:val="TEKSTI"/>
        <w:rPr>
          <w:spacing w:val="-4"/>
        </w:rPr>
      </w:pPr>
      <w:r w:rsidRPr="007114AF">
        <w:rPr>
          <w:spacing w:val="-4"/>
        </w:rPr>
        <w:t>Dokumenti mbyllet me paraqitjen e një udhërrëfyesi (shihni f</w:t>
      </w:r>
      <w:r w:rsidR="00FF11ED">
        <w:rPr>
          <w:spacing w:val="-4"/>
        </w:rPr>
        <w:t>.</w:t>
      </w:r>
      <w:r w:rsidRPr="007114AF">
        <w:rPr>
          <w:spacing w:val="-4"/>
        </w:rPr>
        <w:t xml:space="preserve"> 312) që përmbledh hapat dhe masat që kërkohen të vënë në funksionim një mekanizëm efikas, për të identifikuar, aksesuar dhe kanalizuar financimin për masat prioritare të NAP-it, dhe ndërhyrje të tjera të ardhshme të përshtatjes. Fushat e hapave të propozuara janë si më poshtë:</w:t>
      </w:r>
    </w:p>
    <w:p w14:paraId="6EDD12E4" w14:textId="77777777" w:rsidR="00396573" w:rsidRPr="007114AF" w:rsidRDefault="00AC0CE4" w:rsidP="000914E2">
      <w:pPr>
        <w:pStyle w:val="TEKSTI"/>
        <w:rPr>
          <w:spacing w:val="-4"/>
        </w:rPr>
      </w:pPr>
      <w:r w:rsidRPr="007114AF">
        <w:rPr>
          <w:spacing w:val="-4"/>
        </w:rPr>
        <w:t xml:space="preserve">1. </w:t>
      </w:r>
      <w:r w:rsidR="00396573" w:rsidRPr="007114AF">
        <w:rPr>
          <w:spacing w:val="-4"/>
        </w:rPr>
        <w:t>Hapat për integrimin e përshtatjes dhe prioritet e NAP-it në PBAM (MTBP) dhe për forcimin e proceseve dhe kuadrove institucionale të lidhura me përshtatjen;</w:t>
      </w:r>
    </w:p>
    <w:p w14:paraId="6EDD12E5" w14:textId="605F3343" w:rsidR="00396573" w:rsidRPr="007114AF" w:rsidRDefault="00AC0CE4" w:rsidP="000914E2">
      <w:pPr>
        <w:pStyle w:val="TEKSTI"/>
        <w:rPr>
          <w:spacing w:val="-4"/>
        </w:rPr>
      </w:pPr>
      <w:r w:rsidRPr="007114AF">
        <w:rPr>
          <w:spacing w:val="-4"/>
        </w:rPr>
        <w:t xml:space="preserve">2. </w:t>
      </w:r>
      <w:r w:rsidR="00396573" w:rsidRPr="007114AF">
        <w:rPr>
          <w:spacing w:val="-4"/>
        </w:rPr>
        <w:t>Ndërtimi i kapaciteteve në zhvillimin e projekteve, mbrojtja klimatike, planifikimi, programimi, teknikat e llogaritjes së kostos ose analiza për efektivitetin e kostos dhe financimit</w:t>
      </w:r>
      <w:r w:rsidR="00FF11ED">
        <w:rPr>
          <w:spacing w:val="-4"/>
        </w:rPr>
        <w:t xml:space="preserve"> </w:t>
      </w:r>
      <w:r w:rsidR="00396573" w:rsidRPr="007114AF">
        <w:rPr>
          <w:spacing w:val="-4"/>
        </w:rPr>
        <w:t>për klimën;</w:t>
      </w:r>
    </w:p>
    <w:p w14:paraId="6EDD12E6" w14:textId="77777777" w:rsidR="00396573" w:rsidRPr="007114AF" w:rsidRDefault="00AC0CE4" w:rsidP="000914E2">
      <w:pPr>
        <w:pStyle w:val="TEKSTI"/>
        <w:rPr>
          <w:spacing w:val="-4"/>
        </w:rPr>
      </w:pPr>
      <w:r w:rsidRPr="007114AF">
        <w:rPr>
          <w:spacing w:val="-4"/>
        </w:rPr>
        <w:t xml:space="preserve">3. </w:t>
      </w:r>
      <w:r w:rsidR="00396573" w:rsidRPr="007114AF">
        <w:rPr>
          <w:spacing w:val="-4"/>
        </w:rPr>
        <w:t>Hapat për krijimin e sistemit monitorues të zbatimit dhe monitorimin e bazuar në rezultate;</w:t>
      </w:r>
    </w:p>
    <w:p w14:paraId="6EDD12E7" w14:textId="77777777" w:rsidR="00396573" w:rsidRPr="007114AF" w:rsidRDefault="00AC0CE4" w:rsidP="000914E2">
      <w:pPr>
        <w:pStyle w:val="TEKSTI"/>
        <w:rPr>
          <w:spacing w:val="-4"/>
        </w:rPr>
      </w:pPr>
      <w:r w:rsidRPr="007114AF">
        <w:rPr>
          <w:spacing w:val="-4"/>
        </w:rPr>
        <w:t xml:space="preserve">4. </w:t>
      </w:r>
      <w:r w:rsidR="00396573" w:rsidRPr="007114AF">
        <w:rPr>
          <w:spacing w:val="-4"/>
        </w:rPr>
        <w:t>Identifikimi i projekteve dhe përgatitja e propozimeve;</w:t>
      </w:r>
    </w:p>
    <w:p w14:paraId="6EDD12E8" w14:textId="77777777" w:rsidR="00396573" w:rsidRPr="007114AF" w:rsidRDefault="00AC0CE4" w:rsidP="000914E2">
      <w:pPr>
        <w:pStyle w:val="TEKSTI"/>
        <w:rPr>
          <w:spacing w:val="-4"/>
        </w:rPr>
      </w:pPr>
      <w:r w:rsidRPr="007114AF">
        <w:rPr>
          <w:spacing w:val="-4"/>
        </w:rPr>
        <w:t xml:space="preserve">5. </w:t>
      </w:r>
      <w:r w:rsidR="00396573" w:rsidRPr="007114AF">
        <w:rPr>
          <w:spacing w:val="-4"/>
        </w:rPr>
        <w:t>Hapat për krijimin e procesit të mobilizimit të burimeve për financimin e klimës.</w:t>
      </w:r>
    </w:p>
    <w:p w14:paraId="6EDD12E9" w14:textId="77777777" w:rsidR="00396573" w:rsidRPr="007114AF" w:rsidRDefault="00396573" w:rsidP="000914E2">
      <w:pPr>
        <w:pStyle w:val="TEKSTI"/>
        <w:rPr>
          <w:b/>
          <w:i/>
          <w:spacing w:val="-4"/>
        </w:rPr>
      </w:pPr>
      <w:r w:rsidRPr="007114AF">
        <w:rPr>
          <w:b/>
          <w:i/>
          <w:spacing w:val="-4"/>
        </w:rPr>
        <w:t>Hyrje</w:t>
      </w:r>
    </w:p>
    <w:p w14:paraId="6EDD12EA" w14:textId="34F61A64" w:rsidR="00396573" w:rsidRPr="007114AF" w:rsidRDefault="00396573" w:rsidP="000914E2">
      <w:pPr>
        <w:pStyle w:val="TEKSTI"/>
        <w:rPr>
          <w:spacing w:val="-4"/>
        </w:rPr>
      </w:pPr>
      <w:r w:rsidRPr="007114AF">
        <w:rPr>
          <w:spacing w:val="-4"/>
        </w:rPr>
        <w:t>Dokumenti financiar</w:t>
      </w:r>
      <w:r w:rsidR="00FF11ED">
        <w:rPr>
          <w:spacing w:val="-4"/>
        </w:rPr>
        <w:t xml:space="preserve"> </w:t>
      </w:r>
      <w:r w:rsidRPr="007114AF">
        <w:rPr>
          <w:spacing w:val="-4"/>
        </w:rPr>
        <w:t xml:space="preserve">shoqëron dokumentin e Planit Kombëtar të Përshtatjes (NAP) dhe do të paraqiten bashkërisht në Këshillin e Ministrave për miratim. </w:t>
      </w:r>
    </w:p>
    <w:p w14:paraId="6EDD12EB" w14:textId="77777777" w:rsidR="00396573" w:rsidRPr="007114AF" w:rsidRDefault="00396573" w:rsidP="000914E2">
      <w:pPr>
        <w:pStyle w:val="TEKSTI"/>
        <w:rPr>
          <w:rFonts w:cs="Arial"/>
          <w:spacing w:val="-4"/>
        </w:rPr>
      </w:pPr>
      <w:r w:rsidRPr="007114AF">
        <w:rPr>
          <w:rFonts w:cs="Arial"/>
          <w:spacing w:val="-4"/>
        </w:rPr>
        <w:t>Dokumenti i NAP-it ka krijuar një kuadër zbatimi kryesisht nëpërmjet përcaktimit të objektivave dhe qëllimeve gjithëpërfshirëse, si dhe 15 masave prioritare. Përveç kësaj, Dokumenti Financiar jep udhëzime për mënyrën e financimit më gjerësisht të këtyre masave të propozuara dhe veprimeve të përshtatjes për ndryshimet klimatike. Objektivat e dokumentit janë si më poshtë:</w:t>
      </w:r>
    </w:p>
    <w:p w14:paraId="6EDD12EC" w14:textId="6D571D2F" w:rsidR="00396573" w:rsidRPr="007114AF" w:rsidRDefault="00AC0CE4" w:rsidP="000914E2">
      <w:pPr>
        <w:pStyle w:val="TEKSTI"/>
        <w:rPr>
          <w:rFonts w:cs="Arial"/>
          <w:spacing w:val="-4"/>
        </w:rPr>
      </w:pPr>
      <w:r w:rsidRPr="007114AF">
        <w:rPr>
          <w:rFonts w:cs="Arial"/>
          <w:spacing w:val="-4"/>
        </w:rPr>
        <w:t xml:space="preserve">1. </w:t>
      </w:r>
      <w:r w:rsidR="00396573" w:rsidRPr="007114AF">
        <w:rPr>
          <w:rFonts w:cs="Arial"/>
          <w:spacing w:val="-4"/>
        </w:rPr>
        <w:t>Dhënia e udhëzimeve për një proces të suksesshëm për aksesimin e financave</w:t>
      </w:r>
      <w:r w:rsidR="00FF11ED">
        <w:rPr>
          <w:rFonts w:cs="Arial"/>
          <w:spacing w:val="-4"/>
        </w:rPr>
        <w:t xml:space="preserve"> </w:t>
      </w:r>
      <w:r w:rsidR="00396573" w:rsidRPr="007114AF">
        <w:rPr>
          <w:rFonts w:cs="Arial"/>
          <w:spacing w:val="-4"/>
        </w:rPr>
        <w:t>të përshtatjes, duke përfshirë identifikimin e pikave hyrëse</w:t>
      </w:r>
      <w:r w:rsidR="00FF11ED">
        <w:rPr>
          <w:rFonts w:cs="Arial"/>
          <w:spacing w:val="-4"/>
        </w:rPr>
        <w:t xml:space="preserve"> </w:t>
      </w:r>
      <w:r w:rsidR="00396573" w:rsidRPr="007114AF">
        <w:rPr>
          <w:rFonts w:cs="Arial"/>
          <w:spacing w:val="-4"/>
        </w:rPr>
        <w:t>në këto buxhete;</w:t>
      </w:r>
    </w:p>
    <w:p w14:paraId="6EDD12ED" w14:textId="4207813F" w:rsidR="00396573" w:rsidRPr="007114AF" w:rsidRDefault="00AC0CE4" w:rsidP="000914E2">
      <w:pPr>
        <w:pStyle w:val="TEKSTI"/>
        <w:rPr>
          <w:rFonts w:cs="Arial"/>
          <w:spacing w:val="-4"/>
        </w:rPr>
      </w:pPr>
      <w:r w:rsidRPr="007114AF">
        <w:rPr>
          <w:rFonts w:cs="Arial"/>
          <w:spacing w:val="-4"/>
        </w:rPr>
        <w:t xml:space="preserve">2. </w:t>
      </w:r>
      <w:r w:rsidR="00396573" w:rsidRPr="007114AF">
        <w:rPr>
          <w:rFonts w:cs="Arial"/>
          <w:spacing w:val="-4"/>
        </w:rPr>
        <w:t>Dhënia e një përmbledhjeje të mundësive përkatëse në lidhje me burimet e mundshme kombëtare dhe ndërkombëtare për financimin</w:t>
      </w:r>
      <w:r w:rsidR="00FF11ED">
        <w:rPr>
          <w:rFonts w:cs="Arial"/>
          <w:spacing w:val="-4"/>
        </w:rPr>
        <w:t xml:space="preserve"> </w:t>
      </w:r>
      <w:r w:rsidR="00396573" w:rsidRPr="007114AF">
        <w:rPr>
          <w:rFonts w:cs="Arial"/>
          <w:spacing w:val="-4"/>
        </w:rPr>
        <w:t xml:space="preserve">e përshtatjes; </w:t>
      </w:r>
    </w:p>
    <w:p w14:paraId="6EDD12EE" w14:textId="77777777" w:rsidR="00396573" w:rsidRPr="007114AF" w:rsidRDefault="00AC0CE4" w:rsidP="000914E2">
      <w:pPr>
        <w:pStyle w:val="TEKSTI"/>
        <w:rPr>
          <w:rFonts w:cs="Arial"/>
          <w:spacing w:val="-4"/>
        </w:rPr>
      </w:pPr>
      <w:r w:rsidRPr="007114AF">
        <w:rPr>
          <w:rFonts w:cs="Arial"/>
          <w:spacing w:val="-4"/>
        </w:rPr>
        <w:t xml:space="preserve">3. </w:t>
      </w:r>
      <w:r w:rsidR="00396573" w:rsidRPr="007114AF">
        <w:rPr>
          <w:rFonts w:cs="Arial"/>
          <w:spacing w:val="-4"/>
        </w:rPr>
        <w:t>Identifikimi dhe dhënia e prioritetit të hapave që duhet të merren për aksesin në financimin e përshtatjes në vitet e ardhshme dhe fillimin e përgatitjes së një udhërrëfyesi me hapat përkatëse.</w:t>
      </w:r>
    </w:p>
    <w:p w14:paraId="6EDD12EF" w14:textId="63604116" w:rsidR="00396573" w:rsidRPr="007114AF" w:rsidRDefault="00396573" w:rsidP="000914E2">
      <w:pPr>
        <w:pStyle w:val="TEKSTI"/>
        <w:rPr>
          <w:rFonts w:cs="Arial"/>
          <w:spacing w:val="-4"/>
        </w:rPr>
      </w:pPr>
      <w:r w:rsidRPr="007114AF">
        <w:rPr>
          <w:rFonts w:cs="Arial"/>
          <w:spacing w:val="-4"/>
        </w:rPr>
        <w:t>Mobilizimi i burimeve për përshtatjen e ndryshimeve klimatike është një problem i ri jo vetëm për Shqipërinë, por edhe në nivel global. Shumë vende kanë miratuar një</w:t>
      </w:r>
      <w:r w:rsidR="000A2A01" w:rsidRPr="007114AF">
        <w:rPr>
          <w:rFonts w:cs="Arial"/>
          <w:spacing w:val="-4"/>
        </w:rPr>
        <w:t xml:space="preserve"> </w:t>
      </w:r>
      <w:r w:rsidRPr="007114AF">
        <w:rPr>
          <w:rFonts w:cs="Arial"/>
          <w:spacing w:val="-4"/>
        </w:rPr>
        <w:t>qasje të orientuar ndaj procesit ose</w:t>
      </w:r>
      <w:r w:rsidRPr="007114AF">
        <w:rPr>
          <w:spacing w:val="-4"/>
        </w:rPr>
        <w:t xml:space="preserve"> kërkesave dhe rrethanave shoqëruese për financime</w:t>
      </w:r>
      <w:r w:rsidR="00FF11ED">
        <w:rPr>
          <w:spacing w:val="-4"/>
        </w:rPr>
        <w:t xml:space="preserve"> </w:t>
      </w:r>
      <w:r w:rsidRPr="007114AF">
        <w:rPr>
          <w:spacing w:val="-4"/>
        </w:rPr>
        <w:t xml:space="preserve">të klimës. </w:t>
      </w:r>
      <w:r w:rsidRPr="007114AF">
        <w:rPr>
          <w:rFonts w:cs="Arial"/>
          <w:spacing w:val="-4"/>
        </w:rPr>
        <w:t>Në thelb, kjo qasje i referohet procesit me anë të të cilit një vend përcakton, përkufizon dhe mobilizon burime financiare dhe burime të tjera të nevojshme për kalimin e tij në një rrugë zhvillimi me aftësi rimëkëmbëse ndaj klimës dhe emetimeve të ulëta. Dokumenti Financiar propozon miratimin e një qasjeje të ngjashme për Shqipërinë. Meqë situata dhe modalitetet e financimit të përshtatjes janë duke u formuar gradualisht dhe duke ndryshuar në mënyrë të vazhdueshme, qasja kërkon përditësime të rregullta dhe të përsëritura.</w:t>
      </w:r>
    </w:p>
    <w:p w14:paraId="6EDD12F0" w14:textId="77777777" w:rsidR="00396573" w:rsidRPr="007114AF" w:rsidRDefault="00AC0CE4" w:rsidP="00AC0CE4">
      <w:pPr>
        <w:pStyle w:val="TEKSTI"/>
        <w:rPr>
          <w:b/>
        </w:rPr>
      </w:pPr>
      <w:r w:rsidRPr="007114AF">
        <w:rPr>
          <w:b/>
        </w:rPr>
        <w:t xml:space="preserve">- </w:t>
      </w:r>
      <w:r w:rsidR="00396573" w:rsidRPr="007114AF">
        <w:rPr>
          <w:b/>
        </w:rPr>
        <w:t>Parimet e ekonomisë së Përshtatjes dhe financimi</w:t>
      </w:r>
    </w:p>
    <w:p w14:paraId="6EDD12F1" w14:textId="77777777" w:rsidR="00396573" w:rsidRPr="007114AF" w:rsidRDefault="00AC0CE4" w:rsidP="000914E2">
      <w:pPr>
        <w:pStyle w:val="TEKSTI"/>
        <w:rPr>
          <w:rFonts w:cs="Arial"/>
        </w:rPr>
      </w:pPr>
      <w:r w:rsidRPr="007114AF">
        <w:rPr>
          <w:rFonts w:cs="Arial"/>
        </w:rPr>
        <w:t xml:space="preserve">- </w:t>
      </w:r>
      <w:r w:rsidR="00396573" w:rsidRPr="007114AF">
        <w:rPr>
          <w:rFonts w:cs="Arial"/>
        </w:rPr>
        <w:t xml:space="preserve">Për shkak të natyrës së masës specifike të planifikuar për përshtatjen, burimet financiare të kërkuara mund të ndryshojnë ndjeshëm. </w:t>
      </w:r>
    </w:p>
    <w:p w14:paraId="6EDD12F2" w14:textId="77777777" w:rsidR="00286663" w:rsidRPr="007114AF" w:rsidRDefault="000914E2" w:rsidP="00BC1DB5">
      <w:pPr>
        <w:spacing w:after="200"/>
        <w:rPr>
          <w:rFonts w:ascii="Garamond" w:hAnsi="Garamond"/>
          <w:b/>
          <w:bCs/>
          <w:iCs/>
        </w:rPr>
      </w:pPr>
      <w:r w:rsidRPr="007114AF">
        <w:rPr>
          <w:rFonts w:ascii="Garamond" w:hAnsi="Garamond" w:cs="Arial"/>
          <w:noProof/>
          <w:color w:val="FF0000"/>
          <w:lang w:val="en-US" w:eastAsia="en-US"/>
        </w:rPr>
        <w:drawing>
          <wp:inline distT="0" distB="0" distL="0" distR="0" wp14:anchorId="6EDD17CA" wp14:editId="6EDD17CB">
            <wp:extent cx="5753100" cy="24098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53100" cy="2409825"/>
                    </a:xfrm>
                    <a:prstGeom prst="rect">
                      <a:avLst/>
                    </a:prstGeom>
                    <a:noFill/>
                    <a:ln>
                      <a:noFill/>
                    </a:ln>
                  </pic:spPr>
                </pic:pic>
              </a:graphicData>
            </a:graphic>
          </wp:inline>
        </w:drawing>
      </w:r>
    </w:p>
    <w:p w14:paraId="6EDD12F3" w14:textId="77777777" w:rsidR="000914E2" w:rsidRPr="007114AF" w:rsidRDefault="000914E2" w:rsidP="000914E2">
      <w:pPr>
        <w:pStyle w:val="TEKSTI"/>
        <w:rPr>
          <w:rFonts w:cs="Arial"/>
        </w:rPr>
      </w:pPr>
      <w:r w:rsidRPr="007114AF">
        <w:rPr>
          <w:rFonts w:cs="Arial"/>
        </w:rPr>
        <w:t>Burimi: Përshtatur nga Mc Gray et al. (2007)</w:t>
      </w:r>
    </w:p>
    <w:p w14:paraId="6EDD12F4" w14:textId="77777777" w:rsidR="000914E2" w:rsidRPr="007114AF" w:rsidRDefault="000914E2" w:rsidP="000914E2">
      <w:pPr>
        <w:pStyle w:val="TEKSTI"/>
        <w:rPr>
          <w:rFonts w:cs="Arial"/>
        </w:rPr>
      </w:pPr>
      <w:r w:rsidRPr="007114AF">
        <w:rPr>
          <w:rFonts w:cs="Arial"/>
        </w:rPr>
        <w:t>Figura 1: Tipologjia e masave të përshtatjes – përshtatja si një formë vazhdimësie që trajton faktorët nxitës të cenueshmërisë për përballimin e ndikimeve të ndryshimit të klimës (Burimi: Përshtatur nga McGray 2007 dhe GIZ dhe WRI 2011)</w:t>
      </w:r>
    </w:p>
    <w:p w14:paraId="6EDD12F5" w14:textId="77777777" w:rsidR="000914E2" w:rsidRPr="007114AF" w:rsidRDefault="000914E2" w:rsidP="000914E2">
      <w:pPr>
        <w:pStyle w:val="TEKSTI"/>
        <w:rPr>
          <w:rFonts w:cs="Arial"/>
        </w:rPr>
      </w:pPr>
    </w:p>
    <w:p w14:paraId="6EDD12F6" w14:textId="31D521EF" w:rsidR="000914E2" w:rsidRPr="007114AF" w:rsidRDefault="000914E2" w:rsidP="000914E2">
      <w:pPr>
        <w:pStyle w:val="TEKSTI"/>
        <w:rPr>
          <w:rFonts w:cs="Arial"/>
        </w:rPr>
      </w:pPr>
      <w:r w:rsidRPr="007114AF">
        <w:rPr>
          <w:rFonts w:cs="Arial"/>
        </w:rPr>
        <w:t xml:space="preserve">Siç përcakton figura 1, shumë veprime dhe projekte investimesh nuk fokusohen kryesisht në rezultatet e përshtatjes, por në rezultate të tjera kryesore ekonomike, sociale, mjedisore ose të mirëqenies. Llogaritjet e kostos përkatëse dhe strategjitë financuese duket ta kenë këtë faktor parasysh dhe zakonisht, financimi i përshtatjes kombinohet më mirë me financim tjetër </w:t>
      </w:r>
      <w:r w:rsidR="00D10DAB" w:rsidRPr="007114AF">
        <w:rPr>
          <w:rFonts w:cs="Arial"/>
        </w:rPr>
        <w:t>‘</w:t>
      </w:r>
      <w:r w:rsidRPr="007114AF">
        <w:rPr>
          <w:rFonts w:cs="Arial"/>
        </w:rPr>
        <w:t>bazë</w:t>
      </w:r>
      <w:r w:rsidR="00D10DAB" w:rsidRPr="007114AF">
        <w:rPr>
          <w:rFonts w:cs="Arial"/>
        </w:rPr>
        <w:t>’</w:t>
      </w:r>
      <w:r w:rsidRPr="007114AF">
        <w:rPr>
          <w:rFonts w:cs="Arial"/>
          <w:vertAlign w:val="superscript"/>
        </w:rPr>
        <w:footnoteReference w:id="58"/>
      </w:r>
      <w:r w:rsidRPr="007114AF">
        <w:rPr>
          <w:rFonts w:cs="Arial"/>
        </w:rPr>
        <w:t xml:space="preserve"> që fokusohet në përfitime të tjera ose më të zgjeruara. </w:t>
      </w:r>
    </w:p>
    <w:p w14:paraId="6EDD12F7" w14:textId="53A449D3" w:rsidR="000914E2" w:rsidRPr="007114AF" w:rsidRDefault="000914E2" w:rsidP="000914E2">
      <w:pPr>
        <w:pStyle w:val="TEKSTI"/>
        <w:rPr>
          <w:rFonts w:cs="Arial"/>
        </w:rPr>
      </w:pPr>
      <w:r w:rsidRPr="007114AF">
        <w:rPr>
          <w:rFonts w:cs="Arial"/>
        </w:rPr>
        <w:t xml:space="preserve">Termat </w:t>
      </w:r>
      <w:r w:rsidR="00D10DAB" w:rsidRPr="007114AF">
        <w:rPr>
          <w:rFonts w:cs="Arial"/>
        </w:rPr>
        <w:t>‘</w:t>
      </w:r>
      <w:r w:rsidRPr="007114AF">
        <w:rPr>
          <w:rFonts w:cs="Arial"/>
        </w:rPr>
        <w:t>element shtesë</w:t>
      </w:r>
      <w:r w:rsidR="00D10DAB" w:rsidRPr="007114AF">
        <w:rPr>
          <w:rFonts w:cs="Arial"/>
        </w:rPr>
        <w:t>’</w:t>
      </w:r>
      <w:r w:rsidRPr="007114AF">
        <w:rPr>
          <w:rFonts w:cs="Arial"/>
        </w:rPr>
        <w:t xml:space="preserve"> dhe </w:t>
      </w:r>
      <w:r w:rsidR="00D10DAB" w:rsidRPr="007114AF">
        <w:rPr>
          <w:rFonts w:cs="Arial"/>
        </w:rPr>
        <w:t>‘</w:t>
      </w:r>
      <w:r w:rsidRPr="007114AF">
        <w:rPr>
          <w:rFonts w:cs="Arial"/>
        </w:rPr>
        <w:t>element rritës</w:t>
      </w:r>
      <w:r w:rsidR="00D10DAB" w:rsidRPr="007114AF">
        <w:rPr>
          <w:rFonts w:cs="Arial"/>
        </w:rPr>
        <w:t>’</w:t>
      </w:r>
      <w:r w:rsidRPr="007114AF">
        <w:rPr>
          <w:rFonts w:cs="Arial"/>
        </w:rPr>
        <w:t xml:space="preserve"> përdoren nga instrumente të financimit të klimës, të tilla si: Shërbimi Mjedisor Global (SHMG) (GEF), Fondi i Vendeve më Pak të Zhvilluara (FVPZH) (LDCF), Fondi i Përshtatjes (FP) (AF) për t</w:t>
      </w:r>
      <w:r w:rsidR="00D10DAB" w:rsidRPr="007114AF">
        <w:rPr>
          <w:rFonts w:cs="Arial"/>
        </w:rPr>
        <w:t>’</w:t>
      </w:r>
      <w:r w:rsidRPr="007114AF">
        <w:rPr>
          <w:rFonts w:cs="Arial"/>
        </w:rPr>
        <w:t xml:space="preserve">iu referuar një devijimi nga projektet </w:t>
      </w:r>
      <w:r w:rsidR="00D10DAB" w:rsidRPr="007114AF">
        <w:rPr>
          <w:rFonts w:cs="Arial"/>
        </w:rPr>
        <w:t>‘</w:t>
      </w:r>
      <w:r w:rsidRPr="007114AF">
        <w:rPr>
          <w:rFonts w:cs="Arial"/>
        </w:rPr>
        <w:t>bazë</w:t>
      </w:r>
      <w:r w:rsidR="00D10DAB" w:rsidRPr="007114AF">
        <w:rPr>
          <w:rFonts w:cs="Arial"/>
        </w:rPr>
        <w:t>’</w:t>
      </w:r>
      <w:r w:rsidRPr="007114AF">
        <w:rPr>
          <w:rFonts w:cs="Arial"/>
        </w:rPr>
        <w:t xml:space="preserve">. Ky koncept shpesh përdoret si një kriter pranueshmërie ose verifikimi nga fondet e përshtatjes, pra vetëm fondet rritëse sigurohen, nëse financimi bazë ofrohet nëpërmjet një donatori tjetër. Gjithashtu, projektpropozimi duhet të tregojë se komponenti </w:t>
      </w:r>
      <w:r w:rsidR="00D10DAB" w:rsidRPr="007114AF">
        <w:rPr>
          <w:rFonts w:cs="Arial"/>
        </w:rPr>
        <w:t>‘</w:t>
      </w:r>
      <w:r w:rsidRPr="007114AF">
        <w:rPr>
          <w:rFonts w:cs="Arial"/>
        </w:rPr>
        <w:t>përshtatës</w:t>
      </w:r>
      <w:r w:rsidR="00D10DAB" w:rsidRPr="007114AF">
        <w:rPr>
          <w:rFonts w:cs="Arial"/>
        </w:rPr>
        <w:t>’</w:t>
      </w:r>
      <w:r w:rsidRPr="007114AF">
        <w:rPr>
          <w:rFonts w:cs="Arial"/>
        </w:rPr>
        <w:t xml:space="preserve"> është thelbësor për suksesin e projektit. </w:t>
      </w:r>
    </w:p>
    <w:p w14:paraId="6EDD12F8" w14:textId="77777777" w:rsidR="000914E2" w:rsidRPr="007114AF" w:rsidRDefault="000914E2" w:rsidP="000914E2">
      <w:pPr>
        <w:pStyle w:val="TEKSTI"/>
        <w:rPr>
          <w:rFonts w:cs="Arial"/>
        </w:rPr>
      </w:pPr>
      <w:r w:rsidRPr="007114AF">
        <w:rPr>
          <w:rFonts w:cs="Arial"/>
        </w:rPr>
        <w:t>Përveç kësaj, shumë strategji përshtatjeje kryejnë dallimin midis tri kategorive të veprimeve:</w:t>
      </w:r>
    </w:p>
    <w:p w14:paraId="6EDD12F9" w14:textId="77777777" w:rsidR="000914E2" w:rsidRPr="007114AF" w:rsidRDefault="000914E2" w:rsidP="000914E2">
      <w:pPr>
        <w:pStyle w:val="TEKSTI"/>
        <w:rPr>
          <w:rFonts w:cs="Arial"/>
        </w:rPr>
      </w:pPr>
      <w:r w:rsidRPr="007114AF">
        <w:rPr>
          <w:rFonts w:cs="Arial"/>
        </w:rPr>
        <w:t>Kategoria 1: Stimulimi/përmirësimi i masave ekzistuese dhe të planifikuara</w:t>
      </w:r>
    </w:p>
    <w:p w14:paraId="6EDD12FA" w14:textId="77777777" w:rsidR="000914E2" w:rsidRPr="007114AF" w:rsidRDefault="000914E2" w:rsidP="000914E2">
      <w:pPr>
        <w:pStyle w:val="TEKSTI"/>
        <w:rPr>
          <w:rFonts w:cs="Arial"/>
        </w:rPr>
      </w:pPr>
      <w:r w:rsidRPr="007114AF">
        <w:rPr>
          <w:rFonts w:cs="Arial"/>
        </w:rPr>
        <w:t xml:space="preserve">Kategoria 2: Ndryshimi i masave ekzistuese nëpërmjet mbrojtjes klimatike </w:t>
      </w:r>
    </w:p>
    <w:p w14:paraId="6EDD12FB" w14:textId="77777777" w:rsidR="000914E2" w:rsidRPr="007114AF" w:rsidRDefault="000914E2" w:rsidP="000914E2">
      <w:pPr>
        <w:pStyle w:val="TEKSTI"/>
        <w:rPr>
          <w:rFonts w:cs="Arial"/>
        </w:rPr>
      </w:pPr>
      <w:r w:rsidRPr="007114AF">
        <w:rPr>
          <w:rFonts w:cs="Arial"/>
        </w:rPr>
        <w:t>Kategoria 3: Masat e reja të dedikuara për ndryshimin e klimës.</w:t>
      </w:r>
    </w:p>
    <w:p w14:paraId="6EDD12FC" w14:textId="54F202BF" w:rsidR="000914E2" w:rsidRPr="007114AF" w:rsidRDefault="000914E2" w:rsidP="000914E2">
      <w:pPr>
        <w:pStyle w:val="TEKSTI"/>
        <w:rPr>
          <w:rFonts w:cs="Arial"/>
        </w:rPr>
      </w:pPr>
      <w:r w:rsidRPr="007114AF">
        <w:rPr>
          <w:rFonts w:cs="Arial"/>
        </w:rPr>
        <w:t>Gjithashtu, Komunikimi i Tretë Kombëtare e Shqipërisë identifikon kategori, të tilla si masa të buta të gjelbra (p.sh.</w:t>
      </w:r>
      <w:r w:rsidR="00FF11ED">
        <w:rPr>
          <w:rFonts w:cs="Arial"/>
        </w:rPr>
        <w:t xml:space="preserve"> </w:t>
      </w:r>
      <w:r w:rsidRPr="007114AF">
        <w:rPr>
          <w:rFonts w:cs="Arial"/>
        </w:rPr>
        <w:t xml:space="preserve">përshtatja e bazuar në ekosistem), masa gri/gjysmë të forta (pra, ndërhyrje inxhinierike) dhe masa fiskale për përshtatje. </w:t>
      </w:r>
    </w:p>
    <w:p w14:paraId="6EDD12FD" w14:textId="77777777" w:rsidR="000914E2" w:rsidRPr="007114AF" w:rsidRDefault="000914E2" w:rsidP="000914E2">
      <w:pPr>
        <w:pStyle w:val="TEKSTI"/>
        <w:rPr>
          <w:rFonts w:cs="Arial"/>
          <w:spacing w:val="-4"/>
        </w:rPr>
      </w:pPr>
      <w:r w:rsidRPr="007114AF">
        <w:rPr>
          <w:rFonts w:cs="Arial"/>
          <w:spacing w:val="-4"/>
        </w:rPr>
        <w:t>Për qëllime të mobilizimit të burimeve financiare, elementi shtesë i lidhur me përshtatjen dhe tipi i përshtatjes përkatëse ose kategoria e një mase specifike të planifikuar do të përcaktojnë llojin e financimit të kërkuar dhe qasjen përkatëse për mobilizimin e këtyre burimeve. Çështjet në vijim duhet të trajtohen si pjesë e një qasjeje të tillë:</w:t>
      </w:r>
    </w:p>
    <w:p w14:paraId="6EDD12FE" w14:textId="77777777" w:rsidR="000914E2" w:rsidRPr="007114AF" w:rsidRDefault="00AC0CE4" w:rsidP="000914E2">
      <w:pPr>
        <w:pStyle w:val="TEKSTI"/>
        <w:rPr>
          <w:rFonts w:cs="Arial"/>
          <w:spacing w:val="-4"/>
        </w:rPr>
      </w:pPr>
      <w:r w:rsidRPr="007114AF">
        <w:rPr>
          <w:rFonts w:cs="Arial"/>
          <w:spacing w:val="-4"/>
        </w:rPr>
        <w:t xml:space="preserve">- </w:t>
      </w:r>
      <w:r w:rsidR="000914E2" w:rsidRPr="007114AF">
        <w:rPr>
          <w:rFonts w:cs="Arial"/>
          <w:spacing w:val="-4"/>
        </w:rPr>
        <w:t xml:space="preserve">A do të duhet që fondet që do të mblidhen të mbulojnë shpenzimet e plota të ndërhyrjes së planifikuar apo vetëm disa pjesë të saj? </w:t>
      </w:r>
    </w:p>
    <w:p w14:paraId="6EDD12FF" w14:textId="2DF68891" w:rsidR="000914E2" w:rsidRPr="007114AF" w:rsidRDefault="00AC0CE4" w:rsidP="000914E2">
      <w:pPr>
        <w:pStyle w:val="TEKSTI"/>
        <w:rPr>
          <w:rFonts w:cs="Arial"/>
          <w:spacing w:val="-4"/>
        </w:rPr>
      </w:pPr>
      <w:r w:rsidRPr="007114AF">
        <w:rPr>
          <w:rFonts w:cs="Arial"/>
          <w:spacing w:val="-4"/>
        </w:rPr>
        <w:t xml:space="preserve">- </w:t>
      </w:r>
      <w:r w:rsidR="000914E2" w:rsidRPr="007114AF">
        <w:rPr>
          <w:rFonts w:cs="Arial"/>
          <w:spacing w:val="-4"/>
        </w:rPr>
        <w:t>Cili kombinim i investimeve ose fondeve/investuesve është i përshtatshëm për projektin bazë dhe përpjekjen e përshtatjes shtesë?</w:t>
      </w:r>
      <w:r w:rsidR="000A2A01" w:rsidRPr="007114AF">
        <w:rPr>
          <w:rFonts w:cs="Arial"/>
          <w:spacing w:val="-4"/>
        </w:rPr>
        <w:t xml:space="preserve"> </w:t>
      </w:r>
    </w:p>
    <w:p w14:paraId="6EDD1300" w14:textId="49F59629" w:rsidR="000914E2" w:rsidRPr="007114AF" w:rsidRDefault="00AC0CE4" w:rsidP="000914E2">
      <w:pPr>
        <w:pStyle w:val="TEKSTI"/>
        <w:rPr>
          <w:rFonts w:cs="Arial"/>
          <w:spacing w:val="-4"/>
        </w:rPr>
      </w:pPr>
      <w:r w:rsidRPr="007114AF">
        <w:rPr>
          <w:rFonts w:cs="Arial"/>
          <w:spacing w:val="-4"/>
        </w:rPr>
        <w:t xml:space="preserve">- </w:t>
      </w:r>
      <w:r w:rsidR="000914E2" w:rsidRPr="007114AF">
        <w:rPr>
          <w:rFonts w:cs="Arial"/>
          <w:spacing w:val="-4"/>
        </w:rPr>
        <w:t xml:space="preserve">A ka qasje, projekte dhe teknologji ekzistuese që mund të përdoren për kanalizimin e financimit të </w:t>
      </w:r>
      <w:r w:rsidR="00D10DAB" w:rsidRPr="007114AF">
        <w:rPr>
          <w:rFonts w:cs="Arial"/>
          <w:spacing w:val="-4"/>
        </w:rPr>
        <w:t>‘</w:t>
      </w:r>
      <w:r w:rsidR="000914E2" w:rsidRPr="007114AF">
        <w:rPr>
          <w:rFonts w:cs="Arial"/>
          <w:spacing w:val="-4"/>
        </w:rPr>
        <w:t>ri</w:t>
      </w:r>
      <w:r w:rsidR="00D10DAB" w:rsidRPr="007114AF">
        <w:rPr>
          <w:rFonts w:cs="Arial"/>
          <w:spacing w:val="-4"/>
        </w:rPr>
        <w:t>’</w:t>
      </w:r>
      <w:r w:rsidR="000914E2" w:rsidRPr="007114AF">
        <w:rPr>
          <w:rFonts w:cs="Arial"/>
          <w:spacing w:val="-4"/>
        </w:rPr>
        <w:t xml:space="preserve"> të përshtatjes? Si mund të identifikohen ato më mirë? </w:t>
      </w:r>
    </w:p>
    <w:p w14:paraId="6EDD1301" w14:textId="4AB3207C" w:rsidR="000914E2" w:rsidRPr="007114AF" w:rsidRDefault="00AC0CE4" w:rsidP="000914E2">
      <w:pPr>
        <w:pStyle w:val="TEKSTI"/>
        <w:rPr>
          <w:rFonts w:cs="Arial"/>
          <w:spacing w:val="-4"/>
        </w:rPr>
      </w:pPr>
      <w:r w:rsidRPr="007114AF">
        <w:rPr>
          <w:rFonts w:cs="Arial"/>
          <w:spacing w:val="-4"/>
        </w:rPr>
        <w:t xml:space="preserve">- </w:t>
      </w:r>
      <w:r w:rsidR="000914E2" w:rsidRPr="007114AF">
        <w:rPr>
          <w:rFonts w:cs="Arial"/>
          <w:spacing w:val="-4"/>
        </w:rPr>
        <w:t>A mund të mbështetet/zgjerohet sektori publik në përshtatjen e pavarur ekzistuese nga qytetarët/grupet e qytetarëve, sektori privat, OJF-ët etj</w:t>
      </w:r>
      <w:r w:rsidR="00FF11ED">
        <w:rPr>
          <w:rFonts w:cs="Arial"/>
          <w:spacing w:val="-4"/>
        </w:rPr>
        <w:t>.</w:t>
      </w:r>
      <w:r w:rsidR="000914E2" w:rsidRPr="007114AF">
        <w:rPr>
          <w:rFonts w:cs="Arial"/>
          <w:spacing w:val="-4"/>
        </w:rPr>
        <w:t xml:space="preserve">? </w:t>
      </w:r>
    </w:p>
    <w:p w14:paraId="6EDD1302" w14:textId="77777777" w:rsidR="000914E2" w:rsidRPr="007114AF" w:rsidRDefault="000914E2" w:rsidP="000914E2">
      <w:pPr>
        <w:pStyle w:val="TEKSTI"/>
        <w:rPr>
          <w:rFonts w:cs="Arial"/>
          <w:spacing w:val="-4"/>
          <w:u w:val="single"/>
        </w:rPr>
      </w:pPr>
      <w:r w:rsidRPr="007114AF">
        <w:rPr>
          <w:rFonts w:cs="Arial"/>
          <w:spacing w:val="-4"/>
          <w:u w:val="single"/>
        </w:rPr>
        <w:t xml:space="preserve">Efektiviteti i përshtatjes nuk është gjithmonë proporcional me shumën e financimit ose investimin e përshtatjes </w:t>
      </w:r>
    </w:p>
    <w:p w14:paraId="6EDD1303" w14:textId="77777777" w:rsidR="000914E2" w:rsidRPr="007114AF" w:rsidRDefault="000914E2" w:rsidP="000914E2">
      <w:pPr>
        <w:pStyle w:val="TEKSTI"/>
        <w:rPr>
          <w:rFonts w:cs="Arial"/>
          <w:spacing w:val="-4"/>
        </w:rPr>
      </w:pPr>
      <w:r w:rsidRPr="007114AF">
        <w:rPr>
          <w:rFonts w:cs="Arial"/>
          <w:spacing w:val="-4"/>
        </w:rPr>
        <w:t xml:space="preserve">Përshtatja përkufizohet si një përshtatje ndaj stimujve klimatikë, pra kushtet klimatike dhe fenomeneve rrjedhuese të motit. Pra, efektiviteti i përshtatjes varet nga cilësia e vlerësimit të ndikimit të ndryshimit të klimës, si dhe nga shkalla dhe përshtatshmëria e procesit për marrjen parasysh të rezultateve të vlerësimit përkatës gjatë planifikimit dhe projektimit të një përpjekjeje për përshtatje. </w:t>
      </w:r>
    </w:p>
    <w:p w14:paraId="6EDD1304" w14:textId="1DC23C91" w:rsidR="000914E2" w:rsidRPr="007114AF" w:rsidRDefault="000914E2" w:rsidP="000914E2">
      <w:pPr>
        <w:pStyle w:val="TEKSTI"/>
        <w:rPr>
          <w:rFonts w:cs="Arial"/>
          <w:spacing w:val="-4"/>
        </w:rPr>
      </w:pPr>
      <w:r w:rsidRPr="007114AF">
        <w:rPr>
          <w:rFonts w:cs="Arial"/>
          <w:spacing w:val="-4"/>
        </w:rPr>
        <w:t xml:space="preserve">Çfarë do të thotë kjo për financimin e këtyre përpjekjeve? Për përgjigje ndaj ndryshimeve të klimës, </w:t>
      </w:r>
      <w:r w:rsidR="00D10DAB" w:rsidRPr="007114AF">
        <w:rPr>
          <w:rFonts w:cs="Arial"/>
          <w:spacing w:val="-4"/>
        </w:rPr>
        <w:t>‘</w:t>
      </w:r>
      <w:r w:rsidRPr="007114AF">
        <w:rPr>
          <w:rFonts w:cs="Arial"/>
          <w:spacing w:val="-4"/>
        </w:rPr>
        <w:t>vendi</w:t>
      </w:r>
      <w:r w:rsidR="00D10DAB" w:rsidRPr="007114AF">
        <w:rPr>
          <w:rFonts w:cs="Arial"/>
          <w:spacing w:val="-4"/>
        </w:rPr>
        <w:t>’</w:t>
      </w:r>
      <w:r w:rsidRPr="007114AF">
        <w:rPr>
          <w:rFonts w:cs="Arial"/>
          <w:spacing w:val="-4"/>
        </w:rPr>
        <w:t xml:space="preserve"> dhe </w:t>
      </w:r>
      <w:r w:rsidR="00D10DAB" w:rsidRPr="007114AF">
        <w:rPr>
          <w:rFonts w:cs="Arial"/>
          <w:spacing w:val="-4"/>
        </w:rPr>
        <w:t>‘</w:t>
      </w:r>
      <w:r w:rsidRPr="007114AF">
        <w:rPr>
          <w:rFonts w:cs="Arial"/>
          <w:spacing w:val="-4"/>
        </w:rPr>
        <w:t>mënyra</w:t>
      </w:r>
      <w:r w:rsidR="00D10DAB" w:rsidRPr="007114AF">
        <w:rPr>
          <w:rFonts w:cs="Arial"/>
          <w:spacing w:val="-4"/>
        </w:rPr>
        <w:t>’</w:t>
      </w:r>
      <w:r w:rsidRPr="007114AF">
        <w:rPr>
          <w:rFonts w:cs="Arial"/>
          <w:spacing w:val="-4"/>
        </w:rPr>
        <w:t xml:space="preserve"> e aplikimit të një mase shpesh përcakton, nëse një projekt përshtatjeje është i rëndësishëm dhe i përshtatshëm apo jo. Në veçanti, në një mjedis ku fondet janë përgjithësisht të kufizuara dhe aksesi tek fondet është tepër konkurrues, mënyra më e mirë për gjenerimin e një ndikimi më të gjerë është rritja e efektivitetit (pra, arritja e rezultatit duke vepruar siç duhet). Efektiviteti i të njëjtit aktivitet/projekt përshtatjeje mund të rritet ndjeshëm, nëse kryhet </w:t>
      </w:r>
      <w:r w:rsidR="00D10DAB" w:rsidRPr="007114AF">
        <w:rPr>
          <w:rFonts w:cs="Arial"/>
          <w:spacing w:val="-4"/>
        </w:rPr>
        <w:t>‘</w:t>
      </w:r>
      <w:r w:rsidRPr="007114AF">
        <w:rPr>
          <w:rFonts w:cs="Arial"/>
          <w:spacing w:val="-4"/>
        </w:rPr>
        <w:t>në kohën e duhur</w:t>
      </w:r>
      <w:r w:rsidR="00D10DAB" w:rsidRPr="007114AF">
        <w:rPr>
          <w:rFonts w:cs="Arial"/>
          <w:spacing w:val="-4"/>
        </w:rPr>
        <w:t>’</w:t>
      </w:r>
      <w:r w:rsidRPr="007114AF">
        <w:rPr>
          <w:rFonts w:cs="Arial"/>
          <w:spacing w:val="-4"/>
        </w:rPr>
        <w:t xml:space="preserve"> dhe në </w:t>
      </w:r>
      <w:r w:rsidR="00D10DAB" w:rsidRPr="007114AF">
        <w:rPr>
          <w:rFonts w:cs="Arial"/>
          <w:spacing w:val="-4"/>
        </w:rPr>
        <w:t>‘</w:t>
      </w:r>
      <w:r w:rsidRPr="007114AF">
        <w:rPr>
          <w:rFonts w:cs="Arial"/>
          <w:spacing w:val="-4"/>
        </w:rPr>
        <w:t>vendin e duhur.</w:t>
      </w:r>
      <w:r w:rsidR="00D10DAB" w:rsidRPr="007114AF">
        <w:rPr>
          <w:rFonts w:cs="Arial"/>
          <w:spacing w:val="-4"/>
        </w:rPr>
        <w:t>’</w:t>
      </w:r>
    </w:p>
    <w:p w14:paraId="6EDD1305" w14:textId="5965CD88" w:rsidR="000914E2" w:rsidRPr="007114AF" w:rsidRDefault="000914E2" w:rsidP="000914E2">
      <w:pPr>
        <w:pStyle w:val="TEKSTI"/>
        <w:rPr>
          <w:rFonts w:cs="Arial"/>
          <w:spacing w:val="-4"/>
        </w:rPr>
      </w:pPr>
      <w:r w:rsidRPr="007114AF">
        <w:rPr>
          <w:rFonts w:cs="Arial"/>
          <w:spacing w:val="-4"/>
        </w:rPr>
        <w:t>Në mungesë të të dhënave të besueshme të ndikimeve të klimës, varfëria është treguesi më i mirë përfaqësues për cenueshmërinë/vulnerabilitetin. Kjo ka rezultuar nga një numër i madh studimesh</w:t>
      </w:r>
      <w:r w:rsidRPr="007114AF">
        <w:rPr>
          <w:rFonts w:cs="Arial"/>
          <w:spacing w:val="-4"/>
          <w:vertAlign w:val="superscript"/>
        </w:rPr>
        <w:footnoteReference w:id="59"/>
      </w:r>
      <w:r w:rsidRPr="007114AF">
        <w:rPr>
          <w:rFonts w:cs="Arial"/>
          <w:spacing w:val="-4"/>
        </w:rPr>
        <w:t>. Në këtë drejtim duhet t</w:t>
      </w:r>
      <w:r w:rsidR="00D10DAB" w:rsidRPr="007114AF">
        <w:rPr>
          <w:rFonts w:cs="Arial"/>
          <w:spacing w:val="-4"/>
        </w:rPr>
        <w:t>’</w:t>
      </w:r>
      <w:r w:rsidRPr="007114AF">
        <w:rPr>
          <w:rFonts w:cs="Arial"/>
          <w:spacing w:val="-4"/>
        </w:rPr>
        <w:t>i kushtohet më shumë vëmendje çështjes së shenjëstrimit dhe përzgjedhjes së përfituesve. Të varfrit janë shpesh ata që vuajnë më shumë nga ndikimet e ndryshimeve klimatike dhe si rrjedhojë, duhet t</w:t>
      </w:r>
      <w:r w:rsidR="00D10DAB" w:rsidRPr="007114AF">
        <w:rPr>
          <w:rFonts w:cs="Arial"/>
          <w:spacing w:val="-4"/>
        </w:rPr>
        <w:t>’</w:t>
      </w:r>
      <w:r w:rsidRPr="007114AF">
        <w:rPr>
          <w:rFonts w:cs="Arial"/>
          <w:spacing w:val="-4"/>
        </w:rPr>
        <w:t xml:space="preserve">u jepet prioritet gjatë përzgjedhjes së aktiviteteve dhe vendndodhjeve të projektit, vetëm nëse nuk ka të dhëna se faktorë të ndryshëm nga ata ekonomikë do të përcaktonin vulnerabilitetin në një zonë specifike. </w:t>
      </w:r>
    </w:p>
    <w:p w14:paraId="6EDD1306" w14:textId="0DA47F7F" w:rsidR="000914E2" w:rsidRPr="007114AF" w:rsidRDefault="000914E2" w:rsidP="000914E2">
      <w:pPr>
        <w:pStyle w:val="TEKSTI"/>
        <w:rPr>
          <w:rFonts w:cs="Arial"/>
          <w:spacing w:val="-4"/>
        </w:rPr>
      </w:pPr>
      <w:r w:rsidRPr="007114AF">
        <w:rPr>
          <w:rFonts w:cs="Arial"/>
          <w:spacing w:val="-4"/>
        </w:rPr>
        <w:t>Duke pasur parasysh rezultatet e PNNK-ut (IPCC) AR5</w:t>
      </w:r>
      <w:r w:rsidRPr="007114AF">
        <w:rPr>
          <w:rFonts w:cs="Arial"/>
          <w:spacing w:val="-4"/>
          <w:vertAlign w:val="superscript"/>
        </w:rPr>
        <w:footnoteReference w:id="60"/>
      </w:r>
      <w:r w:rsidRPr="007114AF">
        <w:rPr>
          <w:rFonts w:cs="Arial"/>
          <w:spacing w:val="-4"/>
        </w:rPr>
        <w:t>, është gjithashtu thelbësore që të theksohet dhe rëndësia politike si pjesë integrale e një mase efektive të përshtatjes. Ndryshimet Klimatike (CC) nuk duhet të transmetohen vetëm si një çështje teknike, por, siç u përmend më lart, është e rëndësishme të thuhet që përshtatja nuk është element shtesë dhe nuk varion shumë nga një</w:t>
      </w:r>
      <w:r w:rsidR="000A2A01" w:rsidRPr="007114AF">
        <w:rPr>
          <w:rFonts w:cs="Arial"/>
          <w:spacing w:val="-4"/>
        </w:rPr>
        <w:t xml:space="preserve"> </w:t>
      </w:r>
      <w:r w:rsidRPr="007114AF">
        <w:rPr>
          <w:rFonts w:cs="Arial"/>
          <w:spacing w:val="-4"/>
        </w:rPr>
        <w:t xml:space="preserve">projekt i zakonshëm. Ndonjëherë, një ndryshim i vogël i një aktiviteti të </w:t>
      </w:r>
      <w:r w:rsidR="00D10DAB" w:rsidRPr="007114AF">
        <w:rPr>
          <w:rFonts w:cs="Arial"/>
          <w:spacing w:val="-4"/>
        </w:rPr>
        <w:t>‘</w:t>
      </w:r>
      <w:r w:rsidRPr="007114AF">
        <w:rPr>
          <w:rFonts w:cs="Arial"/>
          <w:spacing w:val="-4"/>
        </w:rPr>
        <w:t>rregullt</w:t>
      </w:r>
      <w:r w:rsidR="00D10DAB" w:rsidRPr="007114AF">
        <w:rPr>
          <w:rFonts w:cs="Arial"/>
          <w:spacing w:val="-4"/>
        </w:rPr>
        <w:t>’</w:t>
      </w:r>
      <w:r w:rsidRPr="007114AF">
        <w:rPr>
          <w:rFonts w:cs="Arial"/>
          <w:spacing w:val="-4"/>
        </w:rPr>
        <w:t xml:space="preserve"> është i mjaftueshëm për mbrojtjen e tyre klimatike ose për t</w:t>
      </w:r>
      <w:r w:rsidR="00D10DAB" w:rsidRPr="007114AF">
        <w:rPr>
          <w:rFonts w:cs="Arial"/>
          <w:spacing w:val="-4"/>
        </w:rPr>
        <w:t>’</w:t>
      </w:r>
      <w:r w:rsidRPr="007114AF">
        <w:rPr>
          <w:rFonts w:cs="Arial"/>
          <w:spacing w:val="-4"/>
        </w:rPr>
        <w:t xml:space="preserve">iu përshtatur ndaj ndryshimeve klimatike. </w:t>
      </w:r>
    </w:p>
    <w:p w14:paraId="6EDD1307" w14:textId="5C7930C2" w:rsidR="000914E2" w:rsidRPr="007114AF" w:rsidRDefault="000914E2" w:rsidP="00BC439D">
      <w:pPr>
        <w:pStyle w:val="TEKSTI"/>
        <w:rPr>
          <w:rFonts w:cs="Arial"/>
          <w:spacing w:val="-4"/>
        </w:rPr>
      </w:pPr>
      <w:r w:rsidRPr="007114AF">
        <w:rPr>
          <w:rFonts w:cs="Arial"/>
          <w:spacing w:val="-4"/>
        </w:rPr>
        <w:t xml:space="preserve">Kjo do të thotë, për mobilizimin e burimeve të procesit të NAP-it, përveç dhënies së prioritetit të masave të caktuara në NAP, është i nevojshëm një shtjellim më i hollësishëm i aspekteve, të tilla si </w:t>
      </w:r>
      <w:r w:rsidR="000A2A01" w:rsidRPr="007114AF">
        <w:rPr>
          <w:rFonts w:cs="Arial"/>
          <w:spacing w:val="-4"/>
        </w:rPr>
        <w:t>“</w:t>
      </w:r>
      <w:r w:rsidRPr="007114AF">
        <w:rPr>
          <w:rFonts w:cs="Arial"/>
          <w:spacing w:val="-4"/>
        </w:rPr>
        <w:t>ku</w:t>
      </w:r>
      <w:r w:rsidR="000A2A01" w:rsidRPr="007114AF">
        <w:rPr>
          <w:rFonts w:cs="Arial"/>
          <w:spacing w:val="-4"/>
        </w:rPr>
        <w:t>”</w:t>
      </w:r>
      <w:r w:rsidRPr="007114AF">
        <w:rPr>
          <w:rFonts w:cs="Arial"/>
          <w:spacing w:val="-4"/>
        </w:rPr>
        <w:t xml:space="preserve">, </w:t>
      </w:r>
      <w:r w:rsidR="000A2A01" w:rsidRPr="007114AF">
        <w:rPr>
          <w:rFonts w:cs="Arial"/>
          <w:spacing w:val="-4"/>
        </w:rPr>
        <w:t>“</w:t>
      </w:r>
      <w:r w:rsidRPr="007114AF">
        <w:rPr>
          <w:rFonts w:cs="Arial"/>
          <w:spacing w:val="-4"/>
        </w:rPr>
        <w:t>kush</w:t>
      </w:r>
      <w:r w:rsidR="000A2A01" w:rsidRPr="007114AF">
        <w:rPr>
          <w:rFonts w:cs="Arial"/>
          <w:spacing w:val="-4"/>
        </w:rPr>
        <w:t>”</w:t>
      </w:r>
      <w:r w:rsidRPr="007114AF">
        <w:rPr>
          <w:rFonts w:cs="Arial"/>
          <w:spacing w:val="-4"/>
        </w:rPr>
        <w:t xml:space="preserve"> dhe </w:t>
      </w:r>
      <w:r w:rsidR="000A2A01" w:rsidRPr="007114AF">
        <w:rPr>
          <w:rFonts w:cs="Arial"/>
          <w:spacing w:val="-4"/>
        </w:rPr>
        <w:t>“</w:t>
      </w:r>
      <w:r w:rsidRPr="007114AF">
        <w:rPr>
          <w:rFonts w:cs="Arial"/>
          <w:spacing w:val="-4"/>
        </w:rPr>
        <w:t>si</w:t>
      </w:r>
      <w:r w:rsidR="000A2A01" w:rsidRPr="007114AF">
        <w:rPr>
          <w:rFonts w:cs="Arial"/>
          <w:spacing w:val="-4"/>
        </w:rPr>
        <w:t>”</w:t>
      </w:r>
      <w:r w:rsidRPr="007114AF">
        <w:rPr>
          <w:rFonts w:cs="Arial"/>
          <w:spacing w:val="-4"/>
        </w:rPr>
        <w:t xml:space="preserve"> për rritjen e efektivi</w:t>
      </w:r>
      <w:r w:rsidR="00BC439D" w:rsidRPr="007114AF">
        <w:rPr>
          <w:rFonts w:cs="Arial"/>
          <w:spacing w:val="-4"/>
        </w:rPr>
        <w:t>tetit të masave të përshtatjes.</w:t>
      </w:r>
    </w:p>
    <w:p w14:paraId="6EDD1308" w14:textId="77777777" w:rsidR="000914E2" w:rsidRPr="007114AF" w:rsidRDefault="000914E2" w:rsidP="000914E2">
      <w:pPr>
        <w:pStyle w:val="TEKSTI"/>
        <w:rPr>
          <w:rFonts w:cs="Arial"/>
          <w:spacing w:val="-4"/>
          <w:u w:val="single"/>
        </w:rPr>
      </w:pPr>
      <w:r w:rsidRPr="007114AF">
        <w:rPr>
          <w:rFonts w:cs="Arial"/>
          <w:spacing w:val="-4"/>
          <w:u w:val="single"/>
        </w:rPr>
        <w:t xml:space="preserve">Dimensioni i financimit të kërkuar të përshtatjes </w:t>
      </w:r>
    </w:p>
    <w:p w14:paraId="6EDD1309" w14:textId="73742B6E" w:rsidR="000914E2" w:rsidRPr="007114AF" w:rsidRDefault="000914E2" w:rsidP="000914E2">
      <w:pPr>
        <w:pStyle w:val="TEKSTI"/>
        <w:rPr>
          <w:rFonts w:cs="Arial"/>
          <w:spacing w:val="-4"/>
        </w:rPr>
      </w:pPr>
      <w:r w:rsidRPr="007114AF">
        <w:rPr>
          <w:rFonts w:cs="Arial"/>
          <w:spacing w:val="-4"/>
        </w:rPr>
        <w:t>Nevojat financiare mund të ndryshojnë ndjeshëm, në varësi të lloji të masës së përshtatjes që do të financohet. Shpesh bëhet dallim midis përshtatjes transformuese dhe rritëse. Përshtatjet transformuese që nënkuptojnë kalimin e një pragu për ndryshime sistematike (sistemi A transformohet në sistemin B) shpesh kërkojnë investime të mëdha fillestare, me përfitime,</w:t>
      </w:r>
      <w:r w:rsidR="00FF11ED">
        <w:rPr>
          <w:rFonts w:cs="Arial"/>
          <w:spacing w:val="-4"/>
        </w:rPr>
        <w:t xml:space="preserve"> </w:t>
      </w:r>
      <w:r w:rsidRPr="007114AF">
        <w:rPr>
          <w:rFonts w:cs="Arial"/>
          <w:spacing w:val="-4"/>
        </w:rPr>
        <w:t xml:space="preserve">ndikimet e eliminuara, të perceptuara mirë vetëm në të ardhmen. Përshtatja rritëse sjell një ndryshim, por ruan karakteristikat kryesore të një sistemi dhe mund të tolerojë rreziqe të mbetura shtesë, por kërkesat financiare mund të rregullohen gradualisht dhe strategjia e ngjashme e mobilizimit të fondeve mund të përdorë arritje fillestare si stimul për investime të ardhshme. </w:t>
      </w:r>
    </w:p>
    <w:p w14:paraId="6EDD130A" w14:textId="77777777" w:rsidR="000914E2" w:rsidRPr="007114AF" w:rsidRDefault="000914E2" w:rsidP="000914E2">
      <w:pPr>
        <w:pStyle w:val="TEKSTI"/>
        <w:rPr>
          <w:rFonts w:cs="Arial"/>
          <w:spacing w:val="-4"/>
        </w:rPr>
      </w:pPr>
      <w:r w:rsidRPr="007114AF">
        <w:rPr>
          <w:rFonts w:cs="Arial"/>
          <w:spacing w:val="-4"/>
        </w:rPr>
        <w:t>Shpenzimet e veprimeve të përshtatjeve që janë zgjerime ose përpunime të përshtatjeve të bëra më parë mund të llogariten shpesh nga ekstrapolimi, ndërsa shpenzimet e përshtatjeve të reja dhe ndryshimet e vendndodhjeve janë të panjohura, por prezumohen të jenë të larta.</w:t>
      </w:r>
    </w:p>
    <w:p w14:paraId="6EDD130B" w14:textId="77777777" w:rsidR="000914E2" w:rsidRPr="007114AF" w:rsidRDefault="000914E2" w:rsidP="000914E2">
      <w:pPr>
        <w:pStyle w:val="TEKSTI"/>
        <w:rPr>
          <w:rFonts w:eastAsia="Times New Roman"/>
          <w:b/>
          <w:i/>
          <w:spacing w:val="-4"/>
        </w:rPr>
      </w:pPr>
      <w:r w:rsidRPr="007114AF">
        <w:rPr>
          <w:rFonts w:eastAsia="Times New Roman"/>
          <w:b/>
          <w:i/>
          <w:spacing w:val="-4"/>
        </w:rPr>
        <w:t>Elementët e një Qasjeje të Suksesshme të Mobilizimit të Burimeve financiare</w:t>
      </w:r>
    </w:p>
    <w:p w14:paraId="6EDD130C" w14:textId="77777777" w:rsidR="000914E2" w:rsidRPr="007114AF" w:rsidRDefault="000914E2" w:rsidP="000914E2">
      <w:pPr>
        <w:pStyle w:val="TEKSTI"/>
        <w:rPr>
          <w:rFonts w:eastAsia="Calibri" w:cs="Arial"/>
          <w:spacing w:val="-4"/>
        </w:rPr>
      </w:pPr>
      <w:r w:rsidRPr="007114AF">
        <w:rPr>
          <w:rFonts w:eastAsia="Calibri" w:cs="Arial"/>
          <w:spacing w:val="-4"/>
        </w:rPr>
        <w:t xml:space="preserve">Procesi i mobilizimit të burimeve për ndërhyrje të përshtatjes kërkon vënien në funksionim të disa elementeve kyç: </w:t>
      </w:r>
    </w:p>
    <w:p w14:paraId="6EDD130D" w14:textId="77777777" w:rsidR="000914E2" w:rsidRPr="007114AF" w:rsidRDefault="000914E2" w:rsidP="000914E2">
      <w:pPr>
        <w:pStyle w:val="TEKSTI"/>
        <w:rPr>
          <w:rFonts w:eastAsia="Calibri" w:cs="Arial"/>
          <w:spacing w:val="-4"/>
        </w:rPr>
      </w:pPr>
      <w:r w:rsidRPr="007114AF">
        <w:rPr>
          <w:rFonts w:eastAsia="Calibri" w:cs="Arial"/>
          <w:spacing w:val="-4"/>
        </w:rPr>
        <w:t>Elementi 1: Ndërtimi i procesit – Krijimi i një ekipi kryesor</w:t>
      </w:r>
    </w:p>
    <w:p w14:paraId="6EDD130E" w14:textId="2AC7E331" w:rsidR="000914E2" w:rsidRPr="007114AF" w:rsidRDefault="000914E2" w:rsidP="000914E2">
      <w:pPr>
        <w:pStyle w:val="TEKSTI"/>
        <w:rPr>
          <w:rFonts w:eastAsia="Calibri" w:cs="Arial"/>
          <w:spacing w:val="-4"/>
        </w:rPr>
      </w:pPr>
      <w:r w:rsidRPr="007114AF">
        <w:rPr>
          <w:rFonts w:eastAsia="Calibri" w:cs="Arial"/>
          <w:spacing w:val="-4"/>
        </w:rPr>
        <w:t>GNNK-ja (IMWG) dhe MM-ja (MoE) janë të autorizuar për menaxhimin e procesit të përshtatjes në Shqipëri. Megjithatë, në lidhje me dokumentin</w:t>
      </w:r>
      <w:r w:rsidR="000A2A01" w:rsidRPr="007114AF">
        <w:rPr>
          <w:rFonts w:eastAsia="Calibri" w:cs="Arial"/>
          <w:spacing w:val="-4"/>
        </w:rPr>
        <w:t xml:space="preserve"> </w:t>
      </w:r>
      <w:r w:rsidRPr="007114AF">
        <w:rPr>
          <w:rFonts w:eastAsia="Calibri" w:cs="Arial"/>
          <w:spacing w:val="-4"/>
        </w:rPr>
        <w:t>financiar detyrat e këtij grupimi duhet të shpjegohen më tej dhe duhet të dakordësohet një strukturë e qartë për bashkëpunim.</w:t>
      </w:r>
    </w:p>
    <w:p w14:paraId="6EDD130F" w14:textId="77777777" w:rsidR="000914E2" w:rsidRPr="007114AF" w:rsidRDefault="000914E2" w:rsidP="000914E2">
      <w:pPr>
        <w:pStyle w:val="TEKSTI"/>
        <w:rPr>
          <w:rFonts w:eastAsia="Calibri" w:cs="Arial"/>
          <w:spacing w:val="-4"/>
        </w:rPr>
      </w:pPr>
      <w:r w:rsidRPr="007114AF">
        <w:rPr>
          <w:rFonts w:eastAsia="Calibri" w:cs="Arial"/>
          <w:spacing w:val="-4"/>
        </w:rPr>
        <w:t xml:space="preserve">Elementi 2: Arritja e një mbështetjeje politike të një niveli të lartë </w:t>
      </w:r>
    </w:p>
    <w:p w14:paraId="6EDD1310" w14:textId="775D8C57" w:rsidR="000914E2" w:rsidRPr="007114AF" w:rsidRDefault="000914E2" w:rsidP="000914E2">
      <w:pPr>
        <w:pStyle w:val="TEKSTI"/>
        <w:rPr>
          <w:rFonts w:eastAsia="Calibri" w:cs="Arial"/>
          <w:spacing w:val="-4"/>
        </w:rPr>
      </w:pPr>
      <w:r w:rsidRPr="007114AF">
        <w:rPr>
          <w:rFonts w:eastAsia="Calibri" w:cs="Arial"/>
          <w:spacing w:val="-4"/>
        </w:rPr>
        <w:t>Mbështetja e nivelit të lartë mund të arrihet nga rekomandimet nga një nivel i lartë qeverisjeje ose nga detyrimet ligjore, edhe në rastet kur vijnë nga një sektor i vetëm. Për të garantuar një angazhim afatgjatë për përshtatje, mund të jetë fillimisht e nevojshme, nga vendimmarrësit politikë ose menaxhimi publik i nivelit të lartë (që tejkalon periudhën legjislative), rritja e ndërgjegjësimit.</w:t>
      </w:r>
      <w:r w:rsidR="000A2A01" w:rsidRPr="007114AF">
        <w:rPr>
          <w:rFonts w:eastAsia="Calibri" w:cs="Arial"/>
          <w:spacing w:val="-4"/>
        </w:rPr>
        <w:t xml:space="preserve"> </w:t>
      </w:r>
      <w:r w:rsidRPr="007114AF">
        <w:rPr>
          <w:rFonts w:eastAsia="Calibri" w:cs="Arial"/>
          <w:spacing w:val="-4"/>
        </w:rPr>
        <w:t xml:space="preserve">Kapitulli 2 do të paraqesë opsione të mënyrës së arritjes së kësaj mbështetjeje dhe udhëheqjen e saj. </w:t>
      </w:r>
    </w:p>
    <w:p w14:paraId="6EDD1311" w14:textId="77777777" w:rsidR="000914E2" w:rsidRPr="007114AF" w:rsidRDefault="000914E2" w:rsidP="000914E2">
      <w:pPr>
        <w:pStyle w:val="TEKSTI"/>
        <w:rPr>
          <w:rFonts w:eastAsia="Calibri" w:cs="Arial"/>
        </w:rPr>
      </w:pPr>
      <w:r w:rsidRPr="007114AF">
        <w:rPr>
          <w:rFonts w:eastAsia="Calibri" w:cs="Arial"/>
        </w:rPr>
        <w:t xml:space="preserve">Elementi 3: Vlerësimi i situatës në këndvështrimin e përshtatjes - Kuptimi i stimujve- Komunikimi i përshtatjes në një mënyrë që i bën thirrje financuesve/investuesve. </w:t>
      </w:r>
    </w:p>
    <w:p w14:paraId="6EDD1312" w14:textId="77777777" w:rsidR="000914E2" w:rsidRPr="007114AF" w:rsidRDefault="000914E2" w:rsidP="000914E2">
      <w:pPr>
        <w:pStyle w:val="TEKSTI"/>
        <w:rPr>
          <w:rFonts w:eastAsia="Calibri" w:cs="Arial"/>
        </w:rPr>
      </w:pPr>
      <w:r w:rsidRPr="007114AF">
        <w:rPr>
          <w:rFonts w:eastAsia="Calibri" w:cs="Arial"/>
        </w:rPr>
        <w:t xml:space="preserve">Është shumë e rëndësishme që të kuptohen stimujt politikë dhe financiarë për financuesit/investuesit privatë dhe publikë (kombëtarë dhe ndërkombëtarë) për të investuar në përshtatje, pasi në pamje të parë përshtatja mund të keqinterpretohet vetëm si një kosto shtesë. </w:t>
      </w:r>
    </w:p>
    <w:p w14:paraId="6EDD1313" w14:textId="77777777" w:rsidR="000914E2" w:rsidRPr="007114AF" w:rsidRDefault="000914E2" w:rsidP="000914E2">
      <w:pPr>
        <w:pStyle w:val="TEKSTI"/>
        <w:rPr>
          <w:rFonts w:eastAsia="Calibri" w:cs="Arial"/>
        </w:rPr>
      </w:pPr>
      <w:r w:rsidRPr="007114AF">
        <w:rPr>
          <w:rFonts w:eastAsia="Calibri" w:cs="Arial"/>
        </w:rPr>
        <w:t>Në rastin e sektorit publik, është kryesisht reduktimi i humbjes ose dëmit të shkaktuar nga ngjarje/ndikime të lidhura me klimën dhe ofrimi i shërbimeve publike në lidhje me objektivat socialë, ekonomikë dhe shëndetësorë. Investimi në përshtatje madje, mund të ketë ndikime pozitive në krijimin e vendeve të punës. Megjithatë, edhe sektori privat mund të ketë interes real në investimin e përshtatjes. Argumente, të tilla si rimëkëmbja e zinxhirit të furnizimit, mbrojtja e aseteve produktive, mundësi të reja të tregut ose pajtueshmëria me standardet, mund të jenë stimuj për investimin e fondeve private në përshtatje. Këta stimuj duhet të identifikohen dhe përdoren gjatë komunikimit me financues/investues.</w:t>
      </w:r>
    </w:p>
    <w:p w14:paraId="6EDD1314" w14:textId="77777777" w:rsidR="000914E2" w:rsidRPr="007114AF" w:rsidRDefault="000914E2" w:rsidP="000914E2">
      <w:pPr>
        <w:pStyle w:val="TEKSTI"/>
        <w:rPr>
          <w:rFonts w:eastAsia="Calibri" w:cs="Arial"/>
        </w:rPr>
      </w:pPr>
      <w:r w:rsidRPr="007114AF">
        <w:rPr>
          <w:rFonts w:eastAsia="Calibri" w:cs="Arial"/>
        </w:rPr>
        <w:t>Elementi 4: Ndërtimi i kapaciteteve në financimin për klimën dhe sigurimi i burimeve financiare për mobilizimin e burimeve dhe identifikimin e burimeve të mundshme të financimit për periudhën afatshkurtër, afatmesme dhe afatgjatë.</w:t>
      </w:r>
    </w:p>
    <w:p w14:paraId="6EDD1315" w14:textId="0466B681" w:rsidR="000914E2" w:rsidRPr="007114AF" w:rsidRDefault="000914E2" w:rsidP="000914E2">
      <w:pPr>
        <w:pStyle w:val="TEKSTI"/>
        <w:rPr>
          <w:rFonts w:eastAsia="Calibri" w:cs="Arial"/>
        </w:rPr>
      </w:pPr>
      <w:r w:rsidRPr="007114AF">
        <w:rPr>
          <w:rFonts w:eastAsia="Calibri" w:cs="Arial"/>
        </w:rPr>
        <w:t xml:space="preserve">Procesi i vetë mobilizimit të burimeve kërkon sigurim të burimeve njerëzore dhe kapacitete teknike specifike, me qëllim realizimin e aktiviteteve, të tilla si vendosja dhe ruajtja e marrëdhënieve të donatorëve, kuptimi i kërkesave të donatorëve, negocimi me donatorë, vlerësimi dhe identifikimi i burimeve të financimit të përshtatjes. </w:t>
      </w:r>
    </w:p>
    <w:p w14:paraId="6EDD1316" w14:textId="77777777" w:rsidR="000914E2" w:rsidRPr="007114AF" w:rsidRDefault="00BC439D" w:rsidP="00BC439D">
      <w:pPr>
        <w:pStyle w:val="TEKSTI"/>
        <w:rPr>
          <w:b/>
        </w:rPr>
      </w:pPr>
      <w:r w:rsidRPr="007114AF">
        <w:rPr>
          <w:b/>
        </w:rPr>
        <w:t xml:space="preserve">- </w:t>
      </w:r>
      <w:r w:rsidR="000914E2" w:rsidRPr="007114AF">
        <w:rPr>
          <w:b/>
        </w:rPr>
        <w:t xml:space="preserve">Mobilizimi i Fondeve Kombëtare Publike- Integrimi dhe Institucionalizimi i Përshtatjes </w:t>
      </w:r>
    </w:p>
    <w:p w14:paraId="6EDD1317" w14:textId="7E1F5A39" w:rsidR="000914E2" w:rsidRPr="007114AF" w:rsidRDefault="000914E2" w:rsidP="000914E2">
      <w:pPr>
        <w:pStyle w:val="TEKSTI"/>
        <w:rPr>
          <w:rFonts w:eastAsiaTheme="minorHAnsi" w:cs="Arial"/>
        </w:rPr>
      </w:pPr>
      <w:r w:rsidRPr="007114AF">
        <w:rPr>
          <w:rFonts w:cs="Arial"/>
        </w:rPr>
        <w:t>Përpjekjet për mobilizimin e fondeve publike lidhen ngushtë me masat rregullatore që rregullojnë mënyrën, sesi politikat e Ndryshimeve Klimatike (CC) integrohen në një mjedis më të zgjeruar institucional, si dhe në procese të administrimit publik në Shqipëri. Ky kapitull jep një përmbledhje të strukturave ekzistuese institucionale për formulimin e politikave, proceset e planifikimit dhe zbatimin. Gjithashtu, jepet një analizë për identifikimin e pikave hyrëse, forcimin e mëtejshëm të institucioneve dhe proceseve përkatëse që do të rregullojnë mobilizimin dhe kanalizimin e fondeve për masat e përshtatjes ndaj ndryshimeve klimatike</w:t>
      </w:r>
      <w:r w:rsidR="00191838" w:rsidRPr="007114AF">
        <w:rPr>
          <w:rFonts w:cs="Arial"/>
        </w:rPr>
        <w:t>.</w:t>
      </w:r>
    </w:p>
    <w:p w14:paraId="6EDD1318" w14:textId="77777777" w:rsidR="000914E2" w:rsidRPr="007114AF" w:rsidRDefault="00BC439D" w:rsidP="000914E2">
      <w:pPr>
        <w:pStyle w:val="TEKSTI"/>
        <w:rPr>
          <w:b/>
        </w:rPr>
      </w:pPr>
      <w:r w:rsidRPr="007114AF">
        <w:rPr>
          <w:b/>
        </w:rPr>
        <w:t xml:space="preserve">- </w:t>
      </w:r>
      <w:r w:rsidR="000914E2" w:rsidRPr="007114AF">
        <w:rPr>
          <w:b/>
        </w:rPr>
        <w:t xml:space="preserve">Masat aktuale institucionale dhe opsionet për forcimin e tyre, me synim aksesin në Fondet Kombëtare Publike </w:t>
      </w:r>
    </w:p>
    <w:p w14:paraId="6EDD1319" w14:textId="77777777" w:rsidR="000914E2" w:rsidRPr="007114AF" w:rsidRDefault="000914E2" w:rsidP="000914E2">
      <w:pPr>
        <w:pStyle w:val="TEKSTI"/>
        <w:rPr>
          <w:spacing w:val="-4"/>
        </w:rPr>
      </w:pPr>
      <w:r w:rsidRPr="007114AF">
        <w:rPr>
          <w:spacing w:val="-4"/>
        </w:rPr>
        <w:t>Qeveria e Shqipërisë ka treguar lidership për ndryshimet klimatike nëpërmjet krijimit të Grupit Ndërministror për Ndryshimet Klimatike (GNNK) (IMWG), të drejtuar nga zëvendësministri i Mjedisit, me 15 anëtarë që përfaqësojnë menaxhimin e nivelit të mesëm të ministrive kryesore të linjës</w:t>
      </w:r>
      <w:r w:rsidRPr="007114AF">
        <w:rPr>
          <w:rStyle w:val="FootnoteReference"/>
          <w:spacing w:val="-4"/>
        </w:rPr>
        <w:footnoteReference w:id="61"/>
      </w:r>
      <w:r w:rsidRPr="007114AF">
        <w:rPr>
          <w:spacing w:val="-4"/>
        </w:rPr>
        <w:t xml:space="preserve">. </w:t>
      </w:r>
    </w:p>
    <w:p w14:paraId="6EDD131A" w14:textId="77777777" w:rsidR="000914E2" w:rsidRPr="007114AF" w:rsidRDefault="000914E2" w:rsidP="000914E2">
      <w:pPr>
        <w:pStyle w:val="TEKSTI"/>
        <w:rPr>
          <w:spacing w:val="-4"/>
        </w:rPr>
      </w:pPr>
      <w:r w:rsidRPr="007114AF">
        <w:rPr>
          <w:spacing w:val="-4"/>
        </w:rPr>
        <w:t>Qëllimi i përgjithshëm i GNNK-ës (IMWGCC) është që të koordinojë të gjitha institucionet e përfshira në procesin e zbutjes dhe përshtatjes së Ndryshimeve Klimatike (CC) dhe të lehtësojë integrimin e tyre në mënyrë koherente, në politikat, programet dhe aktivitetet e reja dhe ekzistuese. Kjo lidhet në veçanti me proceset dhe strategjitë e planifikimit të zhvillimit, brenda të gjithë sektorëve përkatës dhe në nivele të ndryshme, sipas rastit. Funksionet kryesore të Grupit të Punës të Ndryshimeve Klimatike (IMWG) janë: (i) hartimi i politikave dhe strategjive; (ii) koordinimi i institucioneve gjatë zbatimit të strategjive kombëtare dhe planit të ndryshimeve klimatike; (ii) identifikimi i mundësive për të lehtësuar, nxitur, vlerësuar projektet dhe herë pas here, për të shprehur mendimin e tyre për projektidetë dhe propozimet.</w:t>
      </w:r>
    </w:p>
    <w:p w14:paraId="6EDD131B" w14:textId="77777777" w:rsidR="000914E2" w:rsidRPr="007114AF" w:rsidRDefault="000914E2" w:rsidP="000914E2">
      <w:pPr>
        <w:pStyle w:val="TEKSTI"/>
        <w:rPr>
          <w:spacing w:val="-4"/>
        </w:rPr>
      </w:pPr>
      <w:r w:rsidRPr="007114AF">
        <w:rPr>
          <w:spacing w:val="-4"/>
        </w:rPr>
        <w:t>Pika e kontaktit për ndryshimet klimatike është Drejtoria e Politikave dhe Strategjive te Zhvillimit të Mjedisit, në Ministrinë e Turizmit dhe Mjedisit. Ky departament gjithashtu, vepron si sekretariati i grupit ndërministror për ndryshimet klimatike.</w:t>
      </w:r>
    </w:p>
    <w:p w14:paraId="6EDD131C" w14:textId="0F21D83A" w:rsidR="000914E2" w:rsidRPr="007114AF" w:rsidRDefault="000914E2" w:rsidP="000914E2">
      <w:pPr>
        <w:pStyle w:val="TEKSTI"/>
        <w:rPr>
          <w:spacing w:val="-4"/>
        </w:rPr>
      </w:pPr>
      <w:r w:rsidRPr="007114AF">
        <w:rPr>
          <w:spacing w:val="-4"/>
        </w:rPr>
        <w:t>Ministritë e linjës dhe bashkitë janë përgjegjëse për formulimin e politikave/rregulloreve (në nivel kombëtar dhe vendor) dhe zbatimin e strategjive përkatëse sektoriale të integruara, në më shumë se 20 programe afatmesme dhe plane financiare vjetore. Përveç kësaj, agjencitë kombëtare, nën mbikëqyrjen e ministrive të linjës, janë përgjegjëse për ekzekutimin</w:t>
      </w:r>
      <w:r w:rsidR="000A2A01" w:rsidRPr="007114AF">
        <w:rPr>
          <w:spacing w:val="-4"/>
        </w:rPr>
        <w:t xml:space="preserve"> </w:t>
      </w:r>
      <w:r w:rsidRPr="007114AF">
        <w:rPr>
          <w:spacing w:val="-4"/>
        </w:rPr>
        <w:t>dhe monitorimin e buxhetit.</w:t>
      </w:r>
    </w:p>
    <w:p w14:paraId="6EDD131D" w14:textId="77777777" w:rsidR="000914E2" w:rsidRPr="007114AF" w:rsidRDefault="000914E2" w:rsidP="000914E2">
      <w:pPr>
        <w:pStyle w:val="TEKSTI"/>
      </w:pPr>
      <w:r w:rsidRPr="007114AF">
        <w:t>Aktualisht, grupi ndërministror i punës së ndryshimeve klimatike (IMWG) është një ekip teknik në nivel ekspertësh nga të gjitha ministritë pjesëmarrëse, i paraqitur dhe i koordinuar nga departamenti i ndryshimeve klimatike dhe ajrit, pranë Ministrisë së Mjedisit, që mbështet procesin e identifikimit të rreziqeve të klimës dhe procesin e menaxhimit.</w:t>
      </w:r>
    </w:p>
    <w:p w14:paraId="6EDD131E" w14:textId="77777777" w:rsidR="000914E2" w:rsidRPr="007114AF" w:rsidRDefault="000914E2" w:rsidP="000914E2">
      <w:pPr>
        <w:pStyle w:val="TEKSTI"/>
      </w:pPr>
      <w:r w:rsidRPr="007114AF">
        <w:t xml:space="preserve">Megjithëse </w:t>
      </w:r>
      <w:r w:rsidRPr="007114AF">
        <w:rPr>
          <w:rFonts w:cs="Arial"/>
        </w:rPr>
        <w:t xml:space="preserve">Ministria e Turizmit dhe Mjedisit </w:t>
      </w:r>
      <w:r w:rsidRPr="007114AF">
        <w:t>është udhëheqëse për planet e formulimit dhe zbatimit të politikave të ndryshimet klimatike (CC), të gjitha institucionet kombëtare dhe të qeverisë vendore janë përgjegjëse për Integrimin e ndryshimeve klimatike (CC), në fushat e tyre përkatëse të politikave, planifikimin, mobilizimin e burimeve financiare, programimin dhe shpenzimin për ndryshimet klimatike (CC) dhe monitorimin.</w:t>
      </w:r>
    </w:p>
    <w:p w14:paraId="6EDD131F" w14:textId="607C4075" w:rsidR="000914E2" w:rsidRPr="007114AF" w:rsidRDefault="000914E2" w:rsidP="000914E2">
      <w:pPr>
        <w:pStyle w:val="TEKSTI"/>
      </w:pPr>
      <w:r w:rsidRPr="007114AF">
        <w:t>Dokumenti i NAP-it, nëpërmjet Veprimit Prioritar</w:t>
      </w:r>
      <w:r w:rsidR="00242009" w:rsidRPr="007114AF">
        <w:t xml:space="preserve"> nr. </w:t>
      </w:r>
      <w:r w:rsidRPr="007114AF">
        <w:t>1 tregon</w:t>
      </w:r>
      <w:r w:rsidR="00FF11ED">
        <w:t xml:space="preserve"> </w:t>
      </w:r>
      <w:r w:rsidRPr="007114AF">
        <w:t>që drejtimi i vazhdueshëm duhet të sigurojë orientim afatgjatë, siç rekomandohet në Udhëzimet Teknike të NAP</w:t>
      </w:r>
      <w:r w:rsidRPr="007114AF">
        <w:rPr>
          <w:vertAlign w:val="superscript"/>
        </w:rPr>
        <w:footnoteReference w:id="62"/>
      </w:r>
      <w:r w:rsidRPr="007114AF">
        <w:t xml:space="preserve">-it. Për trajtimin e çështjeve të mësipërme, janë të nevojshme të bëhen rregullime ligjore ose nënligjore të lidhura me qasjen institucionale ndaj ndryshimeve klimatike, duke pasur parasysh kuadrin ekzistues institucional për planifikimin strategjik dhe afatmesëm. Kjo, pasi roli i përgjithshëm mbikëqyrës, mobilizimi i burimeve dhe roli monitorues për ndikimin e politikave të ndryshimet klimatike (CC) në disa sektorë nuk mund të mbulohen siç duhet nga grupi ndërministror i punës së ndryshimeve klimatike ekzistues dhe </w:t>
      </w:r>
      <w:r w:rsidRPr="007114AF">
        <w:rPr>
          <w:rFonts w:cs="Arial"/>
        </w:rPr>
        <w:t>Ministria e Turizmit dhe Mjedisit</w:t>
      </w:r>
      <w:r w:rsidR="00191838" w:rsidRPr="007114AF">
        <w:rPr>
          <w:rFonts w:cs="Arial"/>
        </w:rPr>
        <w:t>.</w:t>
      </w:r>
      <w:r w:rsidRPr="007114AF">
        <w:rPr>
          <w:rFonts w:cs="Arial"/>
        </w:rPr>
        <w:t xml:space="preserve"> </w:t>
      </w:r>
    </w:p>
    <w:p w14:paraId="6EDD1320" w14:textId="77777777" w:rsidR="000914E2" w:rsidRPr="007114AF" w:rsidRDefault="000914E2" w:rsidP="000914E2">
      <w:pPr>
        <w:pStyle w:val="TEKSTI"/>
        <w:rPr>
          <w:b/>
        </w:rPr>
      </w:pPr>
      <w:r w:rsidRPr="007114AF">
        <w:rPr>
          <w:b/>
        </w:rPr>
        <w:t xml:space="preserve">Kuadri Institucional për Planifikim Strategjik dhe Afatmesëm </w:t>
      </w:r>
    </w:p>
    <w:p w14:paraId="6EDD1321" w14:textId="73564597" w:rsidR="00BC439D" w:rsidRPr="007114AF" w:rsidRDefault="000914E2" w:rsidP="000914E2">
      <w:pPr>
        <w:pStyle w:val="TEKSTI"/>
        <w:rPr>
          <w:rFonts w:cs="Arial"/>
        </w:rPr>
      </w:pPr>
      <w:r w:rsidRPr="007114AF">
        <w:rPr>
          <w:rFonts w:cs="Arial"/>
        </w:rPr>
        <w:t>Kuadri institucional</w:t>
      </w:r>
      <w:r w:rsidRPr="007114AF">
        <w:rPr>
          <w:rFonts w:cs="Arial"/>
          <w:i/>
          <w:vertAlign w:val="superscript"/>
        </w:rPr>
        <w:footnoteReference w:id="63"/>
      </w:r>
      <w:r w:rsidRPr="007114AF">
        <w:rPr>
          <w:rFonts w:cs="Arial"/>
        </w:rPr>
        <w:t xml:space="preserve"> për planifikim strategjik dhe afatmesëm përcakton përgjegjësi në të gjitha nivelet e vendimmarrjes, nga poshtë lart dhe anasjelltas. Vendimet bazohen në informacion programatik të lidhur me objektivat strategjik</w:t>
      </w:r>
      <w:r w:rsidR="009B0B46">
        <w:rPr>
          <w:rFonts w:cs="Arial"/>
        </w:rPr>
        <w:t>ë</w:t>
      </w:r>
      <w:r w:rsidRPr="007114AF">
        <w:rPr>
          <w:rFonts w:cs="Arial"/>
        </w:rPr>
        <w:t xml:space="preserve"> të politikave dhe të integruar në planifikimin e programit të qeverisë. Hierarkia e roleve dhe përgjegjësive të të gjitha strukturave institucionale </w:t>
      </w:r>
    </w:p>
    <w:p w14:paraId="6EDD1322" w14:textId="77777777" w:rsidR="000914E2" w:rsidRPr="007114AF" w:rsidRDefault="000914E2" w:rsidP="000914E2">
      <w:pPr>
        <w:pStyle w:val="TEKSTI"/>
        <w:rPr>
          <w:rFonts w:cs="Arial"/>
        </w:rPr>
      </w:pPr>
      <w:r w:rsidRPr="007114AF">
        <w:rPr>
          <w:rFonts w:cs="Arial"/>
        </w:rPr>
        <w:t xml:space="preserve">gjatë planifikimit afatmesëm, tregohet në diagramën e mëposhtme. </w:t>
      </w:r>
      <w:r w:rsidRPr="007114AF">
        <w:rPr>
          <w:rFonts w:cs="Arial"/>
          <w:noProof/>
          <w:lang w:val="en-US" w:eastAsia="en-US"/>
        </w:rPr>
        <w:drawing>
          <wp:inline distT="0" distB="0" distL="0" distR="0" wp14:anchorId="6EDD17CC" wp14:editId="6EDD17CD">
            <wp:extent cx="5334000" cy="3231386"/>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bela ok.jpg"/>
                    <pic:cNvPicPr/>
                  </pic:nvPicPr>
                  <pic:blipFill rotWithShape="1">
                    <a:blip r:embed="rId49">
                      <a:extLst>
                        <a:ext uri="{28A0092B-C50C-407E-A947-70E740481C1C}">
                          <a14:useLocalDpi xmlns:a14="http://schemas.microsoft.com/office/drawing/2010/main" val="0"/>
                        </a:ext>
                      </a:extLst>
                    </a:blip>
                    <a:srcRect r="60126" b="77943"/>
                    <a:stretch/>
                  </pic:blipFill>
                  <pic:spPr bwMode="auto">
                    <a:xfrm>
                      <a:off x="0" y="0"/>
                      <a:ext cx="5346663" cy="3239057"/>
                    </a:xfrm>
                    <a:prstGeom prst="rect">
                      <a:avLst/>
                    </a:prstGeom>
                    <a:ln>
                      <a:noFill/>
                    </a:ln>
                    <a:extLst>
                      <a:ext uri="{53640926-AAD7-44D8-BBD7-CCE9431645EC}">
                        <a14:shadowObscured xmlns:a14="http://schemas.microsoft.com/office/drawing/2010/main"/>
                      </a:ext>
                    </a:extLst>
                  </pic:spPr>
                </pic:pic>
              </a:graphicData>
            </a:graphic>
          </wp:inline>
        </w:drawing>
      </w:r>
    </w:p>
    <w:p w14:paraId="6EDD1323" w14:textId="77777777" w:rsidR="000914E2" w:rsidRPr="007114AF" w:rsidRDefault="000914E2" w:rsidP="000914E2">
      <w:pPr>
        <w:pStyle w:val="FIGURA"/>
      </w:pPr>
    </w:p>
    <w:p w14:paraId="6EDD1324" w14:textId="77777777" w:rsidR="000914E2" w:rsidRPr="007114AF" w:rsidRDefault="000914E2" w:rsidP="000914E2">
      <w:pPr>
        <w:pStyle w:val="FIGURA"/>
        <w:rPr>
          <w:rFonts w:cs="Arial"/>
          <w:sz w:val="20"/>
          <w:szCs w:val="20"/>
        </w:rPr>
      </w:pPr>
      <w:r w:rsidRPr="007114AF">
        <w:rPr>
          <w:rFonts w:cs="Arial"/>
          <w:sz w:val="20"/>
          <w:szCs w:val="20"/>
        </w:rPr>
        <w:t xml:space="preserve">Figura 2 Programi i buxhetit afatmesëm – Rishikim Institucional (burimi: ekspert GIZ) </w:t>
      </w:r>
    </w:p>
    <w:p w14:paraId="6EDD1325" w14:textId="012F808E" w:rsidR="000914E2" w:rsidRPr="007114AF" w:rsidRDefault="000914E2" w:rsidP="000914E2">
      <w:pPr>
        <w:pStyle w:val="FIGURA"/>
        <w:rPr>
          <w:rFonts w:cs="Arial"/>
          <w:sz w:val="20"/>
          <w:szCs w:val="20"/>
        </w:rPr>
      </w:pPr>
      <w:r w:rsidRPr="007114AF">
        <w:rPr>
          <w:rFonts w:cs="Arial"/>
          <w:sz w:val="20"/>
          <w:szCs w:val="20"/>
        </w:rPr>
        <w:t>Diagram</w:t>
      </w:r>
      <w:r w:rsidR="00AA3BEF" w:rsidRPr="007114AF">
        <w:rPr>
          <w:rFonts w:cs="Arial"/>
          <w:sz w:val="20"/>
          <w:szCs w:val="20"/>
        </w:rPr>
        <w:t>i</w:t>
      </w:r>
      <w:r w:rsidRPr="007114AF">
        <w:rPr>
          <w:rFonts w:cs="Arial"/>
          <w:sz w:val="20"/>
          <w:szCs w:val="20"/>
        </w:rPr>
        <w:t xml:space="preserve"> </w:t>
      </w:r>
      <w:r w:rsidR="00AA3BEF" w:rsidRPr="007114AF">
        <w:rPr>
          <w:rFonts w:cs="Arial"/>
          <w:sz w:val="20"/>
          <w:szCs w:val="20"/>
        </w:rPr>
        <w:t>i</w:t>
      </w:r>
      <w:r w:rsidRPr="007114AF">
        <w:rPr>
          <w:rFonts w:cs="Arial"/>
          <w:sz w:val="20"/>
          <w:szCs w:val="20"/>
        </w:rPr>
        <w:t xml:space="preserve"> PBAM-it (MTBP) përcakton qartë Departamentin p</w:t>
      </w:r>
      <w:r w:rsidR="00AA3BEF" w:rsidRPr="007114AF">
        <w:rPr>
          <w:rFonts w:cs="Arial"/>
          <w:sz w:val="20"/>
          <w:szCs w:val="20"/>
        </w:rPr>
        <w:t>ë</w:t>
      </w:r>
      <w:r w:rsidRPr="007114AF">
        <w:rPr>
          <w:rFonts w:cs="Arial"/>
          <w:sz w:val="20"/>
          <w:szCs w:val="20"/>
        </w:rPr>
        <w:t xml:space="preserve">r Zhvillim dhe </w:t>
      </w:r>
      <w:r w:rsidR="00AA3BEF" w:rsidRPr="007114AF">
        <w:rPr>
          <w:rFonts w:cs="Arial"/>
          <w:sz w:val="20"/>
          <w:szCs w:val="20"/>
        </w:rPr>
        <w:t>Mirëqeverisje</w:t>
      </w:r>
      <w:r w:rsidRPr="007114AF">
        <w:rPr>
          <w:rFonts w:cs="Arial"/>
          <w:sz w:val="20"/>
          <w:szCs w:val="20"/>
        </w:rPr>
        <w:t xml:space="preserve"> (DZHM) pranë Kryeministrisë, si autoriteti i përgjithshëm strategjik mbikëqyrës dhe Ministrinë e Financave dhe Ekonomisë si autoritetin e përgjithshëm për mbikëqyrjen dhe monitorimin e buxhetit. </w:t>
      </w:r>
    </w:p>
    <w:p w14:paraId="6EDD1326" w14:textId="77777777" w:rsidR="000914E2" w:rsidRPr="007114AF" w:rsidRDefault="000914E2" w:rsidP="000914E2">
      <w:pPr>
        <w:pStyle w:val="TEKSTI"/>
        <w:rPr>
          <w:rFonts w:eastAsia="Times New Roman"/>
          <w:lang w:eastAsia="en-US"/>
        </w:rPr>
      </w:pPr>
    </w:p>
    <w:p w14:paraId="6EDD1327" w14:textId="77777777" w:rsidR="000914E2" w:rsidRPr="007114AF" w:rsidRDefault="00B976ED" w:rsidP="000914E2">
      <w:pPr>
        <w:pStyle w:val="TEKSTI"/>
        <w:rPr>
          <w:rFonts w:eastAsia="Times New Roman"/>
          <w:b/>
          <w:lang w:eastAsia="en-US"/>
        </w:rPr>
      </w:pPr>
      <w:r w:rsidRPr="007114AF">
        <w:rPr>
          <w:rFonts w:eastAsia="Times New Roman"/>
          <w:b/>
          <w:lang w:eastAsia="en-US"/>
        </w:rPr>
        <w:t xml:space="preserve">- </w:t>
      </w:r>
      <w:r w:rsidR="000914E2" w:rsidRPr="007114AF">
        <w:rPr>
          <w:rFonts w:eastAsia="Times New Roman"/>
          <w:b/>
          <w:lang w:eastAsia="en-US"/>
        </w:rPr>
        <w:t xml:space="preserve">Mekanizmi i Menaxhimit për Zbatimin e Strategjive Ndërsektoriale </w:t>
      </w:r>
    </w:p>
    <w:p w14:paraId="6EDD1328" w14:textId="0ABC29D0" w:rsidR="000914E2" w:rsidRPr="007114AF" w:rsidRDefault="000914E2" w:rsidP="000914E2">
      <w:pPr>
        <w:pStyle w:val="TEKSTI"/>
      </w:pPr>
      <w:r w:rsidRPr="007114AF">
        <w:t>Kuadri aktual ligjor për PBAM-in (MTBP) nuk ofron një ndarje të qartë të detyrave, midis institucioneve që menaxhojnë politika komplekse ndërsektoriale, të tilla si politika të lidhura me ndryshimet klimatike (CC) të financuara nga buxheti i shtetit dhe financimit të huaj, të cilat kërkojnë një shkallë të lartë bashkëpunimi ndërministror. Megjithatë, ligji</w:t>
      </w:r>
      <w:r w:rsidR="00242009" w:rsidRPr="007114AF">
        <w:t xml:space="preserve"> nr. </w:t>
      </w:r>
      <w:r w:rsidRPr="007114AF">
        <w:t xml:space="preserve">10296/2010, neni 8 parashikon bazën ligjore për bashkëpunim: </w:t>
      </w:r>
      <w:r w:rsidR="00D10DAB" w:rsidRPr="007114AF">
        <w:t>‘</w:t>
      </w:r>
      <w:r w:rsidRPr="007114AF">
        <w:t>Në zbatimin e programeve që përfshijnë më shumë se një institucion dhe/ose strukturë të sektorit publik, drejtuesit e interesuar do të nënshkruajnë marrëveshje ose udhëzime të ndërsjella për objektin e përgjegjësisë menaxheriale që do të mbajë secili prej tyre</w:t>
      </w:r>
      <w:r w:rsidR="00D10DAB" w:rsidRPr="007114AF">
        <w:t>’</w:t>
      </w:r>
      <w:r w:rsidRPr="007114AF">
        <w:t xml:space="preserve">. </w:t>
      </w:r>
    </w:p>
    <w:p w14:paraId="6EDD1329" w14:textId="6A6498F6" w:rsidR="000914E2" w:rsidRPr="007114AF" w:rsidRDefault="000914E2" w:rsidP="000914E2">
      <w:pPr>
        <w:pStyle w:val="TEKSTI"/>
      </w:pPr>
      <w:r w:rsidRPr="007114AF">
        <w:t>Me qëllim finalizimin e procedurave sipas kuadrit të PBAM-it (MTBP), Kryeministri është duke zbatuar masa të reja institucionale që mund të konsolidohen në vite. Aktualisht janë krijuar katër Grupe të Integruara të Menaxhimit të Politikave (GIMP ) (IPMG) në bazë të vendimit të Këshillit të Ministrave (VKM)</w:t>
      </w:r>
      <w:r w:rsidR="00242009" w:rsidRPr="007114AF">
        <w:t xml:space="preserve"> nr. </w:t>
      </w:r>
      <w:r w:rsidRPr="007114AF">
        <w:t>129/2015, brenda Sistemit të Planifikimit të Integruar (SPI) (IPS), të drejtuara nga ministri i ministrisë udhëheqëse respektive, dhe të përbëra nga sekretariatet e përgjithshme të ministrive të linjës. Grupet nëntematike operojnë pranë ministrive kryesore të linjës dhe përbëhen nga drejtues të programeve dhe ekspertë.</w:t>
      </w:r>
    </w:p>
    <w:p w14:paraId="6EDD132A" w14:textId="77777777" w:rsidR="000914E2" w:rsidRPr="007114AF" w:rsidRDefault="000914E2" w:rsidP="00BC1DB5">
      <w:pPr>
        <w:spacing w:after="200"/>
        <w:rPr>
          <w:rFonts w:ascii="Garamond" w:hAnsi="Garamond"/>
          <w:b/>
          <w:bCs/>
          <w:iCs/>
        </w:rPr>
      </w:pPr>
    </w:p>
    <w:p w14:paraId="6EDD132B" w14:textId="77777777" w:rsidR="000914E2" w:rsidRPr="007114AF" w:rsidRDefault="000914E2" w:rsidP="00BC1DB5">
      <w:pPr>
        <w:spacing w:after="200"/>
        <w:rPr>
          <w:rFonts w:ascii="Garamond" w:hAnsi="Garamond"/>
          <w:b/>
          <w:bCs/>
          <w:iCs/>
        </w:rPr>
      </w:pPr>
    </w:p>
    <w:p w14:paraId="6EDD132C" w14:textId="77777777" w:rsidR="000914E2" w:rsidRPr="007114AF" w:rsidRDefault="000914E2" w:rsidP="00BC1DB5">
      <w:pPr>
        <w:spacing w:after="200"/>
        <w:rPr>
          <w:rFonts w:ascii="Garamond" w:hAnsi="Garamond"/>
          <w:b/>
          <w:bCs/>
          <w:iCs/>
        </w:rPr>
      </w:pPr>
      <w:r w:rsidRPr="007114AF">
        <w:rPr>
          <w:rFonts w:ascii="Garamond" w:hAnsi="Garamond"/>
          <w:noProof/>
          <w:lang w:val="en-US" w:eastAsia="en-US"/>
        </w:rPr>
        <w:drawing>
          <wp:inline distT="0" distB="0" distL="0" distR="0" wp14:anchorId="6EDD17CE" wp14:editId="6EDD17CF">
            <wp:extent cx="5752465" cy="329628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2465" cy="3296285"/>
                    </a:xfrm>
                    <a:prstGeom prst="rect">
                      <a:avLst/>
                    </a:prstGeom>
                    <a:noFill/>
                    <a:ln>
                      <a:noFill/>
                    </a:ln>
                  </pic:spPr>
                </pic:pic>
              </a:graphicData>
            </a:graphic>
          </wp:inline>
        </w:drawing>
      </w:r>
    </w:p>
    <w:p w14:paraId="6EDD132D" w14:textId="77777777" w:rsidR="000914E2" w:rsidRPr="007114AF" w:rsidRDefault="000914E2" w:rsidP="000914E2">
      <w:pPr>
        <w:pStyle w:val="FIGURA"/>
      </w:pPr>
    </w:p>
    <w:p w14:paraId="6EDD132E" w14:textId="77777777" w:rsidR="000914E2" w:rsidRPr="007114AF" w:rsidRDefault="000914E2" w:rsidP="000914E2">
      <w:pPr>
        <w:pStyle w:val="FIGURA"/>
        <w:rPr>
          <w:sz w:val="20"/>
          <w:szCs w:val="20"/>
        </w:rPr>
      </w:pPr>
      <w:r w:rsidRPr="007114AF">
        <w:rPr>
          <w:sz w:val="20"/>
          <w:szCs w:val="20"/>
        </w:rPr>
        <w:t>Figura 3 Mekanizmi i Integruar i Menaxhimit të Politikave për Zbatimin e Strategjive Ndërsektoriale (Burimi: projektimi individual).</w:t>
      </w:r>
    </w:p>
    <w:p w14:paraId="6EDD132F" w14:textId="77777777" w:rsidR="000914E2" w:rsidRPr="007114AF" w:rsidRDefault="000914E2" w:rsidP="000914E2">
      <w:pPr>
        <w:pStyle w:val="TEKSTI"/>
      </w:pPr>
    </w:p>
    <w:p w14:paraId="6EDD1330" w14:textId="77777777" w:rsidR="000914E2" w:rsidRPr="007114AF" w:rsidRDefault="000914E2" w:rsidP="000914E2">
      <w:pPr>
        <w:pStyle w:val="TEKSTI"/>
      </w:pPr>
      <w:r w:rsidRPr="007114AF">
        <w:t>Vendimi i Këshillit të Ministrave ndërhyn në dy nivele të rëndësishme vendimmarrjeje, duke respektuar njëkohësisht masat e përgjegjshmërisë sipas skemës së PBAM-it (MTBP), siç vërehet në figurën 3 më lart (vijat me ngjyrë të verdhë). Tre institucionet kyçe, të tilla si Kryeministria (DZHM), Ministria e Financave dhe Ekonomisë dhe Ministria për Evropën dhe Punët e Jashtme përfaqësohen në secilën GIMP (IMPG).</w:t>
      </w:r>
    </w:p>
    <w:p w14:paraId="6EDD1331" w14:textId="77777777" w:rsidR="000914E2" w:rsidRPr="007114AF" w:rsidRDefault="00B976ED" w:rsidP="000914E2">
      <w:pPr>
        <w:pStyle w:val="TEKSTI"/>
        <w:rPr>
          <w:b/>
        </w:rPr>
      </w:pPr>
      <w:r w:rsidRPr="007114AF">
        <w:rPr>
          <w:b/>
        </w:rPr>
        <w:t xml:space="preserve">- </w:t>
      </w:r>
      <w:r w:rsidR="000914E2" w:rsidRPr="007114AF">
        <w:rPr>
          <w:b/>
        </w:rPr>
        <w:t>Rekomandime për Forcimin e Masave Institucionale Afatshkurtra -Afatgjata</w:t>
      </w:r>
    </w:p>
    <w:p w14:paraId="6EDD1332" w14:textId="24BB592E" w:rsidR="000914E2" w:rsidRPr="007114AF" w:rsidRDefault="000914E2" w:rsidP="000914E2">
      <w:pPr>
        <w:pStyle w:val="TEKSTI"/>
      </w:pPr>
      <w:r w:rsidRPr="007114AF">
        <w:t>Një përmbledhje e avantazheve dhe disavantazheve të qasjeve institucionale të përshkruara më lart, paraqitet në një tabelë në shtojcën 4. Duke pasur parasysh masat institucionale të përshkruara më lart, si dhe pikat e forta dhe ato të dobëta respektive, fazën aktuale të procesit të NAP-it në Shqipëri, si dhe diskutimet gjatë mbledhjes së 7-të të Grupit Ndërministror të Punës për Ndryshimet Klimatike</w:t>
      </w:r>
      <w:r w:rsidR="000A2A01" w:rsidRPr="007114AF">
        <w:t xml:space="preserve"> </w:t>
      </w:r>
      <w:r w:rsidRPr="007114AF">
        <w:t>të mbajtur në datën 21 tetor 2016, janë dhënë rekomandimet e mëposhtme (CC), janë bërë rekomandimet e mëposhtme për një periudhë nga 1 deri 3 vjeçare, për përmirësimin e masave ekzistuese institucionale, në bazë të kuadrit ligjor për planifikim strategjik dhe afatmesëm:</w:t>
      </w:r>
    </w:p>
    <w:p w14:paraId="6EDD1333" w14:textId="3D2E5870" w:rsidR="000914E2" w:rsidRPr="007114AF" w:rsidRDefault="00B976ED" w:rsidP="000914E2">
      <w:pPr>
        <w:pStyle w:val="TEKSTI"/>
      </w:pPr>
      <w:r w:rsidRPr="007114AF">
        <w:t xml:space="preserve">1. </w:t>
      </w:r>
      <w:r w:rsidR="000914E2" w:rsidRPr="007114AF">
        <w:t>Ngritja/ndryshimi i statusit se Grupit Ndërministror të Punës për Ndryshimet Klimatike në një Grup i Menaxhimit e Politikave të Integruara (GMPI), me qëllim përfitimin nga avantazhet e këtij statusi grupimi (të përshkruar sipas shtojcës 3). Kryetari i GNMP-ës (IPMG) aktuale për</w:t>
      </w:r>
      <w:r w:rsidR="000A2A01" w:rsidRPr="007114AF">
        <w:t xml:space="preserve"> </w:t>
      </w:r>
      <w:r w:rsidR="000914E2" w:rsidRPr="007114AF">
        <w:t>Menaxhimin e Integruar të Burimeve Ujore, do të jetë anëtar i GNMP-ës (IPMG)për ndryshimet klimatike</w:t>
      </w:r>
      <w:r w:rsidR="00191838" w:rsidRPr="007114AF">
        <w:t>;</w:t>
      </w:r>
      <w:r w:rsidR="000914E2" w:rsidRPr="007114AF">
        <w:t xml:space="preserve"> </w:t>
      </w:r>
    </w:p>
    <w:p w14:paraId="6EDD1334" w14:textId="77777777" w:rsidR="000914E2" w:rsidRPr="007114AF" w:rsidRDefault="00B976ED" w:rsidP="000914E2">
      <w:pPr>
        <w:pStyle w:val="TEKSTI"/>
      </w:pPr>
      <w:r w:rsidRPr="007114AF">
        <w:t xml:space="preserve">2. </w:t>
      </w:r>
      <w:r w:rsidR="000914E2" w:rsidRPr="007114AF">
        <w:t>Ngritja e statusit të departamentit të ndryshimeve klimatike në një SekretariatTeknik të GMPI-së. Krijimi i nëngrupeve tematike brenda secilës ministri të linjës (me pjesëmarrje të paktën e Drejtuesit të Programit dhe ekspertë). Anëtarët aktualë të Grupit Ndërministror të Punës për Ndryshimet Klimatike mund të veprojnë si drejtues të grupeve nëntematike;</w:t>
      </w:r>
    </w:p>
    <w:p w14:paraId="6EDD1335" w14:textId="0A2C81DA" w:rsidR="000914E2" w:rsidRPr="007114AF" w:rsidRDefault="00B976ED" w:rsidP="000914E2">
      <w:pPr>
        <w:pStyle w:val="TEKSTI"/>
      </w:pPr>
      <w:r w:rsidRPr="007114AF">
        <w:t xml:space="preserve">3. </w:t>
      </w:r>
      <w:r w:rsidR="000914E2" w:rsidRPr="007114AF">
        <w:t xml:space="preserve">Përgatitja dhe Miratimi i VKM-ës për </w:t>
      </w:r>
      <w:r w:rsidR="000A2A01" w:rsidRPr="007114AF">
        <w:t>“</w:t>
      </w:r>
      <w:r w:rsidR="000914E2" w:rsidRPr="007114AF">
        <w:t>Integrimin e ndryshimeve klimatike në PBAM (MTBP)</w:t>
      </w:r>
      <w:r w:rsidR="000A2A01" w:rsidRPr="007114AF">
        <w:t>”</w:t>
      </w:r>
      <w:r w:rsidR="000914E2" w:rsidRPr="007114AF">
        <w:t>;</w:t>
      </w:r>
    </w:p>
    <w:p w14:paraId="6EDD1336" w14:textId="1D36DC99" w:rsidR="000914E2" w:rsidRPr="007114AF" w:rsidRDefault="00B976ED" w:rsidP="000914E2">
      <w:pPr>
        <w:pStyle w:val="TEKSTI"/>
      </w:pPr>
      <w:r w:rsidRPr="007114AF">
        <w:t xml:space="preserve">4. </w:t>
      </w:r>
      <w:r w:rsidR="000914E2" w:rsidRPr="007114AF">
        <w:t xml:space="preserve">Përgatitja dhe miratimi i një Udhëzimi të Përbashkët ndërmjet Ministrisë së Turizmit dhe Mjedisit (MTM) dhe Ministrisë së Financave dhe Ekonomisë (MoF) për </w:t>
      </w:r>
      <w:r w:rsidR="000A2A01" w:rsidRPr="007114AF">
        <w:t>“</w:t>
      </w:r>
      <w:r w:rsidR="000914E2" w:rsidRPr="007114AF">
        <w:t>Procedurat për Integrimin e Ndryshimeve Klimatike në PBAM (MTBP)</w:t>
      </w:r>
      <w:r w:rsidR="000A2A01" w:rsidRPr="007114AF">
        <w:t>”</w:t>
      </w:r>
      <w:r w:rsidR="000914E2" w:rsidRPr="007114AF">
        <w:t xml:space="preserve"> dhe garantimine shkëmbimit të informacionit gjatë procesit të ekzekutimit të PBAM-it (MTBP).</w:t>
      </w:r>
    </w:p>
    <w:p w14:paraId="6EDD1337" w14:textId="50F7A415" w:rsidR="000914E2" w:rsidRPr="007114AF" w:rsidRDefault="00B976ED" w:rsidP="000914E2">
      <w:pPr>
        <w:pStyle w:val="TEKSTI"/>
        <w:rPr>
          <w:b/>
        </w:rPr>
      </w:pPr>
      <w:r w:rsidRPr="007114AF">
        <w:rPr>
          <w:b/>
        </w:rPr>
        <w:t xml:space="preserve">- </w:t>
      </w:r>
      <w:r w:rsidR="000914E2" w:rsidRPr="007114AF">
        <w:rPr>
          <w:b/>
        </w:rPr>
        <w:t>Integrimi i Planit kombëtar të përshtatjes ndaj ndryshimeve klimatike</w:t>
      </w:r>
      <w:r w:rsidR="000A2A01" w:rsidRPr="007114AF">
        <w:rPr>
          <w:b/>
        </w:rPr>
        <w:t xml:space="preserve"> </w:t>
      </w:r>
      <w:r w:rsidR="000914E2" w:rsidRPr="007114AF">
        <w:rPr>
          <w:b/>
        </w:rPr>
        <w:t xml:space="preserve">në Planifikimin e Buxhetit Kombëtar </w:t>
      </w:r>
    </w:p>
    <w:p w14:paraId="6EDD1338" w14:textId="52C410F4" w:rsidR="000914E2" w:rsidRPr="007114AF" w:rsidRDefault="000914E2" w:rsidP="000914E2">
      <w:pPr>
        <w:pStyle w:val="TEKSTI"/>
        <w:rPr>
          <w:rFonts w:cs="Arial"/>
        </w:rPr>
      </w:pPr>
      <w:r w:rsidRPr="007114AF">
        <w:rPr>
          <w:rFonts w:cs="Arial"/>
        </w:rPr>
        <w:t xml:space="preserve">Integrimi i përshtatjes në sektorë dhe politikat gjithëpërfshirëse zhvillimore janë në thelb të procesit të PKP-ës (NAP), meqë përshtatja efektive është kryesisht jo një aktivitet </w:t>
      </w:r>
      <w:r w:rsidR="00D10DAB" w:rsidRPr="007114AF">
        <w:rPr>
          <w:rFonts w:cs="Arial"/>
        </w:rPr>
        <w:t>‘</w:t>
      </w:r>
      <w:r w:rsidRPr="007114AF">
        <w:rPr>
          <w:rFonts w:cs="Arial"/>
        </w:rPr>
        <w:t>shtesë</w:t>
      </w:r>
      <w:r w:rsidR="00D10DAB" w:rsidRPr="007114AF">
        <w:rPr>
          <w:rFonts w:cs="Arial"/>
        </w:rPr>
        <w:t>’</w:t>
      </w:r>
      <w:r w:rsidRPr="007114AF">
        <w:rPr>
          <w:rFonts w:cs="Arial"/>
        </w:rPr>
        <w:t>, por duhet të integrohet në politikat sektoriale. Shqipëria ka një sërë kërkimesh shkencore dhe studimesh mbi vulnerabilitetin ndaj ndryshimeve klimatike për sektorin e bujqësisë dhe energjisë si dhe një strategji sektoriale, si: Strategjia Kombëtare e Shëndetit, Strategjia për Menaxhimin e Integruar të Burimeve Ujore, Planin Kombëtar Territorial si dhe Planin e Zhvillimit të Bregdetit, në të cilat GIZ-i ka dhënë një mbështe</w:t>
      </w:r>
      <w:r w:rsidR="000F1AD3">
        <w:rPr>
          <w:rFonts w:cs="Arial"/>
        </w:rPr>
        <w:t>t</w:t>
      </w:r>
      <w:r w:rsidRPr="007114AF">
        <w:rPr>
          <w:rFonts w:cs="Arial"/>
        </w:rPr>
        <w:t>je të madhe në adresimin dhe integrimin e ndryshimeve klimatike në k</w:t>
      </w:r>
      <w:r w:rsidR="000F1AD3">
        <w:rPr>
          <w:rFonts w:cs="Arial"/>
        </w:rPr>
        <w:t>ë</w:t>
      </w:r>
      <w:r w:rsidRPr="007114AF">
        <w:rPr>
          <w:rFonts w:cs="Arial"/>
        </w:rPr>
        <w:t xml:space="preserve">to plane, nëpërmjet projektit </w:t>
      </w:r>
      <w:r w:rsidR="000A2A01" w:rsidRPr="007114AF">
        <w:rPr>
          <w:rFonts w:cs="Arial"/>
        </w:rPr>
        <w:t>“</w:t>
      </w:r>
      <w:r w:rsidRPr="007114AF">
        <w:rPr>
          <w:rFonts w:cs="Arial"/>
        </w:rPr>
        <w:t>P</w:t>
      </w:r>
      <w:r w:rsidR="000F1AD3">
        <w:rPr>
          <w:rFonts w:cs="Arial"/>
        </w:rPr>
        <w:t>ë</w:t>
      </w:r>
      <w:r w:rsidRPr="007114AF">
        <w:rPr>
          <w:rFonts w:cs="Arial"/>
        </w:rPr>
        <w:t xml:space="preserve">rshtatja ndaj ndryshimeve Klimatike për vendet e Ballkanit </w:t>
      </w:r>
      <w:r w:rsidR="000F1AD3" w:rsidRPr="007114AF">
        <w:rPr>
          <w:rFonts w:cs="Arial"/>
        </w:rPr>
        <w:t>Perëndimor</w:t>
      </w:r>
      <w:r w:rsidR="000A2A01" w:rsidRPr="007114AF">
        <w:rPr>
          <w:rFonts w:cs="Arial"/>
        </w:rPr>
        <w:t>”</w:t>
      </w:r>
      <w:r w:rsidRPr="007114AF">
        <w:rPr>
          <w:rFonts w:cs="Arial"/>
        </w:rPr>
        <w:t>.</w:t>
      </w:r>
    </w:p>
    <w:p w14:paraId="6EDD1339" w14:textId="3E4A3A6D" w:rsidR="000914E2" w:rsidRPr="007114AF" w:rsidRDefault="000914E2" w:rsidP="000914E2">
      <w:pPr>
        <w:pStyle w:val="TEKSTI"/>
        <w:rPr>
          <w:rFonts w:cs="Arial"/>
        </w:rPr>
      </w:pPr>
      <w:r w:rsidRPr="007114AF">
        <w:rPr>
          <w:rFonts w:cs="Arial"/>
        </w:rPr>
        <w:t>Qasjet specifike sektoriale nëpërmjet integrimit shpjegohen në kapitullin 6 të dokumentit të NAP-it; objektivat dhe treguesit e lidhur me integrimin dhe financimin e klimës janë mirëpërcaktuar në dokumentin e NAP-it (</w:t>
      </w:r>
      <w:r w:rsidR="000F1AD3">
        <w:rPr>
          <w:rFonts w:cs="Arial"/>
        </w:rPr>
        <w:t>o</w:t>
      </w:r>
      <w:r w:rsidRPr="007114AF">
        <w:rPr>
          <w:rFonts w:cs="Arial"/>
        </w:rPr>
        <w:t>bjektivat 6 deri 12, f</w:t>
      </w:r>
      <w:r w:rsidR="000F1AD3">
        <w:rPr>
          <w:rFonts w:cs="Arial"/>
        </w:rPr>
        <w:t>.</w:t>
      </w:r>
      <w:r w:rsidRPr="007114AF">
        <w:rPr>
          <w:rFonts w:cs="Arial"/>
        </w:rPr>
        <w:t xml:space="preserve"> 29). Aktivitetet e hollësishme gjithëpërfshirëse përshkruhen sipas Veprimit Prioritar</w:t>
      </w:r>
      <w:r w:rsidR="000F1AD3">
        <w:rPr>
          <w:rFonts w:cs="Arial"/>
        </w:rPr>
        <w:t xml:space="preserve"> </w:t>
      </w:r>
      <w:r w:rsidR="008D30FC" w:rsidRPr="007114AF">
        <w:rPr>
          <w:rFonts w:cs="Arial"/>
        </w:rPr>
        <w:t xml:space="preserve">nr. </w:t>
      </w:r>
      <w:r w:rsidRPr="007114AF">
        <w:rPr>
          <w:rFonts w:cs="Arial"/>
        </w:rPr>
        <w:t>2.</w:t>
      </w:r>
      <w:r w:rsidR="000A2A01" w:rsidRPr="007114AF">
        <w:rPr>
          <w:rFonts w:cs="Arial"/>
        </w:rPr>
        <w:t xml:space="preserve"> </w:t>
      </w:r>
    </w:p>
    <w:p w14:paraId="6EDD133A" w14:textId="63E626A8" w:rsidR="000914E2" w:rsidRPr="007114AF" w:rsidRDefault="000914E2" w:rsidP="000914E2">
      <w:pPr>
        <w:pStyle w:val="TEKSTI"/>
        <w:rPr>
          <w:rFonts w:cs="Arial"/>
        </w:rPr>
      </w:pPr>
      <w:r w:rsidRPr="007114AF">
        <w:rPr>
          <w:rFonts w:cs="Arial"/>
        </w:rPr>
        <w:t>Strategjia Kombëtare për Zhvillim dhe Integrim përfshihet në Kuadrin e Politikave Shqiptare, duke reflektuar koston e reformave strukturore në buxhetin kombëtar, dhe përcakton qëllimet dhe objektivat që çdo sektor duhet të ndjekë, duke shërbyer si pikë fillimi për ministritë e linjës për të analizuar dhe realizuar misionet e tyre. Programi i Buxhetit Afatmesëm (PBAM)</w:t>
      </w:r>
      <w:r w:rsidR="000A2A01" w:rsidRPr="007114AF">
        <w:rPr>
          <w:rFonts w:cs="Arial"/>
        </w:rPr>
        <w:t xml:space="preserve"> </w:t>
      </w:r>
      <w:r w:rsidRPr="007114AF">
        <w:rPr>
          <w:rFonts w:cs="Arial"/>
        </w:rPr>
        <w:t xml:space="preserve">është një instrument operacional për menaxhimin e shpenzimeve publike dhe komponent kyç i Sistemit të Planifikimit të Integruar. </w:t>
      </w:r>
    </w:p>
    <w:p w14:paraId="6EDD133B" w14:textId="77777777" w:rsidR="000914E2" w:rsidRPr="007114AF" w:rsidRDefault="000914E2" w:rsidP="00BC1DB5">
      <w:pPr>
        <w:spacing w:after="200"/>
        <w:rPr>
          <w:rFonts w:ascii="Garamond" w:hAnsi="Garamond"/>
          <w:b/>
          <w:bCs/>
          <w:iCs/>
        </w:rPr>
      </w:pPr>
    </w:p>
    <w:p w14:paraId="6EDD133C" w14:textId="77777777" w:rsidR="00574660" w:rsidRPr="007114AF" w:rsidRDefault="00574660" w:rsidP="00BC1DB5">
      <w:pPr>
        <w:spacing w:after="200"/>
        <w:rPr>
          <w:rFonts w:ascii="Garamond" w:hAnsi="Garamond"/>
          <w:b/>
          <w:bCs/>
          <w:iCs/>
        </w:rPr>
      </w:pPr>
      <w:r w:rsidRPr="007114AF">
        <w:rPr>
          <w:rFonts w:ascii="Garamond" w:hAnsi="Garamond" w:cs="Arial"/>
          <w:noProof/>
          <w:lang w:val="en-US" w:eastAsia="en-US"/>
        </w:rPr>
        <w:drawing>
          <wp:inline distT="0" distB="0" distL="0" distR="0" wp14:anchorId="6EDD17D0" wp14:editId="6EDD17D1">
            <wp:extent cx="5752465" cy="168021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52465" cy="1680210"/>
                    </a:xfrm>
                    <a:prstGeom prst="rect">
                      <a:avLst/>
                    </a:prstGeom>
                    <a:noFill/>
                    <a:ln>
                      <a:noFill/>
                    </a:ln>
                  </pic:spPr>
                </pic:pic>
              </a:graphicData>
            </a:graphic>
          </wp:inline>
        </w:drawing>
      </w:r>
    </w:p>
    <w:p w14:paraId="6EDD133D" w14:textId="536480FF" w:rsidR="00574660" w:rsidRPr="007114AF" w:rsidRDefault="00574660" w:rsidP="00FA1823">
      <w:pPr>
        <w:pStyle w:val="FIGURA"/>
        <w:rPr>
          <w:sz w:val="20"/>
          <w:szCs w:val="20"/>
        </w:rPr>
      </w:pPr>
      <w:r w:rsidRPr="007114AF">
        <w:rPr>
          <w:sz w:val="20"/>
          <w:szCs w:val="20"/>
        </w:rPr>
        <w:t>Figura 4:</w:t>
      </w:r>
      <w:r w:rsidR="000A2A01" w:rsidRPr="007114AF">
        <w:rPr>
          <w:sz w:val="20"/>
          <w:szCs w:val="20"/>
        </w:rPr>
        <w:t xml:space="preserve"> </w:t>
      </w:r>
      <w:r w:rsidRPr="007114AF">
        <w:rPr>
          <w:sz w:val="20"/>
          <w:szCs w:val="20"/>
        </w:rPr>
        <w:t>Marrëdhëniet ndërmjet Kuadrit të Politikave, Strategjive dhe Buxhetin Kombëtar (burimi: projektimi individual)</w:t>
      </w:r>
    </w:p>
    <w:p w14:paraId="6EDD133E" w14:textId="77777777" w:rsidR="00FA1823" w:rsidRPr="007114AF" w:rsidRDefault="00FA1823" w:rsidP="00574660">
      <w:pPr>
        <w:pStyle w:val="TEKSTI"/>
        <w:rPr>
          <w:rFonts w:cs="Arial"/>
        </w:rPr>
      </w:pPr>
    </w:p>
    <w:p w14:paraId="6EDD133F" w14:textId="1A058ADD" w:rsidR="00574660" w:rsidRPr="007114AF" w:rsidRDefault="00574660" w:rsidP="00574660">
      <w:pPr>
        <w:pStyle w:val="TEKSTI"/>
        <w:rPr>
          <w:rFonts w:cs="Arial"/>
        </w:rPr>
      </w:pPr>
      <w:r w:rsidRPr="007114AF">
        <w:rPr>
          <w:rFonts w:cs="Arial"/>
        </w:rPr>
        <w:t xml:space="preserve">Veprimi Prioritar i tretë e NAP-it deklaron: </w:t>
      </w:r>
      <w:r w:rsidR="000A2A01" w:rsidRPr="007114AF">
        <w:rPr>
          <w:rFonts w:cs="Arial"/>
        </w:rPr>
        <w:t>“</w:t>
      </w:r>
      <w:r w:rsidRPr="007114AF">
        <w:rPr>
          <w:rFonts w:cs="Arial"/>
        </w:rPr>
        <w:t xml:space="preserve">Shqipëria do të përdorë procesin e NAP-it si një mundësi për dialog të vazhdueshëm për integrimin e ndryshimeve klimatike në planifikimin dhe buxhetimin e zhvillimit kombëtar, si dhe opsionet e politikave fiskale. Qëllimi 1: Aksesi me sukses në buxhetin publik të Shqipërisë për financimin e zbatimit të NAP-it; Treguesi 1.1: Të dhënat publike dëshmojnë se të paktën një buxhet fillestar publik i Shqipërisë prej 5 </w:t>
      </w:r>
      <w:r w:rsidR="001C47F0" w:rsidRPr="007114AF">
        <w:rPr>
          <w:rFonts w:cs="Arial"/>
        </w:rPr>
        <w:t xml:space="preserve">milionë </w:t>
      </w:r>
      <w:r w:rsidRPr="007114AF">
        <w:rPr>
          <w:rFonts w:cs="Arial"/>
        </w:rPr>
        <w:t>USD u shpenzua për zbatimin e NAP-it,deri më 01/2018</w:t>
      </w:r>
      <w:r w:rsidR="000A2A01" w:rsidRPr="007114AF">
        <w:rPr>
          <w:rFonts w:cs="Arial"/>
        </w:rPr>
        <w:t>”</w:t>
      </w:r>
      <w:r w:rsidRPr="007114AF">
        <w:rPr>
          <w:rFonts w:cs="Arial"/>
          <w:vertAlign w:val="superscript"/>
        </w:rPr>
        <w:footnoteReference w:id="64"/>
      </w:r>
      <w:r w:rsidRPr="007114AF">
        <w:rPr>
          <w:rFonts w:cs="Arial"/>
        </w:rPr>
        <w:t>.</w:t>
      </w:r>
    </w:p>
    <w:p w14:paraId="6EDD1340" w14:textId="414E5DA2" w:rsidR="00574660" w:rsidRPr="007114AF" w:rsidRDefault="00574660" w:rsidP="00574660">
      <w:pPr>
        <w:pStyle w:val="TEKSTI"/>
        <w:rPr>
          <w:rFonts w:cs="Arial"/>
        </w:rPr>
      </w:pPr>
      <w:r w:rsidRPr="007114AF">
        <w:rPr>
          <w:rFonts w:cs="Arial"/>
        </w:rPr>
        <w:t>Integrimi i procesit të NAP-it në buxhetin kombëtar, duhet të kryhet nëpërmjet programit strategjik dhe buxhetit afatmesëm (PBAM), i cili fillon me përgatitjen nga ministritë e linjës të një rishikimi të politikave të programeve (RPP) për secilin program. Një fokus i rishikimit stimulues është përmirësimi i analizës së kostos për njësi për rezultatet. Çdo program pritet të bazohet në një ose më shumë politika specifike që duhet të shprehen qartë në Strategjinë Kombëtare për Zhvillim dhe Integrim</w:t>
      </w:r>
      <w:r w:rsidR="000A2A01" w:rsidRPr="007114AF">
        <w:rPr>
          <w:rFonts w:cs="Arial"/>
        </w:rPr>
        <w:t xml:space="preserve"> </w:t>
      </w:r>
      <w:r w:rsidRPr="007114AF">
        <w:rPr>
          <w:rFonts w:cs="Arial"/>
        </w:rPr>
        <w:t xml:space="preserve">(SKZHI), strategjitë sektoriale dhe dokumentin e NAP-it. RPP-ja përgatit një deklaratë politike për secilin program; duke përfshirë një deklaratë misioni, qëllimin e politikës së programit, objektivin e një politike programi dhe standardet e politikës së programit. RPP-ja duhet të jetë e qartë, e kuptueshme dhe duhet të rishikohet periodikisht, p.sh. mbi bazë vjetore. </w:t>
      </w:r>
    </w:p>
    <w:p w14:paraId="6EDD1341" w14:textId="7F65D387" w:rsidR="00574660" w:rsidRPr="007114AF" w:rsidRDefault="00574660" w:rsidP="00574660">
      <w:pPr>
        <w:pStyle w:val="TEKSTI"/>
        <w:rPr>
          <w:rFonts w:cs="Arial"/>
        </w:rPr>
      </w:pPr>
      <w:r w:rsidRPr="007114AF">
        <w:rPr>
          <w:rFonts w:cs="Arial"/>
        </w:rPr>
        <w:t>Komponenti i dytë i procesit të PBAM-it (MTBP) është planifikimi i investimeve dhe shpenzimeve të programit (PISHP). PISHP-i përdoret për alokimin e burimeve midis programeve, dhe bazohet në procesin e RPP-ës. Rezultatet kryesore identifikohen dhe kostoja e tyre llogaritet për secilin program. Kjo kërkon dokumentim të rreziqeve prioritare që mund të pengojnë arritjen e objektivave dhe qëllimeve të secilit program, masat e parashikuara për minimizimin e tyre, si dhe ndikimin përkatës financiar. NAP-i përmbush kërkesat e një plani të menaxhimit të rrezikut dhe është i rëndësishëm për përgatitjen e PISHP-it.</w:t>
      </w:r>
      <w:r w:rsidR="000A2A01" w:rsidRPr="007114AF">
        <w:rPr>
          <w:rFonts w:cs="Arial"/>
        </w:rPr>
        <w:t xml:space="preserve"> </w:t>
      </w:r>
    </w:p>
    <w:p w14:paraId="6EDD1342" w14:textId="77777777" w:rsidR="00FA1823" w:rsidRPr="007114AF" w:rsidRDefault="00FA1823" w:rsidP="00574660">
      <w:pPr>
        <w:pStyle w:val="TEKSTI"/>
        <w:rPr>
          <w:rFonts w:cs="Arial"/>
        </w:rPr>
      </w:pPr>
    </w:p>
    <w:p w14:paraId="6EDD1343" w14:textId="77777777" w:rsidR="00574660" w:rsidRPr="007114AF" w:rsidRDefault="00186207" w:rsidP="00BC1DB5">
      <w:pPr>
        <w:spacing w:after="200"/>
        <w:rPr>
          <w:rFonts w:ascii="Garamond" w:hAnsi="Garamond"/>
          <w:b/>
          <w:bCs/>
          <w:iCs/>
        </w:rPr>
      </w:pPr>
      <w:r w:rsidRPr="007114AF">
        <w:rPr>
          <w:rFonts w:ascii="Garamond" w:hAnsi="Garamond" w:cs="Arial"/>
          <w:noProof/>
          <w:lang w:val="en-US" w:eastAsia="en-US"/>
        </w:rPr>
        <w:drawing>
          <wp:inline distT="0" distB="0" distL="0" distR="0" wp14:anchorId="6EDD17D2" wp14:editId="6EDD17D3">
            <wp:extent cx="5752465" cy="1711960"/>
            <wp:effectExtent l="0" t="0" r="635"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52465" cy="1711960"/>
                    </a:xfrm>
                    <a:prstGeom prst="rect">
                      <a:avLst/>
                    </a:prstGeom>
                    <a:noFill/>
                    <a:ln>
                      <a:noFill/>
                    </a:ln>
                  </pic:spPr>
                </pic:pic>
              </a:graphicData>
            </a:graphic>
          </wp:inline>
        </w:drawing>
      </w:r>
    </w:p>
    <w:p w14:paraId="6EDD1344" w14:textId="77777777" w:rsidR="00186207" w:rsidRPr="007114AF" w:rsidRDefault="00186207" w:rsidP="001206A9">
      <w:pPr>
        <w:pStyle w:val="FIGURA"/>
      </w:pPr>
    </w:p>
    <w:p w14:paraId="6EDD1345" w14:textId="77777777" w:rsidR="001206A9" w:rsidRPr="007114AF" w:rsidRDefault="001206A9" w:rsidP="001206A9">
      <w:pPr>
        <w:pStyle w:val="FIGURA"/>
        <w:rPr>
          <w:rFonts w:cs="Arial"/>
        </w:rPr>
      </w:pPr>
      <w:r w:rsidRPr="007114AF">
        <w:rPr>
          <w:rFonts w:cs="Arial"/>
        </w:rPr>
        <w:t>Figura 5: Ndërlidhjet (pikat hyrëse) dhe progresi i deritanishëm (pra, komponentët në ngjyrë portokalli janë realizuar, ndërsa komponentët me ngjyrë bojë qielli duhet të arrihen) midis:</w:t>
      </w:r>
    </w:p>
    <w:p w14:paraId="6EDD1346" w14:textId="77777777" w:rsidR="001206A9" w:rsidRPr="007114AF" w:rsidRDefault="001206A9" w:rsidP="001206A9">
      <w:pPr>
        <w:pStyle w:val="TEKSTI"/>
      </w:pPr>
      <w:r w:rsidRPr="007114AF">
        <w:t>1. Procesit të menaxhimit të rrezikut ndaj ndryshimeve të klimës (MRRNK);</w:t>
      </w:r>
    </w:p>
    <w:p w14:paraId="6EDD1347" w14:textId="77777777" w:rsidR="001206A9" w:rsidRPr="007114AF" w:rsidRDefault="001206A9" w:rsidP="001206A9">
      <w:pPr>
        <w:pStyle w:val="TEKSTI"/>
      </w:pPr>
      <w:r w:rsidRPr="007114AF">
        <w:t xml:space="preserve">2. Procesit të Planifikimit Strategjik dhe buxhetimit afatmesëm; </w:t>
      </w:r>
    </w:p>
    <w:p w14:paraId="6EDD1348" w14:textId="067ED2CF" w:rsidR="001206A9" w:rsidRPr="007114AF" w:rsidRDefault="001206A9" w:rsidP="001206A9">
      <w:pPr>
        <w:pStyle w:val="TEKSTI"/>
      </w:pPr>
      <w:r w:rsidRPr="007114AF">
        <w:t>3. Ciklit të investimeve të projektit. (Burimi: UNEP 2011 dhe UNDP- GEF 2015)</w:t>
      </w:r>
      <w:r w:rsidR="000A2A01" w:rsidRPr="007114AF">
        <w:t xml:space="preserve"> </w:t>
      </w:r>
    </w:p>
    <w:p w14:paraId="6EDD1349" w14:textId="77777777" w:rsidR="001206A9" w:rsidRPr="007114AF" w:rsidRDefault="001206A9" w:rsidP="001206A9">
      <w:pPr>
        <w:pStyle w:val="TEKSTI"/>
      </w:pPr>
      <w:r w:rsidRPr="007114AF">
        <w:t xml:space="preserve">Tre proceset e mësipërme, konkretisht: (1) Procesi i menaxhimit të rrezikut ndaj ndryshimeve klimatike (2) Procesi i planifikimit strategjik dhe buxhetimit afatmesëm; (3) Cikli i investimeve të projektit, duhet të zhvillohen paralelisht, duke ndjekur hapat vijues. Rezultatet e secilës fazë të procesit të menaxhimit të rrezikut shërbejnë, si kontribute për faza të ndryshme të dy proceseve të tjera të lidhura me planifikimin dhe zbatimin. Secili proces është projektuar në një mënyrë të përsëritur, duke kërkuar masa të rregullta monitoruese, vlerësimi dhe korrigjuese, sipas rastit. </w:t>
      </w:r>
    </w:p>
    <w:p w14:paraId="6EDD134A" w14:textId="77777777" w:rsidR="001206A9" w:rsidRPr="007114AF" w:rsidRDefault="001206A9" w:rsidP="001206A9">
      <w:pPr>
        <w:pStyle w:val="TEKSTI"/>
      </w:pPr>
      <w:r w:rsidRPr="007114AF">
        <w:t>Hapat e paraqitura në ngjyrë portokalli tregojnë progresin e arritur deri tani në integrimin e procesit të përshtatjes ndaj ndryshimeve klimatike në buxhetin kombëtar. Është e qartë se gjatë përgatitjes së dokumentit të NAP-it, disa fusha prioritare janë diskutuar dhe dakordësuar, si dhe janë identifikuar aktivitetet/projektet. Megjithatë, cikli i investimeve të projektit është në fillim, fakt që mund të krijojë vështirësi në mobilizimin e burimeve financiare dhe integrimin e procesit të përshtatjes ndaj ndryshimeve klimatike brenda buxhetit kombëtar. Grafiku tregon se masat afatshkurtra dhe afatmesme duhet të fokusohen në plotësimin e hapit të dytë dhe të tretë të procesit të menaxhimit të rrezikut ndaj ndryshimeve klimatike, përfundimin e hapit të dytë dhe të tretë të ciklit të investimeve të projektit që nga ana e vet ka çuar në plotësimin e hapit të katërt të procesit të planifikimit - PBAM.</w:t>
      </w:r>
    </w:p>
    <w:p w14:paraId="6EDD134B" w14:textId="5952910F" w:rsidR="001206A9" w:rsidRPr="007114AF" w:rsidRDefault="001206A9" w:rsidP="001206A9">
      <w:pPr>
        <w:pStyle w:val="TEKSTI"/>
      </w:pPr>
      <w:r w:rsidRPr="007114AF">
        <w:t>Në realizimin e hapit të katërt të procesit të planifikimit, ministritë e linjës do të udhëhiqen nga kalendari PBAM dhe institucionet përgjegjëse për procesin e miratuar nga VKM-ja në fillim të çdo viti (Kalendari i PBAM) për periudhën 2017-2019. Përveç kësaj, Procesi i Investimeve të Shpenzimeve të Programit Vjetor (PISHP) në një Institucion të Qeverisë Qendrore do të ndihmojë institucionet që të kuptojnë se përse cikli i investimeve të projektit është i rëndësishëm që të zhvillohet paralelisht me procesin e menaxhimit të rrezikut ndaj ndryshimeve klimatike. Kërkesa kryesore e PISHP-it është përcaktimi (gjatë muajve maj-qershor) i projekteve që duhet të përfshihen në PBAM me objektivat, aktivitetet, produktet dhe shpenzimet përkatëse. Vetëm projektet e miratuara për financim nga ana e donatorëve/kreditorëve të huaj dhe bashkëfinancimi nga buxheti i shtetit duhet të përfshihen në PBAM-in (MTBP) e tre viteve të ardhshme. Kjo kërkesë përmbushet nëse ciklet e mësipërme zhvillohen në mënyrë paralele pas përfundimit të tri fazave të para të planifikimit strategjik dhe ciklit të buxhetimit (2), si dhe dy fazave të para të ciklit të investimit të projektit (3).</w:t>
      </w:r>
    </w:p>
    <w:p w14:paraId="6EDD134C" w14:textId="692228DA" w:rsidR="001206A9" w:rsidRPr="007114AF" w:rsidRDefault="001206A9" w:rsidP="001206A9">
      <w:pPr>
        <w:pStyle w:val="TEKSTI"/>
      </w:pPr>
      <w:r w:rsidRPr="007114AF">
        <w:t>Në bazë të fushave prioritare të identifikuara në dokumentin e NAP-it dhe urdhrin e Kryeministrit për krijimin e grupit ndërministror për</w:t>
      </w:r>
      <w:r w:rsidR="009432FE">
        <w:t xml:space="preserve"> </w:t>
      </w:r>
      <w:r w:rsidRPr="007114AF">
        <w:t>ndryshimet klimatike (IMWGCC), si dhe në përbërjen aktuale të programeve buxhetore, 22 programe buxheti afatmesëm u identifikuan dhe analizuan, të cilat u menaxhuan nga ministritë e linjës të përfshira në procesin e PKP-ës (NAP). Programe të tjera buxhetore mund të identifikohen në të ardhmen në procesin e përshtatjes ndaj</w:t>
      </w:r>
      <w:r w:rsidR="009432FE">
        <w:t xml:space="preserve"> </w:t>
      </w:r>
      <w:r w:rsidRPr="007114AF">
        <w:t>ndryshimeve klimatike</w:t>
      </w:r>
      <w:r w:rsidR="000A2A01" w:rsidRPr="007114AF">
        <w:t xml:space="preserve"> </w:t>
      </w:r>
      <w:r w:rsidRPr="007114AF">
        <w:t>(shihni listën e programeve buxhetore në f</w:t>
      </w:r>
      <w:r w:rsidR="00AE5FB3">
        <w:t>.</w:t>
      </w:r>
      <w:r w:rsidRPr="007114AF">
        <w:t xml:space="preserve"> 328). </w:t>
      </w:r>
      <w:r w:rsidRPr="007114AF">
        <w:rPr>
          <w:bCs/>
          <w:iCs/>
        </w:rPr>
        <w:t>Dokumenti i NAP-it identifikoi një qëllim të rëndësishëm dhe tregues ambicioz brenda veprimit</w:t>
      </w:r>
      <w:r w:rsidR="000A2A01" w:rsidRPr="007114AF">
        <w:rPr>
          <w:bCs/>
          <w:iCs/>
        </w:rPr>
        <w:t xml:space="preserve"> </w:t>
      </w:r>
      <w:r w:rsidRPr="007114AF">
        <w:rPr>
          <w:bCs/>
          <w:iCs/>
        </w:rPr>
        <w:t>prioritar</w:t>
      </w:r>
      <w:r w:rsidR="00242009" w:rsidRPr="007114AF">
        <w:rPr>
          <w:bCs/>
          <w:iCs/>
        </w:rPr>
        <w:t xml:space="preserve"> nr. </w:t>
      </w:r>
      <w:r w:rsidRPr="007114AF">
        <w:rPr>
          <w:bCs/>
          <w:iCs/>
        </w:rPr>
        <w:t xml:space="preserve">3: </w:t>
      </w:r>
    </w:p>
    <w:p w14:paraId="6EDD134D" w14:textId="6E578F20" w:rsidR="001206A9" w:rsidRPr="007114AF" w:rsidRDefault="001206A9" w:rsidP="001206A9">
      <w:pPr>
        <w:pStyle w:val="TEKSTI"/>
        <w:rPr>
          <w:bCs/>
          <w:iCs/>
        </w:rPr>
      </w:pPr>
      <w:r w:rsidRPr="007114AF">
        <w:rPr>
          <w:bCs/>
          <w:iCs/>
        </w:rPr>
        <w:t>Objektivi</w:t>
      </w:r>
      <w:r w:rsidR="000A2A01" w:rsidRPr="007114AF">
        <w:rPr>
          <w:bCs/>
          <w:iCs/>
        </w:rPr>
        <w:t xml:space="preserve"> </w:t>
      </w:r>
      <w:r w:rsidRPr="007114AF">
        <w:rPr>
          <w:bCs/>
          <w:iCs/>
        </w:rPr>
        <w:t>1: Aksesi i suksesshëm në buxhetin publik të Shqipërisë për financimin e zbatimit të NAP-it.</w:t>
      </w:r>
    </w:p>
    <w:p w14:paraId="6EDD134E" w14:textId="428657B8" w:rsidR="001206A9" w:rsidRPr="007114AF" w:rsidRDefault="001206A9" w:rsidP="001206A9">
      <w:pPr>
        <w:pStyle w:val="TEKSTI"/>
        <w:rPr>
          <w:b/>
          <w:bCs/>
          <w:iCs/>
        </w:rPr>
      </w:pPr>
      <w:r w:rsidRPr="007114AF">
        <w:rPr>
          <w:bCs/>
          <w:iCs/>
        </w:rPr>
        <w:t>Treguesi</w:t>
      </w:r>
      <w:r w:rsidR="000A2A01" w:rsidRPr="007114AF">
        <w:rPr>
          <w:bCs/>
          <w:iCs/>
        </w:rPr>
        <w:t xml:space="preserve"> </w:t>
      </w:r>
      <w:r w:rsidRPr="007114AF">
        <w:rPr>
          <w:bCs/>
          <w:iCs/>
        </w:rPr>
        <w:t xml:space="preserve">1.1: Të dhënat publike dëshmojnë se të paktën një shumë fillestare prej 5 </w:t>
      </w:r>
      <w:r w:rsidR="001C47F0" w:rsidRPr="007114AF">
        <w:rPr>
          <w:bCs/>
          <w:iCs/>
        </w:rPr>
        <w:t xml:space="preserve">milionë </w:t>
      </w:r>
      <w:r w:rsidRPr="007114AF">
        <w:rPr>
          <w:bCs/>
          <w:iCs/>
        </w:rPr>
        <w:t>USD e buxhetit publik të Shqipërisë u shpenzua për zbatimin e NAP-it deri në janar 2018.</w:t>
      </w:r>
    </w:p>
    <w:p w14:paraId="6EDD134F" w14:textId="257C9560" w:rsidR="001206A9" w:rsidRPr="007114AF" w:rsidRDefault="001206A9" w:rsidP="001206A9">
      <w:pPr>
        <w:pStyle w:val="TEKSTI"/>
      </w:pPr>
      <w:r w:rsidRPr="007114AF">
        <w:t>Përveç kësaj, dokumenti i NAP-it ka identifikuar shumë sfida/pengesa dhe fushat përkatëse prioritare për zbutjen e tyre, të tilla si veprimi prioritar</w:t>
      </w:r>
      <w:r w:rsidR="00242009" w:rsidRPr="007114AF">
        <w:t xml:space="preserve"> nr. </w:t>
      </w:r>
      <w:r w:rsidRPr="007114AF">
        <w:t xml:space="preserve">6 </w:t>
      </w:r>
      <w:r w:rsidR="000A2A01" w:rsidRPr="007114AF">
        <w:t>“</w:t>
      </w:r>
      <w:r w:rsidRPr="007114AF">
        <w:t>Komunikimi dhe iniciativa për zgjerimin e ofrimit të shërbimeve</w:t>
      </w:r>
      <w:r w:rsidR="000A2A01" w:rsidRPr="007114AF">
        <w:t>”</w:t>
      </w:r>
      <w:r w:rsidRPr="007114AF">
        <w:t xml:space="preserve"> dhe fusha të tjera prioritare strategjike ndërsektoriale dhe sektoriale</w:t>
      </w:r>
      <w:r w:rsidR="00242009" w:rsidRPr="007114AF">
        <w:t xml:space="preserve"> nr. </w:t>
      </w:r>
      <w:r w:rsidRPr="007114AF">
        <w:t>8 deri</w:t>
      </w:r>
      <w:r w:rsidR="00242009" w:rsidRPr="007114AF">
        <w:t xml:space="preserve"> nr. </w:t>
      </w:r>
      <w:r w:rsidRPr="007114AF">
        <w:t>15.</w:t>
      </w:r>
    </w:p>
    <w:p w14:paraId="6EDD1350" w14:textId="3E658ED5" w:rsidR="001206A9" w:rsidRPr="007114AF" w:rsidRDefault="001206A9" w:rsidP="001206A9">
      <w:pPr>
        <w:pStyle w:val="TEKSTI"/>
      </w:pPr>
      <w:r w:rsidRPr="007114AF">
        <w:t>Përvoja e vendeve të tjera ka treguar se procesi i ndërtimit të rimëkëmbjes ndaj ndryshimeve klimatike në ekonomi dhe shoqëri, do të thotë përballje me më shumë sfida, të tilla si qasja e fragmentuar institucionale dhe pengesa rregullatore, burime të pamjaftueshme financiare në nivel vendor për të trajtuar përshtatjen ndaj ndryshimeve klimatike, njohuri të pakta për procesin e buxhetimit vjetor dhe afatmesëm, kompleksitet dhe koordinim sektorial të shpenzimeve për ndryshimet klimatike etj. Sfidat për integrimin e përshtatjes ndaj ndryshimeve klimatike në paraqitjen e buxhetit vjetor dhe afatmesëm shpjegohen më tej në f</w:t>
      </w:r>
      <w:r w:rsidR="009432FE">
        <w:t>.</w:t>
      </w:r>
      <w:r w:rsidRPr="007114AF">
        <w:t xml:space="preserve"> 329.</w:t>
      </w:r>
    </w:p>
    <w:p w14:paraId="6EDD1351" w14:textId="77777777" w:rsidR="001206A9" w:rsidRPr="007114AF" w:rsidRDefault="00B976ED" w:rsidP="001206A9">
      <w:pPr>
        <w:pStyle w:val="TEKSTI"/>
        <w:rPr>
          <w:b/>
        </w:rPr>
      </w:pPr>
      <w:r w:rsidRPr="007114AF">
        <w:rPr>
          <w:b/>
        </w:rPr>
        <w:t xml:space="preserve">- </w:t>
      </w:r>
      <w:r w:rsidR="001206A9" w:rsidRPr="007114AF">
        <w:rPr>
          <w:b/>
        </w:rPr>
        <w:t>Monitorimi i financimeve të klimës</w:t>
      </w:r>
    </w:p>
    <w:p w14:paraId="6EDD1352" w14:textId="7451624F" w:rsidR="001206A9" w:rsidRPr="007114AF" w:rsidRDefault="001206A9" w:rsidP="001206A9">
      <w:pPr>
        <w:pStyle w:val="TEKSTI"/>
        <w:rPr>
          <w:color w:val="000000" w:themeColor="text1"/>
        </w:rPr>
      </w:pPr>
      <w:r w:rsidRPr="007114AF">
        <w:rPr>
          <w:color w:val="000000" w:themeColor="text1"/>
        </w:rPr>
        <w:t>Trajtimi dhe ndjekja e monitorimit të performancës dhe raportimi mbi rezultatet e përshtatjes janë thelbësore për caktimin e prioriteteve, duke udhëhequr zbatimin dhe vlerësimin e progresit drejt përshtatjes (shihni figurën 3: faza e fundit e MNRRK-ës</w:t>
      </w:r>
      <w:r w:rsidR="009432FE">
        <w:rPr>
          <w:color w:val="000000" w:themeColor="text1"/>
        </w:rPr>
        <w:t xml:space="preserve"> </w:t>
      </w:r>
      <w:r w:rsidRPr="007114AF">
        <w:rPr>
          <w:color w:val="000000" w:themeColor="text1"/>
        </w:rPr>
        <w:t>dhe ciklin e planifikimit). Monitorimi dhe raportimi do të duhet të marrin në konsideratë natyrën e larmishme të përshtatjes, përfshijnë gamën e barrierave dhe objektivave social</w:t>
      </w:r>
      <w:r w:rsidR="009B0B46">
        <w:rPr>
          <w:color w:val="000000" w:themeColor="text1"/>
        </w:rPr>
        <w:t>ë</w:t>
      </w:r>
      <w:r w:rsidRPr="007114AF">
        <w:rPr>
          <w:color w:val="000000" w:themeColor="text1"/>
        </w:rPr>
        <w:t>, ekonomik</w:t>
      </w:r>
      <w:r w:rsidR="009B0B46">
        <w:rPr>
          <w:color w:val="000000" w:themeColor="text1"/>
        </w:rPr>
        <w:t>ë</w:t>
      </w:r>
      <w:r w:rsidRPr="007114AF">
        <w:rPr>
          <w:color w:val="000000" w:themeColor="text1"/>
        </w:rPr>
        <w:t xml:space="preserve"> dhe mjedisor</w:t>
      </w:r>
      <w:r w:rsidR="009B0B46">
        <w:rPr>
          <w:color w:val="000000" w:themeColor="text1"/>
        </w:rPr>
        <w:t>ë</w:t>
      </w:r>
      <w:r w:rsidRPr="007114AF">
        <w:rPr>
          <w:color w:val="000000" w:themeColor="text1"/>
        </w:rPr>
        <w:t xml:space="preserve"> të përshtatjes.</w:t>
      </w:r>
      <w:r w:rsidR="000A2A01" w:rsidRPr="007114AF">
        <w:rPr>
          <w:color w:val="000000" w:themeColor="text1"/>
        </w:rPr>
        <w:t xml:space="preserve"> </w:t>
      </w:r>
    </w:p>
    <w:p w14:paraId="6EDD1353" w14:textId="77777777" w:rsidR="001206A9" w:rsidRPr="007114AF" w:rsidRDefault="001206A9" w:rsidP="001206A9">
      <w:pPr>
        <w:pStyle w:val="TEKSTI"/>
        <w:rPr>
          <w:color w:val="000000" w:themeColor="text1"/>
        </w:rPr>
      </w:pPr>
      <w:r w:rsidRPr="007114AF">
        <w:rPr>
          <w:color w:val="000000" w:themeColor="text1"/>
        </w:rPr>
        <w:t>Ky tip i raportimit mund të bazohet në raportet e rregullta të progresit të përshtatjes nga institucionet kryesore qeveritare që ofrojnë elemente të përshtatjes. Veprimi prioritar 4 mbulon monitorimin e ndikimit të klimës, si dhe monitorimin e reagimit në përshtatjen e suksesshme.</w:t>
      </w:r>
    </w:p>
    <w:p w14:paraId="6EDD1354" w14:textId="77777777" w:rsidR="001206A9" w:rsidRPr="007114AF" w:rsidRDefault="001206A9" w:rsidP="001206A9">
      <w:pPr>
        <w:pStyle w:val="TEKSTI"/>
        <w:rPr>
          <w:color w:val="000000" w:themeColor="text1"/>
        </w:rPr>
      </w:pPr>
      <w:r w:rsidRPr="007114AF">
        <w:rPr>
          <w:color w:val="000000" w:themeColor="text1"/>
        </w:rPr>
        <w:t>Objektivi 1: Vlerësimi i progresit ndaj objektivave të përtëritjes së klimës.</w:t>
      </w:r>
    </w:p>
    <w:p w14:paraId="6EDD1355" w14:textId="77777777" w:rsidR="001206A9" w:rsidRPr="007114AF" w:rsidRDefault="001206A9" w:rsidP="001206A9">
      <w:pPr>
        <w:pStyle w:val="TEKSTI"/>
        <w:rPr>
          <w:color w:val="000000" w:themeColor="text1"/>
        </w:rPr>
      </w:pPr>
      <w:r w:rsidRPr="007114AF">
        <w:rPr>
          <w:color w:val="000000" w:themeColor="text1"/>
        </w:rPr>
        <w:t>Objektivi 2: Krijimi i një sistemi monitorimi të bazuar në rezultate (MBR) për ndryshimet klimatike.</w:t>
      </w:r>
    </w:p>
    <w:p w14:paraId="6EDD1356" w14:textId="77777777" w:rsidR="001206A9" w:rsidRPr="007114AF" w:rsidRDefault="001206A9" w:rsidP="001206A9">
      <w:pPr>
        <w:pStyle w:val="TEKSTI"/>
        <w:rPr>
          <w:color w:val="000000" w:themeColor="text1"/>
        </w:rPr>
      </w:pPr>
      <w:r w:rsidRPr="007114AF">
        <w:rPr>
          <w:color w:val="000000" w:themeColor="text1"/>
        </w:rPr>
        <w:t>Dokumenti Tregues Strategjik për IPA II (2014-2020) thekson se asistenca financiare e BE-së duhet të jetë në përputhje me objektivat e politikave të BE-së, duke përfshirë politikën për klimën.</w:t>
      </w:r>
    </w:p>
    <w:p w14:paraId="6EDD1357" w14:textId="18AC07F6" w:rsidR="001206A9" w:rsidRPr="007114AF" w:rsidRDefault="001206A9" w:rsidP="001206A9">
      <w:pPr>
        <w:pStyle w:val="TEKSTI"/>
        <w:rPr>
          <w:color w:val="000000" w:themeColor="text1"/>
        </w:rPr>
      </w:pPr>
      <w:r w:rsidRPr="007114AF">
        <w:rPr>
          <w:color w:val="000000" w:themeColor="text1"/>
        </w:rPr>
        <w:t>Shpenzimet e përshtatjes ndaj ndryshimeve klimatike mund të gjurmohen gjatë ekzekutimit të buxhetit dhe të monitorohen, nëpërmjet miratimit të shenjuesve statistikorë të përcaktuar nga OECD-ja, siç paraqitet në f</w:t>
      </w:r>
      <w:r w:rsidR="009432FE">
        <w:rPr>
          <w:color w:val="000000" w:themeColor="text1"/>
        </w:rPr>
        <w:t>.</w:t>
      </w:r>
      <w:r w:rsidRPr="007114AF">
        <w:rPr>
          <w:color w:val="000000" w:themeColor="text1"/>
        </w:rPr>
        <w:t xml:space="preserve"> 330</w:t>
      </w:r>
      <w:r w:rsidR="009432FE">
        <w:rPr>
          <w:color w:val="000000" w:themeColor="text1"/>
        </w:rPr>
        <w:t>–</w:t>
      </w:r>
      <w:r w:rsidRPr="007114AF">
        <w:rPr>
          <w:color w:val="000000" w:themeColor="text1"/>
        </w:rPr>
        <w:t xml:space="preserve">331. </w:t>
      </w:r>
    </w:p>
    <w:p w14:paraId="6EDD1358" w14:textId="77777777" w:rsidR="001206A9" w:rsidRPr="007114AF" w:rsidRDefault="001206A9" w:rsidP="001206A9">
      <w:pPr>
        <w:pStyle w:val="TEKSTI"/>
        <w:rPr>
          <w:color w:val="000000" w:themeColor="text1"/>
        </w:rPr>
      </w:pPr>
      <w:r w:rsidRPr="007114AF">
        <w:rPr>
          <w:color w:val="000000" w:themeColor="text1"/>
        </w:rPr>
        <w:t xml:space="preserve">Klasifikimi, monitorimi dhe raportimi aktual i buxhetit </w:t>
      </w:r>
    </w:p>
    <w:p w14:paraId="6EDD1359" w14:textId="77777777" w:rsidR="001206A9" w:rsidRPr="007114AF" w:rsidRDefault="001206A9" w:rsidP="001206A9">
      <w:pPr>
        <w:pStyle w:val="TEKSTI"/>
        <w:rPr>
          <w:color w:val="000000" w:themeColor="text1"/>
        </w:rPr>
      </w:pPr>
      <w:r w:rsidRPr="007114AF">
        <w:rPr>
          <w:color w:val="000000" w:themeColor="text1"/>
        </w:rPr>
        <w:t>Kërkesat e klasifikimit të buxhetit vendosen me ligj dhe përcaktohen nga ministri i Financave, në përputhje me standardet ndërkombëtare. Ato unifikohen me skemën publike të llogarive për të gjitha institucionet qendrore, të qeverisë vendore dhe fondeve të posaçme. Minimalisht, klasifikimet buxhetore mbulojnë klasifikimin ndërqeveritar, klasifikimin administrativ, klasifikimin funksional, klasifikimin e bazuar në programe, klasifikimin sipas burimeve të financimit (shtetërore, vendore, financimi ndërkombëtar) dhe klasifikimin ekonomik. Vendimet politike të qeverisë merren mbi bazë programi. Alokimet miratohen nga njësia administrative, programi dhe kategoria kryesore ekonomike: shpenzime të kapitalit dhe shpenzime rrjedhëse (personeli, interesi financiar, operacionet dhe mirëmbajtja, subvencionet, transfertat për individët). Përbërja kryesore e të ardhurave shtetërore përfshin grante, taksa dhe të ardhura jotatimore.</w:t>
      </w:r>
    </w:p>
    <w:p w14:paraId="6EDD135A" w14:textId="77777777" w:rsidR="001206A9" w:rsidRPr="007114AF" w:rsidRDefault="001206A9" w:rsidP="001206A9">
      <w:pPr>
        <w:pStyle w:val="TEKSTI"/>
        <w:rPr>
          <w:color w:val="000000" w:themeColor="text1"/>
        </w:rPr>
      </w:pPr>
      <w:r w:rsidRPr="007114AF">
        <w:rPr>
          <w:color w:val="000000" w:themeColor="text1"/>
        </w:rPr>
        <w:t>Të gjitha transaksionet e qeverisë qendrore dhe vendore janë ekzekutuar nga Llogaria e Vetme e Thesarit në Bankën Qendrore, nëpërmjet Sistemit Qeveritar të Informacionit Financiar të administruar nga Departamenti i Thesarit pranë Ministrisë së Financave. Sistemi refuzon çdo shpenzim për të cilin ka alokime të pamjaftueshme. Të gjitha transaksionet kontrollohen nga programet buxhetore dhe klasifikimi institucional, dhe gjurmohen nëpërmjet sistemit elektronik në nivel të detajuar (nivele shtesë: sipas rajoneve, rretheve dhe projekteve dhe deri në 7 shifra të shpenzimeve ekonomike kundrejt 3 shifrave të miratuara me ligj). Një numër i kufizuar i institucioneve vendore dhe qendrore (15 nga 100 institucione) janë përdorues të drejtpërdrejtë të Sistemit Qeveritar të Informacionit Financiar.</w:t>
      </w:r>
    </w:p>
    <w:p w14:paraId="6EDD135B" w14:textId="71356B21" w:rsidR="001206A9" w:rsidRPr="007114AF" w:rsidRDefault="001206A9" w:rsidP="001206A9">
      <w:pPr>
        <w:pStyle w:val="TEKSTI"/>
        <w:rPr>
          <w:color w:val="000000" w:themeColor="text1"/>
        </w:rPr>
      </w:pPr>
      <w:r w:rsidRPr="007114AF">
        <w:rPr>
          <w:color w:val="000000" w:themeColor="text1"/>
        </w:rPr>
        <w:t>Ekzekutimi i buxhetit dhe raportet e monitorimit përgatiten katër herë në vit nga sekretarët e përgjithshëm të ministrive të linjës dhe kryetarët e bashkive dhe i paraqiten Ministrisë së Financave. Brenda një muaji pas përfundimit të periudhës raportuese,Ministri i Financave paraqet raportet e monitorimit dhe zbatimit të buxhetit në Këshillin e Ministrave dhe Kuvend. Këto raporte bazohen në performancë dhe përbëhen nga: performanca financiare e secilit program; produktet e prodhuara nga çdo program; objektivat e arritur nga çdo program.</w:t>
      </w:r>
    </w:p>
    <w:p w14:paraId="6EDD135C" w14:textId="77777777" w:rsidR="001206A9" w:rsidRPr="007114AF" w:rsidRDefault="001206A9" w:rsidP="001206A9">
      <w:pPr>
        <w:pStyle w:val="TEKSTI"/>
        <w:rPr>
          <w:rFonts w:eastAsiaTheme="minorHAnsi"/>
          <w:lang w:eastAsia="en-US"/>
        </w:rPr>
      </w:pPr>
      <w:r w:rsidRPr="007114AF">
        <w:rPr>
          <w:color w:val="000000" w:themeColor="text1"/>
        </w:rPr>
        <w:t>Gjatë tre viteve të ardhshme, Ministria e Financave dhe Ekonomisë do të përmirësojë Sistemin Qeveritar të Informacionit Financiar e sistemit ekzistues financiar, në një sistem të ri informacioni të menaxhimit financiar (SIMFSH), duke integruar planifikimin dhe monitorimin afatmesëm, si dhe procesin e menaxhimit të projektit. Kjo ndoshta do të shoqërohet me përmirësimin e klasifikimeve buxhetore.</w:t>
      </w:r>
    </w:p>
    <w:p w14:paraId="6EDD135D" w14:textId="77777777" w:rsidR="001206A9" w:rsidRPr="007114AF" w:rsidRDefault="00B976ED" w:rsidP="001206A9">
      <w:pPr>
        <w:pStyle w:val="TEKSTI"/>
        <w:rPr>
          <w:b/>
        </w:rPr>
      </w:pPr>
      <w:r w:rsidRPr="007114AF">
        <w:rPr>
          <w:b/>
        </w:rPr>
        <w:t xml:space="preserve">- </w:t>
      </w:r>
      <w:r w:rsidR="001206A9" w:rsidRPr="007114AF">
        <w:rPr>
          <w:b/>
        </w:rPr>
        <w:t>Avancimi i procesit për integrimin e fondeve të klimës në PBAM</w:t>
      </w:r>
    </w:p>
    <w:p w14:paraId="6EDD135E" w14:textId="77777777" w:rsidR="001206A9" w:rsidRPr="007114AF" w:rsidRDefault="001206A9" w:rsidP="001206A9">
      <w:pPr>
        <w:pStyle w:val="TEKSTI"/>
      </w:pPr>
      <w:r w:rsidRPr="007114AF">
        <w:t xml:space="preserve">Menaxhimi i rrezikut të klimës, koordinimi i aktiviteteve dhe kuadrove të përshtatjes ndaj ndryshimeve klimatike dhe integrimi i tyre në proceset vendimmarrëse dhe të planifikimit të zhvillimit janë fusha kërkimore dhe përpjekje praktike relativisht të reja. Gjithashtu, përvoja shqiptare nga fusha të tjera, të tilla si çështjet gjinore, ka treguar se integrimi në politikën sektoriale kombëtare dhe PBAM (MTBP) është një proces multidimensional, i vazhdueshëm që kërkon kohë (p.sh. procesi i integrimit gjinor në PBAM filloi në vitin 2012, me identifikimin dhe përgatitjen e kuadrit përkatës dhe strukturat institucionale dhe është ende në zhvillim si një qasje pilot). </w:t>
      </w:r>
    </w:p>
    <w:p w14:paraId="6EDD135F" w14:textId="77777777" w:rsidR="001206A9" w:rsidRPr="007114AF" w:rsidRDefault="001206A9" w:rsidP="001206A9">
      <w:pPr>
        <w:pStyle w:val="TEKSTI"/>
      </w:pPr>
      <w:r w:rsidRPr="007114AF">
        <w:t>Ndërsa po punohet drejt rritjes së ndërgjegjësimit midis qeverisë dhe popullatës, me qëllim garantimin e një zbatimi të suksesshëm të politikave të përshtatjes ndaj ndryshimeve klimatike dhe masave prioritare të NAP-it, mund të merren në konsideratë hapat e mëposhtëm:</w:t>
      </w:r>
    </w:p>
    <w:p w14:paraId="6EDD1360" w14:textId="1D17D1C8" w:rsidR="001206A9" w:rsidRPr="007114AF" w:rsidRDefault="00B976ED" w:rsidP="001206A9">
      <w:pPr>
        <w:pStyle w:val="TEKSTI"/>
        <w:rPr>
          <w:color w:val="000000"/>
        </w:rPr>
      </w:pPr>
      <w:r w:rsidRPr="007114AF">
        <w:rPr>
          <w:color w:val="000000"/>
        </w:rPr>
        <w:t xml:space="preserve">1. </w:t>
      </w:r>
      <w:r w:rsidR="001206A9" w:rsidRPr="007114AF">
        <w:rPr>
          <w:color w:val="000000"/>
        </w:rPr>
        <w:t>Rishikimi/përmirësimi i strategjive aktuale sektoriale dhe lidhja me SKZHI, bazuar në NAP-in për ndryshimet klimatike dhe masat prioritare</w:t>
      </w:r>
      <w:r w:rsidR="00242009" w:rsidRPr="007114AF">
        <w:rPr>
          <w:color w:val="000000"/>
        </w:rPr>
        <w:t xml:space="preserve"> nr. </w:t>
      </w:r>
      <w:r w:rsidR="001206A9" w:rsidRPr="007114AF">
        <w:rPr>
          <w:color w:val="000000"/>
        </w:rPr>
        <w:t>2 dhe</w:t>
      </w:r>
      <w:r w:rsidR="00242009" w:rsidRPr="007114AF">
        <w:rPr>
          <w:color w:val="000000"/>
        </w:rPr>
        <w:t xml:space="preserve"> nr. </w:t>
      </w:r>
      <w:r w:rsidR="001206A9" w:rsidRPr="007114AF">
        <w:rPr>
          <w:color w:val="000000"/>
        </w:rPr>
        <w:t>6</w:t>
      </w:r>
      <w:r w:rsidR="001206A9" w:rsidRPr="007114AF">
        <w:rPr>
          <w:rStyle w:val="FootnoteReference"/>
          <w:color w:val="000000"/>
        </w:rPr>
        <w:footnoteReference w:id="65"/>
      </w:r>
      <w:r w:rsidR="001206A9" w:rsidRPr="007114AF">
        <w:rPr>
          <w:color w:val="000000"/>
        </w:rPr>
        <w:t>.</w:t>
      </w:r>
    </w:p>
    <w:p w14:paraId="6EDD1361" w14:textId="77777777" w:rsidR="001206A9" w:rsidRPr="007114AF" w:rsidRDefault="00B976ED" w:rsidP="001206A9">
      <w:pPr>
        <w:pStyle w:val="TEKSTI"/>
        <w:rPr>
          <w:color w:val="000000"/>
        </w:rPr>
      </w:pPr>
      <w:r w:rsidRPr="007114AF">
        <w:rPr>
          <w:color w:val="000000"/>
        </w:rPr>
        <w:t xml:space="preserve">2. </w:t>
      </w:r>
      <w:r w:rsidR="001206A9" w:rsidRPr="007114AF">
        <w:rPr>
          <w:color w:val="000000"/>
        </w:rPr>
        <w:t xml:space="preserve">Përgatitja e rregullimeve të nevojshme. </w:t>
      </w:r>
    </w:p>
    <w:p w14:paraId="6EDD1362" w14:textId="77777777" w:rsidR="001206A9" w:rsidRPr="007114AF" w:rsidRDefault="00B976ED" w:rsidP="001206A9">
      <w:pPr>
        <w:pStyle w:val="TEKSTI"/>
        <w:rPr>
          <w:color w:val="000000"/>
        </w:rPr>
      </w:pPr>
      <w:r w:rsidRPr="007114AF">
        <w:rPr>
          <w:color w:val="000000"/>
        </w:rPr>
        <w:t xml:space="preserve">3. </w:t>
      </w:r>
      <w:r w:rsidR="001206A9" w:rsidRPr="007114AF">
        <w:rPr>
          <w:color w:val="000000"/>
        </w:rPr>
        <w:t>Trajnimi dhe rritja e cilësisë së njohurive të</w:t>
      </w:r>
      <w:r w:rsidR="001206A9" w:rsidRPr="007114AF">
        <w:rPr>
          <w:rStyle w:val="FootnoteReference"/>
          <w:color w:val="000000"/>
        </w:rPr>
        <w:footnoteReference w:id="66"/>
      </w:r>
      <w:r w:rsidR="001206A9" w:rsidRPr="007114AF">
        <w:rPr>
          <w:color w:val="000000"/>
        </w:rPr>
        <w:t>:</w:t>
      </w:r>
    </w:p>
    <w:p w14:paraId="6EDD1363" w14:textId="77777777" w:rsidR="001206A9" w:rsidRPr="007114AF" w:rsidRDefault="00B976ED" w:rsidP="001206A9">
      <w:pPr>
        <w:pStyle w:val="TEKSTI"/>
        <w:rPr>
          <w:color w:val="000000"/>
        </w:rPr>
      </w:pPr>
      <w:r w:rsidRPr="007114AF">
        <w:rPr>
          <w:color w:val="000000"/>
        </w:rPr>
        <w:t xml:space="preserve">- </w:t>
      </w:r>
      <w:r w:rsidR="001206A9" w:rsidRPr="007114AF">
        <w:rPr>
          <w:color w:val="000000"/>
        </w:rPr>
        <w:t>personave kyç të qeverisë qendrore dhe vendore të përfshirë në formulimin e politikave dhe procesin e buxhetimit afatmesëm;</w:t>
      </w:r>
    </w:p>
    <w:p w14:paraId="6EDD1364" w14:textId="01F6D044" w:rsidR="001206A9" w:rsidRPr="007114AF" w:rsidRDefault="00B976ED" w:rsidP="001206A9">
      <w:pPr>
        <w:pStyle w:val="TEKSTI"/>
        <w:rPr>
          <w:color w:val="000000"/>
        </w:rPr>
      </w:pPr>
      <w:r w:rsidRPr="007114AF">
        <w:rPr>
          <w:color w:val="000000"/>
        </w:rPr>
        <w:t xml:space="preserve">- </w:t>
      </w:r>
      <w:r w:rsidR="001206A9" w:rsidRPr="007114AF">
        <w:rPr>
          <w:color w:val="000000"/>
        </w:rPr>
        <w:t>ekipet teknike që çmojnë vlerësimin e investimeve të projektit, në mënyrë që të kenë kapacitetin për të shqyrtuar ndikimin e ndryshimeve</w:t>
      </w:r>
      <w:r w:rsidR="000A2A01" w:rsidRPr="007114AF">
        <w:rPr>
          <w:color w:val="000000"/>
        </w:rPr>
        <w:t xml:space="preserve"> </w:t>
      </w:r>
      <w:r w:rsidR="001206A9" w:rsidRPr="007114AF">
        <w:rPr>
          <w:color w:val="000000"/>
        </w:rPr>
        <w:t>klimatike;</w:t>
      </w:r>
    </w:p>
    <w:p w14:paraId="6EDD1365" w14:textId="77777777" w:rsidR="001206A9" w:rsidRPr="007114AF" w:rsidRDefault="00B976ED" w:rsidP="001206A9">
      <w:pPr>
        <w:pStyle w:val="TEKSTI"/>
        <w:rPr>
          <w:color w:val="000000"/>
        </w:rPr>
      </w:pPr>
      <w:r w:rsidRPr="007114AF">
        <w:rPr>
          <w:color w:val="000000"/>
        </w:rPr>
        <w:t xml:space="preserve">- </w:t>
      </w:r>
      <w:r w:rsidR="001206A9" w:rsidRPr="007114AF">
        <w:rPr>
          <w:color w:val="000000"/>
        </w:rPr>
        <w:t>shkëmbimi i përvojave me qeveri të tjera që kanë qenë të suksesshme në përfshirjen e kostos së reformave strukturore në buxhet, do të ishte tepër i vlefshëm.</w:t>
      </w:r>
    </w:p>
    <w:p w14:paraId="6EDD1366" w14:textId="655D4FA2" w:rsidR="001206A9" w:rsidRPr="007114AF" w:rsidRDefault="00B976ED" w:rsidP="001206A9">
      <w:pPr>
        <w:pStyle w:val="TEKSTI"/>
        <w:rPr>
          <w:color w:val="000000"/>
        </w:rPr>
      </w:pPr>
      <w:r w:rsidRPr="007114AF">
        <w:rPr>
          <w:color w:val="000000"/>
        </w:rPr>
        <w:t xml:space="preserve">4. </w:t>
      </w:r>
      <w:r w:rsidR="001206A9" w:rsidRPr="007114AF">
        <w:rPr>
          <w:color w:val="000000"/>
        </w:rPr>
        <w:t>Procesi aktual i miratimit të projektit kryhet nga Komiteti i Zhvillimit Rajonal (Kryeministria) dhe Ministria e Bujqësisë dhe Zhvillimit Rural mund të përfshijë një kërkesë për të treguar se ndryshimet e klimës janë marrë në konsideratë për investime në zonat me rrezik të lartë (për zonat e tjera mund të duhen kërkesa më të buta, n</w:t>
      </w:r>
      <w:r w:rsidR="0000517F">
        <w:rPr>
          <w:color w:val="000000"/>
        </w:rPr>
        <w:t>ë</w:t>
      </w:r>
      <w:r w:rsidR="001206A9" w:rsidRPr="007114AF">
        <w:rPr>
          <w:color w:val="000000"/>
        </w:rPr>
        <w:t xml:space="preserve"> varësi të vulnerabilitetit të zonës). Ky proces mund të përfshijë një pyetje të thjeshtë cilësore lidhur me verifikimin e marrjes në konsideratë të ndryshimeve klimatike për programe më të vogla apo programe që nuk pretendohen të jenë të rëndësishme për klimën. Për programe më të mëdha lidhur me klimën, kjo duhet të përfshijë një analizë më rigoroze. Paraqitja e analizës së përmirësimit të klimës në vlerësimin e projektit mund të koordinohet nga Sekretariati i Zhvillimit Rajonal pranë zyrës së Kryeministrisë (PMO, me kontribut të përbashkët nga Ministria e Turizmit dhe Mjedisit (për çështjet klimatike) dhe Ministrisë së Financave (për çështjet ekonomike).</w:t>
      </w:r>
    </w:p>
    <w:p w14:paraId="6EDD1367" w14:textId="77777777" w:rsidR="001206A9" w:rsidRPr="007114AF" w:rsidRDefault="00B976ED" w:rsidP="001206A9">
      <w:pPr>
        <w:pStyle w:val="TEKSTI"/>
        <w:rPr>
          <w:color w:val="000000"/>
        </w:rPr>
      </w:pPr>
      <w:r w:rsidRPr="007114AF">
        <w:rPr>
          <w:color w:val="000000"/>
        </w:rPr>
        <w:t xml:space="preserve">5. </w:t>
      </w:r>
      <w:r w:rsidR="001206A9" w:rsidRPr="007114AF">
        <w:rPr>
          <w:color w:val="000000"/>
        </w:rPr>
        <w:t>Procesi i gjurmimit dhe monitorimit:</w:t>
      </w:r>
    </w:p>
    <w:p w14:paraId="6EDD1368" w14:textId="77777777" w:rsidR="001206A9" w:rsidRPr="007114AF" w:rsidRDefault="00B976ED" w:rsidP="001206A9">
      <w:pPr>
        <w:pStyle w:val="TEKSTI"/>
        <w:rPr>
          <w:color w:val="000000"/>
        </w:rPr>
      </w:pPr>
      <w:r w:rsidRPr="007114AF">
        <w:rPr>
          <w:rFonts w:cs="Calibri"/>
        </w:rPr>
        <w:t xml:space="preserve">- </w:t>
      </w:r>
      <w:r w:rsidR="001206A9" w:rsidRPr="007114AF">
        <w:rPr>
          <w:rFonts w:cs="Calibri"/>
        </w:rPr>
        <w:t>Sistemin qeveritar i informacionit financiar</w:t>
      </w:r>
      <w:r w:rsidR="001206A9" w:rsidRPr="007114AF">
        <w:rPr>
          <w:color w:val="000000"/>
        </w:rPr>
        <w:t xml:space="preserve"> dhe/ose sistemi i klasifikimit buxhetor mund të përmirësohen (pa ndryshuar parimet kryesore) për të ofruar informacion për shpenzimet klimatike brenda ministrive, qoftë nëpërmjet krijimit të nënprogrameve për ndryshimet klimatike ose nëpërmjet dhënies së detajeve të lidhura me projekte, sipas aktiviteteve të programit/veprimtarisë ose rezultatet. Kjo do të ndihmojë ndjeshëm në të ardhmen e afërt për raportim në BE për përdorimin e fondeve IPA, nga të cilat 20% parashikohen për shpenzimet për përshtatja ndaj ndryshimeve klimatike dhe do të monitorohen si të tilla. Gjithashtu, mbështetja e buxhetit të BE-së ndaj sektorit mjedisor që mund të bazohet në skemën e rimbursimit për shpenzimet e shkaktuara nga buxheti kombëtar, kërkon monitorim nga afër dhe raportim të shpenzimeve për përshtatjen ndaj ndryshimeve klimatike. </w:t>
      </w:r>
    </w:p>
    <w:p w14:paraId="6EDD1369" w14:textId="65FA7C6B" w:rsidR="001206A9" w:rsidRPr="007114AF" w:rsidRDefault="00B976ED" w:rsidP="001206A9">
      <w:pPr>
        <w:pStyle w:val="TEKSTI"/>
        <w:rPr>
          <w:color w:val="000000"/>
        </w:rPr>
      </w:pPr>
      <w:r w:rsidRPr="007114AF">
        <w:rPr>
          <w:color w:val="000000"/>
        </w:rPr>
        <w:t xml:space="preserve">- </w:t>
      </w:r>
      <w:r w:rsidR="001206A9" w:rsidRPr="007114AF">
        <w:rPr>
          <w:color w:val="000000"/>
        </w:rPr>
        <w:t xml:space="preserve">Gjurmimi alternativ i shpenzimeve mund të kryhej nëpërmjet Agjencisë Kombëtare Mjedisore, funksioni kryesor i </w:t>
      </w:r>
      <w:r w:rsidR="00362F59">
        <w:rPr>
          <w:color w:val="000000"/>
        </w:rPr>
        <w:t>s</w:t>
      </w:r>
      <w:r w:rsidR="001206A9" w:rsidRPr="007114AF">
        <w:rPr>
          <w:color w:val="000000"/>
        </w:rPr>
        <w:t xml:space="preserve">ë cilës është monitorimi mjedisor. Ju lutemi vëreni se ky nuk duhet të jetë burimi kryesor për monitorimin e përshtatjen ndaj ndryshimeve klimatike, për shkak se reforma e plotë e përshtatjes ndaj ndryshimeve klimatike nuk lidhet me </w:t>
      </w:r>
      <w:r w:rsidR="000A2A01" w:rsidRPr="007114AF">
        <w:rPr>
          <w:color w:val="000000"/>
        </w:rPr>
        <w:t>“</w:t>
      </w:r>
      <w:r w:rsidR="001206A9" w:rsidRPr="007114AF">
        <w:rPr>
          <w:color w:val="000000"/>
        </w:rPr>
        <w:t>lejen mjedisore</w:t>
      </w:r>
      <w:r w:rsidR="000A2A01" w:rsidRPr="007114AF">
        <w:rPr>
          <w:color w:val="000000"/>
        </w:rPr>
        <w:t>”</w:t>
      </w:r>
      <w:r w:rsidR="001206A9" w:rsidRPr="007114AF">
        <w:rPr>
          <w:color w:val="000000"/>
        </w:rPr>
        <w:t>.</w:t>
      </w:r>
    </w:p>
    <w:p w14:paraId="6EDD136A" w14:textId="77777777" w:rsidR="001206A9" w:rsidRPr="007114AF" w:rsidRDefault="001206A9" w:rsidP="001206A9">
      <w:pPr>
        <w:pStyle w:val="TEKSTI"/>
        <w:rPr>
          <w:color w:val="000000"/>
        </w:rPr>
      </w:pPr>
      <w:r w:rsidRPr="007114AF">
        <w:rPr>
          <w:color w:val="000000"/>
        </w:rPr>
        <w:t>Rekomandohet qasja e mëposhtme integruese:</w:t>
      </w:r>
    </w:p>
    <w:p w14:paraId="6EDD136B" w14:textId="4B67B0F2" w:rsidR="001206A9" w:rsidRPr="007114AF" w:rsidRDefault="001206A9" w:rsidP="001206A9">
      <w:pPr>
        <w:pStyle w:val="TEKSTI"/>
        <w:rPr>
          <w:color w:val="000000"/>
          <w:u w:val="single"/>
        </w:rPr>
      </w:pPr>
      <w:r w:rsidRPr="007114AF">
        <w:rPr>
          <w:color w:val="000000"/>
          <w:u w:val="single"/>
        </w:rPr>
        <w:t>Faza 1 -</w:t>
      </w:r>
      <w:r w:rsidR="000A2A01" w:rsidRPr="007114AF">
        <w:rPr>
          <w:color w:val="000000"/>
          <w:u w:val="single"/>
        </w:rPr>
        <w:t xml:space="preserve"> </w:t>
      </w:r>
      <w:r w:rsidRPr="007114AF">
        <w:rPr>
          <w:color w:val="000000"/>
          <w:u w:val="single"/>
        </w:rPr>
        <w:t xml:space="preserve">Qasja afatshkurtër dhe afatmesme: </w:t>
      </w:r>
    </w:p>
    <w:p w14:paraId="6EDD136C" w14:textId="5632C799" w:rsidR="001206A9" w:rsidRPr="007114AF" w:rsidRDefault="001206A9" w:rsidP="001206A9">
      <w:pPr>
        <w:pStyle w:val="TEKSTI"/>
        <w:rPr>
          <w:color w:val="000000"/>
        </w:rPr>
      </w:pPr>
      <w:r w:rsidRPr="007114AF">
        <w:rPr>
          <w:color w:val="000000"/>
        </w:rPr>
        <w:t>Para integrimit të përshtatjes ndaj ndryshimeve klimatike në një zhvillim më të gjerë, vendimmarrësit financiarë duan të shqyrtojnë një periudhë demonstrimi për të mësuar për kompleksitetin e procesit, si dhe për të pasur një perceptim të rreziqeve dhe përfitimeve të mundshme prej tij. Do të ishte e parakohshme që brenda sistemit kombëtar të integroheshin opsione të kuptuara jo qartë.</w:t>
      </w:r>
      <w:r w:rsidR="000A2A01" w:rsidRPr="007114AF">
        <w:rPr>
          <w:color w:val="000000"/>
        </w:rPr>
        <w:t xml:space="preserve"> </w:t>
      </w:r>
      <w:r w:rsidRPr="007114AF">
        <w:rPr>
          <w:color w:val="000000"/>
        </w:rPr>
        <w:t>Pra, fokusi afatmesëm duhet të vendoset në plotësimin e kuadrit ligjor, duke forcuar strukturat institucionale dhe rritjen e kapaciteteve në të njëjtën kohë me integrimin e masave të përzgjedhura prioritare të NAP-it, nëpërmjet një projekti pilot në një ose dy programe buxhetore ekzistuese</w:t>
      </w:r>
      <w:r w:rsidRPr="007114AF">
        <w:rPr>
          <w:rStyle w:val="FootnoteReference"/>
          <w:color w:val="000000"/>
        </w:rPr>
        <w:footnoteReference w:id="67"/>
      </w:r>
      <w:r w:rsidRPr="007114AF">
        <w:rPr>
          <w:color w:val="000000"/>
        </w:rPr>
        <w:t xml:space="preserve"> (të barasvlefshme me departamentet e politikave pranë ministrive të linjës dhe një bashkie të ndodhur në një zonë me rrezik të lartë klimatik). Masat prioritare duhet të integrohen eventualisht në nivelin e projekteve ose aktiviteteve sipas programeve ekzistuese. </w:t>
      </w:r>
    </w:p>
    <w:p w14:paraId="6EDD136D" w14:textId="2C8D5FFA" w:rsidR="001206A9" w:rsidRPr="007114AF" w:rsidRDefault="001206A9" w:rsidP="001206A9">
      <w:pPr>
        <w:pStyle w:val="TEKSTI"/>
        <w:rPr>
          <w:color w:val="000000"/>
        </w:rPr>
      </w:pPr>
      <w:r w:rsidRPr="007114AF">
        <w:rPr>
          <w:color w:val="000000"/>
        </w:rPr>
        <w:t xml:space="preserve">Institucionet e </w:t>
      </w:r>
      <w:r w:rsidR="00D10DAB" w:rsidRPr="007114AF">
        <w:rPr>
          <w:color w:val="000000"/>
        </w:rPr>
        <w:t>‘</w:t>
      </w:r>
      <w:r w:rsidRPr="007114AF">
        <w:rPr>
          <w:color w:val="000000"/>
        </w:rPr>
        <w:t>pilotimit</w:t>
      </w:r>
      <w:r w:rsidR="00D10DAB" w:rsidRPr="007114AF">
        <w:rPr>
          <w:color w:val="000000"/>
        </w:rPr>
        <w:t>’</w:t>
      </w:r>
      <w:r w:rsidRPr="007114AF">
        <w:rPr>
          <w:color w:val="000000"/>
        </w:rPr>
        <w:t xml:space="preserve"> duhet të përzgjidhen në bazë të një angazhimi të nivelit të lartë të treguar gjatë përgatitjes së NAP-it dhe performancës së buxhetit të viteve të mëparshme (opinioni nga Ministria e Financave është i rëndësishëm). Institucionet drejtuese do të vazhdojnë të jenë </w:t>
      </w:r>
      <w:r w:rsidRPr="007114AF">
        <w:t>Ministria e Turizmit dhe Mjedisit</w:t>
      </w:r>
      <w:r w:rsidR="003F649E" w:rsidRPr="007114AF">
        <w:t>,</w:t>
      </w:r>
      <w:r w:rsidRPr="007114AF">
        <w:rPr>
          <w:color w:val="000000"/>
        </w:rPr>
        <w:t xml:space="preserve"> Ministria e Financave dhe Ekonomisë, zyra e Kryeministrisë, </w:t>
      </w:r>
      <w:r w:rsidRPr="007114AF">
        <w:t>(Fondi Zhvillimit Rajonal dhe zyra e</w:t>
      </w:r>
      <w:r w:rsidRPr="007114AF">
        <w:rPr>
          <w:color w:val="000000"/>
        </w:rPr>
        <w:t xml:space="preserve"> Planifikimi Strategjik) dhe Ministria për Evropën dhe Punët e Jashtme.</w:t>
      </w:r>
    </w:p>
    <w:p w14:paraId="6EDD136E" w14:textId="77777777" w:rsidR="001206A9" w:rsidRPr="007114AF" w:rsidRDefault="001206A9" w:rsidP="001206A9">
      <w:pPr>
        <w:pStyle w:val="TEKSTI"/>
        <w:rPr>
          <w:color w:val="000000"/>
          <w:u w:val="single"/>
        </w:rPr>
      </w:pPr>
      <w:r w:rsidRPr="007114AF">
        <w:rPr>
          <w:color w:val="000000"/>
          <w:u w:val="single"/>
        </w:rPr>
        <w:t>Harmonizimi i PBAM-it dhe NAP-it</w:t>
      </w:r>
    </w:p>
    <w:p w14:paraId="6EDD136F" w14:textId="77777777" w:rsidR="001206A9" w:rsidRPr="007114AF" w:rsidRDefault="001206A9" w:rsidP="001206A9">
      <w:pPr>
        <w:pStyle w:val="TEKSTI"/>
        <w:rPr>
          <w:color w:val="000000"/>
        </w:rPr>
      </w:pPr>
      <w:r w:rsidRPr="007114AF">
        <w:rPr>
          <w:color w:val="000000"/>
        </w:rPr>
        <w:t>Dokumenti i NAP-it shërben si një dokument për vlerësimin dhe identifikimin e rrezikut që mund dhe duhet të plotësohet në një plan të përshtatshëm të menaxhimit të rrezikut. Dokumenti i NAP-it parashtron 15 masa prioritare dhe për secilën prej tyre përcaktohen objektivat dhe treguesit, grupet kryesore të interesit dhe identifikohen kërkesat financiare (llogaritje të përafërta).</w:t>
      </w:r>
    </w:p>
    <w:p w14:paraId="6EDD1370" w14:textId="6A2A8E02" w:rsidR="001206A9" w:rsidRPr="007114AF" w:rsidRDefault="001206A9" w:rsidP="001206A9">
      <w:pPr>
        <w:pStyle w:val="TEKSTI"/>
        <w:rPr>
          <w:color w:val="000000"/>
        </w:rPr>
      </w:pPr>
      <w:r w:rsidRPr="007114AF">
        <w:rPr>
          <w:color w:val="000000"/>
        </w:rPr>
        <w:t>Përafrimi i një mase prioritare të PKP-ës (NAP) në programin e buxhetit afatmesëm mund të kryhet si më poshtë:</w:t>
      </w:r>
      <w:r w:rsidR="000A2A01" w:rsidRPr="007114AF">
        <w:rPr>
          <w:color w:val="000000"/>
        </w:rPr>
        <w:t xml:space="preserve"> </w:t>
      </w:r>
    </w:p>
    <w:p w14:paraId="6EDD1371" w14:textId="77777777" w:rsidR="00186207" w:rsidRPr="007114AF" w:rsidRDefault="00186207" w:rsidP="00B976ED">
      <w:pPr>
        <w:pStyle w:val="TEKSTI"/>
        <w:rPr>
          <w:rStyle w:val="text"/>
        </w:rPr>
      </w:pPr>
    </w:p>
    <w:tbl>
      <w:tblPr>
        <w:tblW w:w="932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1237"/>
        <w:gridCol w:w="1374"/>
        <w:gridCol w:w="1385"/>
        <w:gridCol w:w="1362"/>
        <w:gridCol w:w="1241"/>
      </w:tblGrid>
      <w:tr w:rsidR="004F751E" w:rsidRPr="007114AF" w14:paraId="6EDD1379" w14:textId="77777777" w:rsidTr="00BA14F8">
        <w:trPr>
          <w:trHeight w:val="688"/>
        </w:trPr>
        <w:tc>
          <w:tcPr>
            <w:tcW w:w="2727" w:type="dxa"/>
            <w:shd w:val="clear" w:color="auto" w:fill="B6DDE8" w:themeFill="accent5" w:themeFillTint="66"/>
          </w:tcPr>
          <w:p w14:paraId="6EDD1372" w14:textId="77777777" w:rsidR="004F751E" w:rsidRPr="007114AF" w:rsidRDefault="004F751E" w:rsidP="00B976ED">
            <w:pPr>
              <w:pStyle w:val="ListParagraph"/>
              <w:numPr>
                <w:ilvl w:val="0"/>
                <w:numId w:val="0"/>
              </w:numPr>
              <w:spacing w:before="0" w:after="0"/>
              <w:contextualSpacing w:val="0"/>
              <w:rPr>
                <w:rFonts w:ascii="Garamond" w:hAnsi="Garamond"/>
              </w:rPr>
            </w:pPr>
            <w:r w:rsidRPr="007114AF">
              <w:rPr>
                <w:rFonts w:ascii="Garamond" w:hAnsi="Garamond"/>
                <w:noProof/>
                <w:lang w:val="en-US"/>
              </w:rPr>
              <mc:AlternateContent>
                <mc:Choice Requires="wps">
                  <w:drawing>
                    <wp:anchor distT="0" distB="0" distL="114300" distR="114300" simplePos="0" relativeHeight="251658249" behindDoc="0" locked="0" layoutInCell="1" allowOverlap="1" wp14:anchorId="6EDD17D4" wp14:editId="6EDD17D5">
                      <wp:simplePos x="0" y="0"/>
                      <wp:positionH relativeFrom="column">
                        <wp:posOffset>-78105</wp:posOffset>
                      </wp:positionH>
                      <wp:positionV relativeFrom="paragraph">
                        <wp:posOffset>14605</wp:posOffset>
                      </wp:positionV>
                      <wp:extent cx="1573530" cy="531495"/>
                      <wp:effectExtent l="0" t="0" r="7620" b="190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3530" cy="53149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49E6DFA" id="Straight Connector 47"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15pt" to="117.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" strokeweight=".5pt">
                      <v:stroke joinstyle="miter"/>
                    </v:line>
                  </w:pict>
                </mc:Fallback>
              </mc:AlternateContent>
            </w:r>
            <w:r w:rsidRPr="007114AF">
              <w:rPr>
                <w:rFonts w:ascii="Garamond" w:hAnsi="Garamond"/>
              </w:rPr>
              <w:t xml:space="preserve">PBAM </w:t>
            </w:r>
          </w:p>
          <w:p w14:paraId="6EDD1373" w14:textId="77777777" w:rsidR="004F751E" w:rsidRPr="007114AF" w:rsidRDefault="004F751E" w:rsidP="00B976ED">
            <w:pPr>
              <w:pStyle w:val="ListParagraph"/>
              <w:numPr>
                <w:ilvl w:val="0"/>
                <w:numId w:val="0"/>
              </w:numPr>
              <w:spacing w:before="0" w:after="0"/>
              <w:contextualSpacing w:val="0"/>
              <w:rPr>
                <w:rFonts w:ascii="Garamond" w:hAnsi="Garamond"/>
              </w:rPr>
            </w:pPr>
            <w:r w:rsidRPr="007114AF">
              <w:rPr>
                <w:rFonts w:ascii="Garamond" w:hAnsi="Garamond"/>
              </w:rPr>
              <w:t>NAP</w:t>
            </w:r>
          </w:p>
        </w:tc>
        <w:tc>
          <w:tcPr>
            <w:tcW w:w="1237" w:type="dxa"/>
            <w:shd w:val="clear" w:color="auto" w:fill="B6DDE8" w:themeFill="accent5" w:themeFillTint="66"/>
            <w:vAlign w:val="center"/>
          </w:tcPr>
          <w:p w14:paraId="6EDD1374" w14:textId="77777777" w:rsidR="004F751E" w:rsidRPr="007114AF" w:rsidRDefault="004F751E" w:rsidP="00B976ED">
            <w:pPr>
              <w:pStyle w:val="ListParagraph"/>
              <w:numPr>
                <w:ilvl w:val="0"/>
                <w:numId w:val="0"/>
              </w:numPr>
              <w:spacing w:before="0" w:after="0"/>
              <w:contextualSpacing w:val="0"/>
              <w:rPr>
                <w:rFonts w:ascii="Garamond" w:hAnsi="Garamond"/>
              </w:rPr>
            </w:pPr>
            <w:r w:rsidRPr="007114AF">
              <w:rPr>
                <w:rFonts w:ascii="Garamond" w:hAnsi="Garamond"/>
              </w:rPr>
              <w:t>Politika</w:t>
            </w:r>
          </w:p>
        </w:tc>
        <w:tc>
          <w:tcPr>
            <w:tcW w:w="1374" w:type="dxa"/>
            <w:shd w:val="clear" w:color="auto" w:fill="B6DDE8" w:themeFill="accent5" w:themeFillTint="66"/>
            <w:vAlign w:val="center"/>
          </w:tcPr>
          <w:p w14:paraId="6EDD1375" w14:textId="77777777" w:rsidR="004F751E" w:rsidRPr="007114AF" w:rsidRDefault="004F751E" w:rsidP="00B976ED">
            <w:pPr>
              <w:pStyle w:val="ListParagraph"/>
              <w:numPr>
                <w:ilvl w:val="0"/>
                <w:numId w:val="0"/>
              </w:numPr>
              <w:spacing w:before="0" w:after="0"/>
              <w:contextualSpacing w:val="0"/>
              <w:rPr>
                <w:rFonts w:ascii="Garamond" w:hAnsi="Garamond"/>
              </w:rPr>
            </w:pPr>
            <w:r w:rsidRPr="007114AF">
              <w:rPr>
                <w:rFonts w:ascii="Garamond" w:hAnsi="Garamond"/>
              </w:rPr>
              <w:t>Objektivi</w:t>
            </w:r>
          </w:p>
        </w:tc>
        <w:tc>
          <w:tcPr>
            <w:tcW w:w="1385" w:type="dxa"/>
            <w:shd w:val="clear" w:color="auto" w:fill="B6DDE8" w:themeFill="accent5" w:themeFillTint="66"/>
            <w:vAlign w:val="center"/>
          </w:tcPr>
          <w:p w14:paraId="6EDD1376" w14:textId="77777777" w:rsidR="004F751E" w:rsidRPr="007114AF" w:rsidRDefault="004F751E" w:rsidP="00B976ED">
            <w:pPr>
              <w:pStyle w:val="ListParagraph"/>
              <w:numPr>
                <w:ilvl w:val="0"/>
                <w:numId w:val="0"/>
              </w:numPr>
              <w:spacing w:before="0" w:after="0"/>
              <w:contextualSpacing w:val="0"/>
              <w:rPr>
                <w:rFonts w:ascii="Garamond" w:hAnsi="Garamond"/>
              </w:rPr>
            </w:pPr>
            <w:r w:rsidRPr="007114AF">
              <w:rPr>
                <w:rFonts w:ascii="Garamond" w:hAnsi="Garamond"/>
              </w:rPr>
              <w:t>Aktiviteti</w:t>
            </w:r>
          </w:p>
        </w:tc>
        <w:tc>
          <w:tcPr>
            <w:tcW w:w="1362" w:type="dxa"/>
            <w:shd w:val="clear" w:color="auto" w:fill="B6DDE8" w:themeFill="accent5" w:themeFillTint="66"/>
            <w:vAlign w:val="center"/>
          </w:tcPr>
          <w:p w14:paraId="6EDD1377" w14:textId="77777777" w:rsidR="004F751E" w:rsidRPr="007114AF" w:rsidRDefault="004F751E" w:rsidP="00B976ED">
            <w:pPr>
              <w:pStyle w:val="ListParagraph"/>
              <w:numPr>
                <w:ilvl w:val="0"/>
                <w:numId w:val="0"/>
              </w:numPr>
              <w:spacing w:before="0" w:after="0"/>
              <w:contextualSpacing w:val="0"/>
              <w:rPr>
                <w:rFonts w:ascii="Garamond" w:hAnsi="Garamond"/>
              </w:rPr>
            </w:pPr>
            <w:r w:rsidRPr="007114AF">
              <w:rPr>
                <w:rFonts w:ascii="Garamond" w:hAnsi="Garamond"/>
              </w:rPr>
              <w:t>Rezultati</w:t>
            </w:r>
          </w:p>
        </w:tc>
        <w:tc>
          <w:tcPr>
            <w:tcW w:w="1241" w:type="dxa"/>
            <w:shd w:val="clear" w:color="auto" w:fill="B6DDE8" w:themeFill="accent5" w:themeFillTint="66"/>
            <w:vAlign w:val="center"/>
          </w:tcPr>
          <w:p w14:paraId="6EDD1378" w14:textId="77777777" w:rsidR="004F751E" w:rsidRPr="007114AF" w:rsidRDefault="004F751E" w:rsidP="00B976ED">
            <w:pPr>
              <w:pStyle w:val="ListParagraph"/>
              <w:numPr>
                <w:ilvl w:val="0"/>
                <w:numId w:val="0"/>
              </w:numPr>
              <w:spacing w:before="0" w:after="0"/>
              <w:contextualSpacing w:val="0"/>
              <w:rPr>
                <w:rFonts w:ascii="Garamond" w:hAnsi="Garamond"/>
              </w:rPr>
            </w:pPr>
            <w:r w:rsidRPr="007114AF">
              <w:rPr>
                <w:rFonts w:ascii="Garamond" w:hAnsi="Garamond"/>
              </w:rPr>
              <w:t>Kostoja</w:t>
            </w:r>
          </w:p>
        </w:tc>
      </w:tr>
      <w:tr w:rsidR="004F751E" w:rsidRPr="007114AF" w14:paraId="6EDD1380" w14:textId="77777777" w:rsidTr="00BA14F8">
        <w:tc>
          <w:tcPr>
            <w:tcW w:w="2727" w:type="dxa"/>
            <w:vAlign w:val="center"/>
          </w:tcPr>
          <w:p w14:paraId="6EDD137A" w14:textId="77777777" w:rsidR="004F751E" w:rsidRPr="007114AF" w:rsidRDefault="004F751E" w:rsidP="00B976ED">
            <w:pPr>
              <w:pStyle w:val="ListParagraph"/>
              <w:spacing w:before="0" w:after="0"/>
              <w:ind w:left="0" w:firstLine="0"/>
              <w:contextualSpacing w:val="0"/>
              <w:rPr>
                <w:rFonts w:ascii="Garamond" w:hAnsi="Garamond"/>
              </w:rPr>
            </w:pPr>
            <w:r w:rsidRPr="007114AF">
              <w:rPr>
                <w:rFonts w:ascii="Garamond" w:hAnsi="Garamond"/>
              </w:rPr>
              <w:t>Të paqarta për secilën PA</w:t>
            </w:r>
          </w:p>
        </w:tc>
        <w:tc>
          <w:tcPr>
            <w:tcW w:w="1237" w:type="dxa"/>
            <w:vAlign w:val="center"/>
          </w:tcPr>
          <w:p w14:paraId="6EDD137B" w14:textId="77777777" w:rsidR="004F751E" w:rsidRPr="007114AF" w:rsidRDefault="004F751E" w:rsidP="00B976ED">
            <w:pPr>
              <w:pStyle w:val="ListParagraph"/>
              <w:spacing w:before="0" w:after="0"/>
              <w:ind w:left="0" w:firstLine="0"/>
              <w:contextualSpacing w:val="0"/>
              <w:rPr>
                <w:rFonts w:ascii="Garamond" w:hAnsi="Garamond"/>
              </w:rPr>
            </w:pPr>
            <w:r w:rsidRPr="007114AF">
              <w:rPr>
                <w:rFonts w:ascii="Garamond" w:hAnsi="Garamond"/>
              </w:rPr>
              <w:t>X</w:t>
            </w:r>
          </w:p>
        </w:tc>
        <w:tc>
          <w:tcPr>
            <w:tcW w:w="1374" w:type="dxa"/>
            <w:vAlign w:val="center"/>
          </w:tcPr>
          <w:p w14:paraId="6EDD137C" w14:textId="77777777" w:rsidR="004F751E" w:rsidRPr="007114AF" w:rsidRDefault="004F751E" w:rsidP="00B976ED">
            <w:pPr>
              <w:pStyle w:val="ListParagraph"/>
              <w:spacing w:before="0" w:after="0"/>
              <w:ind w:left="0" w:firstLine="0"/>
              <w:contextualSpacing w:val="0"/>
              <w:rPr>
                <w:rFonts w:ascii="Garamond" w:hAnsi="Garamond"/>
              </w:rPr>
            </w:pPr>
          </w:p>
        </w:tc>
        <w:tc>
          <w:tcPr>
            <w:tcW w:w="1385" w:type="dxa"/>
            <w:vAlign w:val="center"/>
          </w:tcPr>
          <w:p w14:paraId="6EDD137D" w14:textId="77777777" w:rsidR="004F751E" w:rsidRPr="007114AF" w:rsidRDefault="004F751E" w:rsidP="00B976ED">
            <w:pPr>
              <w:pStyle w:val="ListParagraph"/>
              <w:spacing w:before="0" w:after="0"/>
              <w:ind w:left="0" w:firstLine="0"/>
              <w:contextualSpacing w:val="0"/>
              <w:rPr>
                <w:rFonts w:ascii="Garamond" w:hAnsi="Garamond"/>
              </w:rPr>
            </w:pPr>
          </w:p>
        </w:tc>
        <w:tc>
          <w:tcPr>
            <w:tcW w:w="1362" w:type="dxa"/>
            <w:vAlign w:val="center"/>
          </w:tcPr>
          <w:p w14:paraId="6EDD137E" w14:textId="77777777" w:rsidR="004F751E" w:rsidRPr="007114AF" w:rsidRDefault="004F751E" w:rsidP="00B976ED">
            <w:pPr>
              <w:pStyle w:val="ListParagraph"/>
              <w:spacing w:before="0" w:after="0"/>
              <w:ind w:left="0" w:firstLine="0"/>
              <w:contextualSpacing w:val="0"/>
              <w:rPr>
                <w:rFonts w:ascii="Garamond" w:hAnsi="Garamond"/>
              </w:rPr>
            </w:pPr>
          </w:p>
        </w:tc>
        <w:tc>
          <w:tcPr>
            <w:tcW w:w="1241" w:type="dxa"/>
            <w:vAlign w:val="center"/>
          </w:tcPr>
          <w:p w14:paraId="6EDD137F" w14:textId="77777777" w:rsidR="004F751E" w:rsidRPr="007114AF" w:rsidRDefault="004F751E" w:rsidP="00B976ED">
            <w:pPr>
              <w:pStyle w:val="ListParagraph"/>
              <w:spacing w:before="0" w:after="0"/>
              <w:ind w:left="0" w:firstLine="0"/>
              <w:contextualSpacing w:val="0"/>
              <w:rPr>
                <w:rFonts w:ascii="Garamond" w:hAnsi="Garamond"/>
              </w:rPr>
            </w:pPr>
          </w:p>
        </w:tc>
      </w:tr>
      <w:tr w:rsidR="004F751E" w:rsidRPr="007114AF" w14:paraId="6EDD1387" w14:textId="77777777" w:rsidTr="00BA14F8">
        <w:tc>
          <w:tcPr>
            <w:tcW w:w="2727" w:type="dxa"/>
            <w:vAlign w:val="center"/>
          </w:tcPr>
          <w:p w14:paraId="6EDD1381" w14:textId="77777777" w:rsidR="004F751E" w:rsidRPr="007114AF" w:rsidRDefault="004F751E" w:rsidP="00B976ED">
            <w:pPr>
              <w:pStyle w:val="ListParagraph"/>
              <w:spacing w:before="0" w:after="0"/>
              <w:ind w:left="0" w:firstLine="0"/>
              <w:contextualSpacing w:val="0"/>
              <w:rPr>
                <w:rFonts w:ascii="Garamond" w:hAnsi="Garamond"/>
              </w:rPr>
            </w:pPr>
            <w:r w:rsidRPr="007114AF">
              <w:rPr>
                <w:rFonts w:ascii="Garamond" w:hAnsi="Garamond"/>
              </w:rPr>
              <w:t>Objektivat sipas çdo PA</w:t>
            </w:r>
          </w:p>
        </w:tc>
        <w:tc>
          <w:tcPr>
            <w:tcW w:w="1237" w:type="dxa"/>
            <w:vAlign w:val="center"/>
          </w:tcPr>
          <w:p w14:paraId="6EDD1382" w14:textId="77777777" w:rsidR="004F751E" w:rsidRPr="007114AF" w:rsidRDefault="004F751E" w:rsidP="00B976ED">
            <w:pPr>
              <w:pStyle w:val="ListParagraph"/>
              <w:spacing w:before="0" w:after="0"/>
              <w:ind w:left="0" w:firstLine="0"/>
              <w:contextualSpacing w:val="0"/>
              <w:rPr>
                <w:rFonts w:ascii="Garamond" w:hAnsi="Garamond"/>
              </w:rPr>
            </w:pPr>
          </w:p>
        </w:tc>
        <w:tc>
          <w:tcPr>
            <w:tcW w:w="1374" w:type="dxa"/>
            <w:vAlign w:val="center"/>
          </w:tcPr>
          <w:p w14:paraId="6EDD1383" w14:textId="77777777" w:rsidR="004F751E" w:rsidRPr="007114AF" w:rsidRDefault="004F751E" w:rsidP="00B976ED">
            <w:pPr>
              <w:pStyle w:val="ListParagraph"/>
              <w:spacing w:before="0" w:after="0"/>
              <w:ind w:left="0" w:firstLine="0"/>
              <w:contextualSpacing w:val="0"/>
              <w:rPr>
                <w:rFonts w:ascii="Garamond" w:hAnsi="Garamond"/>
              </w:rPr>
            </w:pPr>
            <w:r w:rsidRPr="007114AF">
              <w:rPr>
                <w:rFonts w:ascii="Garamond" w:hAnsi="Garamond"/>
              </w:rPr>
              <w:t>X</w:t>
            </w:r>
          </w:p>
        </w:tc>
        <w:tc>
          <w:tcPr>
            <w:tcW w:w="1385" w:type="dxa"/>
            <w:vAlign w:val="center"/>
          </w:tcPr>
          <w:p w14:paraId="6EDD1384" w14:textId="77777777" w:rsidR="004F751E" w:rsidRPr="007114AF" w:rsidRDefault="004F751E" w:rsidP="00B976ED">
            <w:pPr>
              <w:pStyle w:val="ListParagraph"/>
              <w:spacing w:before="0" w:after="0"/>
              <w:ind w:left="0" w:firstLine="0"/>
              <w:contextualSpacing w:val="0"/>
              <w:rPr>
                <w:rFonts w:ascii="Garamond" w:hAnsi="Garamond"/>
              </w:rPr>
            </w:pPr>
          </w:p>
        </w:tc>
        <w:tc>
          <w:tcPr>
            <w:tcW w:w="1362" w:type="dxa"/>
            <w:vAlign w:val="center"/>
          </w:tcPr>
          <w:p w14:paraId="6EDD1385" w14:textId="77777777" w:rsidR="004F751E" w:rsidRPr="007114AF" w:rsidRDefault="004F751E" w:rsidP="00B976ED">
            <w:pPr>
              <w:pStyle w:val="ListParagraph"/>
              <w:spacing w:before="0" w:after="0"/>
              <w:ind w:left="0" w:firstLine="0"/>
              <w:contextualSpacing w:val="0"/>
              <w:rPr>
                <w:rFonts w:ascii="Garamond" w:hAnsi="Garamond"/>
              </w:rPr>
            </w:pPr>
          </w:p>
        </w:tc>
        <w:tc>
          <w:tcPr>
            <w:tcW w:w="1241" w:type="dxa"/>
            <w:vAlign w:val="center"/>
          </w:tcPr>
          <w:p w14:paraId="6EDD1386" w14:textId="77777777" w:rsidR="004F751E" w:rsidRPr="007114AF" w:rsidRDefault="004F751E" w:rsidP="00B976ED">
            <w:pPr>
              <w:pStyle w:val="ListParagraph"/>
              <w:spacing w:before="0" w:after="0"/>
              <w:ind w:left="0" w:firstLine="0"/>
              <w:contextualSpacing w:val="0"/>
              <w:rPr>
                <w:rFonts w:ascii="Garamond" w:hAnsi="Garamond"/>
              </w:rPr>
            </w:pPr>
          </w:p>
        </w:tc>
      </w:tr>
      <w:tr w:rsidR="004F751E" w:rsidRPr="007114AF" w14:paraId="6EDD138E" w14:textId="77777777" w:rsidTr="00BA14F8">
        <w:tc>
          <w:tcPr>
            <w:tcW w:w="2727" w:type="dxa"/>
            <w:vAlign w:val="center"/>
          </w:tcPr>
          <w:p w14:paraId="6EDD1388" w14:textId="77777777" w:rsidR="004F751E" w:rsidRPr="007114AF" w:rsidRDefault="004F751E" w:rsidP="00B976ED">
            <w:pPr>
              <w:pStyle w:val="ListParagraph"/>
              <w:spacing w:before="0" w:after="0"/>
              <w:ind w:left="0" w:firstLine="0"/>
              <w:contextualSpacing w:val="0"/>
              <w:rPr>
                <w:rFonts w:ascii="Garamond" w:hAnsi="Garamond"/>
              </w:rPr>
            </w:pPr>
            <w:r w:rsidRPr="007114AF">
              <w:rPr>
                <w:rFonts w:ascii="Garamond" w:hAnsi="Garamond"/>
              </w:rPr>
              <w:t>Masa prioritare/elementet thelbësore</w:t>
            </w:r>
          </w:p>
        </w:tc>
        <w:tc>
          <w:tcPr>
            <w:tcW w:w="1237" w:type="dxa"/>
            <w:vAlign w:val="center"/>
          </w:tcPr>
          <w:p w14:paraId="6EDD1389" w14:textId="77777777" w:rsidR="004F751E" w:rsidRPr="007114AF" w:rsidRDefault="004F751E" w:rsidP="00B976ED">
            <w:pPr>
              <w:pStyle w:val="ListParagraph"/>
              <w:spacing w:before="0" w:after="0"/>
              <w:ind w:left="0" w:firstLine="0"/>
              <w:contextualSpacing w:val="0"/>
              <w:rPr>
                <w:rFonts w:ascii="Garamond" w:hAnsi="Garamond"/>
              </w:rPr>
            </w:pPr>
          </w:p>
        </w:tc>
        <w:tc>
          <w:tcPr>
            <w:tcW w:w="1374" w:type="dxa"/>
            <w:vAlign w:val="center"/>
          </w:tcPr>
          <w:p w14:paraId="6EDD138A" w14:textId="77777777" w:rsidR="004F751E" w:rsidRPr="007114AF" w:rsidRDefault="004F751E" w:rsidP="00B976ED">
            <w:pPr>
              <w:pStyle w:val="ListParagraph"/>
              <w:spacing w:before="0" w:after="0"/>
              <w:ind w:left="0" w:firstLine="0"/>
              <w:contextualSpacing w:val="0"/>
              <w:rPr>
                <w:rFonts w:ascii="Garamond" w:hAnsi="Garamond"/>
              </w:rPr>
            </w:pPr>
          </w:p>
        </w:tc>
        <w:tc>
          <w:tcPr>
            <w:tcW w:w="1385" w:type="dxa"/>
            <w:vAlign w:val="center"/>
          </w:tcPr>
          <w:p w14:paraId="6EDD138B" w14:textId="77777777" w:rsidR="004F751E" w:rsidRPr="007114AF" w:rsidRDefault="004F751E" w:rsidP="00B976ED">
            <w:pPr>
              <w:pStyle w:val="ListParagraph"/>
              <w:spacing w:before="0" w:after="0"/>
              <w:ind w:left="0" w:firstLine="0"/>
              <w:contextualSpacing w:val="0"/>
              <w:rPr>
                <w:rFonts w:ascii="Garamond" w:hAnsi="Garamond"/>
              </w:rPr>
            </w:pPr>
            <w:r w:rsidRPr="007114AF">
              <w:rPr>
                <w:rFonts w:ascii="Garamond" w:hAnsi="Garamond"/>
              </w:rPr>
              <w:t>X</w:t>
            </w:r>
          </w:p>
        </w:tc>
        <w:tc>
          <w:tcPr>
            <w:tcW w:w="1362" w:type="dxa"/>
            <w:vAlign w:val="center"/>
          </w:tcPr>
          <w:p w14:paraId="6EDD138C" w14:textId="77777777" w:rsidR="004F751E" w:rsidRPr="007114AF" w:rsidRDefault="004F751E" w:rsidP="00B976ED">
            <w:pPr>
              <w:pStyle w:val="ListParagraph"/>
              <w:spacing w:before="0" w:after="0"/>
              <w:ind w:left="0" w:firstLine="0"/>
              <w:contextualSpacing w:val="0"/>
              <w:rPr>
                <w:rFonts w:ascii="Garamond" w:hAnsi="Garamond"/>
              </w:rPr>
            </w:pPr>
          </w:p>
        </w:tc>
        <w:tc>
          <w:tcPr>
            <w:tcW w:w="1241" w:type="dxa"/>
            <w:vAlign w:val="center"/>
          </w:tcPr>
          <w:p w14:paraId="6EDD138D" w14:textId="77777777" w:rsidR="004F751E" w:rsidRPr="007114AF" w:rsidRDefault="004F751E" w:rsidP="00B976ED">
            <w:pPr>
              <w:pStyle w:val="ListParagraph"/>
              <w:spacing w:before="0" w:after="0"/>
              <w:ind w:left="0" w:firstLine="0"/>
              <w:contextualSpacing w:val="0"/>
              <w:rPr>
                <w:rFonts w:ascii="Garamond" w:hAnsi="Garamond"/>
              </w:rPr>
            </w:pPr>
          </w:p>
        </w:tc>
      </w:tr>
      <w:tr w:rsidR="004F751E" w:rsidRPr="007114AF" w14:paraId="6EDD1395" w14:textId="77777777" w:rsidTr="00BA14F8">
        <w:tc>
          <w:tcPr>
            <w:tcW w:w="2727" w:type="dxa"/>
            <w:vAlign w:val="center"/>
          </w:tcPr>
          <w:p w14:paraId="6EDD138F" w14:textId="77777777" w:rsidR="004F751E" w:rsidRPr="007114AF" w:rsidRDefault="004F751E" w:rsidP="00B976ED">
            <w:pPr>
              <w:pStyle w:val="ListParagraph"/>
              <w:spacing w:before="0" w:after="0"/>
              <w:ind w:left="0" w:firstLine="0"/>
              <w:contextualSpacing w:val="0"/>
              <w:rPr>
                <w:rFonts w:ascii="Garamond" w:hAnsi="Garamond"/>
              </w:rPr>
            </w:pPr>
            <w:r w:rsidRPr="007114AF">
              <w:rPr>
                <w:rFonts w:ascii="Garamond" w:hAnsi="Garamond"/>
              </w:rPr>
              <w:t>Treguesit sipas çdo objektivi</w:t>
            </w:r>
          </w:p>
        </w:tc>
        <w:tc>
          <w:tcPr>
            <w:tcW w:w="1237" w:type="dxa"/>
            <w:vAlign w:val="center"/>
          </w:tcPr>
          <w:p w14:paraId="6EDD1390" w14:textId="77777777" w:rsidR="004F751E" w:rsidRPr="007114AF" w:rsidRDefault="004F751E" w:rsidP="00B976ED">
            <w:pPr>
              <w:pStyle w:val="ListParagraph"/>
              <w:spacing w:before="0" w:after="0"/>
              <w:ind w:left="0" w:firstLine="0"/>
              <w:contextualSpacing w:val="0"/>
              <w:rPr>
                <w:rFonts w:ascii="Garamond" w:hAnsi="Garamond"/>
              </w:rPr>
            </w:pPr>
          </w:p>
        </w:tc>
        <w:tc>
          <w:tcPr>
            <w:tcW w:w="1374" w:type="dxa"/>
            <w:vAlign w:val="center"/>
          </w:tcPr>
          <w:p w14:paraId="6EDD1391" w14:textId="77777777" w:rsidR="004F751E" w:rsidRPr="007114AF" w:rsidRDefault="004F751E" w:rsidP="00B976ED">
            <w:pPr>
              <w:pStyle w:val="ListParagraph"/>
              <w:spacing w:before="0" w:after="0"/>
              <w:ind w:left="0" w:firstLine="0"/>
              <w:contextualSpacing w:val="0"/>
              <w:rPr>
                <w:rFonts w:ascii="Garamond" w:hAnsi="Garamond"/>
              </w:rPr>
            </w:pPr>
          </w:p>
        </w:tc>
        <w:tc>
          <w:tcPr>
            <w:tcW w:w="1385" w:type="dxa"/>
            <w:vAlign w:val="center"/>
          </w:tcPr>
          <w:p w14:paraId="6EDD1392" w14:textId="77777777" w:rsidR="004F751E" w:rsidRPr="007114AF" w:rsidRDefault="004F751E" w:rsidP="00B976ED">
            <w:pPr>
              <w:pStyle w:val="ListParagraph"/>
              <w:spacing w:before="0" w:after="0"/>
              <w:ind w:left="0" w:firstLine="0"/>
              <w:contextualSpacing w:val="0"/>
              <w:rPr>
                <w:rFonts w:ascii="Garamond" w:hAnsi="Garamond"/>
              </w:rPr>
            </w:pPr>
          </w:p>
        </w:tc>
        <w:tc>
          <w:tcPr>
            <w:tcW w:w="1362" w:type="dxa"/>
            <w:vAlign w:val="center"/>
          </w:tcPr>
          <w:p w14:paraId="6EDD1393" w14:textId="77777777" w:rsidR="004F751E" w:rsidRPr="007114AF" w:rsidRDefault="004F751E" w:rsidP="00B976ED">
            <w:pPr>
              <w:pStyle w:val="ListParagraph"/>
              <w:spacing w:before="0" w:after="0"/>
              <w:ind w:left="0" w:firstLine="0"/>
              <w:contextualSpacing w:val="0"/>
              <w:rPr>
                <w:rFonts w:ascii="Garamond" w:hAnsi="Garamond"/>
              </w:rPr>
            </w:pPr>
            <w:r w:rsidRPr="007114AF">
              <w:rPr>
                <w:rFonts w:ascii="Garamond" w:hAnsi="Garamond"/>
              </w:rPr>
              <w:t>x</w:t>
            </w:r>
          </w:p>
        </w:tc>
        <w:tc>
          <w:tcPr>
            <w:tcW w:w="1241" w:type="dxa"/>
            <w:vAlign w:val="center"/>
          </w:tcPr>
          <w:p w14:paraId="6EDD1394" w14:textId="77777777" w:rsidR="004F751E" w:rsidRPr="007114AF" w:rsidRDefault="004F751E" w:rsidP="00B976ED">
            <w:pPr>
              <w:pStyle w:val="ListParagraph"/>
              <w:spacing w:before="0" w:after="0"/>
              <w:ind w:left="0" w:firstLine="0"/>
              <w:contextualSpacing w:val="0"/>
              <w:rPr>
                <w:rFonts w:ascii="Garamond" w:hAnsi="Garamond"/>
              </w:rPr>
            </w:pPr>
          </w:p>
        </w:tc>
      </w:tr>
      <w:tr w:rsidR="004F751E" w:rsidRPr="007114AF" w14:paraId="6EDD139C" w14:textId="77777777" w:rsidTr="00BA14F8">
        <w:trPr>
          <w:trHeight w:val="283"/>
        </w:trPr>
        <w:tc>
          <w:tcPr>
            <w:tcW w:w="2727" w:type="dxa"/>
            <w:vAlign w:val="center"/>
          </w:tcPr>
          <w:p w14:paraId="6EDD1396" w14:textId="77777777" w:rsidR="004F751E" w:rsidRPr="007114AF" w:rsidRDefault="004F751E" w:rsidP="00B976ED">
            <w:pPr>
              <w:pStyle w:val="ListParagraph"/>
              <w:spacing w:before="0" w:after="0"/>
              <w:ind w:left="0" w:firstLine="0"/>
              <w:contextualSpacing w:val="0"/>
              <w:rPr>
                <w:rFonts w:ascii="Garamond" w:hAnsi="Garamond"/>
              </w:rPr>
            </w:pPr>
            <w:r w:rsidRPr="007114AF">
              <w:rPr>
                <w:rFonts w:ascii="Garamond" w:hAnsi="Garamond"/>
              </w:rPr>
              <w:t>Kostoja PA e ndarë në financim të brendshëm dhe të jashtëm</w:t>
            </w:r>
          </w:p>
        </w:tc>
        <w:tc>
          <w:tcPr>
            <w:tcW w:w="1237" w:type="dxa"/>
            <w:vAlign w:val="center"/>
          </w:tcPr>
          <w:p w14:paraId="6EDD1397" w14:textId="77777777" w:rsidR="004F751E" w:rsidRPr="007114AF" w:rsidRDefault="004F751E" w:rsidP="00B976ED">
            <w:pPr>
              <w:pStyle w:val="ListParagraph"/>
              <w:spacing w:before="0" w:after="0"/>
              <w:ind w:left="0" w:firstLine="0"/>
              <w:contextualSpacing w:val="0"/>
              <w:rPr>
                <w:rFonts w:ascii="Garamond" w:hAnsi="Garamond"/>
              </w:rPr>
            </w:pPr>
          </w:p>
        </w:tc>
        <w:tc>
          <w:tcPr>
            <w:tcW w:w="1374" w:type="dxa"/>
            <w:vAlign w:val="center"/>
          </w:tcPr>
          <w:p w14:paraId="6EDD1398" w14:textId="77777777" w:rsidR="004F751E" w:rsidRPr="007114AF" w:rsidRDefault="004F751E" w:rsidP="00B976ED">
            <w:pPr>
              <w:pStyle w:val="ListParagraph"/>
              <w:spacing w:before="0" w:after="0"/>
              <w:ind w:left="0" w:firstLine="0"/>
              <w:contextualSpacing w:val="0"/>
              <w:rPr>
                <w:rFonts w:ascii="Garamond" w:hAnsi="Garamond"/>
              </w:rPr>
            </w:pPr>
          </w:p>
        </w:tc>
        <w:tc>
          <w:tcPr>
            <w:tcW w:w="1385" w:type="dxa"/>
            <w:vAlign w:val="center"/>
          </w:tcPr>
          <w:p w14:paraId="6EDD1399" w14:textId="77777777" w:rsidR="004F751E" w:rsidRPr="007114AF" w:rsidRDefault="004F751E" w:rsidP="00B976ED">
            <w:pPr>
              <w:pStyle w:val="ListParagraph"/>
              <w:spacing w:before="0" w:after="0"/>
              <w:ind w:left="0" w:firstLine="0"/>
              <w:contextualSpacing w:val="0"/>
              <w:rPr>
                <w:rFonts w:ascii="Garamond" w:hAnsi="Garamond"/>
              </w:rPr>
            </w:pPr>
          </w:p>
        </w:tc>
        <w:tc>
          <w:tcPr>
            <w:tcW w:w="1362" w:type="dxa"/>
            <w:vAlign w:val="center"/>
          </w:tcPr>
          <w:p w14:paraId="6EDD139A" w14:textId="77777777" w:rsidR="004F751E" w:rsidRPr="007114AF" w:rsidRDefault="004F751E" w:rsidP="00B976ED">
            <w:pPr>
              <w:pStyle w:val="ListParagraph"/>
              <w:spacing w:before="0" w:after="0"/>
              <w:ind w:left="0" w:firstLine="0"/>
              <w:contextualSpacing w:val="0"/>
              <w:rPr>
                <w:rFonts w:ascii="Garamond" w:hAnsi="Garamond"/>
              </w:rPr>
            </w:pPr>
          </w:p>
        </w:tc>
        <w:tc>
          <w:tcPr>
            <w:tcW w:w="1241" w:type="dxa"/>
            <w:vAlign w:val="center"/>
          </w:tcPr>
          <w:p w14:paraId="6EDD139B" w14:textId="77777777" w:rsidR="004F751E" w:rsidRPr="007114AF" w:rsidRDefault="004F751E" w:rsidP="00B976ED">
            <w:pPr>
              <w:pStyle w:val="ListParagraph"/>
              <w:spacing w:before="0" w:after="0"/>
              <w:ind w:left="0" w:firstLine="0"/>
              <w:contextualSpacing w:val="0"/>
              <w:rPr>
                <w:rFonts w:ascii="Garamond" w:hAnsi="Garamond"/>
              </w:rPr>
            </w:pPr>
            <w:r w:rsidRPr="007114AF">
              <w:rPr>
                <w:rFonts w:ascii="Garamond" w:hAnsi="Garamond"/>
              </w:rPr>
              <w:t>x</w:t>
            </w:r>
          </w:p>
        </w:tc>
      </w:tr>
    </w:tbl>
    <w:p w14:paraId="6EDD139D" w14:textId="77777777" w:rsidR="001206A9" w:rsidRPr="007114AF" w:rsidRDefault="001206A9" w:rsidP="00547185">
      <w:pPr>
        <w:pStyle w:val="TEKSTI"/>
      </w:pPr>
    </w:p>
    <w:p w14:paraId="6EDD139E" w14:textId="77777777" w:rsidR="00547185" w:rsidRPr="007114AF" w:rsidRDefault="00547185" w:rsidP="00547185">
      <w:pPr>
        <w:pStyle w:val="TEKSTI"/>
        <w:rPr>
          <w:color w:val="000000"/>
        </w:rPr>
      </w:pPr>
      <w:r w:rsidRPr="007114AF">
        <w:rPr>
          <w:color w:val="000000"/>
        </w:rPr>
        <w:t>Rekomandimi i mësipërm kryhet duke pasur parasysh punën e kryer deri tani për identifikimin e masave prioritare me të gjitha problemet shoqëruese. Elementët e paraqitur sipas rubrikës së PKP-ës</w:t>
      </w:r>
      <w:r w:rsidRPr="007114AF">
        <w:t>(NAP)</w:t>
      </w:r>
      <w:r w:rsidRPr="007114AF">
        <w:rPr>
          <w:color w:val="000000"/>
        </w:rPr>
        <w:t xml:space="preserve"> shërbejnë si pikë fillimi për procesin e rishikimit dhe orientimin për dialogun ndërmjet anëtarëve të ekipit të programit të MTB-ës për arritjen/përmbushjen e kërkesave të PBAM-it (MTBP).</w:t>
      </w:r>
    </w:p>
    <w:p w14:paraId="6EDD139F" w14:textId="77777777" w:rsidR="00547185" w:rsidRPr="007114AF" w:rsidRDefault="00547185" w:rsidP="00547185">
      <w:pPr>
        <w:pStyle w:val="TEKSTI"/>
        <w:rPr>
          <w:color w:val="000000"/>
        </w:rPr>
      </w:pPr>
      <w:r w:rsidRPr="007114AF">
        <w:rPr>
          <w:color w:val="000000"/>
        </w:rPr>
        <w:t>Nënkuptohet se ky proces është i vështirë dhe varet nga kapacitetet profesionale dhe mbështetja politike e ministrive të linjës, si dhe nga asistenca teknike. Përafrimi/integrimi mund të kryhet një herë për të gjitha ministritë (avantazhet: përfitimi për shkurtimin e kohës dhe zbatim më të shpejtë të PA-ve; problem të mundshme: cilësia e ulët e planifikimit dhe programimit; probleme komplekse gjatë ekzekutimit dhe monitorimit) ose mund të përgatiten gradualisht mbi bazë pilot</w:t>
      </w:r>
      <w:r w:rsidRPr="007114AF">
        <w:rPr>
          <w:rStyle w:val="FootnoteReference"/>
          <w:color w:val="000000"/>
        </w:rPr>
        <w:footnoteReference w:id="68"/>
      </w:r>
      <w:r w:rsidRPr="007114AF">
        <w:rPr>
          <w:color w:val="000000"/>
        </w:rPr>
        <w:t xml:space="preserve"> (përfitime potenciale: procesi do të bëhet më i matur, vendimmarrje e saktë, besueshmëri e lartë e procesit, monitorimi paraprak nënkupton identifikimin e mësimeve të nxjerra që do të shërbenin si referencë për qarkullimin, zbatimin me sukses të PKP-ës (NAP) në planin afatgjatë). </w:t>
      </w:r>
    </w:p>
    <w:p w14:paraId="6EDD13A0" w14:textId="77777777" w:rsidR="00547185" w:rsidRPr="007114AF" w:rsidRDefault="00547185" w:rsidP="00547185">
      <w:pPr>
        <w:pStyle w:val="TEKSTI"/>
        <w:rPr>
          <w:color w:val="000000"/>
          <w:u w:val="single"/>
        </w:rPr>
      </w:pPr>
      <w:r w:rsidRPr="007114AF">
        <w:rPr>
          <w:color w:val="000000"/>
          <w:u w:val="single"/>
        </w:rPr>
        <w:t>Faza 2 – Qasja afatgjatë:</w:t>
      </w:r>
    </w:p>
    <w:p w14:paraId="6EDD13A1" w14:textId="77777777" w:rsidR="00547185" w:rsidRPr="007114AF" w:rsidRDefault="00547185" w:rsidP="00547185">
      <w:pPr>
        <w:pStyle w:val="TEKSTI"/>
        <w:rPr>
          <w:rFonts w:cs="Arial"/>
          <w:color w:val="000000" w:themeColor="text1"/>
        </w:rPr>
      </w:pPr>
      <w:r w:rsidRPr="007114AF">
        <w:rPr>
          <w:color w:val="000000"/>
        </w:rPr>
        <w:t>Nëse pas dy vlerësimeve të pavarura (nga institucionet ndërkombëtare), qeveria shqiptare tregon lidership të qëndrueshëm në procesin e integrimit të përshtatjes ndaj ndryshimeve klimatike, të shoqëruar me financim thelbësor nga buxheti kombëtar dhe nëse institucionet shqiptare tërheqin me sukses financim ndërkombëtar për projektin përshtatjes ndaj ndryshimeve klimatike, atëherë qeveria duhet të marrë parasysh krijimin e një programi të ri multisektorial qeveritar për përshtatje ndaj ndryshimeve klimatike, të aksesueshëm nga të gjitha institucionet qeveritare zbatuese dhe më tej, një fond i ri i posaçëm për përshtatje ndaj ndryshimeve klimatike mund të krijohet me ligj të veçantë (sipas kritereve të përcaktuara nga Ministria e Financave dhe Ekonomisë dhe të menaxhuara nga një agjenci e vetme qeveritare).</w:t>
      </w:r>
    </w:p>
    <w:p w14:paraId="6EDD13A2" w14:textId="77777777" w:rsidR="00547185" w:rsidRPr="007114AF" w:rsidRDefault="00B976ED" w:rsidP="00547185">
      <w:pPr>
        <w:pStyle w:val="TEKSTI"/>
        <w:rPr>
          <w:b/>
        </w:rPr>
      </w:pPr>
      <w:r w:rsidRPr="007114AF">
        <w:rPr>
          <w:b/>
        </w:rPr>
        <w:t xml:space="preserve">- </w:t>
      </w:r>
      <w:r w:rsidR="00547185" w:rsidRPr="007114AF">
        <w:rPr>
          <w:b/>
        </w:rPr>
        <w:t>Mobilizimi i fondeve të financimit të përshtatjes nga burime private dhe ndërkombëtare</w:t>
      </w:r>
    </w:p>
    <w:p w14:paraId="6EDD13A3" w14:textId="1E0E72D8" w:rsidR="00547185" w:rsidRPr="007114AF" w:rsidRDefault="00547185" w:rsidP="00547185">
      <w:pPr>
        <w:pStyle w:val="TEKSTI"/>
        <w:rPr>
          <w:rFonts w:cs="Arial"/>
        </w:rPr>
      </w:pPr>
      <w:r w:rsidRPr="007114AF">
        <w:rPr>
          <w:rFonts w:cs="Arial"/>
        </w:rPr>
        <w:t>Mobilizimi i financimit ndërkombëtar, si dhe financimi privat dhe investimet do të duhet të veprojnë paralelisht me krijimin e fondeve publike në nivel kombëtar. Megjithatë, kjo do të kërkojë ngritjen e proceseve specifike dhe ndërtimin e kapaciteteve specifike të mobilizimit të burimeve në të gjitha vitet në vazhdim. Në kuadrin e 15 fushave prioritare</w:t>
      </w:r>
      <w:r w:rsidR="000A2A01" w:rsidRPr="007114AF">
        <w:rPr>
          <w:rFonts w:cs="Arial"/>
        </w:rPr>
        <w:t xml:space="preserve"> </w:t>
      </w:r>
      <w:r w:rsidRPr="007114AF">
        <w:rPr>
          <w:rFonts w:cs="Arial"/>
        </w:rPr>
        <w:t xml:space="preserve">(NAP) që do të financohen, duhet të bëhet një dallim i përgjithshëm midis fushave prioritare 1 deri 7, që mbulojnë proceset institucionale dhe të menaxhimit që janë me më pak kosto intensive, dhe fushave prioritare 8 deri 15 të sektorëve specifikë që do të kërkojnë investime më të konsiderueshme në infrastrukturë, pajisje dhe teknologji. Fushat prioritare 9 dhe 12 bëjnë përjashtim, pasi fokusohen kryesisht në proceset e planifikimit që janë përsëri me më pak kosto-intensive. </w:t>
      </w:r>
    </w:p>
    <w:p w14:paraId="6EDD13A4" w14:textId="77777777" w:rsidR="00547185" w:rsidRPr="007114AF" w:rsidRDefault="00B976ED" w:rsidP="00547185">
      <w:pPr>
        <w:pStyle w:val="TEKSTI"/>
        <w:rPr>
          <w:b/>
        </w:rPr>
      </w:pPr>
      <w:r w:rsidRPr="007114AF">
        <w:rPr>
          <w:b/>
        </w:rPr>
        <w:t xml:space="preserve">- </w:t>
      </w:r>
      <w:r w:rsidR="00547185" w:rsidRPr="007114AF">
        <w:rPr>
          <w:b/>
        </w:rPr>
        <w:t>Gatishmëria e veprimeve prioritare dhe kërkesat për akses në financim</w:t>
      </w:r>
    </w:p>
    <w:p w14:paraId="6EDD13A5" w14:textId="4F93D1FA" w:rsidR="00547185" w:rsidRPr="007114AF" w:rsidRDefault="00547185" w:rsidP="00547185">
      <w:pPr>
        <w:pStyle w:val="TEKSTI"/>
        <w:rPr>
          <w:color w:val="000000"/>
        </w:rPr>
      </w:pPr>
      <w:r w:rsidRPr="007114AF">
        <w:rPr>
          <w:color w:val="000000"/>
        </w:rPr>
        <w:t>Shumica e fushave prioritare të NAP-it janë në një fazë të hershme të planifikimit të projekteve të tyre</w:t>
      </w:r>
      <w:r w:rsidR="00AE5FB3">
        <w:rPr>
          <w:color w:val="000000"/>
        </w:rPr>
        <w:t xml:space="preserve"> </w:t>
      </w:r>
      <w:r w:rsidRPr="007114AF">
        <w:rPr>
          <w:color w:val="000000"/>
        </w:rPr>
        <w:t>dhe si rrjedhojë gatishmëria e tyre e përgjithshme (për projekte investimi shpesh të referuara si</w:t>
      </w:r>
      <w:r w:rsidR="000A2A01" w:rsidRPr="007114AF">
        <w:rPr>
          <w:color w:val="000000"/>
        </w:rPr>
        <w:t xml:space="preserve"> </w:t>
      </w:r>
      <w:r w:rsidR="00D10DAB" w:rsidRPr="007114AF">
        <w:rPr>
          <w:color w:val="000000"/>
        </w:rPr>
        <w:t>‘</w:t>
      </w:r>
      <w:r w:rsidRPr="007114AF">
        <w:rPr>
          <w:color w:val="000000"/>
        </w:rPr>
        <w:t>garanci për sjellje përfitimesh</w:t>
      </w:r>
      <w:r w:rsidR="00D10DAB" w:rsidRPr="007114AF">
        <w:rPr>
          <w:color w:val="000000"/>
        </w:rPr>
        <w:t>’</w:t>
      </w:r>
      <w:r w:rsidRPr="007114AF">
        <w:rPr>
          <w:color w:val="000000"/>
        </w:rPr>
        <w:t>) është e ulët. Deri tani preventivët nuk kanë marrë parasysh parime të rëndësishme të përshtatjes së llogaritjes së kostos. Një përmbledhje e preventivëve aktualë jepet më poshtë në dokument. Kjo duhet të korrigjohet në hapat e ardhshëm të planifikimit për t</w:t>
      </w:r>
      <w:r w:rsidR="00D10DAB" w:rsidRPr="007114AF">
        <w:rPr>
          <w:color w:val="000000"/>
        </w:rPr>
        <w:t>’</w:t>
      </w:r>
      <w:r w:rsidRPr="007114AF">
        <w:rPr>
          <w:color w:val="000000"/>
        </w:rPr>
        <w:t>u bërë gati për financim të jashtëm</w:t>
      </w:r>
      <w:r w:rsidRPr="007114AF">
        <w:rPr>
          <w:rStyle w:val="FootnoteReference"/>
          <w:color w:val="000000"/>
        </w:rPr>
        <w:footnoteReference w:id="69"/>
      </w:r>
      <w:r w:rsidRPr="007114AF">
        <w:rPr>
          <w:color w:val="000000"/>
        </w:rPr>
        <w:t xml:space="preserve">. Me qëllim përmbushjen e kërkesave të financuesve ndërkombëtarë të përshtatjes që ndryshon qartë sipas fondit të veçantë, propozime të aplikimit të plotë duhet të shqyrtojnë elementet e propozimit të mëposhtëm </w:t>
      </w:r>
      <w:r w:rsidR="00D10DAB" w:rsidRPr="007114AF">
        <w:rPr>
          <w:color w:val="000000"/>
        </w:rPr>
        <w:t>‘</w:t>
      </w:r>
      <w:r w:rsidRPr="007114AF">
        <w:rPr>
          <w:color w:val="000000"/>
        </w:rPr>
        <w:t>tipik</w:t>
      </w:r>
      <w:r w:rsidR="00D10DAB" w:rsidRPr="007114AF">
        <w:rPr>
          <w:color w:val="000000"/>
        </w:rPr>
        <w:t>’</w:t>
      </w:r>
      <w:r w:rsidRPr="007114AF">
        <w:rPr>
          <w:color w:val="000000"/>
        </w:rPr>
        <w:t xml:space="preserve"> (zhvillimit): </w:t>
      </w:r>
    </w:p>
    <w:p w14:paraId="6EDD13A6" w14:textId="77777777" w:rsidR="00547185" w:rsidRPr="007114AF" w:rsidRDefault="00B976ED" w:rsidP="00547185">
      <w:pPr>
        <w:pStyle w:val="TEKSTI"/>
        <w:rPr>
          <w:color w:val="000000"/>
        </w:rPr>
      </w:pPr>
      <w:r w:rsidRPr="007114AF">
        <w:rPr>
          <w:color w:val="000000"/>
        </w:rPr>
        <w:t xml:space="preserve">- </w:t>
      </w:r>
      <w:r w:rsidR="00547185" w:rsidRPr="007114AF">
        <w:rPr>
          <w:color w:val="000000"/>
        </w:rPr>
        <w:t xml:space="preserve">Harmonizimi i politikave (kombëtare, sektoriale); </w:t>
      </w:r>
    </w:p>
    <w:p w14:paraId="6EDD13A7" w14:textId="77777777" w:rsidR="00547185" w:rsidRPr="007114AF" w:rsidRDefault="00B976ED" w:rsidP="00547185">
      <w:pPr>
        <w:pStyle w:val="TEKSTI"/>
        <w:rPr>
          <w:color w:val="000000"/>
        </w:rPr>
      </w:pPr>
      <w:r w:rsidRPr="007114AF">
        <w:rPr>
          <w:color w:val="000000"/>
        </w:rPr>
        <w:t xml:space="preserve">- </w:t>
      </w:r>
      <w:r w:rsidR="00547185" w:rsidRPr="007114AF">
        <w:rPr>
          <w:color w:val="000000"/>
        </w:rPr>
        <w:t>Procesi i planifikimit, pjesëmarrja dhe transparenca;</w:t>
      </w:r>
    </w:p>
    <w:p w14:paraId="6EDD13A8" w14:textId="77777777" w:rsidR="00547185" w:rsidRPr="007114AF" w:rsidRDefault="00B976ED" w:rsidP="00547185">
      <w:pPr>
        <w:pStyle w:val="TEKSTI"/>
        <w:rPr>
          <w:color w:val="000000"/>
        </w:rPr>
      </w:pPr>
      <w:r w:rsidRPr="007114AF">
        <w:rPr>
          <w:color w:val="000000"/>
        </w:rPr>
        <w:t xml:space="preserve">- </w:t>
      </w:r>
      <w:r w:rsidR="00547185" w:rsidRPr="007114AF">
        <w:rPr>
          <w:color w:val="000000"/>
        </w:rPr>
        <w:t xml:space="preserve">Masa mirëbesimi dhe institucionale; </w:t>
      </w:r>
    </w:p>
    <w:p w14:paraId="6EDD13A9" w14:textId="77777777" w:rsidR="00547185" w:rsidRPr="007114AF" w:rsidRDefault="00B976ED" w:rsidP="00547185">
      <w:pPr>
        <w:pStyle w:val="TEKSTI"/>
        <w:rPr>
          <w:color w:val="000000"/>
        </w:rPr>
      </w:pPr>
      <w:r w:rsidRPr="007114AF">
        <w:rPr>
          <w:color w:val="000000"/>
        </w:rPr>
        <w:t xml:space="preserve">- </w:t>
      </w:r>
      <w:r w:rsidR="00547185" w:rsidRPr="007114AF">
        <w:rPr>
          <w:color w:val="000000"/>
        </w:rPr>
        <w:t xml:space="preserve">Analiza e grupeve të interesit; </w:t>
      </w:r>
    </w:p>
    <w:p w14:paraId="6EDD13AA" w14:textId="77777777" w:rsidR="00547185" w:rsidRPr="007114AF" w:rsidRDefault="00B976ED" w:rsidP="00547185">
      <w:pPr>
        <w:pStyle w:val="TEKSTI"/>
        <w:rPr>
          <w:color w:val="000000"/>
        </w:rPr>
      </w:pPr>
      <w:r w:rsidRPr="007114AF">
        <w:rPr>
          <w:color w:val="000000"/>
        </w:rPr>
        <w:t xml:space="preserve">- </w:t>
      </w:r>
      <w:r w:rsidR="00547185" w:rsidRPr="007114AF">
        <w:rPr>
          <w:color w:val="000000"/>
        </w:rPr>
        <w:t xml:space="preserve">Menaxhimi financiar dhe programatik (duke përfshirë planet e prokurimit); </w:t>
      </w:r>
    </w:p>
    <w:p w14:paraId="6EDD13AB" w14:textId="77777777" w:rsidR="00547185" w:rsidRPr="007114AF" w:rsidRDefault="00B976ED" w:rsidP="00547185">
      <w:pPr>
        <w:pStyle w:val="TEKSTI"/>
        <w:rPr>
          <w:color w:val="000000"/>
        </w:rPr>
      </w:pPr>
      <w:r w:rsidRPr="007114AF">
        <w:rPr>
          <w:color w:val="000000"/>
        </w:rPr>
        <w:t xml:space="preserve">- </w:t>
      </w:r>
      <w:r w:rsidR="00547185" w:rsidRPr="007114AF">
        <w:rPr>
          <w:color w:val="000000"/>
        </w:rPr>
        <w:t xml:space="preserve">Kuadri i rezultateve dhe sistemi i monitorimit dhe vlerësimit; </w:t>
      </w:r>
    </w:p>
    <w:p w14:paraId="6EDD13AC" w14:textId="77777777" w:rsidR="00547185" w:rsidRPr="007114AF" w:rsidRDefault="00B976ED" w:rsidP="00547185">
      <w:pPr>
        <w:pStyle w:val="TEKSTI"/>
        <w:rPr>
          <w:color w:val="000000"/>
        </w:rPr>
      </w:pPr>
      <w:r w:rsidRPr="007114AF">
        <w:rPr>
          <w:color w:val="000000"/>
        </w:rPr>
        <w:t xml:space="preserve">- </w:t>
      </w:r>
      <w:r w:rsidR="00547185" w:rsidRPr="007114AF">
        <w:rPr>
          <w:color w:val="000000"/>
        </w:rPr>
        <w:t xml:space="preserve">Analiza ekonomike (p.sh. analiza e eficiencës dhe efektivitetit të kostos) dhe analiza financiare (në veçanti për projektet e investimeve); </w:t>
      </w:r>
    </w:p>
    <w:p w14:paraId="6EDD13AD" w14:textId="77777777" w:rsidR="00547185" w:rsidRPr="007114AF" w:rsidRDefault="00B976ED" w:rsidP="00547185">
      <w:pPr>
        <w:pStyle w:val="TEKSTI"/>
        <w:rPr>
          <w:color w:val="000000"/>
        </w:rPr>
      </w:pPr>
      <w:r w:rsidRPr="007114AF">
        <w:rPr>
          <w:color w:val="000000"/>
        </w:rPr>
        <w:t xml:space="preserve">- </w:t>
      </w:r>
      <w:r w:rsidR="00547185" w:rsidRPr="007114AF">
        <w:rPr>
          <w:color w:val="000000"/>
        </w:rPr>
        <w:t>Garanci mjedisore, sociale dhe gjinore.</w:t>
      </w:r>
    </w:p>
    <w:p w14:paraId="6EDD13AE" w14:textId="7E35A3BB" w:rsidR="00547185" w:rsidRPr="007114AF" w:rsidRDefault="00547185" w:rsidP="00547185">
      <w:pPr>
        <w:pStyle w:val="TEKSTI"/>
        <w:rPr>
          <w:color w:val="000000"/>
        </w:rPr>
      </w:pPr>
      <w:r w:rsidRPr="007114AF">
        <w:rPr>
          <w:color w:val="000000"/>
        </w:rPr>
        <w:t xml:space="preserve">Për sa </w:t>
      </w:r>
      <w:r w:rsidR="00EE091B" w:rsidRPr="007114AF">
        <w:rPr>
          <w:color w:val="000000"/>
        </w:rPr>
        <w:t>u</w:t>
      </w:r>
      <w:r w:rsidRPr="007114AF">
        <w:rPr>
          <w:color w:val="000000"/>
        </w:rPr>
        <w:t xml:space="preserve"> përket masave specifike për një ndërhyrje të përshtatjes, udhëzimet e Fondit të Përshtatjes</w:t>
      </w:r>
      <w:r w:rsidRPr="007114AF">
        <w:rPr>
          <w:rStyle w:val="FootnoteReference"/>
          <w:color w:val="000000"/>
        </w:rPr>
        <w:footnoteReference w:id="70"/>
      </w:r>
      <w:r w:rsidRPr="007114AF">
        <w:rPr>
          <w:color w:val="000000"/>
        </w:rPr>
        <w:t>, Programi Pilot për Ripërtëritjen e Klimës (PPCR)</w:t>
      </w:r>
      <w:r w:rsidRPr="007114AF">
        <w:rPr>
          <w:rStyle w:val="FootnoteReference"/>
          <w:color w:val="000000"/>
        </w:rPr>
        <w:footnoteReference w:id="71"/>
      </w:r>
      <w:r w:rsidRPr="007114AF">
        <w:rPr>
          <w:color w:val="000000"/>
        </w:rPr>
        <w:t xml:space="preserve"> ose Fondi i Gjelbër i</w:t>
      </w:r>
      <w:r w:rsidR="000A2A01" w:rsidRPr="007114AF">
        <w:rPr>
          <w:color w:val="000000"/>
        </w:rPr>
        <w:t xml:space="preserve"> </w:t>
      </w:r>
      <w:r w:rsidRPr="007114AF">
        <w:rPr>
          <w:color w:val="000000"/>
        </w:rPr>
        <w:t>Klimës</w:t>
      </w:r>
      <w:r w:rsidRPr="007114AF">
        <w:rPr>
          <w:rStyle w:val="FootnoteReference"/>
          <w:color w:val="000000"/>
        </w:rPr>
        <w:footnoteReference w:id="72"/>
      </w:r>
      <w:r w:rsidRPr="007114AF">
        <w:rPr>
          <w:color w:val="000000"/>
        </w:rPr>
        <w:t xml:space="preserve"> përcaktojnë disa objektiva dhe rezultate strategjike që duhet të trajtohen në një projekt propozim/aplikim. Meqë këto tre fonde fokusohen specifikisht tek përshtatja dhe midis fondeve më të rëndësishme të përshtatjes, mund të konsiderohen si kërkesa maksimale potenciale. Kjo do të thotë se fonde të tjera (veçanërisht ato që fokusohen qartë në përshtatje) mund të kërkojnë më pak nga këta elemente specifike përshtatjeje në projektim. Në përgjithësi, propozimi duhet të tregojë në shumë mënyra se në cilën mënyrë dhe shkallë trajtojnë rrezikun e identifikuar/ të parashikuar klimatik. </w:t>
      </w:r>
    </w:p>
    <w:p w14:paraId="6EDD13AF" w14:textId="77777777" w:rsidR="00547185" w:rsidRPr="007114AF" w:rsidRDefault="00547185" w:rsidP="00547185">
      <w:pPr>
        <w:pStyle w:val="TEKSTI"/>
        <w:rPr>
          <w:color w:val="000000"/>
        </w:rPr>
      </w:pPr>
      <w:r w:rsidRPr="007114AF">
        <w:rPr>
          <w:color w:val="000000"/>
        </w:rPr>
        <w:t xml:space="preserve">Kostoja e përgatitjes së projektit mund të jetë e konsiderueshme, dhe si rrjedhojë është vendimtare që këto kosto të përfshihen në fazat e hershme të planifikimit dhe bisedimeve me </w:t>
      </w:r>
      <w:r w:rsidRPr="007114AF">
        <w:rPr>
          <w:rFonts w:cs="Arial"/>
        </w:rPr>
        <w:t xml:space="preserve">financues/investues </w:t>
      </w:r>
      <w:r w:rsidRPr="007114AF">
        <w:rPr>
          <w:color w:val="000000"/>
        </w:rPr>
        <w:t xml:space="preserve">potencialë. </w:t>
      </w:r>
    </w:p>
    <w:p w14:paraId="6EDD13B0" w14:textId="77777777" w:rsidR="00547185" w:rsidRPr="007114AF" w:rsidRDefault="00547185" w:rsidP="00547185">
      <w:pPr>
        <w:pStyle w:val="TEKSTI"/>
        <w:rPr>
          <w:color w:val="000000"/>
        </w:rPr>
      </w:pPr>
      <w:r w:rsidRPr="007114AF">
        <w:rPr>
          <w:color w:val="000000"/>
        </w:rPr>
        <w:t>Për shkak të kapaciteteve ekzistuese dhe shumës totale që duhet të krijohet, këshillohet që të ndiqet një qasje e bazuar në hapa, pra duke fokusuar përpjekjet në një ose dy fusha prioritare.</w:t>
      </w:r>
    </w:p>
    <w:p w14:paraId="6EDD13B1" w14:textId="6843105E" w:rsidR="00547185" w:rsidRPr="007114AF" w:rsidRDefault="00547185" w:rsidP="00547185">
      <w:pPr>
        <w:pStyle w:val="TEKSTI"/>
        <w:rPr>
          <w:color w:val="000000"/>
        </w:rPr>
      </w:pPr>
      <w:r w:rsidRPr="007114AF">
        <w:rPr>
          <w:color w:val="000000"/>
        </w:rPr>
        <w:t>Ekzistojnë shumë udhëzime dhe mësime të nxjerra mbi mënyrën sesi</w:t>
      </w:r>
      <w:r w:rsidR="000A2A01" w:rsidRPr="007114AF">
        <w:rPr>
          <w:color w:val="000000"/>
        </w:rPr>
        <w:t xml:space="preserve"> </w:t>
      </w:r>
      <w:r w:rsidRPr="007114AF">
        <w:rPr>
          <w:color w:val="000000"/>
        </w:rPr>
        <w:t>të realizohen hapa specifikë të zhvillimit të projekteve të projekteve të përshtatjes (për shembull USAID-i për Hartimin e Projekteve të Përshtatjes me Garanci Përfitimesh</w:t>
      </w:r>
      <w:r w:rsidRPr="007114AF">
        <w:rPr>
          <w:rStyle w:val="FootnoteReference"/>
          <w:color w:val="000000"/>
        </w:rPr>
        <w:footnoteReference w:id="73"/>
      </w:r>
      <w:r w:rsidRPr="007114AF">
        <w:rPr>
          <w:color w:val="000000"/>
        </w:rPr>
        <w:t>, udhëzimi i PROVIA</w:t>
      </w:r>
      <w:r w:rsidRPr="007114AF">
        <w:rPr>
          <w:rStyle w:val="FootnoteReference"/>
          <w:color w:val="000000"/>
        </w:rPr>
        <w:footnoteReference w:id="74"/>
      </w:r>
      <w:r w:rsidRPr="007114AF">
        <w:rPr>
          <w:color w:val="000000"/>
        </w:rPr>
        <w:t>-s,</w:t>
      </w:r>
      <w:r w:rsidR="000A2A01" w:rsidRPr="007114AF">
        <w:rPr>
          <w:color w:val="000000"/>
        </w:rPr>
        <w:t xml:space="preserve"> </w:t>
      </w:r>
      <w:r w:rsidRPr="007114AF">
        <w:rPr>
          <w:color w:val="000000"/>
        </w:rPr>
        <w:t>përvojat e mbledhura nga Grupi i Punës i Institucioneve të Financimit Evropian për Përshtatje ndaj Ndryshimeve klimatike</w:t>
      </w:r>
      <w:r w:rsidRPr="007114AF">
        <w:rPr>
          <w:rStyle w:val="FootnoteReference"/>
          <w:color w:val="000000"/>
        </w:rPr>
        <w:footnoteReference w:id="75"/>
      </w:r>
      <w:r w:rsidRPr="007114AF">
        <w:rPr>
          <w:color w:val="000000"/>
        </w:rPr>
        <w:t>).</w:t>
      </w:r>
    </w:p>
    <w:p w14:paraId="6EDD13B2" w14:textId="45686200" w:rsidR="00547185" w:rsidRPr="007114AF" w:rsidRDefault="00B976ED" w:rsidP="00B976ED">
      <w:pPr>
        <w:pStyle w:val="TEKSTI"/>
        <w:rPr>
          <w:b/>
        </w:rPr>
      </w:pPr>
      <w:r w:rsidRPr="007114AF">
        <w:rPr>
          <w:b/>
        </w:rPr>
        <w:t xml:space="preserve">- </w:t>
      </w:r>
      <w:r w:rsidR="00547185" w:rsidRPr="007114AF">
        <w:rPr>
          <w:b/>
        </w:rPr>
        <w:t>Identifikimi i financuesve potencialë të përshtatjes dhe instrumenteve të financimit</w:t>
      </w:r>
      <w:r w:rsidR="000A2A01" w:rsidRPr="007114AF">
        <w:rPr>
          <w:b/>
        </w:rPr>
        <w:t xml:space="preserve"> </w:t>
      </w:r>
    </w:p>
    <w:p w14:paraId="6EDD13B3" w14:textId="28A44950" w:rsidR="00547185" w:rsidRPr="007114AF" w:rsidRDefault="00547185" w:rsidP="00547185">
      <w:pPr>
        <w:pStyle w:val="TEKSTI"/>
      </w:pPr>
      <w:r w:rsidRPr="007114AF">
        <w:t>Si pjesë përbërëse e këtij dokumenti financimi, burime kombëtare dhe ndërkombëtare të financimit publik dhe privat të përshtatjes janë verifikuar për përshtatshmërinë e tyre për financimin e fushave aktuale prioritare dhe masa të tjera të ardhshme të përshtatjes.</w:t>
      </w:r>
      <w:r w:rsidR="000A2A01" w:rsidRPr="007114AF">
        <w:t xml:space="preserve"> </w:t>
      </w:r>
      <w:r w:rsidRPr="007114AF">
        <w:t>Identifikimi i financuesve potencialë nuk është një ushtrim i drejtpërdrejtë dhe kritere specifike janë përzgjedhur për t</w:t>
      </w:r>
      <w:r w:rsidR="00D10DAB" w:rsidRPr="007114AF">
        <w:t>’</w:t>
      </w:r>
      <w:r w:rsidRPr="007114AF">
        <w:t>u dhënë prioritet</w:t>
      </w:r>
      <w:r w:rsidR="000A2A01" w:rsidRPr="007114AF">
        <w:t xml:space="preserve"> </w:t>
      </w:r>
      <w:r w:rsidRPr="007114AF">
        <w:t>burimeve të financimit që mund të jenë më të mundshme, sesa të tjera për ofrimin e financimit për përshtatje në Shqipëri. Për ta bërë këtë, qasja e mëposhtme me tre komponentë është zbatuar për prioritetin e donatorëve/financuesve të përshtatshëm të mundshëm të përshtatjes:</w:t>
      </w:r>
    </w:p>
    <w:p w14:paraId="6EDD13B4" w14:textId="77777777" w:rsidR="00547185" w:rsidRPr="007114AF" w:rsidRDefault="00B976ED" w:rsidP="00547185">
      <w:pPr>
        <w:pStyle w:val="TEKSTI"/>
      </w:pPr>
      <w:r w:rsidRPr="007114AF">
        <w:t xml:space="preserve">1. </w:t>
      </w:r>
      <w:r w:rsidR="00547185" w:rsidRPr="007114AF">
        <w:t>Verifikimi dhe prioriteti i donatorëve të jashtëm/burimeve të financimit.</w:t>
      </w:r>
    </w:p>
    <w:p w14:paraId="6EDD13B5" w14:textId="77777777" w:rsidR="00547185" w:rsidRPr="007114AF" w:rsidRDefault="00B976ED" w:rsidP="00547185">
      <w:pPr>
        <w:pStyle w:val="TEKSTI"/>
      </w:pPr>
      <w:r w:rsidRPr="007114AF">
        <w:t xml:space="preserve">2. </w:t>
      </w:r>
      <w:r w:rsidR="00547185" w:rsidRPr="007114AF">
        <w:t>Prioriteti i fushave prioritare, duke pasur parasysh gatishmërinë për mobilizimin e burimeve në vitet e ardhshme.</w:t>
      </w:r>
    </w:p>
    <w:p w14:paraId="6EDD13B6" w14:textId="77777777" w:rsidR="00547185" w:rsidRPr="007114AF" w:rsidRDefault="00B976ED" w:rsidP="00547185">
      <w:pPr>
        <w:pStyle w:val="TEKSTI"/>
      </w:pPr>
      <w:r w:rsidRPr="007114AF">
        <w:t xml:space="preserve">3. </w:t>
      </w:r>
      <w:r w:rsidR="00547185" w:rsidRPr="007114AF">
        <w:t>Harmonizimi i fushave prioritare kryesore me donatorë të jashtëm prioritar/burime financimi.</w:t>
      </w:r>
    </w:p>
    <w:p w14:paraId="6EDD13B7" w14:textId="77777777" w:rsidR="00547185" w:rsidRPr="007114AF" w:rsidRDefault="00547185" w:rsidP="00547185">
      <w:pPr>
        <w:pStyle w:val="TEKSTI"/>
      </w:pPr>
      <w:r w:rsidRPr="007114AF">
        <w:t>Kjo metodologji e dhënies prioritet është fleksibël, dhe instrumenti i verifikimit mund të përditësohet vazhdimisht. Ajo jep udhëzime për mënyrën sesi duhet të identifikohen donatorë/financues të përshtatshëm të përshtatjes. Kriteret e reja të dh</w:t>
      </w:r>
      <w:r w:rsidRPr="007114AF">
        <w:rPr>
          <w:rFonts w:cs="Times New Roman"/>
        </w:rPr>
        <w:t>ënies</w:t>
      </w:r>
      <w:r w:rsidRPr="007114AF">
        <w:t>së prioritetit mund të shtohen lehtësisht dhe rëndësia e kritereve të veçanta mund të ndryshohet, nëse është e përshtatshme. Është e rëndësishme që të mbahet parasysh se një instrument i tillë për të dhënë prioritet, është vetëm hapi i parë për të kufizuar fondet /financuesit e ardhshëm. Kërkime më të thelluara për kërkesat dhe bisedimet fillestare me financues të mundshëm, duhet të vazhdojnë.</w:t>
      </w:r>
    </w:p>
    <w:p w14:paraId="6EDD13B8" w14:textId="2B0EFF8B" w:rsidR="00547185" w:rsidRPr="007114AF" w:rsidRDefault="00547185" w:rsidP="00547185">
      <w:pPr>
        <w:pStyle w:val="TEKSTI"/>
      </w:pPr>
      <w:r w:rsidRPr="007114AF">
        <w:t>Hapi i dytë i metodologjisë është diskutuar gjatë takimit të 7-të të Grupit Ndërministror të Punës së Ndryshimeve Klimatike dhe rezultoi në dhënien e prioritetit të veprimeve prioritare 8 dhe 9 (</w:t>
      </w:r>
      <w:r w:rsidR="008D30FC" w:rsidRPr="007114AF">
        <w:t xml:space="preserve">nr. </w:t>
      </w:r>
      <w:r w:rsidRPr="007114AF">
        <w:t>8: Ujitja me Aftësi Rimëkëmbëse ndaj Ndryshimeve Klimatike, Mbrojtja nga Kullimi dhe Përmbytjet,</w:t>
      </w:r>
      <w:r w:rsidR="00242009" w:rsidRPr="007114AF">
        <w:t xml:space="preserve"> nr. </w:t>
      </w:r>
      <w:r w:rsidRPr="007114AF">
        <w:t xml:space="preserve">9: Menaxhimi i Integruar i Burimeve Ujore- përpilimi i planeve të menaxhimit të baseneve ujore). Këto veprimeve prioritare janë identifikuar, si prioritete për zhvillimin e mëtejshëm të projektit në funksion të tërheqjes së fondeve ndërkombëtare të përshtatjes. Vendimi bazohet në kriteret e mëposhtme: </w:t>
      </w:r>
    </w:p>
    <w:p w14:paraId="6EDD13B9" w14:textId="77777777" w:rsidR="00547185" w:rsidRPr="007114AF" w:rsidRDefault="00547185" w:rsidP="00547185">
      <w:pPr>
        <w:pStyle w:val="TEKSTI"/>
      </w:pPr>
      <w:r w:rsidRPr="007114AF">
        <w:t>a) nivelin e planifikimit ekzistues dhe kapaciteteve zbatuese përkatëse;</w:t>
      </w:r>
    </w:p>
    <w:p w14:paraId="6EDD13BA" w14:textId="77777777" w:rsidR="00547185" w:rsidRPr="007114AF" w:rsidRDefault="00547185" w:rsidP="00547185">
      <w:pPr>
        <w:pStyle w:val="TEKSTI"/>
      </w:pPr>
      <w:r w:rsidRPr="007114AF">
        <w:t>b) nivelin e vulnerabilitetit dhe urgjencës;</w:t>
      </w:r>
    </w:p>
    <w:p w14:paraId="6EDD13BB" w14:textId="77777777" w:rsidR="00547185" w:rsidRPr="007114AF" w:rsidRDefault="00547185" w:rsidP="00547185">
      <w:pPr>
        <w:pStyle w:val="TEKSTI"/>
      </w:pPr>
      <w:r w:rsidRPr="007114AF">
        <w:t>c) nivelin e lidershipit dhe ndërgjegjësimit politik.</w:t>
      </w:r>
    </w:p>
    <w:p w14:paraId="6EDD13BC" w14:textId="77777777" w:rsidR="00547185" w:rsidRPr="007114AF" w:rsidRDefault="00B976ED" w:rsidP="00547185">
      <w:pPr>
        <w:pStyle w:val="TEKSTI"/>
        <w:rPr>
          <w:b/>
        </w:rPr>
      </w:pPr>
      <w:r w:rsidRPr="007114AF">
        <w:rPr>
          <w:b/>
        </w:rPr>
        <w:t xml:space="preserve">- </w:t>
      </w:r>
      <w:r w:rsidR="00547185" w:rsidRPr="007114AF">
        <w:rPr>
          <w:b/>
        </w:rPr>
        <w:t xml:space="preserve">Aspektet që duhet të merren parasysh në procesin e identifikimit </w:t>
      </w:r>
    </w:p>
    <w:p w14:paraId="6EDD13BD" w14:textId="77777777" w:rsidR="00547185" w:rsidRPr="007114AF" w:rsidRDefault="00547185" w:rsidP="00547185">
      <w:pPr>
        <w:pStyle w:val="TEKSTI"/>
        <w:rPr>
          <w:u w:val="single"/>
        </w:rPr>
      </w:pPr>
      <w:r w:rsidRPr="007114AF">
        <w:rPr>
          <w:u w:val="single"/>
        </w:rPr>
        <w:t xml:space="preserve">Mobilizimi i Burimeve Ndërkombëtare </w:t>
      </w:r>
    </w:p>
    <w:p w14:paraId="6EDD13BE" w14:textId="77777777" w:rsidR="00547185" w:rsidRPr="007114AF" w:rsidRDefault="00547185" w:rsidP="00547185">
      <w:pPr>
        <w:pStyle w:val="TEKSTI"/>
      </w:pPr>
      <w:r w:rsidRPr="007114AF">
        <w:t>Për shkak të financimit aktual dhe situatës politike, opsioni i krijimit dhe kanalizimit të fondeve në nivel transnacional ose rajonal duhet të merret parasysh. Ekzistojnë disa platforma bashkëpunimi, nëpërmjet të cilave mund të kërkohet financim rajonal, të tilla si ECRAN</w:t>
      </w:r>
      <w:r w:rsidRPr="007114AF">
        <w:rPr>
          <w:rStyle w:val="FootnoteReference"/>
        </w:rPr>
        <w:footnoteReference w:id="76"/>
      </w:r>
      <w:r w:rsidRPr="007114AF">
        <w:t xml:space="preserve"> (Rrjeti i Aderimit Rajonal Mjedisor dhe Klimatik) ose EUSAIR</w:t>
      </w:r>
      <w:r w:rsidRPr="007114AF">
        <w:rPr>
          <w:rStyle w:val="FootnoteReference"/>
        </w:rPr>
        <w:footnoteReference w:id="77"/>
      </w:r>
      <w:r w:rsidRPr="007114AF">
        <w:t xml:space="preserve"> (bashkëpunimi sipas Strategjisë së BE-së për Rajonin e Jonit dhe Adriatikut). </w:t>
      </w:r>
    </w:p>
    <w:p w14:paraId="6EDD13BF" w14:textId="33508B13" w:rsidR="00547185" w:rsidRPr="007114AF" w:rsidRDefault="00547185" w:rsidP="00547185">
      <w:pPr>
        <w:pStyle w:val="TEKSTI"/>
        <w:rPr>
          <w:highlight w:val="green"/>
        </w:rPr>
      </w:pPr>
      <w:r w:rsidRPr="007114AF">
        <w:t>Gjithashtu, disa prej agjencive të mundshme të financimit kanë fonde ndërkombëtare dhe rajonale, të tilla si Kuadri i Investimeve të Ballkanit Perëndimor (WBIF)</w:t>
      </w:r>
      <w:r w:rsidRPr="007114AF">
        <w:rPr>
          <w:rStyle w:val="FootnoteReference"/>
        </w:rPr>
        <w:footnoteReference w:id="78"/>
      </w:r>
      <w:r w:rsidRPr="007114AF">
        <w:t>ose Fondi Rajonal i Fondit të Përshtatjes.</w:t>
      </w:r>
      <w:r w:rsidR="000A2A01" w:rsidRPr="007114AF">
        <w:t xml:space="preserve"> </w:t>
      </w:r>
    </w:p>
    <w:p w14:paraId="6EDD13C0" w14:textId="77777777" w:rsidR="00547185" w:rsidRPr="007114AF" w:rsidRDefault="00547185" w:rsidP="00547185">
      <w:pPr>
        <w:pStyle w:val="TEKSTI"/>
        <w:rPr>
          <w:u w:val="single"/>
        </w:rPr>
      </w:pPr>
      <w:r w:rsidRPr="007114AF">
        <w:rPr>
          <w:u w:val="single"/>
        </w:rPr>
        <w:t xml:space="preserve">Cilësia e projektpropozimeve- Ndërtimi i kapaciteteve për përgatitjen e propozimeve cilësore </w:t>
      </w:r>
    </w:p>
    <w:p w14:paraId="6EDD13C1" w14:textId="36E37D33" w:rsidR="00547185" w:rsidRPr="007114AF" w:rsidRDefault="00547185" w:rsidP="00547185">
      <w:pPr>
        <w:pStyle w:val="TEKSTI"/>
      </w:pPr>
      <w:r w:rsidRPr="007114AF">
        <w:t xml:space="preserve">Në veçanti, duke pasur parasysh proceset konkurruese të përzgjedhjes së projekteve nga </w:t>
      </w:r>
      <w:r w:rsidRPr="007114AF">
        <w:rPr>
          <w:rFonts w:cs="Arial"/>
        </w:rPr>
        <w:t xml:space="preserve">financues dhe investues </w:t>
      </w:r>
      <w:r w:rsidRPr="007114AF">
        <w:t>të mundshëm, cilësia e projektpropozimit do të bëhet një faktor thelbësor konkurrueshmërie. Pranohet se në këtë drejtim në Shqipëri, duhet të krijohen nevoja për kapacitete. Aktivitetet për krijimin e fondeve do të duhet të pranojnë këtë fokus në ndërtimin e kapaciteteve.</w:t>
      </w:r>
      <w:r w:rsidR="000A2A01" w:rsidRPr="007114AF">
        <w:t xml:space="preserve"> </w:t>
      </w:r>
      <w:r w:rsidRPr="007114AF">
        <w:t>USAID</w:t>
      </w:r>
      <w:r w:rsidRPr="007114AF">
        <w:rPr>
          <w:rStyle w:val="FootnoteReference"/>
        </w:rPr>
        <w:footnoteReference w:id="79"/>
      </w:r>
      <w:r w:rsidRPr="007114AF">
        <w:t>-i, për shembull, thekson dy faktorë suksesi në funksion të zhvillimit të projektit:</w:t>
      </w:r>
    </w:p>
    <w:p w14:paraId="6EDD13C2" w14:textId="77777777" w:rsidR="00547185" w:rsidRPr="007114AF" w:rsidRDefault="00B976ED" w:rsidP="00547185">
      <w:pPr>
        <w:pStyle w:val="TEKSTI"/>
      </w:pPr>
      <w:r w:rsidRPr="007114AF">
        <w:t xml:space="preserve">1. </w:t>
      </w:r>
      <w:r w:rsidR="00547185" w:rsidRPr="007114AF">
        <w:t>Subjektet e akredituara kombëtare zbatuese SKZ-ë (nuk duhet të hartojnë vetë projekte përshtatjeje; ato mund të bazohen në njohurinë e organizatave të shoqërisë civile për hartimin e projekteve për veten e tyre.Në këtë kontekst, këto organizata janë më të përshtatshme për hartimin e ndërhyrjeve të përshtatjes në bazë të kushteve vendore.</w:t>
      </w:r>
    </w:p>
    <w:p w14:paraId="6EDD13C3" w14:textId="77777777" w:rsidR="00547185" w:rsidRPr="007114AF" w:rsidRDefault="00B976ED" w:rsidP="00547185">
      <w:pPr>
        <w:pStyle w:val="TEKSTI"/>
      </w:pPr>
      <w:r w:rsidRPr="007114AF">
        <w:t xml:space="preserve">2. </w:t>
      </w:r>
      <w:r w:rsidR="00547185" w:rsidRPr="007114AF">
        <w:t>Elementi kryesor për hartimin e projekteve të financueshme të përshtatjes për subjektet e akredituara kombëtare zbatuese SKZ-ë (NIE) është që të kenë një perceptim të plotë të kërkesave të financuesve, në mënyrë që të mund të asistojnë mbështetësit e projekteve gjatë procesit të hartimit dhe vlerësimit.</w:t>
      </w:r>
    </w:p>
    <w:p w14:paraId="6EDD13C4" w14:textId="77777777" w:rsidR="00547185" w:rsidRPr="007114AF" w:rsidRDefault="00547185" w:rsidP="00547185">
      <w:pPr>
        <w:pStyle w:val="TEKSTI"/>
        <w:rPr>
          <w:u w:val="single"/>
        </w:rPr>
      </w:pPr>
      <w:r w:rsidRPr="007114AF">
        <w:rPr>
          <w:u w:val="single"/>
        </w:rPr>
        <w:t>Aksesi i drejtpërdrejtë kundrejt aksesit të tërthortë</w:t>
      </w:r>
    </w:p>
    <w:p w14:paraId="6EDD13C5" w14:textId="4BF5C982" w:rsidR="00547185" w:rsidRPr="007114AF" w:rsidRDefault="00547185" w:rsidP="00547185">
      <w:pPr>
        <w:pStyle w:val="TEKSTI"/>
      </w:pPr>
      <w:r w:rsidRPr="007114AF">
        <w:t>Disa agjenci financimi, të tilla si FGJK-ja (GCF) dhe Fondi për Përshtatje AF</w:t>
      </w:r>
      <w:r w:rsidRPr="007114AF">
        <w:rPr>
          <w:rStyle w:val="FootnoteReference"/>
        </w:rPr>
        <w:footnoteReference w:id="80"/>
      </w:r>
      <w:r w:rsidRPr="007114AF">
        <w:t xml:space="preserve"> ofrojnë dy mënyra të aksesit në financim, ose nëpërmjet subjekteve të akredituara kombëtare zbatuese (SKZ) (NIE), referuar edhe si akses i drejtpërdrejtë, ose nëpërmjet subjekteve të akredituara shumëpalëshe ose ndërkombëtare;</w:t>
      </w:r>
      <w:r w:rsidR="000A2A01" w:rsidRPr="007114AF">
        <w:t xml:space="preserve"> </w:t>
      </w:r>
      <w:r w:rsidRPr="007114AF">
        <w:t>referuar edhe si akses i tërthortë. Deri tani Shqipëria nuk ka ushtruar përpjekje për akreditimin e një SKZ-je (NIE) shqiptare. Për shkak të kërkesave që duhet të përmbushen, mund të ishte i vlefshëm një vlerësim i kujdesshëm i potencialit të institucioneve specifike shqiptare, në vitet e ardhshme. Me qëllim aksesin në këto fonde, Shqipëria mund të mbështetet tek partnerët aktivë ndërkombëtare të akredituar, dhe si rrjedhojë, të pranueshëm për aksesin dhe menaxhimin e fondeve. Megjithatë, çështja e aksesit të drejtpërdrejtë duhet të shqyrtohet në planin afatgjatë. Aksesi i drejtpërdrejtë mundëson që vendi të forcojë kapacitetin në planifikimin dhe zbatimin e projekteve zbatuese të përshtatjes, si dhe në mobilizimin e financimit të klimës, ndërsa aksesi i tërthortë do të rrezikojë të humbë vazhdimisht këtë mundësi. Ia vlen të përmendet gjithashtu, se shumica e përgatitjes së projektit dhe mbështetjes së gatishmërisë është e vlefshme vetëm për vendet me një SKZ-ë të akredituar</w:t>
      </w:r>
      <w:r w:rsidRPr="007114AF">
        <w:rPr>
          <w:rStyle w:val="FootnoteReference"/>
        </w:rPr>
        <w:footnoteReference w:id="81"/>
      </w:r>
      <w:r w:rsidRPr="007114AF">
        <w:t>.</w:t>
      </w:r>
    </w:p>
    <w:p w14:paraId="6EDD13C6" w14:textId="77777777" w:rsidR="00547185" w:rsidRPr="007114AF" w:rsidRDefault="00547185" w:rsidP="00547185">
      <w:pPr>
        <w:pStyle w:val="TEKSTI"/>
        <w:rPr>
          <w:b/>
        </w:rPr>
      </w:pPr>
      <w:r w:rsidRPr="007114AF">
        <w:rPr>
          <w:b/>
        </w:rPr>
        <w:t>Instrumentet e financimit</w:t>
      </w:r>
    </w:p>
    <w:p w14:paraId="6EDD13C7" w14:textId="41401F17" w:rsidR="00547185" w:rsidRPr="007114AF" w:rsidRDefault="00B976ED" w:rsidP="00547185">
      <w:pPr>
        <w:pStyle w:val="TEKSTI"/>
        <w:rPr>
          <w:b/>
        </w:rPr>
      </w:pPr>
      <w:r w:rsidRPr="007114AF">
        <w:rPr>
          <w:b/>
        </w:rPr>
        <w:t xml:space="preserve">- </w:t>
      </w:r>
      <w:r w:rsidR="00547185" w:rsidRPr="007114AF">
        <w:rPr>
          <w:b/>
        </w:rPr>
        <w:t>Huat (koncesionare)</w:t>
      </w:r>
    </w:p>
    <w:p w14:paraId="6EDD13C8" w14:textId="77777777" w:rsidR="00547185" w:rsidRPr="007114AF" w:rsidRDefault="00547185" w:rsidP="00547185">
      <w:pPr>
        <w:pStyle w:val="TEKSTI"/>
        <w:rPr>
          <w:rFonts w:cs="Arial"/>
        </w:rPr>
      </w:pPr>
      <w:r w:rsidRPr="007114AF">
        <w:rPr>
          <w:rFonts w:cs="Arial"/>
        </w:rPr>
        <w:t xml:space="preserve">Niveli aktual i borxheve publike të Shqipërisë kufizon huamarrjen nga fonde dhe financues ndërkombëtarë. Kjo zbatohet në përgjithësi, por veçanërisht, për një fushë politike që është relativisht e re, e tillë si përshtatja ndaj ndryshimeve klimatike. </w:t>
      </w:r>
    </w:p>
    <w:p w14:paraId="6EDD13C9" w14:textId="53F57E43" w:rsidR="00547185" w:rsidRPr="007114AF" w:rsidRDefault="00547185" w:rsidP="00547185">
      <w:pPr>
        <w:pStyle w:val="TEKSTI"/>
        <w:rPr>
          <w:rFonts w:cs="Arial"/>
        </w:rPr>
      </w:pPr>
      <w:r w:rsidRPr="007114AF">
        <w:rPr>
          <w:rFonts w:cs="Arial"/>
        </w:rPr>
        <w:t>Përveç kërkesave të huadhënësve potencialë, në funksion të qëndrueshmërisë së borxhit, standardeve të mirëbesimit etj</w:t>
      </w:r>
      <w:r w:rsidR="009C5CED">
        <w:rPr>
          <w:rFonts w:cs="Arial"/>
        </w:rPr>
        <w:t>.</w:t>
      </w:r>
      <w:r w:rsidRPr="007114AF">
        <w:rPr>
          <w:rFonts w:cs="Arial"/>
        </w:rPr>
        <w:t>, aktiviteti i huamarrjes do të rregullohet edhe nga prioritetet e qeverisë aktuale. Nëse përshtatja dakordësohet nga drejtues politikë, mundësia për të marrë hua nga fondet ndërkombëtare të përshtatjes, të tilla si FGJK-ja (GCF), IFAD-i etj, do të rritet. Këto fonde mund të mbështeten në kushte koncesionare për Shqipërinë.</w:t>
      </w:r>
      <w:r w:rsidR="008D30FC" w:rsidRPr="007114AF">
        <w:rPr>
          <w:rFonts w:cs="Arial"/>
        </w:rPr>
        <w:t xml:space="preserve"> </w:t>
      </w:r>
    </w:p>
    <w:p w14:paraId="6EDD13CA" w14:textId="77777777" w:rsidR="00547185" w:rsidRPr="007114AF" w:rsidRDefault="00B976ED" w:rsidP="00547185">
      <w:pPr>
        <w:pStyle w:val="TEKSTI"/>
        <w:rPr>
          <w:b/>
        </w:rPr>
      </w:pPr>
      <w:r w:rsidRPr="007114AF">
        <w:rPr>
          <w:b/>
        </w:rPr>
        <w:t xml:space="preserve">- </w:t>
      </w:r>
      <w:r w:rsidR="00547185" w:rsidRPr="007114AF">
        <w:rPr>
          <w:b/>
        </w:rPr>
        <w:t>Grantet</w:t>
      </w:r>
    </w:p>
    <w:p w14:paraId="6EDD13CB" w14:textId="46AF49C0" w:rsidR="00547185" w:rsidRPr="007114AF" w:rsidRDefault="00547185" w:rsidP="00547185">
      <w:pPr>
        <w:pStyle w:val="TEKSTI"/>
        <w:rPr>
          <w:rFonts w:cs="Arial"/>
        </w:rPr>
      </w:pPr>
      <w:r w:rsidRPr="007114AF">
        <w:rPr>
          <w:rFonts w:cs="Arial"/>
        </w:rPr>
        <w:t>Grantet për masat e përshtatjes janë të disponueshme nga një gamë e fondeve dypalëshe dhe shumëpalëshe, si dhe donatorët filantropë. Shumë prej këtyre mundësive i nënshtrohen një prej tre proceseve të mëposhtme: a) një procesi konkurrues aplikimi nga i cili aplikimet shqiptare do të ishin në kundërshtim me aplikimet nga vende të tjera; b) fondet e përshtatjes që kanë zarf</w:t>
      </w:r>
      <w:r w:rsidR="009C5CED">
        <w:rPr>
          <w:rFonts w:cs="Arial"/>
        </w:rPr>
        <w:t>e</w:t>
      </w:r>
      <w:r w:rsidRPr="007114AF">
        <w:rPr>
          <w:rFonts w:cs="Arial"/>
        </w:rPr>
        <w:t xml:space="preserve"> ose alokime specifike për Shqipërinë; c) financues/investues (dypalësh) që nuk synojnë specifikisht rezultatet e përshtatjes, por do të ishin të hapur të shtonin objektivat e përshtatjes në portofolin e financimit të tyre ose strategjinë për Shqipërisë. Për mundësinë e parë, cilësia e aplikimit është veçanërisht e rëndësishme dhe si rrjedhojë, kapacitete dhe burime të mjaftueshme janë të nevojshme për përgatitjen e këtyre propozimeve cilësore për përmirësimin e mundësive për akses në këtë financim. Procesi (b) dhe (c) do të kërkonte një proces proaktiv negocimi me donatorë/financues përkatës, për të garantuar që kërkesat dhe kriteret të kuptohen mirë dhe të respektohen, ndërsa sigurohet se përshtatja përkatëse sektoriale dhe nevojat e përfituesit janë përmbushur njëlloj. </w:t>
      </w:r>
    </w:p>
    <w:p w14:paraId="6EDD13CC" w14:textId="77777777" w:rsidR="00547185" w:rsidRPr="007114AF" w:rsidRDefault="00547185" w:rsidP="00547185">
      <w:pPr>
        <w:pStyle w:val="TEKSTI"/>
        <w:rPr>
          <w:rFonts w:cs="Arial"/>
        </w:rPr>
      </w:pPr>
      <w:r w:rsidRPr="007114AF">
        <w:rPr>
          <w:rFonts w:cs="Arial"/>
        </w:rPr>
        <w:t>Masat e mundshme që duhet të merren në vitet e ardhshme janë si më poshtë:</w:t>
      </w:r>
    </w:p>
    <w:p w14:paraId="6EDD13CD" w14:textId="738B92CC" w:rsidR="00547185" w:rsidRPr="007114AF" w:rsidRDefault="00B976ED" w:rsidP="00547185">
      <w:pPr>
        <w:pStyle w:val="TEKSTI"/>
        <w:rPr>
          <w:rFonts w:cs="Arial"/>
        </w:rPr>
      </w:pPr>
      <w:r w:rsidRPr="007114AF">
        <w:rPr>
          <w:rFonts w:cs="Arial"/>
        </w:rPr>
        <w:t xml:space="preserve">a) </w:t>
      </w:r>
      <w:r w:rsidR="00547185" w:rsidRPr="007114AF">
        <w:rPr>
          <w:rFonts w:cs="Arial"/>
        </w:rPr>
        <w:t>ministritë duhet të punojnë me</w:t>
      </w:r>
      <w:r w:rsidR="000A2A01" w:rsidRPr="007114AF">
        <w:rPr>
          <w:rFonts w:cs="Arial"/>
        </w:rPr>
        <w:t xml:space="preserve"> </w:t>
      </w:r>
      <w:r w:rsidR="00547185" w:rsidRPr="007114AF">
        <w:rPr>
          <w:rFonts w:cs="Arial"/>
        </w:rPr>
        <w:t>departamentin e koordinimit të donatorëve të Kryeministrisë për sh</w:t>
      </w:r>
      <w:r w:rsidR="009C5CED">
        <w:rPr>
          <w:rFonts w:cs="Arial"/>
        </w:rPr>
        <w:t>ë</w:t>
      </w:r>
      <w:r w:rsidR="00547185" w:rsidRPr="007114AF">
        <w:rPr>
          <w:rFonts w:cs="Arial"/>
        </w:rPr>
        <w:t>nj</w:t>
      </w:r>
      <w:r w:rsidR="009C5CED">
        <w:rPr>
          <w:rFonts w:cs="Arial"/>
        </w:rPr>
        <w:t>e</w:t>
      </w:r>
      <w:r w:rsidR="00547185" w:rsidRPr="007114AF">
        <w:rPr>
          <w:rFonts w:cs="Arial"/>
        </w:rPr>
        <w:t>strimin e donatorëve specifike (duke përfshirë përgatitjen e fishave shtesë të projektit);</w:t>
      </w:r>
    </w:p>
    <w:p w14:paraId="6EDD13CE" w14:textId="77777777" w:rsidR="00547185" w:rsidRPr="007114AF" w:rsidRDefault="00B976ED" w:rsidP="00547185">
      <w:pPr>
        <w:pStyle w:val="TEKSTI"/>
        <w:rPr>
          <w:rFonts w:cs="Arial"/>
        </w:rPr>
      </w:pPr>
      <w:r w:rsidRPr="007114AF">
        <w:rPr>
          <w:rFonts w:cs="Arial"/>
        </w:rPr>
        <w:t xml:space="preserve">b) </w:t>
      </w:r>
      <w:r w:rsidR="00547185" w:rsidRPr="007114AF">
        <w:rPr>
          <w:rFonts w:cs="Arial"/>
        </w:rPr>
        <w:t>ministritë duhet të ndërtojnë kapacitete për përgatitjen e propozimeve cilësore të lidhura me përshtatjen;</w:t>
      </w:r>
    </w:p>
    <w:p w14:paraId="6EDD13CF" w14:textId="77777777" w:rsidR="00547185" w:rsidRPr="007114AF" w:rsidRDefault="00B976ED" w:rsidP="00547185">
      <w:pPr>
        <w:pStyle w:val="TEKSTI"/>
        <w:rPr>
          <w:rFonts w:cs="Arial"/>
        </w:rPr>
      </w:pPr>
      <w:r w:rsidRPr="007114AF">
        <w:rPr>
          <w:rFonts w:cs="Arial"/>
        </w:rPr>
        <w:t xml:space="preserve">c) </w:t>
      </w:r>
      <w:r w:rsidR="00547185" w:rsidRPr="007114AF">
        <w:rPr>
          <w:rFonts w:cs="Arial"/>
        </w:rPr>
        <w:t>ministritë duhet të sigurojnë fonde të përshtatshme për përgatitjen/zhvillimin e projekteve ose asistencë të ngjashme teknike;</w:t>
      </w:r>
    </w:p>
    <w:p w14:paraId="6EDD13D0" w14:textId="2A8FCC95" w:rsidR="00547185" w:rsidRPr="007114AF" w:rsidRDefault="00B976ED" w:rsidP="00547185">
      <w:pPr>
        <w:pStyle w:val="TEKSTI"/>
        <w:rPr>
          <w:rFonts w:cs="Arial"/>
        </w:rPr>
      </w:pPr>
      <w:r w:rsidRPr="007114AF">
        <w:rPr>
          <w:rFonts w:cs="Arial"/>
        </w:rPr>
        <w:t xml:space="preserve">d) </w:t>
      </w:r>
      <w:r w:rsidR="00547185" w:rsidRPr="007114AF">
        <w:rPr>
          <w:rFonts w:cs="Arial"/>
        </w:rPr>
        <w:t>ministritë duhet të punojnë me Ministrinë për Evropën dhe Punët për të pasur akses në grantet e IPA II / për të orientuar grantet</w:t>
      </w:r>
      <w:r w:rsidR="000A2A01" w:rsidRPr="007114AF">
        <w:rPr>
          <w:rFonts w:cs="Arial"/>
        </w:rPr>
        <w:t xml:space="preserve"> </w:t>
      </w:r>
      <w:r w:rsidR="00547185" w:rsidRPr="007114AF">
        <w:rPr>
          <w:rFonts w:cs="Arial"/>
        </w:rPr>
        <w:t>IPA II ndaj objektivave të përshtatjes, në veçanti Ministrinë e Turizmit dhe Mjedisit si pikë kontakti, për të ndikuar në alokimin e burimeve të Fondit Mjedisor dhe IPA II për Klimën. Ushtrimi i një mundësie për të ndikuar në PED (CSP);</w:t>
      </w:r>
    </w:p>
    <w:p w14:paraId="6EDD13D1" w14:textId="66BC5AFE" w:rsidR="00547185" w:rsidRPr="007114AF" w:rsidRDefault="00B976ED" w:rsidP="00547185">
      <w:pPr>
        <w:pStyle w:val="TEKSTI"/>
        <w:rPr>
          <w:rFonts w:cs="Arial"/>
        </w:rPr>
      </w:pPr>
      <w:r w:rsidRPr="007114AF">
        <w:rPr>
          <w:rFonts w:cs="Arial"/>
        </w:rPr>
        <w:t xml:space="preserve">e) </w:t>
      </w:r>
      <w:r w:rsidR="00547185" w:rsidRPr="007114AF">
        <w:rPr>
          <w:rFonts w:cs="Arial"/>
        </w:rPr>
        <w:t>trajtimi i financuesve që nuk janë të lidhur drejtpërdrejtë me përshtatjen, të interesuar për Shqipërinë dhe sektorët që preken nga ndikimet e ndryshimeve klimatike dhe që theksojnë përfitimet e financ</w:t>
      </w:r>
      <w:r w:rsidR="005810BB">
        <w:rPr>
          <w:rFonts w:cs="Arial"/>
        </w:rPr>
        <w:t>imit/investimit në përshtatje (</w:t>
      </w:r>
      <w:r w:rsidR="00547185" w:rsidRPr="007114AF">
        <w:rPr>
          <w:rFonts w:cs="Arial"/>
        </w:rPr>
        <w:t>për shembull investimi në një rrugë/ infrastrukturë e cila gjendet në një zone që ndikohet nga përmbytjet).</w:t>
      </w:r>
    </w:p>
    <w:p w14:paraId="6EDD13D2" w14:textId="75789FCD" w:rsidR="00547185" w:rsidRPr="007114AF" w:rsidRDefault="00547185" w:rsidP="00547185">
      <w:pPr>
        <w:pStyle w:val="TEKSTI"/>
        <w:rPr>
          <w:rFonts w:cs="Arial"/>
        </w:rPr>
      </w:pPr>
      <w:r w:rsidRPr="007114AF">
        <w:rPr>
          <w:rFonts w:cs="Arial"/>
        </w:rPr>
        <w:t>Grantet e asistencës teknike për përgatitjen e projektit</w:t>
      </w:r>
      <w:r w:rsidR="000A2A01" w:rsidRPr="007114AF">
        <w:rPr>
          <w:rFonts w:cs="Arial"/>
        </w:rPr>
        <w:t xml:space="preserve"> </w:t>
      </w:r>
    </w:p>
    <w:p w14:paraId="6EDD13D3" w14:textId="77777777" w:rsidR="00547185" w:rsidRPr="007114AF" w:rsidRDefault="00547185" w:rsidP="00547185">
      <w:pPr>
        <w:pStyle w:val="TEKSTI"/>
        <w:rPr>
          <w:rFonts w:cs="Arial"/>
        </w:rPr>
      </w:pPr>
      <w:r w:rsidRPr="007114AF">
        <w:rPr>
          <w:rFonts w:cs="Arial"/>
        </w:rPr>
        <w:t xml:space="preserve">Duke pasur parasysh fazën e hershme të planifikimit të përshtatjes dhe zbatimit në Shqipëri dhe nivelin aktual të kapaciteteve, mundësitë për të marrë grante për ndërtimin e kapaciteteve dhe gatishmëria janë vendimtare si një hap tjetër për vitet e ardhshme. </w:t>
      </w:r>
    </w:p>
    <w:p w14:paraId="6EDD13D4" w14:textId="2C061C15" w:rsidR="00547185" w:rsidRPr="007114AF" w:rsidRDefault="00B976ED" w:rsidP="00547185">
      <w:pPr>
        <w:pStyle w:val="TEKSTI"/>
        <w:rPr>
          <w:b/>
        </w:rPr>
      </w:pPr>
      <w:r w:rsidRPr="007114AF">
        <w:rPr>
          <w:b/>
        </w:rPr>
        <w:t xml:space="preserve">- </w:t>
      </w:r>
      <w:r w:rsidR="00547185" w:rsidRPr="007114AF">
        <w:rPr>
          <w:b/>
        </w:rPr>
        <w:t xml:space="preserve">Instrumentet </w:t>
      </w:r>
      <w:r w:rsidR="005810BB" w:rsidRPr="007114AF">
        <w:rPr>
          <w:b/>
        </w:rPr>
        <w:t xml:space="preserve">inovative </w:t>
      </w:r>
      <w:r w:rsidR="00547185" w:rsidRPr="007114AF">
        <w:rPr>
          <w:b/>
        </w:rPr>
        <w:t xml:space="preserve">të </w:t>
      </w:r>
      <w:r w:rsidR="005810BB" w:rsidRPr="007114AF">
        <w:rPr>
          <w:b/>
        </w:rPr>
        <w:t xml:space="preserve">financimit </w:t>
      </w:r>
      <w:r w:rsidR="00547185" w:rsidRPr="007114AF">
        <w:rPr>
          <w:b/>
        </w:rPr>
        <w:t xml:space="preserve">– </w:t>
      </w:r>
      <w:r w:rsidR="005810BB" w:rsidRPr="007114AF">
        <w:rPr>
          <w:b/>
        </w:rPr>
        <w:t xml:space="preserve">nxitja </w:t>
      </w:r>
      <w:r w:rsidR="00547185" w:rsidRPr="007114AF">
        <w:rPr>
          <w:b/>
        </w:rPr>
        <w:t xml:space="preserve">e financimit dhe investimit privat </w:t>
      </w:r>
    </w:p>
    <w:p w14:paraId="6EDD13D5" w14:textId="77777777" w:rsidR="00547185" w:rsidRPr="007114AF" w:rsidRDefault="00547185" w:rsidP="00547185">
      <w:pPr>
        <w:pStyle w:val="TEKSTI"/>
        <w:rPr>
          <w:rFonts w:cs="Arial"/>
        </w:rPr>
      </w:pPr>
      <w:r w:rsidRPr="007114AF">
        <w:rPr>
          <w:rFonts w:cs="Arial"/>
        </w:rPr>
        <w:t xml:space="preserve">Përveç instrumenteve më tradicionale të financimit të lidhura me ODA-n, ka instrumente të reja financimi që synojnë të tërheqin dhe nxisin investimin në projekte dhe programe me aftësi rimëkëmbëse ndaj ndryshimeve klimatike. Në veçanti, financimi i klimës ka nxitur tregjet financiare dhe ka sjellë disa risi që duhet të hulumtohen dhe testohen më tej, veçanërisht përshtatshmëria e tyre në kontekstin shqiptar. Mjedisi rregullator dhe legjislativ duhet të forcohet dhe përmirësohet më tej që disa prej instrumenteve të bëhen potencialisht burime të konsiderueshme financimi në të ardhmen afatmesme deri afatgjatë. </w:t>
      </w:r>
    </w:p>
    <w:p w14:paraId="6EDD13D6" w14:textId="77777777" w:rsidR="00547185" w:rsidRPr="007114AF" w:rsidRDefault="00547185" w:rsidP="00547185">
      <w:pPr>
        <w:pStyle w:val="TEKSTI"/>
        <w:rPr>
          <w:rFonts w:cs="Arial"/>
        </w:rPr>
      </w:pPr>
      <w:r w:rsidRPr="007114AF">
        <w:rPr>
          <w:rFonts w:cs="Arial"/>
        </w:rPr>
        <w:t xml:space="preserve">Këto instrumente janë veçanërisht të rëndësishme për masat prioritare në sektorët prodhues (p.sh. në bujqësi - PA 8, turizëm - PA 12), ku aktorët privatë luajnë rol të rëndësishëm në funksion të Ndryshimeve Klimatike nëpërmjet investimit ose zbatimit të zgjidhjeve me aftësi ripëtëritëse ndaj ndryshimeve klimatike. </w:t>
      </w:r>
    </w:p>
    <w:p w14:paraId="6EDD13D7" w14:textId="77777777" w:rsidR="00547185" w:rsidRPr="007114AF" w:rsidRDefault="00B976ED" w:rsidP="00547185">
      <w:pPr>
        <w:pStyle w:val="TEKSTI"/>
        <w:rPr>
          <w:b/>
        </w:rPr>
      </w:pPr>
      <w:r w:rsidRPr="007114AF">
        <w:rPr>
          <w:b/>
        </w:rPr>
        <w:t xml:space="preserve">- </w:t>
      </w:r>
      <w:r w:rsidR="00547185" w:rsidRPr="007114AF">
        <w:rPr>
          <w:b/>
        </w:rPr>
        <w:t>Garancitë</w:t>
      </w:r>
    </w:p>
    <w:p w14:paraId="6EDD13D8" w14:textId="77777777" w:rsidR="00547185" w:rsidRPr="007114AF" w:rsidRDefault="00547185" w:rsidP="00547185">
      <w:pPr>
        <w:pStyle w:val="TEKSTI"/>
        <w:rPr>
          <w:spacing w:val="-4"/>
        </w:rPr>
      </w:pPr>
      <w:r w:rsidRPr="007114AF">
        <w:t xml:space="preserve">FGJK-ja (GCF), për shembull, ofron garanci dhe angazhime në të cilat një garant ndërmerr të përmbushë detyrimet e një huamarrësi ndaj një huadhënësi, në rast të mospërmbushjes së detyrimeve ose mospagimit nga huamarrësi të detyrimeve të tij, në këmbim të një tarife. </w:t>
      </w:r>
      <w:r w:rsidRPr="007114AF">
        <w:rPr>
          <w:spacing w:val="-4"/>
        </w:rPr>
        <w:t xml:space="preserve">Avantazhi është se ky tërheq kapitalin nëpërmjet borxhit në kushte që mund të siguronin fizibilitetin e një projekti dhe lehtëson ose menaxhon rreziqet, ndërsa është e vështirë të caktohet sasia e rreziqeve dhe në institucionet financiare ndërkombëtare përfaqëson të njëjtën shumë të kuotave të financimit si një hua. Sipas gjasave, kjo mund të ishte me interes për një investim që kombinon përfitimet e lehtësimit dhe përshtatjes në Shqipëri. </w:t>
      </w:r>
    </w:p>
    <w:p w14:paraId="6EDD13D9" w14:textId="77777777" w:rsidR="00547185" w:rsidRPr="007114AF" w:rsidRDefault="00B976ED" w:rsidP="00547185">
      <w:pPr>
        <w:pStyle w:val="TEKSTI"/>
        <w:rPr>
          <w:b/>
          <w:spacing w:val="-4"/>
        </w:rPr>
      </w:pPr>
      <w:r w:rsidRPr="007114AF">
        <w:rPr>
          <w:b/>
          <w:spacing w:val="-4"/>
        </w:rPr>
        <w:t xml:space="preserve">- </w:t>
      </w:r>
      <w:r w:rsidR="00547185" w:rsidRPr="007114AF">
        <w:rPr>
          <w:b/>
          <w:spacing w:val="-4"/>
        </w:rPr>
        <w:t>Bonot e klimës</w:t>
      </w:r>
    </w:p>
    <w:p w14:paraId="6EDD13DA" w14:textId="11723FF2" w:rsidR="00547185" w:rsidRPr="007114AF" w:rsidRDefault="00547185" w:rsidP="00547185">
      <w:pPr>
        <w:pStyle w:val="TEKSTI"/>
        <w:rPr>
          <w:rFonts w:cs="Arial"/>
          <w:spacing w:val="-4"/>
        </w:rPr>
      </w:pPr>
      <w:r w:rsidRPr="007114AF">
        <w:rPr>
          <w:rFonts w:cs="Arial"/>
          <w:spacing w:val="-4"/>
        </w:rPr>
        <w:t>Bonot e klimës janë instrumente financiare me të ardhura fikse, të njohura edhe si bono të gjelbra. Ato</w:t>
      </w:r>
      <w:r w:rsidR="000A2A01" w:rsidRPr="007114AF">
        <w:rPr>
          <w:rFonts w:cs="Arial"/>
          <w:spacing w:val="-4"/>
        </w:rPr>
        <w:t xml:space="preserve"> </w:t>
      </w:r>
      <w:r w:rsidRPr="007114AF">
        <w:rPr>
          <w:rFonts w:cs="Arial"/>
          <w:spacing w:val="-4"/>
        </w:rPr>
        <w:t>përdoren për të financuar ose rifinancuar projekte të nevojshme për trajtimin e klimës. Ato variojnë nga</w:t>
      </w:r>
      <w:r w:rsidR="000A2A01" w:rsidRPr="007114AF">
        <w:rPr>
          <w:rFonts w:cs="Arial"/>
          <w:spacing w:val="-4"/>
        </w:rPr>
        <w:t xml:space="preserve"> </w:t>
      </w:r>
      <w:r w:rsidRPr="007114AF">
        <w:rPr>
          <w:rFonts w:cs="Arial"/>
          <w:spacing w:val="-4"/>
        </w:rPr>
        <w:t>fermat/zonat me turbina të erës për prodhimin e energjisë dhe hidrocentralet e impiantet diellore deri tek transporti hekurudhor dhe ndërtimi i mureve detare në qytete të rrezikuara nga rritja e nivelit të detit. Vetëm një pjesë e vogël e këtyre bonove në fakt janë etiketuar si bono të gjelbra ose klimatike nga emetuesit e tyre. Ashtu si bonot normale, bonot klimatike mund të emetohen nga qeveria, banka ose koorporatashumëkombëshe. Subjekti emetues garanton shlyerjen e obligacionit brenda një periudhë të caktuar kohe, plus një normë kthimi fikse ose të ndryshueshme.</w:t>
      </w:r>
    </w:p>
    <w:p w14:paraId="6EDD13DB" w14:textId="77777777" w:rsidR="00547185" w:rsidRPr="007114AF" w:rsidRDefault="00547185" w:rsidP="00547185">
      <w:pPr>
        <w:pStyle w:val="TEKSTI"/>
        <w:rPr>
          <w:rFonts w:cs="Arial"/>
          <w:spacing w:val="-4"/>
        </w:rPr>
      </w:pPr>
      <w:r w:rsidRPr="007114AF">
        <w:rPr>
          <w:rFonts w:cs="Arial"/>
          <w:spacing w:val="-4"/>
        </w:rPr>
        <w:t>Përshtatshmëria e këtyre obligacioneve në kontekstin shqiptar duhet të vlerësohet më tej (shihni gjithashtu Iniciativën e Obligacioneve të Klimës, 2015 ), si pjesë e aktiviteteve afatmesme në udhërrëfyes.</w:t>
      </w:r>
    </w:p>
    <w:p w14:paraId="6EDD13DC" w14:textId="77777777" w:rsidR="00D53624" w:rsidRPr="007114AF" w:rsidRDefault="00F925D5" w:rsidP="00D53624">
      <w:pPr>
        <w:pStyle w:val="TEKSTI"/>
        <w:rPr>
          <w:rFonts w:eastAsia="Times New Roman"/>
          <w:b/>
          <w:spacing w:val="-4"/>
          <w:lang w:eastAsia="en-US"/>
        </w:rPr>
      </w:pPr>
      <w:r w:rsidRPr="007114AF">
        <w:rPr>
          <w:rFonts w:eastAsia="Times New Roman"/>
          <w:b/>
          <w:spacing w:val="-4"/>
          <w:lang w:eastAsia="en-US"/>
        </w:rPr>
        <w:t xml:space="preserve">- </w:t>
      </w:r>
      <w:r w:rsidR="00D53624" w:rsidRPr="007114AF">
        <w:rPr>
          <w:rFonts w:eastAsia="Times New Roman"/>
          <w:b/>
          <w:spacing w:val="-4"/>
          <w:lang w:eastAsia="en-US"/>
        </w:rPr>
        <w:t>Mikrofinancimi /Unionet kursim-kredi</w:t>
      </w:r>
    </w:p>
    <w:p w14:paraId="6EDD13DD" w14:textId="4A745A44" w:rsidR="00547185" w:rsidRPr="007114AF" w:rsidRDefault="00547185" w:rsidP="00D53624">
      <w:pPr>
        <w:pStyle w:val="TEKSTI"/>
        <w:rPr>
          <w:spacing w:val="-4"/>
        </w:rPr>
      </w:pPr>
      <w:r w:rsidRPr="007114AF">
        <w:rPr>
          <w:spacing w:val="-4"/>
        </w:rPr>
        <w:t>Mikrofinancimi është një mjet i rëndësishëm për t</w:t>
      </w:r>
      <w:r w:rsidR="00D10DAB" w:rsidRPr="007114AF">
        <w:rPr>
          <w:spacing w:val="-4"/>
        </w:rPr>
        <w:t>’</w:t>
      </w:r>
      <w:r w:rsidRPr="007114AF">
        <w:rPr>
          <w:spacing w:val="-4"/>
        </w:rPr>
        <w:t>u shtrirë tek grupet e popullsisë me të ardhura të ulëta dhe ndërmarrjet mikro, të vogla dhe të mesme (NVM-të), veçanërisht në zonat rurale të Shqipërisë. Megjithatë është ende e nevojshme që të krijohet një infrastrukturë e fuqishme ligjore dhe të sigurohet një mjedis i favorshëm për mikrofinancim. Nga sot bankat tregtare nuk operojnë në</w:t>
      </w:r>
      <w:r w:rsidR="000A2A01" w:rsidRPr="007114AF">
        <w:rPr>
          <w:spacing w:val="-4"/>
        </w:rPr>
        <w:t xml:space="preserve"> </w:t>
      </w:r>
      <w:r w:rsidRPr="007114AF">
        <w:rPr>
          <w:spacing w:val="-4"/>
        </w:rPr>
        <w:t>zonat rurale për disa arsye (Cibuku 2014). Ky boshllëk zgjeron rolin e Unioneve të Kredive dhe Kursimeve.</w:t>
      </w:r>
    </w:p>
    <w:p w14:paraId="6EDD13DE" w14:textId="77777777" w:rsidR="00D53624" w:rsidRPr="007114AF" w:rsidRDefault="00D53624" w:rsidP="00D53624">
      <w:pPr>
        <w:pStyle w:val="TEKSTI"/>
        <w:rPr>
          <w:spacing w:val="-4"/>
        </w:rPr>
      </w:pPr>
    </w:p>
    <w:p w14:paraId="6EDD13DF" w14:textId="77777777" w:rsidR="00D53624" w:rsidRPr="007114AF" w:rsidRDefault="00D53624" w:rsidP="002B1083">
      <w:pPr>
        <w:spacing w:after="200"/>
        <w:jc w:val="center"/>
        <w:rPr>
          <w:rFonts w:ascii="Garamond" w:hAnsi="Garamond"/>
          <w:b/>
          <w:bCs/>
          <w:iCs/>
        </w:rPr>
      </w:pPr>
      <w:r w:rsidRPr="007114AF">
        <w:rPr>
          <w:rFonts w:ascii="Garamond" w:hAnsi="Garamond"/>
          <w:noProof/>
          <w:lang w:val="en-US" w:eastAsia="en-US"/>
        </w:rPr>
        <w:drawing>
          <wp:inline distT="0" distB="0" distL="0" distR="0" wp14:anchorId="6EDD17D6" wp14:editId="6EDD17D7">
            <wp:extent cx="3424555" cy="2052955"/>
            <wp:effectExtent l="0" t="0" r="23495" b="23495"/>
            <wp:docPr id="57" name="Chart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EDD13E0" w14:textId="77777777" w:rsidR="00D53624" w:rsidRPr="007114AF" w:rsidRDefault="00D53624" w:rsidP="00D53624">
      <w:pPr>
        <w:pStyle w:val="TEKSTI"/>
      </w:pPr>
    </w:p>
    <w:p w14:paraId="6EDD13E1" w14:textId="77777777" w:rsidR="00D53624" w:rsidRPr="007114AF" w:rsidRDefault="00D53624" w:rsidP="00D53624">
      <w:pPr>
        <w:pStyle w:val="FIGURA"/>
        <w:rPr>
          <w:sz w:val="20"/>
          <w:szCs w:val="20"/>
        </w:rPr>
      </w:pPr>
      <w:r w:rsidRPr="007114AF">
        <w:rPr>
          <w:sz w:val="20"/>
          <w:szCs w:val="20"/>
        </w:rPr>
        <w:t>Figura 6 tregon se shumica e mikrohuave janë përdorur në sektorin bujqësor që është një prej sektorëve kyç të shqyrtuar në dokumentin e NAP-it. Diskutime fillestare me një institucion financiar jobankar</w:t>
      </w:r>
      <w:r w:rsidRPr="007114AF">
        <w:rPr>
          <w:rStyle w:val="FootnoteReference"/>
          <w:sz w:val="20"/>
          <w:szCs w:val="20"/>
        </w:rPr>
        <w:footnoteReference w:id="82"/>
      </w:r>
      <w:r w:rsidRPr="007114AF">
        <w:rPr>
          <w:sz w:val="20"/>
          <w:szCs w:val="20"/>
        </w:rPr>
        <w:t xml:space="preserve"> janë zhvilluar për eksplorimin e mundësive për integrimin e objektivave të përshtatjes në portofolin e ofruesve. </w:t>
      </w:r>
    </w:p>
    <w:p w14:paraId="6EDD13E2" w14:textId="77777777" w:rsidR="00D53624" w:rsidRPr="007114AF" w:rsidRDefault="00D53624" w:rsidP="008C3C5E">
      <w:pPr>
        <w:pStyle w:val="TEKSTI"/>
      </w:pPr>
    </w:p>
    <w:p w14:paraId="6EDD13E3" w14:textId="77777777" w:rsidR="008C3C5E" w:rsidRPr="007114AF" w:rsidRDefault="008C3C5E" w:rsidP="008C3C5E">
      <w:pPr>
        <w:pStyle w:val="TEKSTI"/>
        <w:rPr>
          <w:spacing w:val="-4"/>
        </w:rPr>
      </w:pPr>
      <w:r w:rsidRPr="007114AF">
        <w:rPr>
          <w:spacing w:val="-4"/>
        </w:rPr>
        <w:t>U identifikuan mundësitë e mëposhtme fillestare:</w:t>
      </w:r>
    </w:p>
    <w:p w14:paraId="6EDD13E4" w14:textId="77777777" w:rsidR="008C3C5E" w:rsidRPr="007114AF" w:rsidRDefault="002D0A53" w:rsidP="008C3C5E">
      <w:pPr>
        <w:pStyle w:val="TEKSTI"/>
        <w:rPr>
          <w:spacing w:val="-4"/>
        </w:rPr>
      </w:pPr>
      <w:r w:rsidRPr="007114AF">
        <w:rPr>
          <w:spacing w:val="-4"/>
        </w:rPr>
        <w:t xml:space="preserve">- </w:t>
      </w:r>
      <w:r w:rsidR="008C3C5E" w:rsidRPr="007114AF">
        <w:rPr>
          <w:spacing w:val="-4"/>
        </w:rPr>
        <w:t>Mbrojtja klimatike e produkteve të mikrofinancimit/verifikimi i aplikimeve për hua;</w:t>
      </w:r>
    </w:p>
    <w:p w14:paraId="6EDD13E5" w14:textId="78B6694D" w:rsidR="008C3C5E" w:rsidRPr="007114AF" w:rsidRDefault="002D0A53" w:rsidP="008C3C5E">
      <w:pPr>
        <w:pStyle w:val="TEKSTI"/>
        <w:rPr>
          <w:rFonts w:cs="Arial"/>
          <w:spacing w:val="-4"/>
        </w:rPr>
      </w:pPr>
      <w:r w:rsidRPr="007114AF">
        <w:rPr>
          <w:spacing w:val="-4"/>
        </w:rPr>
        <w:t xml:space="preserve">- </w:t>
      </w:r>
      <w:r w:rsidR="008C3C5E" w:rsidRPr="007114AF">
        <w:rPr>
          <w:spacing w:val="-4"/>
        </w:rPr>
        <w:t>Disa institucione mikrofinancimi kanë mbulim të përhapur në zonat rurale, nëpërmjet përfaqësuesve të tyre. Ky mund të ishte një kanal i mundshëm për asistencë teknike për sensibilizimin e fermerëve ruralë dhe NMV-ve bujqësore</w:t>
      </w:r>
      <w:r w:rsidR="008C3C5E" w:rsidRPr="007114AF">
        <w:rPr>
          <w:rFonts w:cs="Arial"/>
          <w:spacing w:val="-4"/>
        </w:rPr>
        <w:t>.</w:t>
      </w:r>
      <w:r w:rsidR="008D30FC" w:rsidRPr="007114AF">
        <w:rPr>
          <w:rFonts w:cs="Arial"/>
          <w:spacing w:val="-4"/>
        </w:rPr>
        <w:t xml:space="preserve"> </w:t>
      </w:r>
    </w:p>
    <w:p w14:paraId="6EDD13E6" w14:textId="77777777" w:rsidR="008C3C5E" w:rsidRPr="007114AF" w:rsidRDefault="002D0A53" w:rsidP="008C3C5E">
      <w:pPr>
        <w:pStyle w:val="TEKSTI"/>
        <w:rPr>
          <w:b/>
          <w:spacing w:val="-4"/>
        </w:rPr>
      </w:pPr>
      <w:r w:rsidRPr="007114AF">
        <w:rPr>
          <w:b/>
          <w:spacing w:val="-4"/>
        </w:rPr>
        <w:t xml:space="preserve">- </w:t>
      </w:r>
      <w:r w:rsidR="008C3C5E" w:rsidRPr="007114AF">
        <w:rPr>
          <w:b/>
          <w:spacing w:val="-4"/>
        </w:rPr>
        <w:t>Kapitali privat</w:t>
      </w:r>
    </w:p>
    <w:p w14:paraId="6EDD13E7" w14:textId="77777777" w:rsidR="008C3C5E" w:rsidRPr="007114AF" w:rsidRDefault="008C3C5E" w:rsidP="008C3C5E">
      <w:pPr>
        <w:pStyle w:val="TEKSTI"/>
        <w:rPr>
          <w:spacing w:val="-4"/>
        </w:rPr>
      </w:pPr>
      <w:r w:rsidRPr="007114AF">
        <w:rPr>
          <w:spacing w:val="-4"/>
        </w:rPr>
        <w:t>Ekzistojnë stimuj të ndryshëm për investitorët dhe shoqëritë private për të investuar në përshtatje, p.sh. prodhimi i aseteve produktive kundër ndikimeve të përmbytjeve, mbrojtja e zinxhirëve të furnizimit.</w:t>
      </w:r>
    </w:p>
    <w:p w14:paraId="6EDD13E8" w14:textId="5C4551FC" w:rsidR="008C3C5E" w:rsidRPr="007114AF" w:rsidRDefault="008C3C5E" w:rsidP="008C3C5E">
      <w:pPr>
        <w:pStyle w:val="TEKSTI"/>
        <w:rPr>
          <w:spacing w:val="-4"/>
        </w:rPr>
      </w:pPr>
      <w:r w:rsidRPr="007114AF">
        <w:rPr>
          <w:spacing w:val="-4"/>
        </w:rPr>
        <w:t>Ekzistojnë disa iniciativa për rritjen e financimit për NMV-të në Shqipëri. Për shembull, në mars 2016 u krijua Fondi i Financimit Crimson</w:t>
      </w:r>
      <w:r w:rsidR="001263E7">
        <w:rPr>
          <w:spacing w:val="-4"/>
        </w:rPr>
        <w:t xml:space="preserve"> </w:t>
      </w:r>
      <w:r w:rsidRPr="007114AF">
        <w:rPr>
          <w:spacing w:val="-4"/>
        </w:rPr>
        <w:t>për Shqipërinë</w:t>
      </w:r>
      <w:r w:rsidRPr="007114AF">
        <w:rPr>
          <w:rStyle w:val="FootnoteReference"/>
          <w:spacing w:val="-4"/>
        </w:rPr>
        <w:footnoteReference w:id="83"/>
      </w:r>
      <w:r w:rsidRPr="007114AF">
        <w:rPr>
          <w:spacing w:val="-4"/>
        </w:rPr>
        <w:t xml:space="preserve"> (FFC), një institucion financiar jobankar që do të ofrojë financim zhvillimor për bizneset mikro, të vogla dhe të mesme. FFC-ja Shqipëri është projektuar për të përmirësuar aksesin në financim për ndërmarrjet e vogla dhe të mesme që kanë marrë shërbime të pamjaftueshme (NMV-të), sipërmarrësit, novatorët, bizneset e zotëruara nga gratë dhe fermerët në Shqipëri, me qëllim katalizimin e zhvillimit të biznesit dhe krijimin e vendeve të punës.</w:t>
      </w:r>
    </w:p>
    <w:p w14:paraId="6EDD13E9" w14:textId="77777777" w:rsidR="008C3C5E" w:rsidRPr="007114AF" w:rsidRDefault="008C3C5E" w:rsidP="008C3C5E">
      <w:pPr>
        <w:pStyle w:val="TEKSTI"/>
        <w:rPr>
          <w:spacing w:val="-4"/>
        </w:rPr>
      </w:pPr>
      <w:r w:rsidRPr="007114AF">
        <w:rPr>
          <w:spacing w:val="-4"/>
        </w:rPr>
        <w:t xml:space="preserve">Produktet e FFC-ës do të ndihmojnë NMV-ët me akses të kufizuar financiar në sistemin bankar me anë të: </w:t>
      </w:r>
    </w:p>
    <w:p w14:paraId="6EDD13EA" w14:textId="77777777" w:rsidR="008C3C5E" w:rsidRPr="007114AF" w:rsidRDefault="002D0A53" w:rsidP="008C3C5E">
      <w:pPr>
        <w:pStyle w:val="TEKSTI"/>
        <w:rPr>
          <w:spacing w:val="-4"/>
        </w:rPr>
      </w:pPr>
      <w:r w:rsidRPr="007114AF">
        <w:rPr>
          <w:spacing w:val="-4"/>
        </w:rPr>
        <w:t xml:space="preserve">- </w:t>
      </w:r>
      <w:r w:rsidR="008C3C5E" w:rsidRPr="007114AF">
        <w:rPr>
          <w:spacing w:val="-4"/>
        </w:rPr>
        <w:t xml:space="preserve">Rritjes së likuiditetit të biznesit; </w:t>
      </w:r>
    </w:p>
    <w:p w14:paraId="6EDD13EB" w14:textId="77777777" w:rsidR="008C3C5E" w:rsidRPr="007114AF" w:rsidRDefault="002D0A53" w:rsidP="008C3C5E">
      <w:pPr>
        <w:pStyle w:val="TEKSTI"/>
        <w:rPr>
          <w:spacing w:val="-4"/>
        </w:rPr>
      </w:pPr>
      <w:r w:rsidRPr="007114AF">
        <w:rPr>
          <w:spacing w:val="-4"/>
        </w:rPr>
        <w:t xml:space="preserve">- </w:t>
      </w:r>
      <w:r w:rsidR="008C3C5E" w:rsidRPr="007114AF">
        <w:rPr>
          <w:spacing w:val="-4"/>
        </w:rPr>
        <w:t xml:space="preserve">Financimit të blerjes së pajisjeve, makinerive ose sendeve pasurore për nevojat e biznesit; </w:t>
      </w:r>
    </w:p>
    <w:p w14:paraId="6EDD13EC" w14:textId="77777777" w:rsidR="008C3C5E" w:rsidRPr="007114AF" w:rsidRDefault="002D0A53" w:rsidP="008C3C5E">
      <w:pPr>
        <w:pStyle w:val="TEKSTI"/>
        <w:rPr>
          <w:rFonts w:cs="Arial"/>
          <w:spacing w:val="-4"/>
        </w:rPr>
      </w:pPr>
      <w:r w:rsidRPr="007114AF">
        <w:rPr>
          <w:spacing w:val="-4"/>
        </w:rPr>
        <w:t xml:space="preserve">- </w:t>
      </w:r>
      <w:r w:rsidR="008C3C5E" w:rsidRPr="007114AF">
        <w:rPr>
          <w:spacing w:val="-4"/>
        </w:rPr>
        <w:t>Financimit të shpenzimeve paraprake të zhvillimit</w:t>
      </w:r>
      <w:r w:rsidR="008C3C5E" w:rsidRPr="007114AF">
        <w:rPr>
          <w:rFonts w:cs="Arial"/>
          <w:spacing w:val="-4"/>
        </w:rPr>
        <w:t>.</w:t>
      </w:r>
    </w:p>
    <w:p w14:paraId="6EDD13ED" w14:textId="77777777" w:rsidR="008C3C5E" w:rsidRPr="007114AF" w:rsidRDefault="002D0A53" w:rsidP="008C3C5E">
      <w:pPr>
        <w:pStyle w:val="TEKSTI"/>
        <w:rPr>
          <w:b/>
          <w:spacing w:val="-4"/>
        </w:rPr>
      </w:pPr>
      <w:r w:rsidRPr="007114AF">
        <w:rPr>
          <w:b/>
          <w:spacing w:val="-4"/>
        </w:rPr>
        <w:t xml:space="preserve">- </w:t>
      </w:r>
      <w:r w:rsidR="008C3C5E" w:rsidRPr="007114AF">
        <w:rPr>
          <w:b/>
          <w:spacing w:val="-4"/>
        </w:rPr>
        <w:t xml:space="preserve">Partneriteti publik-privat </w:t>
      </w:r>
    </w:p>
    <w:p w14:paraId="6EDD13EE" w14:textId="632CCA47" w:rsidR="008C3C5E" w:rsidRPr="007114AF" w:rsidRDefault="008C3C5E" w:rsidP="008C3C5E">
      <w:pPr>
        <w:pStyle w:val="TEKSTI"/>
        <w:rPr>
          <w:spacing w:val="-4"/>
        </w:rPr>
      </w:pPr>
      <w:r w:rsidRPr="007114AF">
        <w:rPr>
          <w:spacing w:val="-4"/>
        </w:rPr>
        <w:t xml:space="preserve">Së fundmi, Qeveria e Shqipërisë ka </w:t>
      </w:r>
      <w:r w:rsidR="009B0B46">
        <w:rPr>
          <w:spacing w:val="-4"/>
        </w:rPr>
        <w:t>kërkuar të arrijë objektiva kyç</w:t>
      </w:r>
      <w:r w:rsidRPr="007114AF">
        <w:rPr>
          <w:spacing w:val="-4"/>
        </w:rPr>
        <w:t xml:space="preserve"> kombëtar</w:t>
      </w:r>
      <w:r w:rsidR="009B0B46">
        <w:rPr>
          <w:spacing w:val="-4"/>
        </w:rPr>
        <w:t>ë</w:t>
      </w:r>
      <w:r w:rsidRPr="007114AF">
        <w:rPr>
          <w:spacing w:val="-4"/>
        </w:rPr>
        <w:t xml:space="preserve"> të zhvillimit ekonomik, nëpërmjet partneriteteve publike-private (PPP-të). Brenda kontekstit të politikës shqiptare, qëllimet dhe objektivat e PPP-ve janë si më poshtë: </w:t>
      </w:r>
    </w:p>
    <w:p w14:paraId="6EDD13EF" w14:textId="77777777" w:rsidR="008C3C5E" w:rsidRPr="007114AF" w:rsidRDefault="002D0A53" w:rsidP="008C3C5E">
      <w:pPr>
        <w:pStyle w:val="TEKSTI"/>
        <w:rPr>
          <w:spacing w:val="-4"/>
        </w:rPr>
      </w:pPr>
      <w:r w:rsidRPr="007114AF">
        <w:rPr>
          <w:spacing w:val="-4"/>
        </w:rPr>
        <w:t xml:space="preserve">- </w:t>
      </w:r>
      <w:r w:rsidR="008C3C5E" w:rsidRPr="007114AF">
        <w:rPr>
          <w:spacing w:val="-4"/>
        </w:rPr>
        <w:t>Të ofrojnë financim brenda kufizimeve të buxhetit dhe shkurtimeve të shpenzimeve publike;</w:t>
      </w:r>
    </w:p>
    <w:p w14:paraId="6EDD13F0" w14:textId="77777777" w:rsidR="008C3C5E" w:rsidRPr="007114AF" w:rsidRDefault="002D0A53" w:rsidP="008C3C5E">
      <w:pPr>
        <w:pStyle w:val="TEKSTI"/>
        <w:rPr>
          <w:spacing w:val="-4"/>
        </w:rPr>
      </w:pPr>
      <w:r w:rsidRPr="007114AF">
        <w:rPr>
          <w:spacing w:val="-4"/>
        </w:rPr>
        <w:t xml:space="preserve">- </w:t>
      </w:r>
      <w:r w:rsidR="008C3C5E" w:rsidRPr="007114AF">
        <w:rPr>
          <w:spacing w:val="-4"/>
        </w:rPr>
        <w:t>Të zgjerojnë investimin infrastrukturor si nxitës të zhvillimit ekonomik;</w:t>
      </w:r>
    </w:p>
    <w:p w14:paraId="6EDD13F1" w14:textId="77777777" w:rsidR="008C3C5E" w:rsidRPr="007114AF" w:rsidRDefault="002D0A53" w:rsidP="008C3C5E">
      <w:pPr>
        <w:pStyle w:val="TEKSTI"/>
        <w:rPr>
          <w:spacing w:val="-4"/>
        </w:rPr>
      </w:pPr>
      <w:r w:rsidRPr="007114AF">
        <w:rPr>
          <w:spacing w:val="-4"/>
        </w:rPr>
        <w:t xml:space="preserve">- </w:t>
      </w:r>
      <w:r w:rsidR="008C3C5E" w:rsidRPr="007114AF">
        <w:rPr>
          <w:spacing w:val="-4"/>
        </w:rPr>
        <w:t xml:space="preserve">Të përmirësojnë cilësinë e shërbimit, eficiencën dhe nxitjen e menaxhimit të sektorit publik; </w:t>
      </w:r>
    </w:p>
    <w:p w14:paraId="6EDD13F2" w14:textId="77777777" w:rsidR="008C3C5E" w:rsidRPr="007114AF" w:rsidRDefault="002D0A53" w:rsidP="008C3C5E">
      <w:pPr>
        <w:pStyle w:val="TEKSTI"/>
        <w:rPr>
          <w:spacing w:val="-4"/>
        </w:rPr>
      </w:pPr>
      <w:r w:rsidRPr="007114AF">
        <w:rPr>
          <w:spacing w:val="-4"/>
        </w:rPr>
        <w:t xml:space="preserve">- </w:t>
      </w:r>
      <w:r w:rsidR="008C3C5E" w:rsidRPr="007114AF">
        <w:rPr>
          <w:spacing w:val="-4"/>
        </w:rPr>
        <w:t>Të arrijnë eficiencë më të lartë në përdorimin e burimeve me anë të përfshirjes së një partneri privat dhe vlerësimit tregtar të aseteve publike.</w:t>
      </w:r>
    </w:p>
    <w:p w14:paraId="6EDD13F3" w14:textId="77777777" w:rsidR="008C3C5E" w:rsidRPr="007114AF" w:rsidRDefault="008C3C5E" w:rsidP="008C3C5E">
      <w:pPr>
        <w:pStyle w:val="TEKSTI"/>
        <w:rPr>
          <w:spacing w:val="-4"/>
        </w:rPr>
      </w:pPr>
      <w:r w:rsidRPr="007114AF">
        <w:rPr>
          <w:spacing w:val="-4"/>
        </w:rPr>
        <w:t>PPP-të mund të bëhen një mënyrë më e rregullt financimi, menaxhimi dhe zbatimi të projekteve për arsyet e mëposhtme</w:t>
      </w:r>
      <w:r w:rsidRPr="007114AF">
        <w:rPr>
          <w:rStyle w:val="FootnoteReference"/>
          <w:spacing w:val="-4"/>
        </w:rPr>
        <w:footnoteReference w:id="84"/>
      </w:r>
      <w:r w:rsidRPr="007114AF">
        <w:rPr>
          <w:rStyle w:val="FootnoteReference"/>
          <w:spacing w:val="-4"/>
        </w:rPr>
        <w:footnoteReference w:id="85"/>
      </w:r>
      <w:r w:rsidRPr="007114AF">
        <w:rPr>
          <w:spacing w:val="-4"/>
        </w:rPr>
        <w:t>:</w:t>
      </w:r>
    </w:p>
    <w:p w14:paraId="6EDD13F4" w14:textId="77777777" w:rsidR="008C3C5E" w:rsidRPr="007114AF" w:rsidRDefault="002D0A53" w:rsidP="008C3C5E">
      <w:pPr>
        <w:pStyle w:val="TEKSTI"/>
        <w:rPr>
          <w:spacing w:val="-4"/>
        </w:rPr>
      </w:pPr>
      <w:r w:rsidRPr="007114AF">
        <w:rPr>
          <w:spacing w:val="-4"/>
        </w:rPr>
        <w:t xml:space="preserve">- </w:t>
      </w:r>
      <w:r w:rsidR="008C3C5E" w:rsidRPr="007114AF">
        <w:rPr>
          <w:spacing w:val="-4"/>
        </w:rPr>
        <w:t>Interesi dhe entuziazmi për PPP-të brenda ministrive të linjës të infrastrukturës së Shqipërisë, agjencive të sektorit publik dhe veçanërisht, midis udhëheqjes së nivelit të lartë pranë qeverisë, mbeteti lartë. Megjithëse përvoja e mëparshme e Shqipërisë me koncesionet ka qenë e përzier, me disa shembuj të PPP-ve që kanë dështuar, organet e sektorit publik të Shqipërisë ruajnë një nivel relativisht të lartë interesi për vazhdimin e përdorimit të PPP-ve.</w:t>
      </w:r>
    </w:p>
    <w:p w14:paraId="6EDD13F5" w14:textId="77777777" w:rsidR="008C3C5E" w:rsidRPr="007114AF" w:rsidRDefault="002D0A53" w:rsidP="008C3C5E">
      <w:pPr>
        <w:pStyle w:val="TEKSTI"/>
        <w:rPr>
          <w:spacing w:val="-4"/>
        </w:rPr>
      </w:pPr>
      <w:r w:rsidRPr="007114AF">
        <w:rPr>
          <w:spacing w:val="-4"/>
        </w:rPr>
        <w:t xml:space="preserve">- </w:t>
      </w:r>
      <w:r w:rsidR="008C3C5E" w:rsidRPr="007114AF">
        <w:rPr>
          <w:spacing w:val="-4"/>
        </w:rPr>
        <w:t xml:space="preserve">Udhëheqja e qeverisë aktuale shqiptare është e angazhuar si ndaj forcimit të kuadrit të saj të PPP-ve, edhe ndaj ndjekjes së një qëndrimi më proaktiv për përdorimin e PPP-ve për zbatimin e projekteve të përzgjedhura të një rëndësie strategjike për strategjinë e zhvillimit të përgjithshëm ekonomik të vendit. </w:t>
      </w:r>
    </w:p>
    <w:p w14:paraId="6EDD13F6" w14:textId="04C015DA" w:rsidR="008C3C5E" w:rsidRPr="007114AF" w:rsidRDefault="002D0A53" w:rsidP="008C3C5E">
      <w:pPr>
        <w:pStyle w:val="TEKSTI"/>
        <w:rPr>
          <w:spacing w:val="-4"/>
        </w:rPr>
      </w:pPr>
      <w:r w:rsidRPr="007114AF">
        <w:rPr>
          <w:spacing w:val="-4"/>
        </w:rPr>
        <w:t xml:space="preserve">- </w:t>
      </w:r>
      <w:r w:rsidR="008C3C5E" w:rsidRPr="007114AF">
        <w:rPr>
          <w:spacing w:val="-4"/>
        </w:rPr>
        <w:t>Interesi në PPP-të në Shqipëri midis institucioneve financiare dhe investitorëve të sektorit privat paraqitet gjithashtu, relativisht i fuqishëm. Përfaqësues të sektorëve privatë, të tillë si Konfindustria dhe Dhoma Amerikane e Tregtisë, si dhe institucionet financiare ndërkombëtare, të tilla si</w:t>
      </w:r>
      <w:r w:rsidR="000A2A01" w:rsidRPr="007114AF">
        <w:rPr>
          <w:spacing w:val="-4"/>
        </w:rPr>
        <w:t xml:space="preserve"> </w:t>
      </w:r>
      <w:r w:rsidR="008C3C5E" w:rsidRPr="007114AF">
        <w:rPr>
          <w:spacing w:val="-4"/>
        </w:rPr>
        <w:t>Korporata Ndërkombëtare Financiare (IFC) dhe BERZH-i, çmojnë se, nëse Shqipëria mund të trajtojë boshllëqet aktuale në kuadrin e saj të PP-ve dhe forcimin e zbatimit të përgjithshëm të PPP-ve, do të ketë disa mundësi të reja të rëndësishme investimi për sektorin privat.</w:t>
      </w:r>
    </w:p>
    <w:p w14:paraId="6EDD13F7" w14:textId="77777777" w:rsidR="008C3C5E" w:rsidRPr="007114AF" w:rsidRDefault="002D0A53" w:rsidP="008C3C5E">
      <w:pPr>
        <w:pStyle w:val="TEKSTI"/>
        <w:rPr>
          <w:rFonts w:cs="Arial"/>
          <w:spacing w:val="-4"/>
        </w:rPr>
      </w:pPr>
      <w:r w:rsidRPr="007114AF">
        <w:rPr>
          <w:spacing w:val="-4"/>
        </w:rPr>
        <w:t xml:space="preserve">- </w:t>
      </w:r>
      <w:r w:rsidR="008C3C5E" w:rsidRPr="007114AF">
        <w:rPr>
          <w:spacing w:val="-4"/>
        </w:rPr>
        <w:t>Gjithashtu, donatorët ndërkombëtarë janë përgjithësisht të interesuar për të mbështetur forcimin e kuadrit dhe programit të PPP-ve në Shqipëri. Kjo mund të jetë veçanërisht e rëndësishme, nëse qeveria është duke kërkuar mbështetje financimi për zbatimin e ndonjë prej rekomandimeve të bëra nga ky delegim i PPP-ve</w:t>
      </w:r>
      <w:r w:rsidR="008C3C5E" w:rsidRPr="007114AF">
        <w:rPr>
          <w:rFonts w:cs="Arial"/>
          <w:spacing w:val="-4"/>
        </w:rPr>
        <w:t>.</w:t>
      </w:r>
    </w:p>
    <w:p w14:paraId="6EDD13F8" w14:textId="77777777" w:rsidR="008C3C5E" w:rsidRPr="007114AF" w:rsidRDefault="002D0A53" w:rsidP="009423A8">
      <w:pPr>
        <w:pStyle w:val="TEKSTI"/>
        <w:rPr>
          <w:b/>
          <w:spacing w:val="-4"/>
        </w:rPr>
      </w:pPr>
      <w:r w:rsidRPr="007114AF">
        <w:rPr>
          <w:b/>
          <w:spacing w:val="-4"/>
        </w:rPr>
        <w:t xml:space="preserve">- </w:t>
      </w:r>
      <w:r w:rsidR="008C3C5E" w:rsidRPr="007114AF">
        <w:rPr>
          <w:b/>
          <w:spacing w:val="-4"/>
        </w:rPr>
        <w:t>Pagesa e shërbimeve të ekosistemeve</w:t>
      </w:r>
    </w:p>
    <w:p w14:paraId="6EDD13F9" w14:textId="440DBFE2" w:rsidR="008C3C5E" w:rsidRPr="007114AF" w:rsidRDefault="00D10DAB" w:rsidP="008C3C5E">
      <w:pPr>
        <w:pStyle w:val="TEKSTI"/>
        <w:rPr>
          <w:spacing w:val="-4"/>
        </w:rPr>
      </w:pPr>
      <w:r w:rsidRPr="007114AF">
        <w:rPr>
          <w:spacing w:val="-4"/>
        </w:rPr>
        <w:t>‘</w:t>
      </w:r>
      <w:r w:rsidR="008C3C5E" w:rsidRPr="007114AF">
        <w:rPr>
          <w:spacing w:val="-4"/>
        </w:rPr>
        <w:t>Projekti i Shërbimeve Mjedisore</w:t>
      </w:r>
      <w:r w:rsidRPr="007114AF">
        <w:rPr>
          <w:spacing w:val="-4"/>
        </w:rPr>
        <w:t>’</w:t>
      </w:r>
      <w:r w:rsidR="008C3C5E" w:rsidRPr="007114AF">
        <w:rPr>
          <w:spacing w:val="-4"/>
        </w:rPr>
        <w:t xml:space="preserve"> i udhëhequr nga BB-ja (16.8 milionë USD) është duke testuar aktualisht skemat e Pagesës për Shërbimet e Ekosistemeve (PSHE) (PES). Projekti shenjëstron persona në pyje dhe komunitetet e afërme, me përfitime të rritura monetare ose jomonetare nga pylli</w:t>
      </w:r>
      <w:r w:rsidR="000A2A01" w:rsidRPr="007114AF">
        <w:rPr>
          <w:spacing w:val="-4"/>
        </w:rPr>
        <w:t xml:space="preserve"> </w:t>
      </w:r>
      <w:r w:rsidR="008C3C5E" w:rsidRPr="007114AF">
        <w:rPr>
          <w:spacing w:val="-4"/>
        </w:rPr>
        <w:t>b) persona në komunitete të synuara me përfitime të rritura monetare ose jomonetare nga tokat bujqësore.</w:t>
      </w:r>
    </w:p>
    <w:p w14:paraId="6EDD13FA" w14:textId="03826F08" w:rsidR="008C3C5E" w:rsidRPr="007114AF" w:rsidRDefault="008C3C5E" w:rsidP="008C3C5E">
      <w:pPr>
        <w:pStyle w:val="TEKSTI"/>
        <w:rPr>
          <w:spacing w:val="-4"/>
        </w:rPr>
      </w:pPr>
      <w:r w:rsidRPr="007114AF">
        <w:rPr>
          <w:spacing w:val="-4"/>
        </w:rPr>
        <w:t>Zhvillimi i mekanizmave të pagesës për shërbimet e pellgjeve ujëmbledhëse do të mbështesë menaxhimin e qëndrueshëm të peizazhit në zonat rurale, që përgatisin një qasje inovative të bazuar në treg, në bazë të parimit se ata që përfitojnë nga shërbimet mjedisore duhet të paguajnë personat që i gjenerojnë. Projektimet e mekanizmave si për skemat e pagesave publike dhe private, do të hulumtohen. Ky nënkomponent do të zhvillojë një model që lidh praktikat e përdorimit të tokës me gjenerimin e shërbimeve të ekosistemeve, të tilla si ruajtja e sedimenteve, pastrimi i ujit dhe rrjedhat e ujit, si dhe një plan të përshtatshëm pagese dhe masa nëpërmjet një programi të asistencës teknike,</w:t>
      </w:r>
      <w:r w:rsidR="000A2A01" w:rsidRPr="007114AF">
        <w:rPr>
          <w:spacing w:val="-4"/>
        </w:rPr>
        <w:t xml:space="preserve"> </w:t>
      </w:r>
      <w:r w:rsidRPr="007114AF">
        <w:rPr>
          <w:spacing w:val="-4"/>
        </w:rPr>
        <w:t>për të ndihmuar fermerët, për të kaluar në praktika të pranueshme të Menaxhimit të Tokës (SML) (LM). Të gjitha këto aktivitete do të sjellin përfitime të përshtatjes në fushat përkatëse.</w:t>
      </w:r>
    </w:p>
    <w:p w14:paraId="6EDD13FB" w14:textId="77777777" w:rsidR="008C3C5E" w:rsidRPr="007114AF" w:rsidRDefault="008C3C5E" w:rsidP="008C3C5E">
      <w:pPr>
        <w:pStyle w:val="TEKSTI"/>
        <w:rPr>
          <w:spacing w:val="-4"/>
        </w:rPr>
      </w:pPr>
      <w:r w:rsidRPr="007114AF">
        <w:rPr>
          <w:spacing w:val="-4"/>
        </w:rPr>
        <w:t>Përshtatshmëria e këtyre PSHE-ve (PES) për kontekstin shqiptar, duhet të vlerësohet më tej</w:t>
      </w:r>
      <w:r w:rsidRPr="007114AF">
        <w:rPr>
          <w:rStyle w:val="FootnoteReference"/>
          <w:spacing w:val="-4"/>
        </w:rPr>
        <w:footnoteReference w:id="86"/>
      </w:r>
      <w:r w:rsidRPr="007114AF">
        <w:rPr>
          <w:spacing w:val="-4"/>
        </w:rPr>
        <w:t xml:space="preserve"> si pjesë e aktiviteteve afatmesme në udhërrëfyes. </w:t>
      </w:r>
    </w:p>
    <w:p w14:paraId="6EDD13FC" w14:textId="77777777" w:rsidR="008C3C5E" w:rsidRPr="007114AF" w:rsidRDefault="002D0A53" w:rsidP="009423A8">
      <w:pPr>
        <w:pStyle w:val="TEKSTI"/>
        <w:rPr>
          <w:b/>
          <w:spacing w:val="-4"/>
        </w:rPr>
      </w:pPr>
      <w:r w:rsidRPr="007114AF">
        <w:rPr>
          <w:b/>
          <w:spacing w:val="-4"/>
        </w:rPr>
        <w:t xml:space="preserve">- </w:t>
      </w:r>
      <w:r w:rsidR="008C3C5E" w:rsidRPr="007114AF">
        <w:rPr>
          <w:b/>
          <w:spacing w:val="-4"/>
        </w:rPr>
        <w:t>Sigurimet e rriskut</w:t>
      </w:r>
    </w:p>
    <w:p w14:paraId="6EDD13FD" w14:textId="4C684CAD" w:rsidR="008C3C5E" w:rsidRPr="007114AF" w:rsidRDefault="008C3C5E" w:rsidP="008C3C5E">
      <w:pPr>
        <w:pStyle w:val="TEKSTI"/>
        <w:rPr>
          <w:rFonts w:cs="Arial"/>
          <w:spacing w:val="-4"/>
        </w:rPr>
      </w:pPr>
      <w:r w:rsidRPr="007114AF">
        <w:rPr>
          <w:rFonts w:cs="Arial"/>
          <w:spacing w:val="-4"/>
        </w:rPr>
        <w:t>Projekti i</w:t>
      </w:r>
      <w:r w:rsidR="000A2A01" w:rsidRPr="007114AF">
        <w:rPr>
          <w:rFonts w:cs="Arial"/>
          <w:spacing w:val="-4"/>
        </w:rPr>
        <w:t xml:space="preserve"> </w:t>
      </w:r>
      <w:r w:rsidRPr="007114AF">
        <w:rPr>
          <w:rFonts w:cs="Arial"/>
          <w:spacing w:val="-4"/>
        </w:rPr>
        <w:t xml:space="preserve">propozuar i udhëhequr nga Banka Botërore </w:t>
      </w:r>
      <w:r w:rsidR="00D10DAB" w:rsidRPr="007114AF">
        <w:rPr>
          <w:rFonts w:cs="Arial"/>
          <w:color w:val="FF0000"/>
          <w:spacing w:val="-4"/>
        </w:rPr>
        <w:t>‘</w:t>
      </w:r>
      <w:r w:rsidRPr="007114AF">
        <w:rPr>
          <w:rFonts w:cs="Arial"/>
          <w:spacing w:val="-4"/>
        </w:rPr>
        <w:t>Zhvillimi i Bujqësisë me Aftësi Rimëkëmbëse ndaj Ndryshimeve Klimatike dhe Menaxhimi i Përmbytjeve në Ultësirat Perëndimore të Shqipërisë</w:t>
      </w:r>
      <w:r w:rsidR="008D30FC" w:rsidRPr="007114AF">
        <w:rPr>
          <w:rFonts w:cs="Arial"/>
          <w:spacing w:val="-4"/>
        </w:rPr>
        <w:t xml:space="preserve"> </w:t>
      </w:r>
      <w:r w:rsidRPr="007114AF">
        <w:rPr>
          <w:rFonts w:cs="Arial"/>
          <w:spacing w:val="-4"/>
        </w:rPr>
        <w:t xml:space="preserve">(6 </w:t>
      </w:r>
      <w:r w:rsidR="001C47F0" w:rsidRPr="007114AF">
        <w:rPr>
          <w:rFonts w:cs="Arial"/>
          <w:spacing w:val="-4"/>
        </w:rPr>
        <w:t xml:space="preserve">milionë </w:t>
      </w:r>
      <w:r w:rsidRPr="007114AF">
        <w:rPr>
          <w:rFonts w:cs="Arial"/>
          <w:spacing w:val="-4"/>
        </w:rPr>
        <w:t xml:space="preserve">USD) do të projektojë dhe zbatojë zgjidhje të sigurimeve ndaj përmbytjeve të bazuara në komunitet, të cilat do të përshtaten në përputhje me kërkesat e financimit të </w:t>
      </w:r>
      <w:r w:rsidR="000A2A01" w:rsidRPr="007114AF">
        <w:rPr>
          <w:rFonts w:cs="Arial"/>
          <w:spacing w:val="-4"/>
        </w:rPr>
        <w:t>“</w:t>
      </w:r>
      <w:r w:rsidRPr="007114AF">
        <w:rPr>
          <w:rFonts w:cs="Arial"/>
          <w:spacing w:val="-4"/>
        </w:rPr>
        <w:t>Europa e Re</w:t>
      </w:r>
      <w:r w:rsidR="000A2A01" w:rsidRPr="007114AF">
        <w:rPr>
          <w:rFonts w:cs="Arial"/>
          <w:spacing w:val="-4"/>
        </w:rPr>
        <w:t>”</w:t>
      </w:r>
      <w:r w:rsidRPr="007114AF">
        <w:rPr>
          <w:rFonts w:cs="Arial"/>
          <w:spacing w:val="-4"/>
        </w:rPr>
        <w:t>,që do të reflektojë praktikat globale të risigurimit, në mënyrë që rreziqet mund të</w:t>
      </w:r>
      <w:r w:rsidR="000A2A01" w:rsidRPr="007114AF">
        <w:rPr>
          <w:rFonts w:cs="Arial"/>
          <w:spacing w:val="-4"/>
        </w:rPr>
        <w:t xml:space="preserve"> </w:t>
      </w:r>
      <w:r w:rsidRPr="007114AF">
        <w:rPr>
          <w:rFonts w:cs="Arial"/>
          <w:spacing w:val="-4"/>
        </w:rPr>
        <w:t>grupohen/grumbullohen dhe më vonë të risigurohen, për të garantuar mbulim të sigurimeve për bashki, të zonës së synuar që përfaqësojnë pellgje të ndryshme ujëmbledhëse në nivelet e sipërme, të mesme dhe të ulëta të lumit.</w:t>
      </w:r>
      <w:r w:rsidR="000A2A01" w:rsidRPr="007114AF">
        <w:rPr>
          <w:rFonts w:cs="Arial"/>
          <w:spacing w:val="-4"/>
        </w:rPr>
        <w:t xml:space="preserve"> </w:t>
      </w:r>
      <w:r w:rsidRPr="007114AF">
        <w:rPr>
          <w:rFonts w:cs="Arial"/>
          <w:spacing w:val="-4"/>
        </w:rPr>
        <w:t xml:space="preserve">Për të mbështetur zhvillimin e skemës dhe stimulimin e komuniteteve për të marrë pjesë në skemat e sigurimeve ndaj përmbytjeve, një skemë e qëndrueshme e subvencionimit të primeve do të hartohet për grupet e cenueshme nga pikëpamja sociale. </w:t>
      </w:r>
    </w:p>
    <w:p w14:paraId="6EDD13FE" w14:textId="77777777" w:rsidR="008C3C5E" w:rsidRPr="007114AF" w:rsidRDefault="008C3C5E" w:rsidP="008C3C5E">
      <w:pPr>
        <w:pStyle w:val="TEKSTI"/>
        <w:rPr>
          <w:rFonts w:cs="Arial"/>
          <w:spacing w:val="-4"/>
        </w:rPr>
      </w:pPr>
      <w:r w:rsidRPr="007114AF">
        <w:rPr>
          <w:rFonts w:cs="Arial"/>
          <w:spacing w:val="-4"/>
        </w:rPr>
        <w:t>Të gjitha përpjekjet për krijimin e sigurimeve të rrezikut në Shqipëri (p.sh. Projekti i Fondit të Sigurimeve të Rrezikut për Katastrofat në Kaukaz dhe Evropën Juglindore për Evropën dhe Azinë Qendrore ) duhet të monitorohen dhe vlerësohen rregullisht, me qëllim nxjerrjen e mësimeve dhe vlerësimin e aftësisë së tyre.</w:t>
      </w:r>
    </w:p>
    <w:p w14:paraId="6EDD13FF" w14:textId="77777777" w:rsidR="008C3C5E" w:rsidRPr="007114AF" w:rsidRDefault="002D0A53" w:rsidP="009423A8">
      <w:pPr>
        <w:pStyle w:val="TEKSTI"/>
        <w:rPr>
          <w:b/>
          <w:spacing w:val="-4"/>
        </w:rPr>
      </w:pPr>
      <w:r w:rsidRPr="007114AF">
        <w:rPr>
          <w:b/>
          <w:spacing w:val="-4"/>
        </w:rPr>
        <w:t xml:space="preserve">- </w:t>
      </w:r>
      <w:r w:rsidR="008C3C5E" w:rsidRPr="007114AF">
        <w:rPr>
          <w:b/>
          <w:spacing w:val="-4"/>
        </w:rPr>
        <w:t>Instrumente të tjera inovative</w:t>
      </w:r>
    </w:p>
    <w:p w14:paraId="6EDD1400" w14:textId="77777777" w:rsidR="008C3C5E" w:rsidRPr="007114AF" w:rsidRDefault="008C3C5E" w:rsidP="008C3C5E">
      <w:pPr>
        <w:pStyle w:val="TEKSTI"/>
        <w:rPr>
          <w:rFonts w:cs="Arial"/>
          <w:spacing w:val="-4"/>
        </w:rPr>
      </w:pPr>
      <w:r w:rsidRPr="007114AF">
        <w:rPr>
          <w:rFonts w:cs="Arial"/>
          <w:spacing w:val="-4"/>
        </w:rPr>
        <w:t>Financimi i përshtatjes së klimës është një fushë e re dhe instrumente të reja janë duke u përgatitur, testuar dhe përmirësuar në mënyrë progresive. Është e rëndësishme që të ndiqen këto zhvillime dhe të ndërtohet ekspertizë në një njësi ose institucion koordinues, që do të jetë përgjegjës për mobilizimin e burimeve për masën klimatike në Shqipëri.</w:t>
      </w:r>
    </w:p>
    <w:p w14:paraId="6EDD1401" w14:textId="77777777" w:rsidR="008C3C5E" w:rsidRPr="007114AF" w:rsidRDefault="008C3C5E" w:rsidP="008C3C5E">
      <w:pPr>
        <w:pStyle w:val="TEKSTI"/>
        <w:rPr>
          <w:rFonts w:cs="Arial"/>
          <w:spacing w:val="-4"/>
        </w:rPr>
      </w:pPr>
      <w:r w:rsidRPr="007114AF">
        <w:rPr>
          <w:rFonts w:cs="Arial"/>
          <w:spacing w:val="-4"/>
        </w:rPr>
        <w:t xml:space="preserve">Iniciativat përkatëse për gjurmim dhe përfshirje janë si më poshtë: </w:t>
      </w:r>
    </w:p>
    <w:p w14:paraId="6EDD1402" w14:textId="77777777" w:rsidR="008C3C5E" w:rsidRPr="007114AF" w:rsidRDefault="00941E9F" w:rsidP="008C3C5E">
      <w:pPr>
        <w:pStyle w:val="TEKSTI"/>
        <w:rPr>
          <w:rFonts w:cs="Arial"/>
          <w:spacing w:val="-4"/>
        </w:rPr>
      </w:pPr>
      <w:hyperlink r:id="rId54" w:history="1">
        <w:r w:rsidR="008C3C5E" w:rsidRPr="007114AF">
          <w:rPr>
            <w:rStyle w:val="Hyperlink"/>
            <w:rFonts w:cs="Arial"/>
            <w:spacing w:val="-4"/>
          </w:rPr>
          <w:t>http://climate-l.iisd.org/neës/stakeholders-reflect-on-innovative-finance-health-sdgs-climate-progress-data/</w:t>
        </w:r>
      </w:hyperlink>
    </w:p>
    <w:p w14:paraId="6EDD1403" w14:textId="77777777" w:rsidR="008C3C5E" w:rsidRPr="007114AF" w:rsidRDefault="008C3C5E" w:rsidP="008C3C5E">
      <w:pPr>
        <w:pStyle w:val="TEKSTI"/>
        <w:rPr>
          <w:rFonts w:cs="Arial"/>
          <w:spacing w:val="-4"/>
        </w:rPr>
      </w:pPr>
      <w:r w:rsidRPr="007114AF">
        <w:rPr>
          <w:rFonts w:cs="Arial"/>
          <w:spacing w:val="-4"/>
        </w:rPr>
        <w:t xml:space="preserve">http:// </w:t>
      </w:r>
      <w:hyperlink r:id="rId55" w:history="1">
        <w:r w:rsidRPr="007114AF">
          <w:rPr>
            <w:rStyle w:val="Hyperlink"/>
            <w:rFonts w:cs="Arial"/>
            <w:spacing w:val="-4"/>
          </w:rPr>
          <w:t>www.climatefinanceideas.org/</w:t>
        </w:r>
      </w:hyperlink>
    </w:p>
    <w:p w14:paraId="6EDD1404" w14:textId="77777777" w:rsidR="008C3C5E" w:rsidRPr="007114AF" w:rsidRDefault="00941E9F" w:rsidP="002B1083">
      <w:pPr>
        <w:pStyle w:val="TEKSTI"/>
        <w:rPr>
          <w:rFonts w:cs="Arial"/>
          <w:spacing w:val="-4"/>
        </w:rPr>
      </w:pPr>
      <w:hyperlink r:id="rId56" w:history="1">
        <w:r w:rsidR="008C3C5E" w:rsidRPr="007114AF">
          <w:rPr>
            <w:rStyle w:val="Hyperlink"/>
            <w:rFonts w:cs="Arial"/>
            <w:spacing w:val="-4"/>
          </w:rPr>
          <w:t>http://climatefinancelab.org/</w:t>
        </w:r>
      </w:hyperlink>
    </w:p>
    <w:p w14:paraId="6EDD1405" w14:textId="77777777" w:rsidR="008C3C5E" w:rsidRPr="007114AF" w:rsidRDefault="002D0A53" w:rsidP="009423A8">
      <w:pPr>
        <w:pStyle w:val="TEKSTI"/>
        <w:rPr>
          <w:b/>
        </w:rPr>
      </w:pPr>
      <w:r w:rsidRPr="007114AF">
        <w:rPr>
          <w:b/>
        </w:rPr>
        <w:t xml:space="preserve">- </w:t>
      </w:r>
      <w:r w:rsidR="008C3C5E" w:rsidRPr="007114AF">
        <w:rPr>
          <w:b/>
        </w:rPr>
        <w:t>Udhërrëfyesi i fokusuar në hapa dhe afate konkrete</w:t>
      </w:r>
    </w:p>
    <w:p w14:paraId="6EDD140B" w14:textId="2A2EA8C4" w:rsidR="002D0A53" w:rsidRPr="007114AF" w:rsidRDefault="008C3C5E" w:rsidP="00203893">
      <w:pPr>
        <w:pStyle w:val="TEKSTI"/>
        <w:rPr>
          <w:b/>
          <w:bCs/>
          <w:iCs/>
        </w:rPr>
      </w:pPr>
      <w:r w:rsidRPr="007114AF">
        <w:rPr>
          <w:rFonts w:cs="Arial"/>
        </w:rPr>
        <w:t>Tabela 1 përmbledh hapat e planifikuar për vitet</w:t>
      </w:r>
      <w:r w:rsidR="000A2A01" w:rsidRPr="007114AF">
        <w:rPr>
          <w:rFonts w:cs="Arial"/>
        </w:rPr>
        <w:t xml:space="preserve"> </w:t>
      </w:r>
      <w:r w:rsidRPr="007114AF">
        <w:rPr>
          <w:rFonts w:cs="Arial"/>
        </w:rPr>
        <w:t>2017 deri 2023 në bazë të analizës së ndërmarrë si pjesë e procesit të përgatitjes të strategjisë së financimit dhe diskutimeve të zhvilluara të grupit ndërministror të ndryshimeve klimatike (IMWGCC).</w:t>
      </w:r>
    </w:p>
    <w:p w14:paraId="6EDD140C" w14:textId="77777777" w:rsidR="002D0A53" w:rsidRPr="007114AF" w:rsidRDefault="002D0A53" w:rsidP="00BC1DB5">
      <w:pPr>
        <w:spacing w:after="200"/>
        <w:rPr>
          <w:rFonts w:ascii="Garamond" w:hAnsi="Garamond"/>
          <w:b/>
          <w:bCs/>
          <w:iCs/>
        </w:rPr>
      </w:pPr>
    </w:p>
    <w:p w14:paraId="6EDD140D" w14:textId="77777777" w:rsidR="002D0A53" w:rsidRPr="007114AF" w:rsidRDefault="002D0A53" w:rsidP="00BC1DB5">
      <w:pPr>
        <w:spacing w:after="200"/>
        <w:rPr>
          <w:rFonts w:ascii="Garamond" w:hAnsi="Garamond"/>
          <w:b/>
          <w:bCs/>
          <w:iCs/>
        </w:rPr>
        <w:sectPr w:rsidR="002D0A53" w:rsidRPr="007114AF" w:rsidSect="00A45C8C">
          <w:pgSz w:w="11907" w:h="16840" w:code="9"/>
          <w:pgMar w:top="1418" w:right="1418" w:bottom="1418" w:left="1418" w:header="1304" w:footer="1134" w:gutter="0"/>
          <w:cols w:space="708"/>
          <w:noEndnote/>
          <w:docGrid w:linePitch="326"/>
        </w:sectPr>
      </w:pPr>
    </w:p>
    <w:p w14:paraId="6EDD140E" w14:textId="77777777" w:rsidR="009423A8" w:rsidRPr="007114AF" w:rsidRDefault="00E507DE" w:rsidP="00BC1DB5">
      <w:pPr>
        <w:spacing w:after="200"/>
        <w:rPr>
          <w:rFonts w:ascii="Garamond" w:hAnsi="Garamond"/>
          <w:b/>
          <w:bCs/>
          <w:iCs/>
        </w:rPr>
      </w:pPr>
      <w:r w:rsidRPr="007114AF">
        <w:rPr>
          <w:rFonts w:ascii="Garamond" w:hAnsi="Garamond"/>
          <w:noProof/>
          <w:lang w:val="en-US" w:eastAsia="en-US"/>
        </w:rPr>
        <w:drawing>
          <wp:inline distT="0" distB="0" distL="0" distR="0" wp14:anchorId="6EDD17D8" wp14:editId="6EDD17D9">
            <wp:extent cx="8892540" cy="5153738"/>
            <wp:effectExtent l="0" t="0" r="3810" b="889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892540" cy="5153738"/>
                    </a:xfrm>
                    <a:prstGeom prst="rect">
                      <a:avLst/>
                    </a:prstGeom>
                    <a:noFill/>
                    <a:ln>
                      <a:noFill/>
                    </a:ln>
                  </pic:spPr>
                </pic:pic>
              </a:graphicData>
            </a:graphic>
          </wp:inline>
        </w:drawing>
      </w:r>
    </w:p>
    <w:p w14:paraId="6EDD140F" w14:textId="77777777" w:rsidR="00E507DE" w:rsidRPr="007114AF" w:rsidRDefault="00E507DE" w:rsidP="00BC1DB5">
      <w:pPr>
        <w:spacing w:after="200"/>
        <w:rPr>
          <w:rFonts w:ascii="Garamond" w:hAnsi="Garamond"/>
          <w:b/>
          <w:bCs/>
          <w:iCs/>
        </w:rPr>
      </w:pPr>
    </w:p>
    <w:p w14:paraId="6EDD1410" w14:textId="77777777" w:rsidR="00E507DE" w:rsidRPr="007114AF" w:rsidRDefault="00E507DE" w:rsidP="00BC1DB5">
      <w:pPr>
        <w:spacing w:after="200"/>
        <w:rPr>
          <w:rFonts w:ascii="Garamond" w:hAnsi="Garamond"/>
          <w:b/>
          <w:bCs/>
          <w:iCs/>
        </w:rPr>
        <w:sectPr w:rsidR="00E507DE" w:rsidRPr="007114AF" w:rsidSect="002D0A53">
          <w:pgSz w:w="16840" w:h="11907" w:orient="landscape" w:code="9"/>
          <w:pgMar w:top="1418" w:right="1418" w:bottom="1418" w:left="1418" w:header="1304" w:footer="1134" w:gutter="0"/>
          <w:cols w:space="708"/>
          <w:noEndnote/>
          <w:docGrid w:linePitch="326"/>
        </w:sectPr>
      </w:pPr>
    </w:p>
    <w:p w14:paraId="6EDD1411" w14:textId="77777777" w:rsidR="00E507DE" w:rsidRPr="007114AF" w:rsidRDefault="00E507DE" w:rsidP="00E507DE">
      <w:pPr>
        <w:pStyle w:val="TEKSTI"/>
        <w:rPr>
          <w:b/>
        </w:rPr>
      </w:pPr>
      <w:bookmarkStart w:id="246" w:name="_Toc469479187"/>
      <w:bookmarkStart w:id="247" w:name="_Toc479083926"/>
      <w:r w:rsidRPr="007114AF">
        <w:rPr>
          <w:b/>
        </w:rPr>
        <w:t xml:space="preserve">Lista e referencave </w:t>
      </w:r>
      <w:bookmarkEnd w:id="246"/>
      <w:bookmarkEnd w:id="247"/>
    </w:p>
    <w:p w14:paraId="6EDD1412" w14:textId="77777777" w:rsidR="00E507DE" w:rsidRPr="007114AF" w:rsidRDefault="00E507DE" w:rsidP="00E507DE">
      <w:pPr>
        <w:pStyle w:val="TEKSTI"/>
      </w:pPr>
      <w:r w:rsidRPr="007114AF">
        <w:t>CDKN dhe Dalberg (2015): Vlerësimi i strategjive për mobilizimin e burimeve dhe qëndrueshmërinë e fondeve kombëtare të ndryshimeve klimatike.</w:t>
      </w:r>
    </w:p>
    <w:p w14:paraId="6EDD1413" w14:textId="77777777" w:rsidR="00E507DE" w:rsidRPr="007114AF" w:rsidRDefault="00E507DE" w:rsidP="00E507DE">
      <w:pPr>
        <w:pStyle w:val="TEKSTI"/>
      </w:pPr>
      <w:r w:rsidRPr="007114AF">
        <w:t xml:space="preserve">E3G (2014): </w:t>
      </w:r>
      <w:hyperlink r:id="rId58" w:history="1">
        <w:r w:rsidRPr="007114AF">
          <w:rPr>
            <w:rStyle w:val="Hyperlink"/>
          </w:rPr>
          <w:t>Qasjet strategjike kombëtare ndaj financimit të klimës</w:t>
        </w:r>
      </w:hyperlink>
      <w:r w:rsidRPr="007114AF">
        <w:t xml:space="preserve"> – Raport për punën e vlerësimit në Peru, Kili dhe Kolumbi për rrugët dhe strategjitë kombëtare të financimit të klimës.</w:t>
      </w:r>
    </w:p>
    <w:p w14:paraId="6EDD1414" w14:textId="77777777" w:rsidR="00E507DE" w:rsidRPr="007114AF" w:rsidRDefault="00E507DE" w:rsidP="00E507DE">
      <w:pPr>
        <w:pStyle w:val="TEKSTI"/>
      </w:pPr>
      <w:r w:rsidRPr="007114AF">
        <w:t>OECD (2014): Manual për Shenjuesit e Klimës të OECD-DAC.</w:t>
      </w:r>
    </w:p>
    <w:p w14:paraId="6EDD1415" w14:textId="50A1F4C0" w:rsidR="00E507DE" w:rsidRPr="007114AF" w:rsidRDefault="00E507DE" w:rsidP="00E507DE">
      <w:pPr>
        <w:pStyle w:val="TEKSTI"/>
      </w:pPr>
      <w:r w:rsidRPr="007114AF">
        <w:t>GIZ dhe WRI (2011): Rëndësia e Përshtatjes – Koncepte dhe Opsione për Monitorimin dhe Vlerësimin e Përshtatjes së Ndryshimit të Klimës</w:t>
      </w:r>
      <w:r w:rsidR="00191838" w:rsidRPr="007114AF">
        <w:t>.</w:t>
      </w:r>
      <w:r w:rsidRPr="007114AF">
        <w:t xml:space="preserve"> </w:t>
      </w:r>
    </w:p>
    <w:p w14:paraId="6EDD1416" w14:textId="14DA8875" w:rsidR="00E507DE" w:rsidRPr="007114AF" w:rsidRDefault="00E507DE" w:rsidP="00E507DE">
      <w:pPr>
        <w:pStyle w:val="TEKSTI"/>
      </w:pPr>
      <w:r w:rsidRPr="007114AF">
        <w:t>Qeveria e Shqipërisë: Ligji</w:t>
      </w:r>
      <w:r w:rsidR="00242009" w:rsidRPr="007114AF">
        <w:t xml:space="preserve"> nr. </w:t>
      </w:r>
      <w:r w:rsidRPr="007114AF">
        <w:t xml:space="preserve">90/2012 për </w:t>
      </w:r>
      <w:r w:rsidR="000A2A01" w:rsidRPr="007114AF">
        <w:t>“</w:t>
      </w:r>
      <w:r w:rsidRPr="007114AF">
        <w:t>Organizimin dhe Funksionimin e Administratës Shtetërore</w:t>
      </w:r>
      <w:r w:rsidR="000A2A01" w:rsidRPr="007114AF">
        <w:t>”</w:t>
      </w:r>
    </w:p>
    <w:p w14:paraId="6EDD1417" w14:textId="1FECA5DC" w:rsidR="00E507DE" w:rsidRPr="007114AF" w:rsidRDefault="00E507DE" w:rsidP="00E507DE">
      <w:pPr>
        <w:pStyle w:val="TEKSTI"/>
      </w:pPr>
      <w:r w:rsidRPr="007114AF">
        <w:t>Qeveria e Shqipërisë: Ligji për Menaxhimin dhe Kontrollin Financiar</w:t>
      </w:r>
      <w:r w:rsidR="00242009" w:rsidRPr="007114AF">
        <w:t xml:space="preserve"> nr. </w:t>
      </w:r>
      <w:r w:rsidRPr="007114AF">
        <w:t xml:space="preserve">10296/2010 (i rishikuar në vitin 2015) </w:t>
      </w:r>
    </w:p>
    <w:p w14:paraId="6EDD1418" w14:textId="23A28781" w:rsidR="00E507DE" w:rsidRPr="007114AF" w:rsidRDefault="00E507DE" w:rsidP="00E507DE">
      <w:pPr>
        <w:pStyle w:val="TEKSTI"/>
      </w:pPr>
      <w:r w:rsidRPr="007114AF">
        <w:t>Qeveria e Shqipërisë: Ligji për Menaxhimin e Sistemit Buxhetor në Shqipëri</w:t>
      </w:r>
      <w:r w:rsidR="00242009" w:rsidRPr="007114AF">
        <w:t xml:space="preserve"> nr. </w:t>
      </w:r>
      <w:r w:rsidRPr="007114AF">
        <w:t xml:space="preserve">9936/2008 (i rishikuar në vitin 2016) </w:t>
      </w:r>
    </w:p>
    <w:p w14:paraId="6EDD1419" w14:textId="6BD71860" w:rsidR="00E507DE" w:rsidRPr="007114AF" w:rsidRDefault="00E507DE" w:rsidP="00E507DE">
      <w:pPr>
        <w:pStyle w:val="TEKSTI"/>
      </w:pPr>
      <w:r w:rsidRPr="007114AF">
        <w:rPr>
          <w:bCs/>
          <w:iCs/>
        </w:rPr>
        <w:t xml:space="preserve">Qeveria e Shqipërisë: </w:t>
      </w:r>
      <w:r w:rsidRPr="007114AF">
        <w:t>Urdhri i Kryeministrit</w:t>
      </w:r>
      <w:r w:rsidR="00242009" w:rsidRPr="007114AF">
        <w:t xml:space="preserve"> nr. </w:t>
      </w:r>
      <w:r w:rsidRPr="007114AF">
        <w:t xml:space="preserve">155, datë 25.04.2014 </w:t>
      </w:r>
      <w:r w:rsidR="000A2A01" w:rsidRPr="007114AF">
        <w:t>“</w:t>
      </w:r>
      <w:r w:rsidRPr="007114AF">
        <w:t>Krijimi dhe funksionimi i grupit ndërministror të punës për ndryshimin e klimës</w:t>
      </w:r>
      <w:r w:rsidR="000A2A01" w:rsidRPr="007114AF">
        <w:t>”</w:t>
      </w:r>
    </w:p>
    <w:p w14:paraId="6EDD141A" w14:textId="609D1612" w:rsidR="00E507DE" w:rsidRPr="007114AF" w:rsidRDefault="00E507DE" w:rsidP="00E507DE">
      <w:pPr>
        <w:pStyle w:val="TEKSTI"/>
      </w:pPr>
      <w:r w:rsidRPr="007114AF">
        <w:t>Qeveria e Shqipërisë: Procedura standarde për përgatitjen e</w:t>
      </w:r>
      <w:r w:rsidR="000A2A01" w:rsidRPr="007114AF">
        <w:t xml:space="preserve"> </w:t>
      </w:r>
      <w:r w:rsidRPr="007114AF">
        <w:t>PBAM (MTBP)</w:t>
      </w:r>
      <w:r w:rsidR="00242009" w:rsidRPr="007114AF">
        <w:t xml:space="preserve"> nr. </w:t>
      </w:r>
      <w:r w:rsidRPr="007114AF">
        <w:t>8/2012, të lëshuar nga Ministri i Financave.</w:t>
      </w:r>
    </w:p>
    <w:p w14:paraId="6EDD141B" w14:textId="7D87D81F" w:rsidR="00E507DE" w:rsidRPr="007114AF" w:rsidRDefault="00E507DE" w:rsidP="00E507DE">
      <w:pPr>
        <w:pStyle w:val="TEKSTI"/>
      </w:pPr>
      <w:r w:rsidRPr="007114AF">
        <w:rPr>
          <w:bCs/>
          <w:iCs/>
        </w:rPr>
        <w:t>Qeveria e Shqipërisë:</w:t>
      </w:r>
      <w:r w:rsidRPr="007114AF">
        <w:t xml:space="preserve"> Vendimi i Këshillit të Ministrave</w:t>
      </w:r>
      <w:r w:rsidR="00242009" w:rsidRPr="007114AF">
        <w:t xml:space="preserve"> nr. </w:t>
      </w:r>
      <w:r w:rsidRPr="007114AF">
        <w:t xml:space="preserve">129/2015 </w:t>
      </w:r>
      <w:r w:rsidR="000A2A01" w:rsidRPr="007114AF">
        <w:t>“</w:t>
      </w:r>
      <w:r w:rsidRPr="007114AF">
        <w:t>Për marrjen e masave operacionale dhe institucionale për zbatimin e qasjes sektoriale dhe krijimin e grupeve të menaxhimit të integruar të politikave</w:t>
      </w:r>
      <w:r w:rsidR="000A2A01" w:rsidRPr="007114AF">
        <w:t>”</w:t>
      </w:r>
    </w:p>
    <w:p w14:paraId="6EDD141C" w14:textId="2ECAA57D" w:rsidR="00E507DE" w:rsidRPr="007114AF" w:rsidRDefault="00E507DE" w:rsidP="00E507DE">
      <w:pPr>
        <w:pStyle w:val="TEKSTI"/>
      </w:pPr>
      <w:r w:rsidRPr="007114AF">
        <w:t xml:space="preserve">OKB, Asambleja e Përgjithshme 2008 – Pikëpamje paraprake të Bashkimit Evropian mbi </w:t>
      </w:r>
      <w:r w:rsidR="000A2A01" w:rsidRPr="007114AF">
        <w:t>“</w:t>
      </w:r>
      <w:r w:rsidRPr="007114AF">
        <w:t>Mobilizimin e burimeve të brendshme të financimit për zhvillim</w:t>
      </w:r>
      <w:r w:rsidR="000A2A01" w:rsidRPr="007114AF">
        <w:t>”</w:t>
      </w:r>
    </w:p>
    <w:p w14:paraId="6EDD141D" w14:textId="77777777" w:rsidR="00E507DE" w:rsidRPr="007114AF" w:rsidRDefault="00E507DE" w:rsidP="00E507DE">
      <w:pPr>
        <w:pStyle w:val="TEKSTI"/>
        <w:rPr>
          <w:rFonts w:cs="Calibri"/>
        </w:rPr>
      </w:pPr>
      <w:r w:rsidRPr="007114AF">
        <w:rPr>
          <w:rFonts w:cs="Calibri"/>
        </w:rPr>
        <w:t xml:space="preserve">PNUD (UNDP)- SHMG (GEF) (2015): </w:t>
      </w:r>
      <w:hyperlink r:id="rId59" w:history="1">
        <w:r w:rsidRPr="007114AF">
          <w:rPr>
            <w:rStyle w:val="Hyperlink"/>
            <w:rFonts w:cs="Calibri"/>
          </w:rPr>
          <w:t>Integrimi i Ndryshimit të Klimës në Planifikim</w:t>
        </w:r>
      </w:hyperlink>
      <w:r w:rsidRPr="007114AF">
        <w:rPr>
          <w:rFonts w:cs="Calibri"/>
        </w:rPr>
        <w:t>.</w:t>
      </w:r>
    </w:p>
    <w:p w14:paraId="6EDD141E" w14:textId="77777777" w:rsidR="00E507DE" w:rsidRPr="007114AF" w:rsidRDefault="00E507DE" w:rsidP="00E507DE">
      <w:pPr>
        <w:pStyle w:val="TEKSTI"/>
      </w:pPr>
      <w:r w:rsidRPr="007114AF">
        <w:t>UNEP (2011): Mundësi për Integrimin e Planit për përshtatje ndaj ndryshimeve klimatike (CCA) &amp; DRR në Planifikimin e Zhvillimit dhe Vendimmarrje.</w:t>
      </w:r>
    </w:p>
    <w:p w14:paraId="6EDD141F" w14:textId="77777777" w:rsidR="00E507DE" w:rsidRPr="007114AF" w:rsidRDefault="00E507DE" w:rsidP="00E507DE">
      <w:pPr>
        <w:pStyle w:val="TEKSTI"/>
      </w:pPr>
      <w:r w:rsidRPr="007114AF">
        <w:t>USAID (2016): Moduli 2 – Financimi i Përshtatjes së Ndryshimeve klimatike. Fondi i USAID-it për Përgatitjen e Projektit të Përshtatjes për Ndryshimet klimatike për Azinë dhe Paqësorin.</w:t>
      </w:r>
    </w:p>
    <w:p w14:paraId="6EDD1420" w14:textId="77777777" w:rsidR="00EF480D" w:rsidRPr="007114AF" w:rsidRDefault="00EF480D" w:rsidP="009D1AC8">
      <w:pPr>
        <w:rPr>
          <w:rFonts w:ascii="Garamond" w:hAnsi="Garamond"/>
        </w:rPr>
      </w:pPr>
    </w:p>
    <w:p w14:paraId="6EDD1421" w14:textId="77777777" w:rsidR="00E507DE" w:rsidRPr="007114AF" w:rsidRDefault="00E507DE" w:rsidP="009D1AC8">
      <w:pPr>
        <w:rPr>
          <w:rFonts w:ascii="Garamond" w:hAnsi="Garamond"/>
        </w:rPr>
      </w:pPr>
    </w:p>
    <w:p w14:paraId="6EDD1422" w14:textId="77777777" w:rsidR="00E507DE" w:rsidRPr="007114AF" w:rsidRDefault="00E507DE" w:rsidP="009D1AC8">
      <w:pPr>
        <w:rPr>
          <w:rFonts w:ascii="Garamond" w:hAnsi="Garamond"/>
        </w:rPr>
      </w:pPr>
    </w:p>
    <w:p w14:paraId="6EDD1423" w14:textId="77777777" w:rsidR="00D82F76" w:rsidRPr="007114AF" w:rsidRDefault="00D82F76" w:rsidP="009D1AC8">
      <w:pPr>
        <w:rPr>
          <w:rFonts w:ascii="Garamond" w:hAnsi="Garamond"/>
        </w:rPr>
      </w:pPr>
    </w:p>
    <w:p w14:paraId="6EDD1424" w14:textId="77777777" w:rsidR="00D82F76" w:rsidRPr="007114AF" w:rsidRDefault="00D82F76" w:rsidP="009D1AC8">
      <w:pPr>
        <w:rPr>
          <w:rFonts w:ascii="Garamond" w:hAnsi="Garamond"/>
        </w:rPr>
      </w:pPr>
    </w:p>
    <w:p w14:paraId="6EDD1425" w14:textId="77777777" w:rsidR="00D82F76" w:rsidRDefault="00D82F76" w:rsidP="009D1AC8">
      <w:pPr>
        <w:rPr>
          <w:rFonts w:ascii="Garamond" w:hAnsi="Garamond"/>
        </w:rPr>
      </w:pPr>
    </w:p>
    <w:p w14:paraId="72079A75" w14:textId="77777777" w:rsidR="00881E70" w:rsidRPr="007114AF" w:rsidRDefault="00881E70" w:rsidP="009D1AC8">
      <w:pPr>
        <w:rPr>
          <w:rFonts w:ascii="Garamond" w:hAnsi="Garamond"/>
        </w:rPr>
      </w:pPr>
    </w:p>
    <w:p w14:paraId="6EDD1426" w14:textId="77777777" w:rsidR="00E45764" w:rsidRPr="007114AF" w:rsidRDefault="00E45764" w:rsidP="00975179">
      <w:pPr>
        <w:pStyle w:val="TEKSTI"/>
        <w:rPr>
          <w:b/>
        </w:rPr>
      </w:pPr>
      <w:r w:rsidRPr="007114AF">
        <w:rPr>
          <w:b/>
        </w:rPr>
        <w:sym w:font="Wingdings 2" w:char="F041"/>
      </w:r>
      <w:r w:rsidRPr="007114AF">
        <w:rPr>
          <w:b/>
        </w:rPr>
        <w:t>Statusi aktual i Masave Prioritare të NAP-it (për 8 vjet)</w:t>
      </w:r>
    </w:p>
    <w:tbl>
      <w:tblPr>
        <w:tblpPr w:leftFromText="180" w:rightFromText="180" w:vertAnchor="page" w:horzAnchor="margin" w:tblpX="-75" w:tblpY="1955"/>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417"/>
        <w:gridCol w:w="1413"/>
        <w:gridCol w:w="5103"/>
        <w:gridCol w:w="3402"/>
      </w:tblGrid>
      <w:tr w:rsidR="00975179" w:rsidRPr="007114AF" w14:paraId="6EDD142C" w14:textId="77777777" w:rsidTr="00975179">
        <w:trPr>
          <w:trHeight w:val="136"/>
        </w:trPr>
        <w:tc>
          <w:tcPr>
            <w:tcW w:w="3251" w:type="dxa"/>
            <w:shd w:val="clear" w:color="auto" w:fill="B6DDE8" w:themeFill="accent5" w:themeFillTint="66"/>
            <w:vAlign w:val="center"/>
          </w:tcPr>
          <w:p w14:paraId="6EDD1427" w14:textId="77777777" w:rsidR="00975179" w:rsidRPr="007114AF" w:rsidRDefault="00975179" w:rsidP="009160D5">
            <w:pPr>
              <w:rPr>
                <w:rFonts w:ascii="Garamond" w:hAnsi="Garamond" w:cs="Calibri"/>
                <w:b/>
                <w:sz w:val="14"/>
                <w:szCs w:val="14"/>
              </w:rPr>
            </w:pPr>
            <w:r w:rsidRPr="007114AF">
              <w:rPr>
                <w:rFonts w:ascii="Garamond" w:hAnsi="Garamond" w:cs="Calibri"/>
                <w:b/>
                <w:sz w:val="14"/>
                <w:szCs w:val="14"/>
              </w:rPr>
              <w:t>Masat gjithëpërfshirëse / kuadri i zbatimit</w:t>
            </w:r>
          </w:p>
        </w:tc>
        <w:tc>
          <w:tcPr>
            <w:tcW w:w="1417" w:type="dxa"/>
            <w:shd w:val="clear" w:color="auto" w:fill="B6DDE8" w:themeFill="accent5" w:themeFillTint="66"/>
            <w:vAlign w:val="center"/>
          </w:tcPr>
          <w:p w14:paraId="6EDD1428" w14:textId="77777777" w:rsidR="00975179" w:rsidRPr="007114AF" w:rsidRDefault="00975179" w:rsidP="009160D5">
            <w:pPr>
              <w:rPr>
                <w:rFonts w:ascii="Garamond" w:hAnsi="Garamond" w:cs="Calibri"/>
                <w:b/>
                <w:sz w:val="14"/>
                <w:szCs w:val="14"/>
              </w:rPr>
            </w:pPr>
            <w:r w:rsidRPr="007114AF">
              <w:rPr>
                <w:rFonts w:ascii="Garamond" w:hAnsi="Garamond" w:cs="Calibri"/>
                <w:b/>
                <w:sz w:val="14"/>
                <w:szCs w:val="14"/>
              </w:rPr>
              <w:t>Kostoja totale</w:t>
            </w:r>
          </w:p>
        </w:tc>
        <w:tc>
          <w:tcPr>
            <w:tcW w:w="1413" w:type="dxa"/>
            <w:shd w:val="clear" w:color="auto" w:fill="B6DDE8" w:themeFill="accent5" w:themeFillTint="66"/>
            <w:vAlign w:val="center"/>
          </w:tcPr>
          <w:p w14:paraId="6EDD1429" w14:textId="77777777" w:rsidR="00975179" w:rsidRPr="007114AF" w:rsidRDefault="00975179" w:rsidP="009160D5">
            <w:pPr>
              <w:rPr>
                <w:rFonts w:ascii="Garamond" w:hAnsi="Garamond" w:cs="Calibri"/>
                <w:b/>
                <w:sz w:val="14"/>
                <w:szCs w:val="14"/>
              </w:rPr>
            </w:pPr>
            <w:r w:rsidRPr="007114AF">
              <w:rPr>
                <w:rFonts w:ascii="Garamond" w:hAnsi="Garamond" w:cs="Calibri"/>
                <w:b/>
                <w:sz w:val="14"/>
                <w:szCs w:val="14"/>
              </w:rPr>
              <w:t>Buxheti kombëtar</w:t>
            </w:r>
          </w:p>
        </w:tc>
        <w:tc>
          <w:tcPr>
            <w:tcW w:w="5103" w:type="dxa"/>
            <w:shd w:val="clear" w:color="auto" w:fill="B6DDE8" w:themeFill="accent5" w:themeFillTint="66"/>
            <w:vAlign w:val="center"/>
          </w:tcPr>
          <w:p w14:paraId="6EDD142A" w14:textId="77777777" w:rsidR="00975179" w:rsidRPr="007114AF" w:rsidRDefault="00975179" w:rsidP="009160D5">
            <w:pPr>
              <w:rPr>
                <w:rFonts w:ascii="Garamond" w:hAnsi="Garamond" w:cs="Calibri"/>
                <w:b/>
                <w:sz w:val="14"/>
                <w:szCs w:val="14"/>
              </w:rPr>
            </w:pPr>
            <w:r w:rsidRPr="007114AF">
              <w:rPr>
                <w:rFonts w:ascii="Garamond" w:hAnsi="Garamond" w:cs="Calibri"/>
                <w:b/>
                <w:sz w:val="14"/>
                <w:szCs w:val="14"/>
              </w:rPr>
              <w:t xml:space="preserve">Financuesit/investuesit e mundshëm të jashtëm </w:t>
            </w:r>
          </w:p>
        </w:tc>
        <w:tc>
          <w:tcPr>
            <w:tcW w:w="3402" w:type="dxa"/>
            <w:shd w:val="clear" w:color="auto" w:fill="B6DDE8" w:themeFill="accent5" w:themeFillTint="66"/>
            <w:vAlign w:val="center"/>
          </w:tcPr>
          <w:p w14:paraId="6EDD142B" w14:textId="77777777" w:rsidR="00975179" w:rsidRPr="007114AF" w:rsidRDefault="00975179" w:rsidP="009160D5">
            <w:pPr>
              <w:rPr>
                <w:rFonts w:ascii="Garamond" w:hAnsi="Garamond" w:cs="Calibri"/>
                <w:b/>
                <w:sz w:val="14"/>
                <w:szCs w:val="14"/>
              </w:rPr>
            </w:pPr>
            <w:r w:rsidRPr="007114AF">
              <w:rPr>
                <w:rFonts w:ascii="Garamond" w:hAnsi="Garamond" w:cs="Calibri"/>
                <w:b/>
                <w:sz w:val="14"/>
                <w:szCs w:val="14"/>
              </w:rPr>
              <w:t>Hapi i ardhshëm</w:t>
            </w:r>
          </w:p>
        </w:tc>
      </w:tr>
      <w:tr w:rsidR="00975179" w:rsidRPr="007114AF" w14:paraId="6EDD1433" w14:textId="77777777" w:rsidTr="00975179">
        <w:trPr>
          <w:trHeight w:val="510"/>
        </w:trPr>
        <w:tc>
          <w:tcPr>
            <w:tcW w:w="3251" w:type="dxa"/>
            <w:shd w:val="clear" w:color="auto" w:fill="auto"/>
          </w:tcPr>
          <w:p w14:paraId="6EDD142D" w14:textId="5B3F88C1"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 xml:space="preserve">1: Drejtimi i procesit të përshtatjes në Shqipëri </w:t>
            </w:r>
          </w:p>
        </w:tc>
        <w:tc>
          <w:tcPr>
            <w:tcW w:w="1417" w:type="dxa"/>
            <w:shd w:val="clear" w:color="auto" w:fill="auto"/>
            <w:vAlign w:val="center"/>
          </w:tcPr>
          <w:p w14:paraId="6EDD142E" w14:textId="6BDA4905"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591.6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1413" w:type="dxa"/>
            <w:shd w:val="clear" w:color="auto" w:fill="auto"/>
            <w:vAlign w:val="center"/>
          </w:tcPr>
          <w:p w14:paraId="6EDD142F" w14:textId="45E8ED2B"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2.7 </w:t>
            </w:r>
            <w:r w:rsidR="001C47F0" w:rsidRPr="007114AF">
              <w:rPr>
                <w:rFonts w:ascii="Garamond" w:hAnsi="Garamond" w:cs="Calibri"/>
                <w:sz w:val="14"/>
                <w:szCs w:val="14"/>
              </w:rPr>
              <w:t xml:space="preserve">milionë </w:t>
            </w:r>
            <w:r w:rsidRPr="007114AF">
              <w:rPr>
                <w:rFonts w:ascii="Garamond" w:hAnsi="Garamond" w:cs="Calibri"/>
                <w:sz w:val="14"/>
                <w:szCs w:val="14"/>
              </w:rPr>
              <w:t>LEKË/ vit</w:t>
            </w:r>
          </w:p>
        </w:tc>
        <w:tc>
          <w:tcPr>
            <w:tcW w:w="5103" w:type="dxa"/>
            <w:shd w:val="clear" w:color="auto" w:fill="auto"/>
          </w:tcPr>
          <w:p w14:paraId="6EDD1430" w14:textId="77777777" w:rsidR="00975179" w:rsidRPr="007114AF" w:rsidRDefault="00975179" w:rsidP="009160D5">
            <w:pPr>
              <w:ind w:left="612" w:hanging="612"/>
              <w:rPr>
                <w:rFonts w:ascii="Garamond" w:hAnsi="Garamond" w:cs="Calibri"/>
                <w:sz w:val="14"/>
                <w:szCs w:val="14"/>
              </w:rPr>
            </w:pPr>
            <w:r w:rsidRPr="007114AF">
              <w:rPr>
                <w:rFonts w:ascii="Garamond" w:hAnsi="Garamond" w:cs="Calibri"/>
                <w:sz w:val="14"/>
                <w:szCs w:val="14"/>
              </w:rPr>
              <w:t>- afatshkurtër: BE IPA II, aplikimi i dërguar (270 mil. LEK)</w:t>
            </w:r>
          </w:p>
          <w:p w14:paraId="6EDD1431" w14:textId="53788C5E" w:rsidR="00975179" w:rsidRPr="007114AF" w:rsidRDefault="00975179" w:rsidP="009160D5">
            <w:pPr>
              <w:ind w:left="612" w:hanging="612"/>
              <w:rPr>
                <w:rFonts w:ascii="Garamond" w:hAnsi="Garamond" w:cs="Calibri"/>
                <w:sz w:val="14"/>
                <w:szCs w:val="14"/>
              </w:rPr>
            </w:pPr>
            <w:r w:rsidRPr="007114AF">
              <w:rPr>
                <w:rFonts w:ascii="Garamond" w:hAnsi="Garamond" w:cs="Calibri"/>
                <w:sz w:val="14"/>
                <w:szCs w:val="14"/>
              </w:rPr>
              <w:t>- afatshkurtër: pjesërisht të mbuluar nga mbështetja</w:t>
            </w:r>
            <w:r w:rsidR="000A2A01" w:rsidRPr="007114AF">
              <w:rPr>
                <w:rFonts w:ascii="Garamond" w:hAnsi="Garamond" w:cs="Calibri"/>
                <w:sz w:val="14"/>
                <w:szCs w:val="14"/>
              </w:rPr>
              <w:t xml:space="preserve"> </w:t>
            </w:r>
            <w:r w:rsidRPr="007114AF">
              <w:rPr>
                <w:rFonts w:ascii="Garamond" w:hAnsi="Garamond" w:cs="Calibri"/>
                <w:sz w:val="14"/>
                <w:szCs w:val="14"/>
              </w:rPr>
              <w:t>e gatishmërisë së FGJK (GCF)</w:t>
            </w:r>
          </w:p>
        </w:tc>
        <w:tc>
          <w:tcPr>
            <w:tcW w:w="3402" w:type="dxa"/>
            <w:shd w:val="clear" w:color="auto" w:fill="auto"/>
          </w:tcPr>
          <w:p w14:paraId="6EDD1432" w14:textId="77777777" w:rsidR="00975179" w:rsidRPr="007114AF" w:rsidRDefault="00975179" w:rsidP="009160D5">
            <w:pPr>
              <w:ind w:left="612" w:hanging="612"/>
              <w:rPr>
                <w:rFonts w:ascii="Garamond" w:hAnsi="Garamond" w:cs="Calibri"/>
                <w:sz w:val="14"/>
                <w:szCs w:val="14"/>
              </w:rPr>
            </w:pPr>
            <w:r w:rsidRPr="007114AF">
              <w:rPr>
                <w:rFonts w:ascii="Garamond" w:hAnsi="Garamond" w:cs="Calibri"/>
                <w:sz w:val="14"/>
                <w:szCs w:val="14"/>
              </w:rPr>
              <w:t xml:space="preserve">Shihni gjithashtu udhërrëfyesin në kapitullin 4 </w:t>
            </w:r>
          </w:p>
        </w:tc>
      </w:tr>
      <w:tr w:rsidR="00975179" w:rsidRPr="007114AF" w14:paraId="6EDD143A" w14:textId="77777777" w:rsidTr="00975179">
        <w:trPr>
          <w:trHeight w:val="448"/>
        </w:trPr>
        <w:tc>
          <w:tcPr>
            <w:tcW w:w="3251" w:type="dxa"/>
            <w:shd w:val="clear" w:color="auto" w:fill="auto"/>
          </w:tcPr>
          <w:p w14:paraId="6EDD1434" w14:textId="3366BE79"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2:</w:t>
            </w:r>
            <w:r w:rsidR="000A2A01" w:rsidRPr="007114AF">
              <w:rPr>
                <w:rFonts w:ascii="Garamond" w:hAnsi="Garamond" w:cs="Calibri"/>
                <w:sz w:val="14"/>
                <w:szCs w:val="14"/>
              </w:rPr>
              <w:t xml:space="preserve"> </w:t>
            </w:r>
            <w:r w:rsidR="00975179" w:rsidRPr="007114AF">
              <w:rPr>
                <w:rFonts w:ascii="Garamond" w:hAnsi="Garamond" w:cs="Calibri"/>
                <w:sz w:val="14"/>
                <w:szCs w:val="14"/>
              </w:rPr>
              <w:t>Nisma integruese gjithëpërfshirëse</w:t>
            </w:r>
          </w:p>
        </w:tc>
        <w:tc>
          <w:tcPr>
            <w:tcW w:w="1417" w:type="dxa"/>
            <w:shd w:val="clear" w:color="auto" w:fill="auto"/>
            <w:vAlign w:val="center"/>
          </w:tcPr>
          <w:p w14:paraId="6EDD1435" w14:textId="7BFE35F5"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32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1413" w:type="dxa"/>
            <w:shd w:val="clear" w:color="auto" w:fill="auto"/>
            <w:vAlign w:val="center"/>
          </w:tcPr>
          <w:p w14:paraId="6EDD1436" w14:textId="7100EFAC"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4 </w:t>
            </w:r>
            <w:r w:rsidR="001C47F0" w:rsidRPr="007114AF">
              <w:rPr>
                <w:rFonts w:ascii="Garamond" w:hAnsi="Garamond" w:cs="Calibri"/>
                <w:sz w:val="14"/>
                <w:szCs w:val="14"/>
              </w:rPr>
              <w:t xml:space="preserve">milionë </w:t>
            </w:r>
            <w:r w:rsidRPr="007114AF">
              <w:rPr>
                <w:rFonts w:ascii="Garamond" w:hAnsi="Garamond" w:cs="Calibri"/>
                <w:sz w:val="14"/>
                <w:szCs w:val="14"/>
              </w:rPr>
              <w:t>LEKË/vit</w:t>
            </w:r>
          </w:p>
        </w:tc>
        <w:tc>
          <w:tcPr>
            <w:tcW w:w="5103" w:type="dxa"/>
            <w:shd w:val="clear" w:color="auto" w:fill="auto"/>
          </w:tcPr>
          <w:p w14:paraId="6EDD1437"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 afatshkurtër: BE IPA II </w:t>
            </w:r>
          </w:p>
          <w:p w14:paraId="6EDD1438" w14:textId="4191CC0A" w:rsidR="00975179" w:rsidRPr="007114AF" w:rsidRDefault="00975179" w:rsidP="009160D5">
            <w:pPr>
              <w:ind w:left="612" w:hanging="612"/>
              <w:rPr>
                <w:rFonts w:ascii="Garamond" w:hAnsi="Garamond" w:cs="Calibri"/>
                <w:sz w:val="14"/>
                <w:szCs w:val="14"/>
              </w:rPr>
            </w:pPr>
            <w:r w:rsidRPr="007114AF">
              <w:rPr>
                <w:rFonts w:ascii="Garamond" w:hAnsi="Garamond" w:cs="Calibri"/>
                <w:sz w:val="14"/>
                <w:szCs w:val="14"/>
              </w:rPr>
              <w:t>- afatshkurtër:</w:t>
            </w:r>
            <w:r w:rsidR="000A2A01" w:rsidRPr="007114AF">
              <w:rPr>
                <w:rFonts w:ascii="Garamond" w:hAnsi="Garamond" w:cs="Calibri"/>
                <w:sz w:val="14"/>
                <w:szCs w:val="14"/>
              </w:rPr>
              <w:t xml:space="preserve"> </w:t>
            </w:r>
            <w:r w:rsidRPr="007114AF">
              <w:rPr>
                <w:rFonts w:ascii="Garamond" w:hAnsi="Garamond" w:cs="Calibri"/>
                <w:sz w:val="14"/>
                <w:szCs w:val="14"/>
              </w:rPr>
              <w:t>pjesërisht të mbuluar nga mbështetja</w:t>
            </w:r>
            <w:r w:rsidR="000A2A01" w:rsidRPr="007114AF">
              <w:rPr>
                <w:rFonts w:ascii="Garamond" w:hAnsi="Garamond" w:cs="Calibri"/>
                <w:sz w:val="14"/>
                <w:szCs w:val="14"/>
              </w:rPr>
              <w:t xml:space="preserve"> </w:t>
            </w:r>
            <w:r w:rsidRPr="007114AF">
              <w:rPr>
                <w:rFonts w:ascii="Garamond" w:hAnsi="Garamond" w:cs="Calibri"/>
                <w:sz w:val="14"/>
                <w:szCs w:val="14"/>
              </w:rPr>
              <w:t>e gatishmërisë së FGJK (GCF)</w:t>
            </w:r>
          </w:p>
        </w:tc>
        <w:tc>
          <w:tcPr>
            <w:tcW w:w="3402" w:type="dxa"/>
            <w:shd w:val="clear" w:color="auto" w:fill="auto"/>
          </w:tcPr>
          <w:p w14:paraId="6EDD1439"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Shihni gjithashtu udhërrëfyesin në kapitullin 4</w:t>
            </w:r>
          </w:p>
        </w:tc>
      </w:tr>
      <w:tr w:rsidR="00975179" w:rsidRPr="007114AF" w14:paraId="6EDD1441" w14:textId="77777777" w:rsidTr="00975179">
        <w:trPr>
          <w:trHeight w:val="641"/>
        </w:trPr>
        <w:tc>
          <w:tcPr>
            <w:tcW w:w="3251" w:type="dxa"/>
            <w:shd w:val="clear" w:color="auto" w:fill="auto"/>
          </w:tcPr>
          <w:p w14:paraId="6EDD143B" w14:textId="7107F807"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3:</w:t>
            </w:r>
            <w:r w:rsidRPr="007114AF">
              <w:rPr>
                <w:rFonts w:ascii="Garamond" w:hAnsi="Garamond" w:cs="Calibri"/>
                <w:sz w:val="14"/>
                <w:szCs w:val="14"/>
              </w:rPr>
              <w:t xml:space="preserve"> </w:t>
            </w:r>
            <w:r w:rsidR="00975179" w:rsidRPr="007114AF">
              <w:rPr>
                <w:rFonts w:ascii="Garamond" w:hAnsi="Garamond" w:cs="Calibri"/>
                <w:sz w:val="14"/>
                <w:szCs w:val="14"/>
              </w:rPr>
              <w:t>Gatishmëria financiare klimatike – Zhvillimi i kapaciteteve për financimin dhe zbatimin e NAP-it në Shqipëri.</w:t>
            </w:r>
          </w:p>
        </w:tc>
        <w:tc>
          <w:tcPr>
            <w:tcW w:w="1417" w:type="dxa"/>
            <w:shd w:val="clear" w:color="auto" w:fill="auto"/>
            <w:vAlign w:val="center"/>
          </w:tcPr>
          <w:p w14:paraId="6EDD143C" w14:textId="72C1BE46"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112.5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1413" w:type="dxa"/>
            <w:shd w:val="clear" w:color="auto" w:fill="auto"/>
            <w:vAlign w:val="center"/>
          </w:tcPr>
          <w:p w14:paraId="6EDD143D" w14:textId="7BF56ECD" w:rsidR="00975179" w:rsidRPr="007114AF" w:rsidRDefault="00975179" w:rsidP="009160D5">
            <w:pPr>
              <w:rPr>
                <w:rFonts w:ascii="Garamond" w:hAnsi="Garamond" w:cs="Calibri"/>
                <w:sz w:val="14"/>
                <w:szCs w:val="14"/>
              </w:rPr>
            </w:pPr>
            <w:r w:rsidRPr="007114AF">
              <w:rPr>
                <w:rFonts w:ascii="Garamond" w:hAnsi="Garamond" w:cs="Calibri"/>
                <w:sz w:val="14"/>
                <w:szCs w:val="14"/>
              </w:rPr>
              <w:t>për t</w:t>
            </w:r>
            <w:r w:rsidR="00D10DAB" w:rsidRPr="007114AF">
              <w:rPr>
                <w:rFonts w:ascii="Garamond" w:hAnsi="Garamond" w:cs="Calibri"/>
                <w:sz w:val="14"/>
                <w:szCs w:val="14"/>
              </w:rPr>
              <w:t>’</w:t>
            </w:r>
            <w:r w:rsidRPr="007114AF">
              <w:rPr>
                <w:rFonts w:ascii="Garamond" w:hAnsi="Garamond" w:cs="Calibri"/>
                <w:sz w:val="14"/>
                <w:szCs w:val="14"/>
              </w:rPr>
              <w:t>u vendosur</w:t>
            </w:r>
          </w:p>
        </w:tc>
        <w:tc>
          <w:tcPr>
            <w:tcW w:w="5103" w:type="dxa"/>
            <w:shd w:val="clear" w:color="auto" w:fill="auto"/>
          </w:tcPr>
          <w:p w14:paraId="6EDD143E" w14:textId="60E529EF" w:rsidR="00975179" w:rsidRPr="007114AF" w:rsidRDefault="00975179" w:rsidP="009160D5">
            <w:pPr>
              <w:ind w:left="612" w:hanging="612"/>
              <w:rPr>
                <w:rFonts w:ascii="Garamond" w:hAnsi="Garamond" w:cs="Calibri"/>
                <w:sz w:val="14"/>
                <w:szCs w:val="14"/>
              </w:rPr>
            </w:pPr>
            <w:r w:rsidRPr="007114AF">
              <w:rPr>
                <w:rFonts w:ascii="Garamond" w:hAnsi="Garamond" w:cs="Calibri"/>
                <w:sz w:val="14"/>
                <w:szCs w:val="14"/>
              </w:rPr>
              <w:t>- afatshkurtër:</w:t>
            </w:r>
            <w:r w:rsidR="000A2A01" w:rsidRPr="007114AF">
              <w:rPr>
                <w:rFonts w:ascii="Garamond" w:hAnsi="Garamond" w:cs="Calibri"/>
                <w:sz w:val="14"/>
                <w:szCs w:val="14"/>
              </w:rPr>
              <w:t xml:space="preserve"> </w:t>
            </w:r>
            <w:r w:rsidRPr="007114AF">
              <w:rPr>
                <w:rFonts w:ascii="Garamond" w:hAnsi="Garamond" w:cs="Calibri"/>
                <w:sz w:val="14"/>
                <w:szCs w:val="14"/>
              </w:rPr>
              <w:t>pjesërisht të mbuluar nga mbështetja</w:t>
            </w:r>
            <w:r w:rsidR="000A2A01" w:rsidRPr="007114AF">
              <w:rPr>
                <w:rFonts w:ascii="Garamond" w:hAnsi="Garamond" w:cs="Calibri"/>
                <w:sz w:val="14"/>
                <w:szCs w:val="14"/>
              </w:rPr>
              <w:t xml:space="preserve"> </w:t>
            </w:r>
            <w:r w:rsidRPr="007114AF">
              <w:rPr>
                <w:rFonts w:ascii="Garamond" w:hAnsi="Garamond" w:cs="Calibri"/>
                <w:sz w:val="14"/>
                <w:szCs w:val="14"/>
              </w:rPr>
              <w:t>e gatishmërisë së FGJK (GCF) (37.5 milionë LEK/vit për 3 vjet)</w:t>
            </w:r>
          </w:p>
          <w:p w14:paraId="6EDD143F" w14:textId="0B3F0B58" w:rsidR="00975179" w:rsidRPr="007114AF" w:rsidRDefault="00975179" w:rsidP="009160D5">
            <w:pPr>
              <w:ind w:left="156"/>
              <w:rPr>
                <w:rFonts w:ascii="Garamond" w:hAnsi="Garamond" w:cs="Calibri"/>
                <w:sz w:val="14"/>
                <w:szCs w:val="14"/>
              </w:rPr>
            </w:pPr>
            <w:r w:rsidRPr="007114AF">
              <w:rPr>
                <w:rFonts w:ascii="Garamond" w:hAnsi="Garamond" w:cs="Calibri"/>
                <w:sz w:val="14"/>
                <w:szCs w:val="14"/>
              </w:rPr>
              <w:t>-</w:t>
            </w:r>
            <w:r w:rsidR="000A2A01" w:rsidRPr="007114AF">
              <w:rPr>
                <w:rFonts w:ascii="Garamond" w:hAnsi="Garamond" w:cs="Calibri"/>
                <w:sz w:val="14"/>
                <w:szCs w:val="14"/>
              </w:rPr>
              <w:t xml:space="preserve"> </w:t>
            </w:r>
            <w:r w:rsidRPr="007114AF">
              <w:rPr>
                <w:rFonts w:ascii="Garamond" w:hAnsi="Garamond" w:cs="Calibri"/>
                <w:sz w:val="14"/>
                <w:szCs w:val="14"/>
              </w:rPr>
              <w:t>pjesërisht të mbuluar nga mbështetja</w:t>
            </w:r>
            <w:r w:rsidR="000A2A01" w:rsidRPr="007114AF">
              <w:rPr>
                <w:rFonts w:ascii="Garamond" w:hAnsi="Garamond" w:cs="Calibri"/>
                <w:sz w:val="14"/>
                <w:szCs w:val="14"/>
              </w:rPr>
              <w:t xml:space="preserve"> </w:t>
            </w:r>
            <w:r w:rsidRPr="007114AF">
              <w:rPr>
                <w:rFonts w:ascii="Garamond" w:hAnsi="Garamond" w:cs="Calibri"/>
                <w:sz w:val="14"/>
                <w:szCs w:val="14"/>
              </w:rPr>
              <w:t>e gatishmërisë së FGJK (GCF)</w:t>
            </w:r>
          </w:p>
        </w:tc>
        <w:tc>
          <w:tcPr>
            <w:tcW w:w="3402" w:type="dxa"/>
            <w:shd w:val="clear" w:color="auto" w:fill="auto"/>
          </w:tcPr>
          <w:p w14:paraId="6EDD1440"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Shihni gjithashtu udhërrëfyesin në kapitullin 4</w:t>
            </w:r>
          </w:p>
        </w:tc>
      </w:tr>
      <w:tr w:rsidR="00975179" w:rsidRPr="007114AF" w14:paraId="6EDD1447" w14:textId="77777777" w:rsidTr="00975179">
        <w:trPr>
          <w:trHeight w:val="227"/>
        </w:trPr>
        <w:tc>
          <w:tcPr>
            <w:tcW w:w="3251" w:type="dxa"/>
            <w:shd w:val="clear" w:color="auto" w:fill="auto"/>
          </w:tcPr>
          <w:p w14:paraId="6EDD1442" w14:textId="2ECFE046"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4:</w:t>
            </w:r>
            <w:r w:rsidR="000A2A01" w:rsidRPr="007114AF">
              <w:rPr>
                <w:rFonts w:ascii="Garamond" w:hAnsi="Garamond" w:cs="Calibri"/>
                <w:sz w:val="14"/>
                <w:szCs w:val="14"/>
              </w:rPr>
              <w:t xml:space="preserve"> </w:t>
            </w:r>
            <w:r w:rsidR="00975179" w:rsidRPr="007114AF">
              <w:rPr>
                <w:rFonts w:ascii="Garamond" w:hAnsi="Garamond" w:cs="Calibri"/>
                <w:sz w:val="14"/>
                <w:szCs w:val="14"/>
              </w:rPr>
              <w:t>Sistemi i monitorimit të implementimit të NAP-it (monitorimi i mbështetur në rezultate)</w:t>
            </w:r>
          </w:p>
        </w:tc>
        <w:tc>
          <w:tcPr>
            <w:tcW w:w="1417" w:type="dxa"/>
            <w:shd w:val="clear" w:color="auto" w:fill="auto"/>
            <w:vAlign w:val="center"/>
          </w:tcPr>
          <w:p w14:paraId="6EDD1443" w14:textId="529766EE"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688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1413" w:type="dxa"/>
            <w:shd w:val="clear" w:color="auto" w:fill="auto"/>
          </w:tcPr>
          <w:p w14:paraId="6EDD1444" w14:textId="10F9C0BC" w:rsidR="00975179" w:rsidRPr="007114AF" w:rsidRDefault="00975179" w:rsidP="009160D5">
            <w:pPr>
              <w:rPr>
                <w:rFonts w:ascii="Garamond" w:hAnsi="Garamond"/>
                <w:sz w:val="14"/>
                <w:szCs w:val="14"/>
              </w:rPr>
            </w:pPr>
            <w:r w:rsidRPr="007114AF">
              <w:rPr>
                <w:rFonts w:ascii="Garamond" w:hAnsi="Garamond" w:cs="Calibri"/>
                <w:sz w:val="14"/>
                <w:szCs w:val="14"/>
              </w:rPr>
              <w:t>për t</w:t>
            </w:r>
            <w:r w:rsidR="00D10DAB" w:rsidRPr="007114AF">
              <w:rPr>
                <w:rFonts w:ascii="Garamond" w:hAnsi="Garamond" w:cs="Calibri"/>
                <w:sz w:val="14"/>
                <w:szCs w:val="14"/>
              </w:rPr>
              <w:t>’</w:t>
            </w:r>
            <w:r w:rsidRPr="007114AF">
              <w:rPr>
                <w:rFonts w:ascii="Garamond" w:hAnsi="Garamond" w:cs="Calibri"/>
                <w:sz w:val="14"/>
                <w:szCs w:val="14"/>
              </w:rPr>
              <w:t>u vendosur</w:t>
            </w:r>
          </w:p>
        </w:tc>
        <w:tc>
          <w:tcPr>
            <w:tcW w:w="5103" w:type="dxa"/>
            <w:shd w:val="clear" w:color="auto" w:fill="auto"/>
          </w:tcPr>
          <w:p w14:paraId="6EDD1445" w14:textId="77777777" w:rsidR="00975179" w:rsidRPr="007114AF" w:rsidRDefault="00975179" w:rsidP="009160D5">
            <w:pPr>
              <w:rPr>
                <w:rFonts w:ascii="Garamond" w:hAnsi="Garamond" w:cs="Calibri"/>
                <w:sz w:val="14"/>
                <w:szCs w:val="14"/>
              </w:rPr>
            </w:pPr>
          </w:p>
        </w:tc>
        <w:tc>
          <w:tcPr>
            <w:tcW w:w="3402" w:type="dxa"/>
            <w:shd w:val="clear" w:color="auto" w:fill="auto"/>
          </w:tcPr>
          <w:p w14:paraId="6EDD1446"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Shihni gjithashtu udhërrëfyesin në kapitullin 4 – rishikoni preventivët pasi rezultojnë tepër të lartë </w:t>
            </w:r>
          </w:p>
        </w:tc>
      </w:tr>
      <w:tr w:rsidR="00975179" w:rsidRPr="007114AF" w14:paraId="6EDD144D" w14:textId="77777777" w:rsidTr="00975179">
        <w:trPr>
          <w:trHeight w:val="263"/>
        </w:trPr>
        <w:tc>
          <w:tcPr>
            <w:tcW w:w="3251" w:type="dxa"/>
            <w:shd w:val="clear" w:color="auto" w:fill="auto"/>
          </w:tcPr>
          <w:p w14:paraId="6EDD1448" w14:textId="4326C2D5"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5:</w:t>
            </w:r>
            <w:r w:rsidR="000A2A01" w:rsidRPr="007114AF">
              <w:rPr>
                <w:rFonts w:ascii="Garamond" w:hAnsi="Garamond" w:cs="Calibri"/>
                <w:sz w:val="14"/>
                <w:szCs w:val="14"/>
              </w:rPr>
              <w:t xml:space="preserve"> </w:t>
            </w:r>
            <w:r w:rsidR="00975179" w:rsidRPr="007114AF">
              <w:rPr>
                <w:rFonts w:ascii="Garamond" w:hAnsi="Garamond" w:cs="Calibri"/>
                <w:sz w:val="14"/>
                <w:szCs w:val="14"/>
              </w:rPr>
              <w:t>Nisma për informim dhe përfshirje të publikut</w:t>
            </w:r>
          </w:p>
        </w:tc>
        <w:tc>
          <w:tcPr>
            <w:tcW w:w="1417" w:type="dxa"/>
            <w:shd w:val="clear" w:color="auto" w:fill="auto"/>
            <w:vAlign w:val="center"/>
          </w:tcPr>
          <w:p w14:paraId="6EDD1449" w14:textId="6AF8A910"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93.75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1413" w:type="dxa"/>
            <w:shd w:val="clear" w:color="auto" w:fill="auto"/>
          </w:tcPr>
          <w:p w14:paraId="6EDD144A" w14:textId="0422BC02" w:rsidR="00975179" w:rsidRPr="007114AF" w:rsidRDefault="00975179" w:rsidP="009160D5">
            <w:pPr>
              <w:rPr>
                <w:rFonts w:ascii="Garamond" w:hAnsi="Garamond"/>
                <w:sz w:val="14"/>
                <w:szCs w:val="14"/>
              </w:rPr>
            </w:pPr>
            <w:r w:rsidRPr="007114AF">
              <w:rPr>
                <w:rFonts w:ascii="Garamond" w:hAnsi="Garamond" w:cs="Calibri"/>
                <w:sz w:val="14"/>
                <w:szCs w:val="14"/>
              </w:rPr>
              <w:t>për t</w:t>
            </w:r>
            <w:r w:rsidR="00D10DAB" w:rsidRPr="007114AF">
              <w:rPr>
                <w:rFonts w:ascii="Garamond" w:hAnsi="Garamond" w:cs="Calibri"/>
                <w:sz w:val="14"/>
                <w:szCs w:val="14"/>
              </w:rPr>
              <w:t>’</w:t>
            </w:r>
            <w:r w:rsidRPr="007114AF">
              <w:rPr>
                <w:rFonts w:ascii="Garamond" w:hAnsi="Garamond" w:cs="Calibri"/>
                <w:sz w:val="14"/>
                <w:szCs w:val="14"/>
              </w:rPr>
              <w:t>u vendosur</w:t>
            </w:r>
          </w:p>
        </w:tc>
        <w:tc>
          <w:tcPr>
            <w:tcW w:w="5103" w:type="dxa"/>
            <w:shd w:val="clear" w:color="auto" w:fill="auto"/>
          </w:tcPr>
          <w:p w14:paraId="6EDD144B" w14:textId="685644EA" w:rsidR="00975179" w:rsidRPr="007114AF" w:rsidRDefault="00975179" w:rsidP="009160D5">
            <w:pPr>
              <w:tabs>
                <w:tab w:val="left" w:pos="360"/>
              </w:tabs>
              <w:rPr>
                <w:rFonts w:ascii="Garamond" w:hAnsi="Garamond" w:cs="Calibri"/>
                <w:sz w:val="14"/>
                <w:szCs w:val="14"/>
              </w:rPr>
            </w:pPr>
            <w:r w:rsidRPr="007114AF">
              <w:rPr>
                <w:rFonts w:ascii="Garamond" w:hAnsi="Garamond" w:cs="Calibri"/>
                <w:sz w:val="14"/>
                <w:szCs w:val="14"/>
              </w:rPr>
              <w:t>Afatshkurtër-afatmesëm: grante nga donatorë dypalësh, të tillë si Gjermania, Suedia, Austria, Japonia, Franca</w:t>
            </w:r>
            <w:r w:rsidR="000A2A01" w:rsidRPr="007114AF">
              <w:rPr>
                <w:rFonts w:ascii="Garamond" w:hAnsi="Garamond" w:cs="Calibri"/>
                <w:sz w:val="14"/>
                <w:szCs w:val="14"/>
              </w:rPr>
              <w:t xml:space="preserve"> </w:t>
            </w:r>
          </w:p>
        </w:tc>
        <w:tc>
          <w:tcPr>
            <w:tcW w:w="3402" w:type="dxa"/>
            <w:shd w:val="clear" w:color="auto" w:fill="auto"/>
          </w:tcPr>
          <w:p w14:paraId="6EDD144C" w14:textId="77777777" w:rsidR="00975179" w:rsidRPr="007114AF" w:rsidRDefault="00975179" w:rsidP="009160D5">
            <w:pPr>
              <w:tabs>
                <w:tab w:val="left" w:pos="360"/>
              </w:tabs>
              <w:rPr>
                <w:rFonts w:ascii="Garamond" w:hAnsi="Garamond" w:cs="Calibri"/>
                <w:sz w:val="14"/>
                <w:szCs w:val="14"/>
              </w:rPr>
            </w:pPr>
          </w:p>
        </w:tc>
      </w:tr>
      <w:tr w:rsidR="00975179" w:rsidRPr="007114AF" w14:paraId="6EDD1453" w14:textId="77777777" w:rsidTr="00975179">
        <w:trPr>
          <w:trHeight w:val="469"/>
        </w:trPr>
        <w:tc>
          <w:tcPr>
            <w:tcW w:w="3251" w:type="dxa"/>
            <w:shd w:val="clear" w:color="auto" w:fill="auto"/>
          </w:tcPr>
          <w:p w14:paraId="6EDD144E" w14:textId="359DC93D"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6:</w:t>
            </w:r>
            <w:r w:rsidR="000A2A01" w:rsidRPr="007114AF">
              <w:rPr>
                <w:rFonts w:ascii="Garamond" w:hAnsi="Garamond" w:cs="Calibri"/>
                <w:sz w:val="14"/>
                <w:szCs w:val="14"/>
              </w:rPr>
              <w:t xml:space="preserve"> </w:t>
            </w:r>
            <w:r w:rsidR="00975179" w:rsidRPr="007114AF">
              <w:rPr>
                <w:rFonts w:ascii="Garamond" w:hAnsi="Garamond" w:cs="Calibri"/>
                <w:sz w:val="14"/>
                <w:szCs w:val="14"/>
              </w:rPr>
              <w:t>Nisma për ngritjen e kapaciteteve për përshtatjen ndaj ndryshimeve klimatike</w:t>
            </w:r>
          </w:p>
        </w:tc>
        <w:tc>
          <w:tcPr>
            <w:tcW w:w="1417" w:type="dxa"/>
            <w:shd w:val="clear" w:color="auto" w:fill="auto"/>
            <w:vAlign w:val="center"/>
          </w:tcPr>
          <w:p w14:paraId="6EDD144F"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Nuk ka ende preventivë</w:t>
            </w:r>
          </w:p>
        </w:tc>
        <w:tc>
          <w:tcPr>
            <w:tcW w:w="1413" w:type="dxa"/>
            <w:shd w:val="clear" w:color="auto" w:fill="auto"/>
          </w:tcPr>
          <w:p w14:paraId="6EDD1450" w14:textId="0280B3DB" w:rsidR="00975179" w:rsidRPr="007114AF" w:rsidRDefault="00975179" w:rsidP="009160D5">
            <w:pPr>
              <w:rPr>
                <w:rFonts w:ascii="Garamond" w:hAnsi="Garamond"/>
                <w:sz w:val="14"/>
                <w:szCs w:val="14"/>
              </w:rPr>
            </w:pPr>
            <w:r w:rsidRPr="007114AF">
              <w:rPr>
                <w:rFonts w:ascii="Garamond" w:hAnsi="Garamond" w:cs="Calibri"/>
                <w:sz w:val="14"/>
                <w:szCs w:val="14"/>
              </w:rPr>
              <w:t>për t</w:t>
            </w:r>
            <w:r w:rsidR="00D10DAB" w:rsidRPr="007114AF">
              <w:rPr>
                <w:rFonts w:ascii="Garamond" w:hAnsi="Garamond" w:cs="Calibri"/>
                <w:sz w:val="14"/>
                <w:szCs w:val="14"/>
              </w:rPr>
              <w:t>’</w:t>
            </w:r>
            <w:r w:rsidRPr="007114AF">
              <w:rPr>
                <w:rFonts w:ascii="Garamond" w:hAnsi="Garamond" w:cs="Calibri"/>
                <w:sz w:val="14"/>
                <w:szCs w:val="14"/>
              </w:rPr>
              <w:t>u vendosur</w:t>
            </w:r>
          </w:p>
        </w:tc>
        <w:tc>
          <w:tcPr>
            <w:tcW w:w="5103" w:type="dxa"/>
            <w:shd w:val="clear" w:color="auto" w:fill="auto"/>
            <w:vAlign w:val="center"/>
          </w:tcPr>
          <w:p w14:paraId="6EDD1451" w14:textId="73116483" w:rsidR="00975179" w:rsidRPr="007114AF" w:rsidRDefault="00975179" w:rsidP="009160D5">
            <w:pPr>
              <w:tabs>
                <w:tab w:val="left" w:pos="360"/>
              </w:tabs>
              <w:rPr>
                <w:rFonts w:ascii="Garamond" w:hAnsi="Garamond" w:cs="Calibri"/>
                <w:sz w:val="14"/>
                <w:szCs w:val="14"/>
              </w:rPr>
            </w:pPr>
            <w:r w:rsidRPr="007114AF">
              <w:rPr>
                <w:rFonts w:ascii="Garamond" w:hAnsi="Garamond" w:cs="Calibri"/>
                <w:sz w:val="14"/>
                <w:szCs w:val="14"/>
              </w:rPr>
              <w:t>afatshkurtër -afatmesëm: grante nga donatorë dypalësh, të tillë si Gjermania, Suedia, Austria, Japonia, Franca</w:t>
            </w:r>
            <w:r w:rsidR="000A2A01" w:rsidRPr="007114AF">
              <w:rPr>
                <w:rFonts w:ascii="Garamond" w:hAnsi="Garamond" w:cs="Calibri"/>
                <w:sz w:val="14"/>
                <w:szCs w:val="14"/>
              </w:rPr>
              <w:t xml:space="preserve"> </w:t>
            </w:r>
          </w:p>
        </w:tc>
        <w:tc>
          <w:tcPr>
            <w:tcW w:w="3402" w:type="dxa"/>
            <w:shd w:val="clear" w:color="auto" w:fill="auto"/>
          </w:tcPr>
          <w:p w14:paraId="6EDD1452"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 Kostot e pjesshme për ndërtimin e kapaciteteve në mënyrë ideale duhet të përfshihen në secilin projekt buxhet, sipas rastit</w:t>
            </w:r>
          </w:p>
        </w:tc>
      </w:tr>
      <w:tr w:rsidR="00975179" w:rsidRPr="007114AF" w14:paraId="6EDD145A" w14:textId="77777777" w:rsidTr="00975179">
        <w:trPr>
          <w:trHeight w:val="450"/>
        </w:trPr>
        <w:tc>
          <w:tcPr>
            <w:tcW w:w="3251" w:type="dxa"/>
            <w:shd w:val="clear" w:color="auto" w:fill="auto"/>
          </w:tcPr>
          <w:p w14:paraId="6EDD1454" w14:textId="4259706E"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7: Ujitje, kullim dhe mbrojtje nga përmbytje, me aftësi ripërtëritëse kundrejt ndryshimeve të klimës</w:t>
            </w:r>
          </w:p>
        </w:tc>
        <w:tc>
          <w:tcPr>
            <w:tcW w:w="1417" w:type="dxa"/>
            <w:shd w:val="clear" w:color="auto" w:fill="auto"/>
            <w:vAlign w:val="center"/>
          </w:tcPr>
          <w:p w14:paraId="6EDD1455" w14:textId="5D787BEA"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1841.5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1413" w:type="dxa"/>
            <w:shd w:val="clear" w:color="auto" w:fill="auto"/>
          </w:tcPr>
          <w:p w14:paraId="6EDD1456" w14:textId="428C3DD6" w:rsidR="00975179" w:rsidRPr="007114AF" w:rsidRDefault="00975179" w:rsidP="009160D5">
            <w:pPr>
              <w:rPr>
                <w:rFonts w:ascii="Garamond" w:hAnsi="Garamond"/>
                <w:sz w:val="14"/>
                <w:szCs w:val="14"/>
              </w:rPr>
            </w:pPr>
            <w:r w:rsidRPr="007114AF">
              <w:rPr>
                <w:rFonts w:ascii="Garamond" w:hAnsi="Garamond" w:cs="Calibri"/>
                <w:sz w:val="14"/>
                <w:szCs w:val="14"/>
              </w:rPr>
              <w:t>për t</w:t>
            </w:r>
            <w:r w:rsidR="00D10DAB" w:rsidRPr="007114AF">
              <w:rPr>
                <w:rFonts w:ascii="Garamond" w:hAnsi="Garamond" w:cs="Calibri"/>
                <w:sz w:val="14"/>
                <w:szCs w:val="14"/>
              </w:rPr>
              <w:t>’</w:t>
            </w:r>
            <w:r w:rsidRPr="007114AF">
              <w:rPr>
                <w:rFonts w:ascii="Garamond" w:hAnsi="Garamond" w:cs="Calibri"/>
                <w:sz w:val="14"/>
                <w:szCs w:val="14"/>
              </w:rPr>
              <w:t>u vendosur</w:t>
            </w:r>
          </w:p>
        </w:tc>
        <w:tc>
          <w:tcPr>
            <w:tcW w:w="5103" w:type="dxa"/>
            <w:shd w:val="clear" w:color="auto" w:fill="auto"/>
          </w:tcPr>
          <w:p w14:paraId="6EDD1457" w14:textId="77777777" w:rsidR="00975179" w:rsidRPr="007114AF" w:rsidRDefault="00975179" w:rsidP="009160D5">
            <w:pPr>
              <w:ind w:left="612" w:hanging="612"/>
              <w:rPr>
                <w:rFonts w:ascii="Garamond" w:hAnsi="Garamond" w:cs="Calibri"/>
                <w:sz w:val="14"/>
                <w:szCs w:val="14"/>
              </w:rPr>
            </w:pPr>
            <w:r w:rsidRPr="007114AF">
              <w:rPr>
                <w:rFonts w:ascii="Garamond" w:hAnsi="Garamond" w:cs="Calibri"/>
                <w:sz w:val="14"/>
                <w:szCs w:val="14"/>
              </w:rPr>
              <w:t>- afatshkurtër: BE IPA II, aplikimi i dërguar (1080 mil. LEKË)</w:t>
            </w:r>
          </w:p>
          <w:p w14:paraId="6EDD1458" w14:textId="77777777" w:rsidR="00975179" w:rsidRPr="007114AF" w:rsidRDefault="00975179" w:rsidP="00975179">
            <w:pPr>
              <w:ind w:left="612" w:hanging="612"/>
              <w:rPr>
                <w:rFonts w:ascii="Garamond" w:hAnsi="Garamond" w:cs="Calibri"/>
                <w:sz w:val="14"/>
                <w:szCs w:val="14"/>
              </w:rPr>
            </w:pPr>
            <w:r w:rsidRPr="007114AF">
              <w:rPr>
                <w:rFonts w:ascii="Garamond" w:hAnsi="Garamond" w:cs="Calibri"/>
                <w:sz w:val="14"/>
                <w:szCs w:val="14"/>
              </w:rPr>
              <w:t>- afatmesëm/afatgjatë: FGJK (GCF), BERZH, KfW</w:t>
            </w:r>
          </w:p>
        </w:tc>
        <w:tc>
          <w:tcPr>
            <w:tcW w:w="3402" w:type="dxa"/>
            <w:shd w:val="clear" w:color="auto" w:fill="auto"/>
          </w:tcPr>
          <w:p w14:paraId="6EDD1459"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 Duhet të prioritizohet për përgatitjen/zhvillimin e projektit në fundryshimet klimatikesion të donatorëve ndërkombëtarë në shkallë të gjerë </w:t>
            </w:r>
          </w:p>
        </w:tc>
      </w:tr>
      <w:tr w:rsidR="00975179" w:rsidRPr="007114AF" w14:paraId="6EDD1463" w14:textId="77777777" w:rsidTr="00975179">
        <w:trPr>
          <w:trHeight w:val="1014"/>
        </w:trPr>
        <w:tc>
          <w:tcPr>
            <w:tcW w:w="3251" w:type="dxa"/>
            <w:shd w:val="clear" w:color="auto" w:fill="auto"/>
          </w:tcPr>
          <w:p w14:paraId="6EDD145B" w14:textId="01D889E7"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8: Menaxhimi i Integruar i Burimeve Ujore</w:t>
            </w:r>
          </w:p>
        </w:tc>
        <w:tc>
          <w:tcPr>
            <w:tcW w:w="1417" w:type="dxa"/>
            <w:shd w:val="clear" w:color="auto" w:fill="auto"/>
            <w:vAlign w:val="center"/>
          </w:tcPr>
          <w:p w14:paraId="6EDD145C"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392</w:t>
            </w:r>
          </w:p>
          <w:p w14:paraId="6EDD145D" w14:textId="35B5B49D" w:rsidR="00975179" w:rsidRPr="007114AF" w:rsidRDefault="001C47F0" w:rsidP="009160D5">
            <w:pPr>
              <w:rPr>
                <w:rFonts w:ascii="Garamond" w:hAnsi="Garamond" w:cs="Calibri"/>
                <w:sz w:val="14"/>
                <w:szCs w:val="14"/>
              </w:rPr>
            </w:pPr>
            <w:r w:rsidRPr="007114AF">
              <w:rPr>
                <w:rFonts w:ascii="Garamond" w:hAnsi="Garamond" w:cs="Calibri"/>
                <w:sz w:val="14"/>
                <w:szCs w:val="14"/>
              </w:rPr>
              <w:t xml:space="preserve">milionë </w:t>
            </w:r>
            <w:r w:rsidR="00975179" w:rsidRPr="007114AF">
              <w:rPr>
                <w:rFonts w:ascii="Garamond" w:hAnsi="Garamond" w:cs="Calibri"/>
                <w:sz w:val="14"/>
                <w:szCs w:val="14"/>
              </w:rPr>
              <w:t>LEKË</w:t>
            </w:r>
          </w:p>
        </w:tc>
        <w:tc>
          <w:tcPr>
            <w:tcW w:w="1413" w:type="dxa"/>
            <w:shd w:val="clear" w:color="auto" w:fill="auto"/>
          </w:tcPr>
          <w:p w14:paraId="6EDD145E" w14:textId="6F31042E" w:rsidR="00975179" w:rsidRPr="007114AF" w:rsidRDefault="00975179" w:rsidP="009160D5">
            <w:pPr>
              <w:rPr>
                <w:rFonts w:ascii="Garamond" w:hAnsi="Garamond"/>
                <w:sz w:val="14"/>
                <w:szCs w:val="14"/>
              </w:rPr>
            </w:pPr>
            <w:r w:rsidRPr="007114AF">
              <w:rPr>
                <w:rFonts w:ascii="Garamond" w:hAnsi="Garamond" w:cs="Calibri"/>
                <w:sz w:val="14"/>
                <w:szCs w:val="14"/>
              </w:rPr>
              <w:t>për t</w:t>
            </w:r>
            <w:r w:rsidR="00D10DAB" w:rsidRPr="007114AF">
              <w:rPr>
                <w:rFonts w:ascii="Garamond" w:hAnsi="Garamond" w:cs="Calibri"/>
                <w:sz w:val="14"/>
                <w:szCs w:val="14"/>
              </w:rPr>
              <w:t>’</w:t>
            </w:r>
            <w:r w:rsidRPr="007114AF">
              <w:rPr>
                <w:rFonts w:ascii="Garamond" w:hAnsi="Garamond" w:cs="Calibri"/>
                <w:sz w:val="14"/>
                <w:szCs w:val="14"/>
              </w:rPr>
              <w:t>u vendosur</w:t>
            </w:r>
          </w:p>
        </w:tc>
        <w:tc>
          <w:tcPr>
            <w:tcW w:w="5103" w:type="dxa"/>
            <w:shd w:val="clear" w:color="auto" w:fill="auto"/>
          </w:tcPr>
          <w:p w14:paraId="6EDD145F" w14:textId="15C3E866" w:rsidR="00975179" w:rsidRPr="007114AF" w:rsidRDefault="00975179" w:rsidP="009160D5">
            <w:pPr>
              <w:rPr>
                <w:rFonts w:ascii="Garamond" w:hAnsi="Garamond" w:cs="Calibri"/>
                <w:sz w:val="14"/>
                <w:szCs w:val="14"/>
              </w:rPr>
            </w:pPr>
            <w:r w:rsidRPr="007114AF">
              <w:rPr>
                <w:rFonts w:ascii="Garamond" w:hAnsi="Garamond" w:cs="Calibri"/>
                <w:sz w:val="14"/>
                <w:szCs w:val="14"/>
              </w:rPr>
              <w:t>-</w:t>
            </w:r>
            <w:r w:rsidR="000A2A01" w:rsidRPr="007114AF">
              <w:rPr>
                <w:rFonts w:ascii="Garamond" w:hAnsi="Garamond" w:cs="Calibri"/>
                <w:sz w:val="14"/>
                <w:szCs w:val="14"/>
              </w:rPr>
              <w:t xml:space="preserve"> </w:t>
            </w:r>
            <w:r w:rsidRPr="007114AF">
              <w:rPr>
                <w:rFonts w:ascii="Garamond" w:hAnsi="Garamond" w:cs="Calibri"/>
                <w:sz w:val="14"/>
                <w:szCs w:val="14"/>
              </w:rPr>
              <w:t>afatmesëm/afatgjatë: FGJK (GCF), BERZH, KfW (në fundryshimet klimatikesion të huave) dhe SIDA (si financues i mëparshëm), Gjermania/ICI (me fokus në Përshtatjen e bazuar në Ekosistem), në fundryshimet klimatikesion të granteve</w:t>
            </w:r>
          </w:p>
        </w:tc>
        <w:tc>
          <w:tcPr>
            <w:tcW w:w="3402" w:type="dxa"/>
            <w:shd w:val="clear" w:color="auto" w:fill="auto"/>
          </w:tcPr>
          <w:p w14:paraId="6EDD1460" w14:textId="77777777" w:rsidR="00975179" w:rsidRPr="007114AF" w:rsidRDefault="00975179" w:rsidP="009160D5">
            <w:pPr>
              <w:rPr>
                <w:rFonts w:ascii="Garamond" w:hAnsi="Garamond"/>
                <w:sz w:val="14"/>
                <w:szCs w:val="14"/>
              </w:rPr>
            </w:pPr>
            <w:r w:rsidRPr="007114AF">
              <w:rPr>
                <w:rFonts w:ascii="Garamond" w:hAnsi="Garamond"/>
                <w:sz w:val="14"/>
                <w:szCs w:val="14"/>
              </w:rPr>
              <w:t>- Nevojat për llogaritjen e shpenzimeve duhet të rishikohen. Llogaritja e shpenzimeve të masës së ardhshme në vend të masës së financuar</w:t>
            </w:r>
          </w:p>
          <w:p w14:paraId="6EDD1461" w14:textId="6CAA68A1" w:rsidR="00975179" w:rsidRPr="007114AF" w:rsidRDefault="00975179" w:rsidP="009160D5">
            <w:pPr>
              <w:rPr>
                <w:rFonts w:ascii="Garamond" w:hAnsi="Garamond"/>
                <w:sz w:val="14"/>
                <w:szCs w:val="14"/>
              </w:rPr>
            </w:pPr>
            <w:r w:rsidRPr="007114AF">
              <w:rPr>
                <w:rFonts w:ascii="Garamond" w:hAnsi="Garamond"/>
                <w:sz w:val="14"/>
                <w:szCs w:val="14"/>
              </w:rPr>
              <w:t>- Duhet të prioritizohen për përgatitjen/zhvillimin e projektit</w:t>
            </w:r>
            <w:r w:rsidR="000A2A01" w:rsidRPr="007114AF">
              <w:rPr>
                <w:rFonts w:ascii="Garamond" w:hAnsi="Garamond"/>
                <w:sz w:val="14"/>
                <w:szCs w:val="14"/>
              </w:rPr>
              <w:t xml:space="preserve"> </w:t>
            </w:r>
          </w:p>
          <w:p w14:paraId="6EDD1462" w14:textId="7B111898" w:rsidR="00975179" w:rsidRPr="007114AF" w:rsidRDefault="00975179" w:rsidP="009160D5">
            <w:pPr>
              <w:rPr>
                <w:rFonts w:ascii="Garamond" w:hAnsi="Garamond"/>
                <w:sz w:val="14"/>
                <w:szCs w:val="14"/>
              </w:rPr>
            </w:pPr>
            <w:r w:rsidRPr="007114AF">
              <w:rPr>
                <w:rFonts w:ascii="Garamond" w:hAnsi="Garamond"/>
                <w:sz w:val="14"/>
                <w:szCs w:val="14"/>
              </w:rPr>
              <w:t xml:space="preserve">217.5 </w:t>
            </w:r>
            <w:r w:rsidR="001C47F0" w:rsidRPr="007114AF">
              <w:rPr>
                <w:rFonts w:ascii="Garamond" w:hAnsi="Garamond"/>
                <w:sz w:val="14"/>
                <w:szCs w:val="14"/>
              </w:rPr>
              <w:t xml:space="preserve">milionë </w:t>
            </w:r>
            <w:r w:rsidRPr="007114AF">
              <w:rPr>
                <w:rFonts w:ascii="Garamond" w:hAnsi="Garamond"/>
                <w:sz w:val="14"/>
                <w:szCs w:val="14"/>
              </w:rPr>
              <w:t>LEKË</w:t>
            </w:r>
          </w:p>
        </w:tc>
      </w:tr>
      <w:tr w:rsidR="00975179" w:rsidRPr="007114AF" w14:paraId="6EDD146E" w14:textId="77777777" w:rsidTr="009160D5">
        <w:trPr>
          <w:trHeight w:val="440"/>
        </w:trPr>
        <w:tc>
          <w:tcPr>
            <w:tcW w:w="3251" w:type="dxa"/>
            <w:shd w:val="clear" w:color="auto" w:fill="auto"/>
          </w:tcPr>
          <w:p w14:paraId="6EDD1464" w14:textId="081936C4"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9:</w:t>
            </w:r>
            <w:r w:rsidR="000A2A01" w:rsidRPr="007114AF">
              <w:rPr>
                <w:rFonts w:ascii="Garamond" w:hAnsi="Garamond" w:cs="Calibri"/>
                <w:sz w:val="14"/>
                <w:szCs w:val="14"/>
              </w:rPr>
              <w:t xml:space="preserve"> </w:t>
            </w:r>
            <w:r w:rsidR="00975179" w:rsidRPr="007114AF">
              <w:rPr>
                <w:rFonts w:ascii="Garamond" w:hAnsi="Garamond" w:cs="Calibri"/>
                <w:sz w:val="14"/>
                <w:szCs w:val="14"/>
              </w:rPr>
              <w:t>Përshtatja në sektorin agrar</w:t>
            </w:r>
          </w:p>
        </w:tc>
        <w:tc>
          <w:tcPr>
            <w:tcW w:w="1417" w:type="dxa"/>
            <w:shd w:val="clear" w:color="auto" w:fill="auto"/>
            <w:vAlign w:val="center"/>
          </w:tcPr>
          <w:p w14:paraId="6EDD1465" w14:textId="6F62519D"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925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1413" w:type="dxa"/>
            <w:shd w:val="clear" w:color="auto" w:fill="auto"/>
            <w:vAlign w:val="center"/>
          </w:tcPr>
          <w:p w14:paraId="6EDD1466" w14:textId="5BE7FF64"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160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5103" w:type="dxa"/>
            <w:shd w:val="clear" w:color="auto" w:fill="auto"/>
            <w:vAlign w:val="center"/>
          </w:tcPr>
          <w:p w14:paraId="6EDD1467"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 afatshkurtër: FAO (për grante më të vogla dhe asistencë teknike)</w:t>
            </w:r>
          </w:p>
          <w:p w14:paraId="6EDD1468"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 afatmesëm dhe afatgjatë: IFAD (për huatë koncesionare), BERZH</w:t>
            </w:r>
          </w:p>
          <w:p w14:paraId="6EDD1469"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 PES, sigurimet e rrezikut për fermerët ose instrumente të tjera inovative (afatmesme ose afatgjata)</w:t>
            </w:r>
          </w:p>
          <w:p w14:paraId="6EDD146A" w14:textId="77777777"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 BE Horizon 2020 për grante kërkimore </w:t>
            </w:r>
          </w:p>
        </w:tc>
        <w:tc>
          <w:tcPr>
            <w:tcW w:w="3402" w:type="dxa"/>
            <w:shd w:val="clear" w:color="auto" w:fill="auto"/>
          </w:tcPr>
          <w:p w14:paraId="6EDD146B" w14:textId="77777777" w:rsidR="00975179" w:rsidRPr="007114AF" w:rsidRDefault="00975179" w:rsidP="009160D5">
            <w:pPr>
              <w:rPr>
                <w:rFonts w:ascii="Garamond" w:hAnsi="Garamond"/>
                <w:sz w:val="14"/>
                <w:szCs w:val="14"/>
              </w:rPr>
            </w:pPr>
            <w:r w:rsidRPr="007114AF">
              <w:rPr>
                <w:rFonts w:ascii="Garamond" w:hAnsi="Garamond"/>
                <w:sz w:val="14"/>
                <w:szCs w:val="14"/>
              </w:rPr>
              <w:t>-të plotësohet/rishikohet treguesi 3.1</w:t>
            </w:r>
          </w:p>
          <w:p w14:paraId="6EDD146C" w14:textId="77777777" w:rsidR="00975179" w:rsidRPr="007114AF" w:rsidRDefault="00975179" w:rsidP="009160D5">
            <w:pPr>
              <w:rPr>
                <w:rFonts w:ascii="Garamond" w:hAnsi="Garamond"/>
                <w:sz w:val="14"/>
                <w:szCs w:val="14"/>
              </w:rPr>
            </w:pPr>
            <w:r w:rsidRPr="007114AF">
              <w:rPr>
                <w:rFonts w:ascii="Garamond" w:hAnsi="Garamond"/>
                <w:sz w:val="14"/>
                <w:szCs w:val="14"/>
              </w:rPr>
              <w:t xml:space="preserve">- të kontrollohet nëse aplikimi AF për ndryshimet Klimatike i drejtuar nga Banka Botërore është në progres apo nëse duhet të rishikohet </w:t>
            </w:r>
          </w:p>
          <w:p w14:paraId="6EDD146D" w14:textId="77777777" w:rsidR="00975179" w:rsidRPr="007114AF" w:rsidRDefault="00975179" w:rsidP="009160D5">
            <w:pPr>
              <w:rPr>
                <w:rFonts w:ascii="Garamond" w:hAnsi="Garamond"/>
                <w:sz w:val="14"/>
                <w:szCs w:val="14"/>
              </w:rPr>
            </w:pPr>
          </w:p>
        </w:tc>
      </w:tr>
      <w:tr w:rsidR="00975179" w:rsidRPr="007114AF" w14:paraId="6EDD1474" w14:textId="77777777" w:rsidTr="009160D5">
        <w:tc>
          <w:tcPr>
            <w:tcW w:w="3251" w:type="dxa"/>
            <w:shd w:val="clear" w:color="auto" w:fill="auto"/>
          </w:tcPr>
          <w:p w14:paraId="6EDD146F" w14:textId="7C23851A" w:rsidR="00975179" w:rsidRPr="007114AF" w:rsidRDefault="008D30FC" w:rsidP="009160D5">
            <w:pPr>
              <w:pStyle w:val="Tabellentext"/>
              <w:pBdr>
                <w:bar w:val="single" w:sz="4" w:color="FF8080"/>
              </w:pBdr>
              <w:jc w:val="both"/>
              <w:rPr>
                <w:rFonts w:ascii="Garamond" w:hAnsi="Garamond" w:cs="Calibri"/>
                <w:sz w:val="14"/>
                <w:szCs w:val="14"/>
                <w:lang w:val="sq-AL"/>
              </w:rPr>
            </w:pPr>
            <w:r w:rsidRPr="007114AF">
              <w:rPr>
                <w:rFonts w:ascii="Garamond" w:eastAsia="MS Mincho" w:hAnsi="Garamond" w:cs="Calibri"/>
                <w:bCs w:val="0"/>
                <w:iCs w:val="0"/>
                <w:sz w:val="14"/>
                <w:szCs w:val="14"/>
                <w:lang w:val="sq-AL" w:eastAsia="en-US"/>
              </w:rPr>
              <w:t xml:space="preserve">Nr. </w:t>
            </w:r>
            <w:r w:rsidR="00975179" w:rsidRPr="007114AF">
              <w:rPr>
                <w:rFonts w:ascii="Garamond" w:eastAsia="MS Mincho" w:hAnsi="Garamond" w:cs="Calibri"/>
                <w:bCs w:val="0"/>
                <w:iCs w:val="0"/>
                <w:sz w:val="14"/>
                <w:szCs w:val="14"/>
                <w:lang w:val="sq-AL" w:eastAsia="en-US"/>
              </w:rPr>
              <w:t>10:</w:t>
            </w:r>
            <w:r w:rsidR="000A2A01" w:rsidRPr="007114AF">
              <w:rPr>
                <w:rFonts w:ascii="Garamond" w:eastAsia="MS Mincho" w:hAnsi="Garamond" w:cs="Calibri"/>
                <w:bCs w:val="0"/>
                <w:iCs w:val="0"/>
                <w:sz w:val="14"/>
                <w:szCs w:val="14"/>
                <w:lang w:val="sq-AL" w:eastAsia="en-US"/>
              </w:rPr>
              <w:t xml:space="preserve"> </w:t>
            </w:r>
            <w:r w:rsidR="00975179" w:rsidRPr="007114AF">
              <w:rPr>
                <w:rFonts w:ascii="Garamond" w:eastAsia="MS Mincho" w:hAnsi="Garamond" w:cs="Calibri"/>
                <w:bCs w:val="0"/>
                <w:iCs w:val="0"/>
                <w:sz w:val="14"/>
                <w:szCs w:val="14"/>
                <w:lang w:val="sq-AL" w:eastAsia="en-US"/>
              </w:rPr>
              <w:t>Nxitja e zbatimit të strategjisë së përshtatjes ndaj ndryshimeve klimatike për sektorin e shëndetësisë</w:t>
            </w:r>
          </w:p>
        </w:tc>
        <w:tc>
          <w:tcPr>
            <w:tcW w:w="1417" w:type="dxa"/>
            <w:shd w:val="clear" w:color="auto" w:fill="auto"/>
            <w:vAlign w:val="center"/>
          </w:tcPr>
          <w:p w14:paraId="6EDD1470" w14:textId="4ADC3012"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145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1413" w:type="dxa"/>
            <w:shd w:val="clear" w:color="auto" w:fill="auto"/>
            <w:vAlign w:val="center"/>
          </w:tcPr>
          <w:p w14:paraId="6EDD1471" w14:textId="6833805E"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73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5103" w:type="dxa"/>
            <w:shd w:val="clear" w:color="auto" w:fill="auto"/>
            <w:vAlign w:val="center"/>
          </w:tcPr>
          <w:p w14:paraId="6EDD1472" w14:textId="4F024DEB"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-Hendek financimi 12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3402" w:type="dxa"/>
            <w:shd w:val="clear" w:color="auto" w:fill="auto"/>
          </w:tcPr>
          <w:p w14:paraId="6EDD1473" w14:textId="77777777" w:rsidR="00975179" w:rsidRPr="007114AF" w:rsidRDefault="00975179" w:rsidP="009160D5">
            <w:pPr>
              <w:rPr>
                <w:rFonts w:ascii="Garamond" w:hAnsi="Garamond"/>
                <w:sz w:val="14"/>
                <w:szCs w:val="14"/>
              </w:rPr>
            </w:pPr>
            <w:r w:rsidRPr="007114AF">
              <w:rPr>
                <w:rFonts w:ascii="Garamond" w:hAnsi="Garamond"/>
                <w:sz w:val="14"/>
                <w:szCs w:val="14"/>
              </w:rPr>
              <w:t>- pronësia brenda Ministrisë së Shëndetësisë duhet të rinovohet</w:t>
            </w:r>
          </w:p>
        </w:tc>
      </w:tr>
      <w:tr w:rsidR="00975179" w:rsidRPr="007114AF" w14:paraId="6EDD147C" w14:textId="77777777" w:rsidTr="009160D5">
        <w:trPr>
          <w:trHeight w:val="2014"/>
        </w:trPr>
        <w:tc>
          <w:tcPr>
            <w:tcW w:w="3251" w:type="dxa"/>
            <w:shd w:val="clear" w:color="auto" w:fill="auto"/>
          </w:tcPr>
          <w:p w14:paraId="6EDD1475" w14:textId="5DAED7CF" w:rsidR="00975179" w:rsidRPr="007114AF" w:rsidRDefault="008D30FC" w:rsidP="009160D5">
            <w:pPr>
              <w:pStyle w:val="Tabellentext"/>
              <w:pBdr>
                <w:bar w:val="single" w:sz="4" w:color="FF8080"/>
              </w:pBdr>
              <w:jc w:val="both"/>
              <w:rPr>
                <w:rFonts w:ascii="Garamond" w:eastAsia="MS Mincho" w:hAnsi="Garamond" w:cs="Calibri"/>
                <w:bCs w:val="0"/>
                <w:iCs w:val="0"/>
                <w:sz w:val="14"/>
                <w:szCs w:val="14"/>
                <w:lang w:val="sq-AL" w:eastAsia="en-US"/>
              </w:rPr>
            </w:pPr>
            <w:r w:rsidRPr="007114AF">
              <w:rPr>
                <w:rFonts w:ascii="Garamond" w:eastAsia="MS Mincho" w:hAnsi="Garamond" w:cs="Calibri"/>
                <w:bCs w:val="0"/>
                <w:iCs w:val="0"/>
                <w:sz w:val="14"/>
                <w:szCs w:val="14"/>
                <w:lang w:val="sq-AL" w:eastAsia="en-US"/>
              </w:rPr>
              <w:t xml:space="preserve">Nr. </w:t>
            </w:r>
            <w:r w:rsidR="00975179" w:rsidRPr="007114AF">
              <w:rPr>
                <w:rFonts w:ascii="Garamond" w:eastAsia="MS Mincho" w:hAnsi="Garamond" w:cs="Calibri"/>
                <w:bCs w:val="0"/>
                <w:iCs w:val="0"/>
                <w:sz w:val="14"/>
                <w:szCs w:val="14"/>
                <w:lang w:val="sq-AL" w:eastAsia="en-US"/>
              </w:rPr>
              <w:t>11:</w:t>
            </w:r>
            <w:r w:rsidR="000A2A01" w:rsidRPr="007114AF">
              <w:rPr>
                <w:rFonts w:ascii="Garamond" w:eastAsia="MS Mincho" w:hAnsi="Garamond" w:cs="Calibri"/>
                <w:bCs w:val="0"/>
                <w:iCs w:val="0"/>
                <w:sz w:val="14"/>
                <w:szCs w:val="14"/>
                <w:lang w:val="sq-AL" w:eastAsia="en-US"/>
              </w:rPr>
              <w:t xml:space="preserve"> </w:t>
            </w:r>
            <w:r w:rsidR="00975179" w:rsidRPr="007114AF">
              <w:rPr>
                <w:rFonts w:ascii="Garamond" w:eastAsia="MS Mincho" w:hAnsi="Garamond" w:cs="Calibri"/>
                <w:bCs w:val="0"/>
                <w:iCs w:val="0"/>
                <w:sz w:val="14"/>
                <w:szCs w:val="14"/>
                <w:lang w:val="sq-AL" w:eastAsia="en-US"/>
              </w:rPr>
              <w:t xml:space="preserve">Plan i integruar ndërsektorial për Zonën Bregdetare </w:t>
            </w:r>
          </w:p>
          <w:p w14:paraId="6EDD1476" w14:textId="77777777" w:rsidR="00975179" w:rsidRPr="007114AF" w:rsidRDefault="00975179" w:rsidP="009160D5">
            <w:pPr>
              <w:rPr>
                <w:rFonts w:ascii="Garamond" w:hAnsi="Garamond" w:cs="Calibri"/>
                <w:sz w:val="14"/>
                <w:szCs w:val="14"/>
              </w:rPr>
            </w:pPr>
          </w:p>
        </w:tc>
        <w:tc>
          <w:tcPr>
            <w:tcW w:w="1417" w:type="dxa"/>
            <w:shd w:val="clear" w:color="auto" w:fill="auto"/>
            <w:vAlign w:val="center"/>
          </w:tcPr>
          <w:p w14:paraId="6EDD1477" w14:textId="4E50B8ED"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148.5 </w:t>
            </w:r>
            <w:r w:rsidR="001C47F0" w:rsidRPr="007114AF">
              <w:rPr>
                <w:rFonts w:ascii="Garamond" w:hAnsi="Garamond" w:cs="Calibri"/>
                <w:sz w:val="14"/>
                <w:szCs w:val="14"/>
              </w:rPr>
              <w:t xml:space="preserve">milionë </w:t>
            </w:r>
            <w:r w:rsidRPr="007114AF">
              <w:rPr>
                <w:rFonts w:ascii="Garamond" w:hAnsi="Garamond" w:cs="Calibri"/>
                <w:sz w:val="14"/>
                <w:szCs w:val="14"/>
              </w:rPr>
              <w:t>LEKË (për 3 vjet), kostot për vitin e katërt dhe më pas për t</w:t>
            </w:r>
            <w:r w:rsidR="00D10DAB" w:rsidRPr="007114AF">
              <w:rPr>
                <w:rFonts w:ascii="Garamond" w:hAnsi="Garamond" w:cs="Calibri"/>
                <w:sz w:val="14"/>
                <w:szCs w:val="14"/>
              </w:rPr>
              <w:t>’</w:t>
            </w:r>
            <w:r w:rsidRPr="007114AF">
              <w:rPr>
                <w:rFonts w:ascii="Garamond" w:hAnsi="Garamond" w:cs="Calibri"/>
                <w:sz w:val="14"/>
                <w:szCs w:val="14"/>
              </w:rPr>
              <w:t>u vendosur</w:t>
            </w:r>
          </w:p>
        </w:tc>
        <w:tc>
          <w:tcPr>
            <w:tcW w:w="1413" w:type="dxa"/>
            <w:shd w:val="clear" w:color="auto" w:fill="auto"/>
            <w:vAlign w:val="center"/>
          </w:tcPr>
          <w:p w14:paraId="6EDD1478" w14:textId="564487EC" w:rsidR="00975179" w:rsidRPr="007114AF" w:rsidRDefault="00975179" w:rsidP="009160D5">
            <w:pPr>
              <w:rPr>
                <w:rFonts w:ascii="Garamond" w:hAnsi="Garamond" w:cs="Calibri"/>
                <w:sz w:val="14"/>
                <w:szCs w:val="14"/>
              </w:rPr>
            </w:pPr>
            <w:r w:rsidRPr="007114AF">
              <w:rPr>
                <w:rFonts w:ascii="Garamond" w:hAnsi="Garamond" w:cs="Calibri"/>
                <w:sz w:val="14"/>
                <w:szCs w:val="14"/>
              </w:rPr>
              <w:t>për t</w:t>
            </w:r>
            <w:r w:rsidR="00D10DAB" w:rsidRPr="007114AF">
              <w:rPr>
                <w:rFonts w:ascii="Garamond" w:hAnsi="Garamond" w:cs="Calibri"/>
                <w:sz w:val="14"/>
                <w:szCs w:val="14"/>
              </w:rPr>
              <w:t>’</w:t>
            </w:r>
            <w:r w:rsidRPr="007114AF">
              <w:rPr>
                <w:rFonts w:ascii="Garamond" w:hAnsi="Garamond" w:cs="Calibri"/>
                <w:sz w:val="14"/>
                <w:szCs w:val="14"/>
              </w:rPr>
              <w:t>u vendosur</w:t>
            </w:r>
          </w:p>
        </w:tc>
        <w:tc>
          <w:tcPr>
            <w:tcW w:w="5103" w:type="dxa"/>
            <w:shd w:val="clear" w:color="auto" w:fill="auto"/>
          </w:tcPr>
          <w:p w14:paraId="6EDD1479" w14:textId="033705BD" w:rsidR="00975179" w:rsidRPr="007114AF" w:rsidRDefault="00975179" w:rsidP="009160D5">
            <w:pPr>
              <w:rPr>
                <w:rFonts w:ascii="Garamond" w:hAnsi="Garamond" w:cs="Calibri"/>
                <w:sz w:val="14"/>
                <w:szCs w:val="14"/>
              </w:rPr>
            </w:pPr>
            <w:r w:rsidRPr="007114AF">
              <w:rPr>
                <w:rFonts w:ascii="Garamond" w:hAnsi="Garamond" w:cs="Calibri"/>
                <w:sz w:val="14"/>
                <w:szCs w:val="14"/>
              </w:rPr>
              <w:t>- afatshkurtër-afatmesëm: grante nga donatorë dypalësh, të tillë si Suedia, Austria, Japonia, Franca</w:t>
            </w:r>
            <w:r w:rsidR="000A2A01" w:rsidRPr="007114AF">
              <w:rPr>
                <w:rFonts w:ascii="Garamond" w:hAnsi="Garamond" w:cs="Calibri"/>
                <w:sz w:val="14"/>
                <w:szCs w:val="14"/>
              </w:rPr>
              <w:t xml:space="preserve"> </w:t>
            </w:r>
            <w:r w:rsidRPr="007114AF">
              <w:rPr>
                <w:rFonts w:ascii="Garamond" w:hAnsi="Garamond" w:cs="Calibri"/>
                <w:sz w:val="14"/>
                <w:szCs w:val="14"/>
              </w:rPr>
              <w:t xml:space="preserve">ose WBIF </w:t>
            </w:r>
          </w:p>
          <w:p w14:paraId="6EDD147A" w14:textId="77777777" w:rsidR="00975179" w:rsidRPr="007114AF" w:rsidRDefault="00975179" w:rsidP="009160D5">
            <w:pPr>
              <w:rPr>
                <w:rFonts w:ascii="Garamond" w:hAnsi="Garamond" w:cs="Calibri"/>
                <w:sz w:val="14"/>
                <w:szCs w:val="14"/>
              </w:rPr>
            </w:pPr>
          </w:p>
        </w:tc>
        <w:tc>
          <w:tcPr>
            <w:tcW w:w="3402" w:type="dxa"/>
            <w:shd w:val="clear" w:color="auto" w:fill="auto"/>
          </w:tcPr>
          <w:p w14:paraId="6EDD147B" w14:textId="77777777" w:rsidR="00975179" w:rsidRPr="007114AF" w:rsidRDefault="00975179" w:rsidP="009160D5">
            <w:pPr>
              <w:rPr>
                <w:rFonts w:ascii="Garamond" w:hAnsi="Garamond"/>
                <w:sz w:val="14"/>
                <w:szCs w:val="14"/>
              </w:rPr>
            </w:pPr>
            <w:r w:rsidRPr="007114AF">
              <w:rPr>
                <w:rFonts w:ascii="Garamond" w:hAnsi="Garamond"/>
                <w:sz w:val="14"/>
                <w:szCs w:val="14"/>
              </w:rPr>
              <w:t>- Në cilën masë propozimi i PNUD-it FGJK (GCF) mbulon elementë të kësaj PA-je</w:t>
            </w:r>
          </w:p>
        </w:tc>
      </w:tr>
      <w:tr w:rsidR="00975179" w:rsidRPr="007114AF" w14:paraId="6EDD1484" w14:textId="77777777" w:rsidTr="009160D5">
        <w:tc>
          <w:tcPr>
            <w:tcW w:w="3251" w:type="dxa"/>
            <w:shd w:val="clear" w:color="auto" w:fill="auto"/>
          </w:tcPr>
          <w:p w14:paraId="6EDD147D" w14:textId="0CA67A71" w:rsidR="00975179" w:rsidRPr="007114AF" w:rsidRDefault="008D30FC" w:rsidP="009160D5">
            <w:pPr>
              <w:pStyle w:val="Tabellentext"/>
              <w:jc w:val="both"/>
              <w:rPr>
                <w:rFonts w:ascii="Garamond" w:hAnsi="Garamond" w:cs="Calibri"/>
                <w:sz w:val="14"/>
                <w:szCs w:val="14"/>
                <w:lang w:val="sq-AL"/>
              </w:rPr>
            </w:pPr>
            <w:r w:rsidRPr="007114AF">
              <w:rPr>
                <w:rFonts w:ascii="Garamond" w:eastAsia="MS Mincho" w:hAnsi="Garamond" w:cs="Calibri"/>
                <w:bCs w:val="0"/>
                <w:iCs w:val="0"/>
                <w:sz w:val="14"/>
                <w:szCs w:val="14"/>
                <w:lang w:val="sq-AL" w:eastAsia="en-US"/>
              </w:rPr>
              <w:t xml:space="preserve">Nr. </w:t>
            </w:r>
            <w:r w:rsidR="00975179" w:rsidRPr="007114AF">
              <w:rPr>
                <w:rFonts w:ascii="Garamond" w:eastAsia="MS Mincho" w:hAnsi="Garamond" w:cs="Calibri"/>
                <w:bCs w:val="0"/>
                <w:iCs w:val="0"/>
                <w:sz w:val="14"/>
                <w:szCs w:val="14"/>
                <w:lang w:val="sq-AL" w:eastAsia="en-US"/>
              </w:rPr>
              <w:t>12:</w:t>
            </w:r>
            <w:r w:rsidR="000A2A01" w:rsidRPr="007114AF">
              <w:rPr>
                <w:rFonts w:ascii="Garamond" w:eastAsia="MS Mincho" w:hAnsi="Garamond" w:cs="Calibri"/>
                <w:bCs w:val="0"/>
                <w:iCs w:val="0"/>
                <w:sz w:val="14"/>
                <w:szCs w:val="14"/>
                <w:lang w:val="sq-AL" w:eastAsia="en-US"/>
              </w:rPr>
              <w:t xml:space="preserve"> </w:t>
            </w:r>
            <w:r w:rsidR="00975179" w:rsidRPr="007114AF">
              <w:rPr>
                <w:rFonts w:ascii="Garamond" w:eastAsia="MS Mincho" w:hAnsi="Garamond" w:cs="Calibri"/>
                <w:bCs w:val="0"/>
                <w:iCs w:val="0"/>
                <w:sz w:val="14"/>
                <w:szCs w:val="14"/>
                <w:lang w:val="sq-AL" w:eastAsia="en-US"/>
              </w:rPr>
              <w:t>Nisma për krijimin e planeve për përshtatjen ndaj ndryshimeve klimatike në nivel bashkie</w:t>
            </w:r>
          </w:p>
        </w:tc>
        <w:tc>
          <w:tcPr>
            <w:tcW w:w="1417" w:type="dxa"/>
            <w:shd w:val="clear" w:color="auto" w:fill="auto"/>
            <w:vAlign w:val="center"/>
          </w:tcPr>
          <w:p w14:paraId="6EDD147E" w14:textId="05421B74"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202.5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1413" w:type="dxa"/>
            <w:shd w:val="clear" w:color="auto" w:fill="auto"/>
            <w:vAlign w:val="center"/>
          </w:tcPr>
          <w:p w14:paraId="6EDD147F" w14:textId="7DB62DB5" w:rsidR="00975179" w:rsidRPr="007114AF" w:rsidRDefault="00975179" w:rsidP="009160D5">
            <w:pPr>
              <w:rPr>
                <w:rFonts w:ascii="Garamond" w:hAnsi="Garamond" w:cs="Calibri"/>
                <w:sz w:val="14"/>
                <w:szCs w:val="14"/>
              </w:rPr>
            </w:pPr>
            <w:r w:rsidRPr="007114AF">
              <w:rPr>
                <w:rFonts w:ascii="Garamond" w:hAnsi="Garamond" w:cs="Calibri"/>
                <w:sz w:val="14"/>
                <w:szCs w:val="14"/>
              </w:rPr>
              <w:t>Fonde të</w:t>
            </w:r>
            <w:r w:rsidR="000A2A01" w:rsidRPr="007114AF">
              <w:rPr>
                <w:rFonts w:ascii="Garamond" w:hAnsi="Garamond" w:cs="Calibri"/>
                <w:sz w:val="14"/>
                <w:szCs w:val="14"/>
              </w:rPr>
              <w:t xml:space="preserve"> </w:t>
            </w:r>
            <w:r w:rsidRPr="007114AF">
              <w:rPr>
                <w:rFonts w:ascii="Garamond" w:hAnsi="Garamond"/>
                <w:sz w:val="14"/>
                <w:szCs w:val="14"/>
              </w:rPr>
              <w:t>FZHR (RDF)</w:t>
            </w:r>
            <w:r w:rsidR="003F649E" w:rsidRPr="007114AF">
              <w:rPr>
                <w:rFonts w:ascii="Garamond" w:hAnsi="Garamond"/>
                <w:sz w:val="14"/>
                <w:szCs w:val="14"/>
              </w:rPr>
              <w:t>,</w:t>
            </w:r>
            <w:r w:rsidRPr="007114AF">
              <w:rPr>
                <w:rFonts w:ascii="Garamond" w:hAnsi="Garamond" w:cs="Calibri"/>
                <w:sz w:val="14"/>
                <w:szCs w:val="14"/>
              </w:rPr>
              <w:t xml:space="preserve"> 13.5 </w:t>
            </w:r>
            <w:r w:rsidR="001C47F0" w:rsidRPr="007114AF">
              <w:rPr>
                <w:rFonts w:ascii="Garamond" w:hAnsi="Garamond" w:cs="Calibri"/>
                <w:sz w:val="14"/>
                <w:szCs w:val="14"/>
              </w:rPr>
              <w:t xml:space="preserve">milionë </w:t>
            </w:r>
            <w:r w:rsidRPr="007114AF">
              <w:rPr>
                <w:rFonts w:ascii="Garamond" w:hAnsi="Garamond" w:cs="Calibri"/>
                <w:sz w:val="14"/>
                <w:szCs w:val="14"/>
              </w:rPr>
              <w:t>LEKË</w:t>
            </w:r>
          </w:p>
        </w:tc>
        <w:tc>
          <w:tcPr>
            <w:tcW w:w="5103" w:type="dxa"/>
            <w:shd w:val="clear" w:color="auto" w:fill="auto"/>
          </w:tcPr>
          <w:p w14:paraId="6EDD1480" w14:textId="344D98FE" w:rsidR="00975179" w:rsidRPr="007114AF" w:rsidRDefault="00975179" w:rsidP="009160D5">
            <w:pPr>
              <w:rPr>
                <w:rFonts w:ascii="Garamond" w:hAnsi="Garamond" w:cs="Calibri"/>
                <w:sz w:val="14"/>
                <w:szCs w:val="14"/>
              </w:rPr>
            </w:pPr>
            <w:r w:rsidRPr="007114AF">
              <w:rPr>
                <w:rFonts w:ascii="Garamond" w:hAnsi="Garamond" w:cs="Calibri"/>
                <w:sz w:val="14"/>
                <w:szCs w:val="14"/>
              </w:rPr>
              <w:t xml:space="preserve">- afatshkurtër: EU IPA II, aplikimi i dërguar (189 </w:t>
            </w:r>
            <w:r w:rsidR="001C47F0" w:rsidRPr="007114AF">
              <w:rPr>
                <w:rFonts w:ascii="Garamond" w:hAnsi="Garamond" w:cs="Calibri"/>
                <w:sz w:val="14"/>
                <w:szCs w:val="14"/>
              </w:rPr>
              <w:t xml:space="preserve">milionë </w:t>
            </w:r>
            <w:r w:rsidRPr="007114AF">
              <w:rPr>
                <w:rFonts w:ascii="Garamond" w:hAnsi="Garamond" w:cs="Calibri"/>
                <w:sz w:val="14"/>
                <w:szCs w:val="14"/>
              </w:rPr>
              <w:t xml:space="preserve">LEKË) </w:t>
            </w:r>
          </w:p>
          <w:p w14:paraId="6EDD1481" w14:textId="0CF710B9" w:rsidR="00975179" w:rsidRPr="007114AF" w:rsidRDefault="00975179" w:rsidP="009160D5">
            <w:pPr>
              <w:rPr>
                <w:rFonts w:ascii="Garamond" w:hAnsi="Garamond" w:cs="Calibri"/>
                <w:sz w:val="14"/>
                <w:szCs w:val="14"/>
              </w:rPr>
            </w:pPr>
            <w:r w:rsidRPr="007114AF">
              <w:rPr>
                <w:rFonts w:ascii="Garamond" w:hAnsi="Garamond" w:cs="Calibri"/>
                <w:sz w:val="14"/>
                <w:szCs w:val="14"/>
              </w:rPr>
              <w:t>-afatshkurtër- afatmesëm: grante nga donatorë dypalësh të tillë si Suedia, Austria, Franca</w:t>
            </w:r>
            <w:r w:rsidR="000A2A01" w:rsidRPr="007114AF">
              <w:rPr>
                <w:rFonts w:ascii="Garamond" w:hAnsi="Garamond" w:cs="Calibri"/>
                <w:sz w:val="14"/>
                <w:szCs w:val="14"/>
              </w:rPr>
              <w:t xml:space="preserve"> </w:t>
            </w:r>
          </w:p>
        </w:tc>
        <w:tc>
          <w:tcPr>
            <w:tcW w:w="3402" w:type="dxa"/>
            <w:shd w:val="clear" w:color="auto" w:fill="auto"/>
          </w:tcPr>
          <w:p w14:paraId="6EDD1482" w14:textId="7D22BD52" w:rsidR="00975179" w:rsidRPr="007114AF" w:rsidRDefault="00975179" w:rsidP="009160D5">
            <w:pPr>
              <w:rPr>
                <w:rFonts w:ascii="Garamond" w:hAnsi="Garamond"/>
                <w:sz w:val="14"/>
                <w:szCs w:val="14"/>
              </w:rPr>
            </w:pPr>
            <w:r w:rsidRPr="007114AF">
              <w:rPr>
                <w:rFonts w:ascii="Garamond" w:hAnsi="Garamond"/>
                <w:sz w:val="14"/>
                <w:szCs w:val="14"/>
              </w:rPr>
              <w:t>- të mbështeten bashkitë në përgatitjen e komponentit me aftësi rimëkëmbëse ndaj ndryshimeve klimatike, të aplikimeve të</w:t>
            </w:r>
            <w:r w:rsidR="000A2A01" w:rsidRPr="007114AF">
              <w:rPr>
                <w:rFonts w:ascii="Garamond" w:hAnsi="Garamond"/>
                <w:sz w:val="14"/>
                <w:szCs w:val="14"/>
              </w:rPr>
              <w:t xml:space="preserve"> </w:t>
            </w:r>
            <w:r w:rsidRPr="007114AF">
              <w:rPr>
                <w:rFonts w:ascii="Garamond" w:hAnsi="Garamond"/>
                <w:sz w:val="14"/>
                <w:szCs w:val="14"/>
              </w:rPr>
              <w:t>FZHR (RDF)</w:t>
            </w:r>
          </w:p>
          <w:p w14:paraId="6EDD1483" w14:textId="77777777" w:rsidR="00975179" w:rsidRPr="007114AF" w:rsidRDefault="00975179" w:rsidP="009160D5">
            <w:pPr>
              <w:rPr>
                <w:rFonts w:ascii="Garamond" w:hAnsi="Garamond"/>
                <w:sz w:val="14"/>
                <w:szCs w:val="14"/>
              </w:rPr>
            </w:pPr>
            <w:r w:rsidRPr="007114AF">
              <w:rPr>
                <w:rFonts w:ascii="Garamond" w:hAnsi="Garamond"/>
                <w:sz w:val="14"/>
                <w:szCs w:val="14"/>
              </w:rPr>
              <w:t>- Në cilën masë propozimi I PNUD FGJK (GCF) mbulon elementë të kësaj PA-je</w:t>
            </w:r>
          </w:p>
        </w:tc>
      </w:tr>
      <w:tr w:rsidR="00975179" w:rsidRPr="007114AF" w14:paraId="6EDD148D" w14:textId="77777777" w:rsidTr="009160D5">
        <w:trPr>
          <w:trHeight w:val="1807"/>
        </w:trPr>
        <w:tc>
          <w:tcPr>
            <w:tcW w:w="3251" w:type="dxa"/>
            <w:shd w:val="clear" w:color="auto" w:fill="auto"/>
          </w:tcPr>
          <w:p w14:paraId="6EDD1485" w14:textId="37F7EDDF" w:rsidR="00975179" w:rsidRPr="007114AF" w:rsidRDefault="008D30FC" w:rsidP="009160D5">
            <w:pPr>
              <w:pStyle w:val="Tabellentext"/>
              <w:jc w:val="both"/>
              <w:rPr>
                <w:rFonts w:ascii="Garamond" w:hAnsi="Garamond" w:cs="Calibri"/>
                <w:sz w:val="14"/>
                <w:szCs w:val="14"/>
                <w:lang w:val="sq-AL"/>
              </w:rPr>
            </w:pPr>
            <w:r w:rsidRPr="007114AF">
              <w:rPr>
                <w:rFonts w:ascii="Garamond" w:eastAsia="MS Mincho" w:hAnsi="Garamond" w:cs="Calibri"/>
                <w:bCs w:val="0"/>
                <w:iCs w:val="0"/>
                <w:sz w:val="14"/>
                <w:szCs w:val="14"/>
                <w:lang w:val="sq-AL" w:eastAsia="en-US"/>
              </w:rPr>
              <w:t xml:space="preserve">Nr. </w:t>
            </w:r>
            <w:r w:rsidR="00975179" w:rsidRPr="007114AF">
              <w:rPr>
                <w:rFonts w:ascii="Garamond" w:eastAsia="MS Mincho" w:hAnsi="Garamond" w:cs="Calibri"/>
                <w:bCs w:val="0"/>
                <w:iCs w:val="0"/>
                <w:sz w:val="14"/>
                <w:szCs w:val="14"/>
                <w:lang w:val="sq-AL" w:eastAsia="en-US"/>
              </w:rPr>
              <w:t>13</w:t>
            </w:r>
            <w:r w:rsidR="000A2A01" w:rsidRPr="007114AF">
              <w:rPr>
                <w:rFonts w:ascii="Garamond" w:eastAsia="MS Mincho" w:hAnsi="Garamond" w:cs="Calibri"/>
                <w:bCs w:val="0"/>
                <w:iCs w:val="0"/>
                <w:sz w:val="14"/>
                <w:szCs w:val="14"/>
                <w:lang w:val="sq-AL" w:eastAsia="en-US"/>
              </w:rPr>
              <w:t xml:space="preserve"> </w:t>
            </w:r>
            <w:r w:rsidR="00975179" w:rsidRPr="007114AF">
              <w:rPr>
                <w:rFonts w:ascii="Garamond" w:eastAsia="MS Mincho" w:hAnsi="Garamond" w:cs="Calibri"/>
                <w:bCs w:val="0"/>
                <w:iCs w:val="0"/>
                <w:sz w:val="14"/>
                <w:szCs w:val="14"/>
                <w:lang w:val="sq-AL" w:eastAsia="en-US"/>
              </w:rPr>
              <w:t>Përshtatja në turizëm</w:t>
            </w:r>
          </w:p>
        </w:tc>
        <w:tc>
          <w:tcPr>
            <w:tcW w:w="1417" w:type="dxa"/>
            <w:shd w:val="clear" w:color="auto" w:fill="auto"/>
            <w:vAlign w:val="center"/>
          </w:tcPr>
          <w:p w14:paraId="6EDD1486" w14:textId="4BDB3671" w:rsidR="00975179" w:rsidRPr="007114AF" w:rsidRDefault="00975179" w:rsidP="009160D5">
            <w:pPr>
              <w:rPr>
                <w:rFonts w:ascii="Garamond" w:hAnsi="Garamond" w:cs="Calibri"/>
                <w:sz w:val="14"/>
                <w:szCs w:val="14"/>
              </w:rPr>
            </w:pPr>
            <w:r w:rsidRPr="007114AF">
              <w:rPr>
                <w:rFonts w:ascii="Garamond" w:hAnsi="Garamond" w:cs="Calibri"/>
                <w:bCs/>
                <w:iCs/>
                <w:sz w:val="14"/>
                <w:szCs w:val="14"/>
              </w:rPr>
              <w:t xml:space="preserve">81.2 </w:t>
            </w:r>
            <w:r w:rsidR="001C47F0" w:rsidRPr="007114AF">
              <w:rPr>
                <w:rFonts w:ascii="Garamond" w:hAnsi="Garamond" w:cs="Calibri"/>
                <w:bCs/>
                <w:iCs/>
                <w:sz w:val="14"/>
                <w:szCs w:val="14"/>
              </w:rPr>
              <w:t xml:space="preserve">milionë </w:t>
            </w:r>
            <w:r w:rsidRPr="007114AF">
              <w:rPr>
                <w:rFonts w:ascii="Garamond" w:hAnsi="Garamond" w:cs="Calibri"/>
                <w:bCs/>
                <w:iCs/>
                <w:sz w:val="14"/>
                <w:szCs w:val="14"/>
              </w:rPr>
              <w:t>LEKË (për 3 vjet)</w:t>
            </w:r>
          </w:p>
        </w:tc>
        <w:tc>
          <w:tcPr>
            <w:tcW w:w="1413" w:type="dxa"/>
            <w:shd w:val="clear" w:color="auto" w:fill="auto"/>
            <w:vAlign w:val="center"/>
          </w:tcPr>
          <w:p w14:paraId="6EDD1487" w14:textId="319FE3B0" w:rsidR="00975179" w:rsidRPr="007114AF" w:rsidRDefault="00975179" w:rsidP="009160D5">
            <w:pPr>
              <w:rPr>
                <w:rFonts w:ascii="Garamond" w:hAnsi="Garamond" w:cs="Calibri"/>
                <w:sz w:val="14"/>
                <w:szCs w:val="14"/>
              </w:rPr>
            </w:pPr>
            <w:r w:rsidRPr="007114AF">
              <w:rPr>
                <w:rFonts w:ascii="Garamond" w:hAnsi="Garamond" w:cs="Calibri"/>
                <w:sz w:val="14"/>
                <w:szCs w:val="14"/>
              </w:rPr>
              <w:t>për t</w:t>
            </w:r>
            <w:r w:rsidR="00D10DAB" w:rsidRPr="007114AF">
              <w:rPr>
                <w:rFonts w:ascii="Garamond" w:hAnsi="Garamond" w:cs="Calibri"/>
                <w:sz w:val="14"/>
                <w:szCs w:val="14"/>
              </w:rPr>
              <w:t>’</w:t>
            </w:r>
            <w:r w:rsidRPr="007114AF">
              <w:rPr>
                <w:rFonts w:ascii="Garamond" w:hAnsi="Garamond" w:cs="Calibri"/>
                <w:sz w:val="14"/>
                <w:szCs w:val="14"/>
              </w:rPr>
              <w:t>u vendosur</w:t>
            </w:r>
          </w:p>
        </w:tc>
        <w:tc>
          <w:tcPr>
            <w:tcW w:w="5103" w:type="dxa"/>
            <w:shd w:val="clear" w:color="auto" w:fill="auto"/>
          </w:tcPr>
          <w:p w14:paraId="6EDD1488" w14:textId="20556399" w:rsidR="00975179" w:rsidRPr="007114AF" w:rsidRDefault="00975179" w:rsidP="009160D5">
            <w:pPr>
              <w:pStyle w:val="Standardtextbody"/>
              <w:spacing w:after="0" w:line="240" w:lineRule="auto"/>
              <w:jc w:val="both"/>
              <w:rPr>
                <w:rFonts w:ascii="Garamond" w:eastAsia="Calibri" w:hAnsi="Garamond" w:cs="Calibri"/>
                <w:bCs w:val="0"/>
                <w:iCs w:val="0"/>
                <w:sz w:val="14"/>
                <w:szCs w:val="14"/>
                <w:lang w:val="sq-AL"/>
              </w:rPr>
            </w:pPr>
            <w:r w:rsidRPr="007114AF">
              <w:rPr>
                <w:rFonts w:ascii="Garamond" w:eastAsia="Calibri" w:hAnsi="Garamond" w:cs="Calibri"/>
                <w:bCs w:val="0"/>
                <w:iCs w:val="0"/>
                <w:sz w:val="14"/>
                <w:szCs w:val="14"/>
                <w:lang w:val="sq-AL"/>
              </w:rPr>
              <w:t>- afatmesëm:</w:t>
            </w:r>
            <w:r w:rsidR="000A2A01" w:rsidRPr="007114AF">
              <w:rPr>
                <w:rFonts w:ascii="Garamond" w:eastAsia="Calibri" w:hAnsi="Garamond" w:cs="Calibri"/>
                <w:bCs w:val="0"/>
                <w:iCs w:val="0"/>
                <w:sz w:val="14"/>
                <w:szCs w:val="14"/>
                <w:lang w:val="sq-AL"/>
              </w:rPr>
              <w:t xml:space="preserve"> </w:t>
            </w:r>
            <w:r w:rsidRPr="007114AF">
              <w:rPr>
                <w:rFonts w:ascii="Garamond" w:eastAsia="Calibri" w:hAnsi="Garamond" w:cs="Calibri"/>
                <w:bCs w:val="0"/>
                <w:iCs w:val="0"/>
                <w:sz w:val="14"/>
                <w:szCs w:val="14"/>
                <w:lang w:val="sq-AL"/>
              </w:rPr>
              <w:t>instrumente inovative financimi që mbështesin NVM-të në sektorin e turizmit, të cilat janë të gatshme të kontribuojnë për ripërtëritjen e klimës (shihni kapitullin</w:t>
            </w:r>
            <w:r w:rsidR="000A2A01" w:rsidRPr="007114AF">
              <w:rPr>
                <w:rFonts w:ascii="Garamond" w:eastAsia="Calibri" w:hAnsi="Garamond" w:cs="Calibri"/>
                <w:bCs w:val="0"/>
                <w:iCs w:val="0"/>
                <w:sz w:val="14"/>
                <w:szCs w:val="14"/>
                <w:lang w:val="sq-AL"/>
              </w:rPr>
              <w:t xml:space="preserve"> </w:t>
            </w:r>
            <w:r w:rsidRPr="007114AF">
              <w:rPr>
                <w:rFonts w:ascii="Garamond" w:eastAsia="Calibri" w:hAnsi="Garamond" w:cs="Calibri"/>
                <w:bCs w:val="0"/>
                <w:iCs w:val="0"/>
                <w:sz w:val="14"/>
                <w:szCs w:val="14"/>
                <w:lang w:val="sq-AL"/>
              </w:rPr>
              <w:t xml:space="preserve">3.4) </w:t>
            </w:r>
          </w:p>
          <w:p w14:paraId="6EDD1489" w14:textId="77777777" w:rsidR="00975179" w:rsidRPr="007114AF" w:rsidRDefault="00975179" w:rsidP="009160D5">
            <w:pPr>
              <w:pStyle w:val="Standardtextbody"/>
              <w:spacing w:after="0" w:line="240" w:lineRule="auto"/>
              <w:jc w:val="both"/>
              <w:rPr>
                <w:rFonts w:ascii="Garamond" w:eastAsia="Calibri" w:hAnsi="Garamond" w:cs="Calibri"/>
                <w:bCs w:val="0"/>
                <w:iCs w:val="0"/>
                <w:sz w:val="14"/>
                <w:szCs w:val="14"/>
                <w:lang w:val="sq-AL"/>
              </w:rPr>
            </w:pPr>
            <w:r w:rsidRPr="007114AF">
              <w:rPr>
                <w:rFonts w:ascii="Garamond" w:eastAsia="Calibri" w:hAnsi="Garamond" w:cs="Calibri"/>
                <w:bCs w:val="0"/>
                <w:iCs w:val="0"/>
                <w:sz w:val="14"/>
                <w:szCs w:val="14"/>
                <w:lang w:val="sq-AL"/>
              </w:rPr>
              <w:t>- Banka Evropiane e Investimeve BEI (për shembull Garancia e NVM-ve InnovFin, BB EDIF II)</w:t>
            </w:r>
          </w:p>
          <w:p w14:paraId="6EDD148A" w14:textId="77777777" w:rsidR="00975179" w:rsidRPr="007114AF" w:rsidRDefault="00975179" w:rsidP="009160D5">
            <w:pPr>
              <w:pStyle w:val="Standardtextbody"/>
              <w:spacing w:after="0" w:line="240" w:lineRule="auto"/>
              <w:jc w:val="both"/>
              <w:rPr>
                <w:rFonts w:ascii="Garamond" w:eastAsia="Calibri" w:hAnsi="Garamond" w:cs="Calibri"/>
                <w:bCs w:val="0"/>
                <w:iCs w:val="0"/>
                <w:sz w:val="14"/>
                <w:szCs w:val="14"/>
                <w:lang w:val="sq-AL"/>
              </w:rPr>
            </w:pPr>
          </w:p>
        </w:tc>
        <w:tc>
          <w:tcPr>
            <w:tcW w:w="3402" w:type="dxa"/>
            <w:shd w:val="clear" w:color="auto" w:fill="auto"/>
          </w:tcPr>
          <w:p w14:paraId="6EDD148B" w14:textId="77777777" w:rsidR="00975179" w:rsidRPr="007114AF" w:rsidRDefault="00975179" w:rsidP="009160D5">
            <w:pPr>
              <w:pStyle w:val="Standardtextbody"/>
              <w:spacing w:after="0" w:line="240" w:lineRule="auto"/>
              <w:jc w:val="both"/>
              <w:rPr>
                <w:rFonts w:ascii="Garamond" w:hAnsi="Garamond"/>
                <w:color w:val="000000"/>
                <w:sz w:val="14"/>
                <w:szCs w:val="14"/>
                <w:lang w:val="sq-AL"/>
              </w:rPr>
            </w:pPr>
            <w:r w:rsidRPr="007114AF">
              <w:rPr>
                <w:rFonts w:ascii="Garamond" w:hAnsi="Garamond"/>
                <w:sz w:val="14"/>
                <w:szCs w:val="14"/>
                <w:lang w:val="sq-AL"/>
              </w:rPr>
              <w:t xml:space="preserve">- të </w:t>
            </w:r>
            <w:r w:rsidRPr="007114AF">
              <w:rPr>
                <w:rFonts w:ascii="Garamond" w:hAnsi="Garamond"/>
                <w:color w:val="000000"/>
                <w:sz w:val="14"/>
                <w:szCs w:val="14"/>
                <w:lang w:val="sq-AL"/>
              </w:rPr>
              <w:t xml:space="preserve">specifikohen dhe projektohen aktivitete </w:t>
            </w:r>
          </w:p>
          <w:p w14:paraId="6EDD148C" w14:textId="6FA3A4F5" w:rsidR="00975179" w:rsidRPr="007114AF" w:rsidRDefault="00975179" w:rsidP="009160D5">
            <w:pPr>
              <w:pStyle w:val="Standardtextbody"/>
              <w:spacing w:after="0" w:line="240" w:lineRule="auto"/>
              <w:jc w:val="both"/>
              <w:rPr>
                <w:rFonts w:ascii="Garamond" w:eastAsia="Calibri" w:hAnsi="Garamond"/>
                <w:bCs w:val="0"/>
                <w:iCs w:val="0"/>
                <w:sz w:val="14"/>
                <w:szCs w:val="14"/>
                <w:lang w:val="sq-AL"/>
              </w:rPr>
            </w:pPr>
            <w:r w:rsidRPr="007114AF">
              <w:rPr>
                <w:rFonts w:ascii="Garamond" w:hAnsi="Garamond"/>
                <w:color w:val="000000"/>
                <w:sz w:val="14"/>
                <w:szCs w:val="14"/>
                <w:lang w:val="sq-AL"/>
              </w:rPr>
              <w:t>- të kontrollohen fituesit e kontratave të</w:t>
            </w:r>
            <w:r w:rsidR="000A2A01" w:rsidRPr="007114AF">
              <w:rPr>
                <w:rFonts w:ascii="Garamond" w:hAnsi="Garamond"/>
                <w:color w:val="000000"/>
                <w:sz w:val="14"/>
                <w:szCs w:val="14"/>
                <w:lang w:val="sq-AL"/>
              </w:rPr>
              <w:t xml:space="preserve"> </w:t>
            </w:r>
            <w:hyperlink r:id="rId60" w:history="1">
              <w:r w:rsidRPr="007114AF">
                <w:rPr>
                  <w:rStyle w:val="Hyperlink"/>
                  <w:rFonts w:ascii="Garamond" w:hAnsi="Garamond"/>
                  <w:color w:val="000000"/>
                  <w:sz w:val="14"/>
                  <w:szCs w:val="14"/>
                  <w:lang w:val="sq-AL"/>
                </w:rPr>
                <w:t xml:space="preserve">thirrjes së USAID/SIDA për propozimin </w:t>
              </w:r>
              <w:r w:rsidR="00D10DAB" w:rsidRPr="007114AF">
                <w:rPr>
                  <w:rStyle w:val="Hyperlink"/>
                  <w:rFonts w:ascii="Garamond" w:hAnsi="Garamond"/>
                  <w:color w:val="000000"/>
                  <w:sz w:val="14"/>
                  <w:szCs w:val="14"/>
                  <w:lang w:val="sq-AL"/>
                </w:rPr>
                <w:t>‘</w:t>
              </w:r>
              <w:r w:rsidRPr="007114AF">
                <w:rPr>
                  <w:rStyle w:val="Hyperlink"/>
                  <w:rFonts w:ascii="Garamond" w:hAnsi="Garamond"/>
                  <w:color w:val="000000"/>
                  <w:sz w:val="14"/>
                  <w:szCs w:val="14"/>
                  <w:lang w:val="sq-AL"/>
                </w:rPr>
                <w:t>Turizmi si Komponent Pararojë</w:t>
              </w:r>
              <w:r w:rsidR="00D10DAB" w:rsidRPr="007114AF">
                <w:rPr>
                  <w:rStyle w:val="Hyperlink"/>
                  <w:rFonts w:ascii="Garamond" w:hAnsi="Garamond"/>
                  <w:color w:val="000000"/>
                  <w:sz w:val="14"/>
                  <w:szCs w:val="14"/>
                  <w:lang w:val="sq-AL"/>
                </w:rPr>
                <w:t>’</w:t>
              </w:r>
            </w:hyperlink>
            <w:r w:rsidRPr="007114AF">
              <w:rPr>
                <w:rFonts w:ascii="Garamond" w:hAnsi="Garamond"/>
                <w:color w:val="000000"/>
                <w:sz w:val="14"/>
                <w:szCs w:val="14"/>
                <w:lang w:val="sq-AL"/>
              </w:rPr>
              <w:t>për integrimin</w:t>
            </w:r>
            <w:r w:rsidRPr="007114AF">
              <w:rPr>
                <w:rFonts w:ascii="Garamond" w:hAnsi="Garamond"/>
                <w:sz w:val="14"/>
                <w:szCs w:val="14"/>
                <w:lang w:val="sq-AL"/>
              </w:rPr>
              <w:t xml:space="preserve"> e aspekteve të NDRYSHIMEVE KLIMATIKE</w:t>
            </w:r>
          </w:p>
        </w:tc>
      </w:tr>
      <w:tr w:rsidR="00975179" w:rsidRPr="007114AF" w14:paraId="6EDD1494" w14:textId="77777777" w:rsidTr="009160D5">
        <w:trPr>
          <w:trHeight w:val="1168"/>
        </w:trPr>
        <w:tc>
          <w:tcPr>
            <w:tcW w:w="3251" w:type="dxa"/>
            <w:shd w:val="clear" w:color="auto" w:fill="auto"/>
          </w:tcPr>
          <w:p w14:paraId="6EDD148E" w14:textId="258E5EB3"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14:</w:t>
            </w:r>
            <w:r w:rsidR="000A2A01" w:rsidRPr="007114AF">
              <w:rPr>
                <w:rFonts w:ascii="Garamond" w:hAnsi="Garamond" w:cs="Calibri"/>
                <w:sz w:val="14"/>
                <w:szCs w:val="14"/>
              </w:rPr>
              <w:t xml:space="preserve"> </w:t>
            </w:r>
            <w:r w:rsidR="00975179" w:rsidRPr="007114AF">
              <w:rPr>
                <w:rFonts w:ascii="Garamond" w:hAnsi="Garamond" w:cs="Calibri"/>
                <w:sz w:val="14"/>
                <w:szCs w:val="14"/>
              </w:rPr>
              <w:t>Rritja e nivelit të gatishmërisë së mbrojtjes civile dhe të zvogëlimit të rrezikut të fatkeqësive natyrore</w:t>
            </w:r>
          </w:p>
        </w:tc>
        <w:tc>
          <w:tcPr>
            <w:tcW w:w="1417" w:type="dxa"/>
            <w:shd w:val="clear" w:color="auto" w:fill="auto"/>
            <w:vAlign w:val="center"/>
          </w:tcPr>
          <w:p w14:paraId="6EDD148F" w14:textId="68382C03" w:rsidR="00975179" w:rsidRPr="007114AF" w:rsidRDefault="00975179" w:rsidP="009160D5">
            <w:pPr>
              <w:rPr>
                <w:rFonts w:ascii="Garamond" w:hAnsi="Garamond" w:cs="Calibri"/>
                <w:sz w:val="14"/>
                <w:szCs w:val="14"/>
              </w:rPr>
            </w:pPr>
            <w:r w:rsidRPr="007114AF">
              <w:rPr>
                <w:rFonts w:ascii="Garamond" w:hAnsi="Garamond" w:cs="Calibri"/>
                <w:bCs/>
                <w:iCs/>
                <w:sz w:val="14"/>
                <w:szCs w:val="14"/>
              </w:rPr>
              <w:t>1201.5 miliard</w:t>
            </w:r>
            <w:r w:rsidR="00242009" w:rsidRPr="007114AF">
              <w:rPr>
                <w:rFonts w:ascii="Garamond" w:hAnsi="Garamond" w:cs="Calibri"/>
                <w:bCs/>
                <w:iCs/>
                <w:sz w:val="14"/>
                <w:szCs w:val="14"/>
              </w:rPr>
              <w:t>ë</w:t>
            </w:r>
            <w:r w:rsidRPr="007114AF">
              <w:rPr>
                <w:rFonts w:ascii="Garamond" w:hAnsi="Garamond" w:cs="Calibri"/>
                <w:bCs/>
                <w:iCs/>
                <w:sz w:val="14"/>
                <w:szCs w:val="14"/>
              </w:rPr>
              <w:t xml:space="preserve"> LEKË</w:t>
            </w:r>
          </w:p>
        </w:tc>
        <w:tc>
          <w:tcPr>
            <w:tcW w:w="1413" w:type="dxa"/>
            <w:shd w:val="clear" w:color="auto" w:fill="auto"/>
            <w:vAlign w:val="center"/>
          </w:tcPr>
          <w:p w14:paraId="6EDD1490" w14:textId="30D56251" w:rsidR="00975179" w:rsidRPr="007114AF" w:rsidRDefault="00975179" w:rsidP="009160D5">
            <w:pPr>
              <w:rPr>
                <w:rFonts w:ascii="Garamond" w:hAnsi="Garamond" w:cs="Calibri"/>
                <w:sz w:val="14"/>
                <w:szCs w:val="14"/>
              </w:rPr>
            </w:pPr>
            <w:r w:rsidRPr="007114AF">
              <w:rPr>
                <w:rFonts w:ascii="Garamond" w:hAnsi="Garamond" w:cs="Calibri"/>
                <w:sz w:val="14"/>
                <w:szCs w:val="14"/>
              </w:rPr>
              <w:t>për t</w:t>
            </w:r>
            <w:r w:rsidR="00D10DAB" w:rsidRPr="007114AF">
              <w:rPr>
                <w:rFonts w:ascii="Garamond" w:hAnsi="Garamond" w:cs="Calibri"/>
                <w:sz w:val="14"/>
                <w:szCs w:val="14"/>
              </w:rPr>
              <w:t>’</w:t>
            </w:r>
            <w:r w:rsidRPr="007114AF">
              <w:rPr>
                <w:rFonts w:ascii="Garamond" w:hAnsi="Garamond" w:cs="Calibri"/>
                <w:sz w:val="14"/>
                <w:szCs w:val="14"/>
              </w:rPr>
              <w:t>u vendosur</w:t>
            </w:r>
          </w:p>
        </w:tc>
        <w:tc>
          <w:tcPr>
            <w:tcW w:w="5103" w:type="dxa"/>
            <w:shd w:val="clear" w:color="auto" w:fill="auto"/>
          </w:tcPr>
          <w:p w14:paraId="6EDD1491" w14:textId="5D330C7D" w:rsidR="00975179" w:rsidRPr="007114AF" w:rsidRDefault="00975179" w:rsidP="009160D5">
            <w:pPr>
              <w:pStyle w:val="Standardtextbody"/>
              <w:spacing w:after="0" w:line="240" w:lineRule="auto"/>
              <w:jc w:val="both"/>
              <w:rPr>
                <w:rFonts w:ascii="Garamond" w:eastAsia="Calibri" w:hAnsi="Garamond" w:cs="Calibri"/>
                <w:bCs w:val="0"/>
                <w:iCs w:val="0"/>
                <w:sz w:val="14"/>
                <w:szCs w:val="14"/>
                <w:lang w:val="sq-AL"/>
              </w:rPr>
            </w:pPr>
            <w:r w:rsidRPr="007114AF">
              <w:rPr>
                <w:rFonts w:ascii="Garamond" w:eastAsia="Calibri" w:hAnsi="Garamond" w:cs="Calibri"/>
                <w:bCs w:val="0"/>
                <w:iCs w:val="0"/>
                <w:sz w:val="14"/>
                <w:szCs w:val="14"/>
                <w:lang w:val="sq-AL"/>
              </w:rPr>
              <w:t>- pjesërisht të mbuluara nga fonde të vazhdueshme të BE</w:t>
            </w:r>
            <w:r w:rsidR="000A2A01" w:rsidRPr="007114AF">
              <w:rPr>
                <w:rFonts w:ascii="Garamond" w:eastAsia="Calibri" w:hAnsi="Garamond" w:cs="Calibri"/>
                <w:bCs w:val="0"/>
                <w:iCs w:val="0"/>
                <w:sz w:val="14"/>
                <w:szCs w:val="14"/>
                <w:lang w:val="sq-AL"/>
              </w:rPr>
              <w:t xml:space="preserve"> </w:t>
            </w:r>
            <w:r w:rsidRPr="007114AF">
              <w:rPr>
                <w:rFonts w:ascii="Garamond" w:eastAsia="Calibri" w:hAnsi="Garamond" w:cs="Calibri"/>
                <w:bCs w:val="0"/>
                <w:iCs w:val="0"/>
                <w:sz w:val="14"/>
                <w:szCs w:val="14"/>
                <w:lang w:val="sq-AL"/>
              </w:rPr>
              <w:t xml:space="preserve">IPA II </w:t>
            </w:r>
          </w:p>
          <w:p w14:paraId="6EDD1492" w14:textId="77777777" w:rsidR="00975179" w:rsidRPr="007114AF" w:rsidRDefault="00975179" w:rsidP="009160D5">
            <w:pPr>
              <w:pStyle w:val="Standardtextbody"/>
              <w:spacing w:after="0" w:line="240" w:lineRule="auto"/>
              <w:jc w:val="both"/>
              <w:rPr>
                <w:rFonts w:ascii="Garamond" w:eastAsia="Calibri" w:hAnsi="Garamond" w:cs="Calibri"/>
                <w:bCs w:val="0"/>
                <w:iCs w:val="0"/>
                <w:sz w:val="14"/>
                <w:szCs w:val="14"/>
                <w:lang w:val="sq-AL"/>
              </w:rPr>
            </w:pPr>
            <w:r w:rsidRPr="007114AF">
              <w:rPr>
                <w:rFonts w:ascii="Garamond" w:eastAsia="Calibri" w:hAnsi="Garamond" w:cs="Calibri"/>
                <w:bCs w:val="0"/>
                <w:iCs w:val="0"/>
                <w:sz w:val="14"/>
                <w:szCs w:val="14"/>
                <w:lang w:val="sq-AL"/>
              </w:rPr>
              <w:t xml:space="preserve">- afatshkurtër dhe afatmesëm: WBIF </w:t>
            </w:r>
          </w:p>
        </w:tc>
        <w:tc>
          <w:tcPr>
            <w:tcW w:w="3402" w:type="dxa"/>
            <w:shd w:val="clear" w:color="auto" w:fill="auto"/>
          </w:tcPr>
          <w:p w14:paraId="6EDD1493" w14:textId="77777777" w:rsidR="00975179" w:rsidRPr="007114AF" w:rsidRDefault="00975179" w:rsidP="009160D5">
            <w:pPr>
              <w:pStyle w:val="Standardtextbody"/>
              <w:jc w:val="both"/>
              <w:rPr>
                <w:rFonts w:ascii="Garamond" w:eastAsia="Calibri" w:hAnsi="Garamond" w:cs="Calibri"/>
                <w:bCs w:val="0"/>
                <w:iCs w:val="0"/>
                <w:sz w:val="14"/>
                <w:szCs w:val="14"/>
                <w:lang w:val="sq-AL"/>
              </w:rPr>
            </w:pPr>
            <w:r w:rsidRPr="007114AF">
              <w:rPr>
                <w:rFonts w:ascii="Garamond" w:eastAsia="Calibri" w:hAnsi="Garamond" w:cs="Calibri"/>
                <w:bCs w:val="0"/>
                <w:iCs w:val="0"/>
                <w:sz w:val="14"/>
                <w:szCs w:val="14"/>
                <w:lang w:val="sq-AL"/>
              </w:rPr>
              <w:t>- të rishikohen preventivët</w:t>
            </w:r>
          </w:p>
        </w:tc>
      </w:tr>
      <w:tr w:rsidR="00975179" w:rsidRPr="007114AF" w14:paraId="6EDD149A" w14:textId="77777777" w:rsidTr="009160D5">
        <w:tc>
          <w:tcPr>
            <w:tcW w:w="3251" w:type="dxa"/>
            <w:shd w:val="clear" w:color="auto" w:fill="auto"/>
          </w:tcPr>
          <w:p w14:paraId="6EDD1495" w14:textId="1CC3A69A" w:rsidR="00975179" w:rsidRPr="007114AF" w:rsidRDefault="008D30FC" w:rsidP="009160D5">
            <w:pPr>
              <w:rPr>
                <w:rFonts w:ascii="Garamond" w:hAnsi="Garamond" w:cs="Calibri"/>
                <w:sz w:val="14"/>
                <w:szCs w:val="14"/>
              </w:rPr>
            </w:pPr>
            <w:r w:rsidRPr="007114AF">
              <w:rPr>
                <w:rFonts w:ascii="Garamond" w:hAnsi="Garamond" w:cs="Calibri"/>
                <w:sz w:val="14"/>
                <w:szCs w:val="14"/>
              </w:rPr>
              <w:t xml:space="preserve">Nr. </w:t>
            </w:r>
            <w:r w:rsidR="00975179" w:rsidRPr="007114AF">
              <w:rPr>
                <w:rFonts w:ascii="Garamond" w:hAnsi="Garamond" w:cs="Calibri"/>
                <w:sz w:val="14"/>
                <w:szCs w:val="14"/>
              </w:rPr>
              <w:t>15</w:t>
            </w:r>
            <w:r w:rsidR="000A2A01" w:rsidRPr="007114AF">
              <w:rPr>
                <w:rFonts w:ascii="Garamond" w:hAnsi="Garamond" w:cs="Calibri"/>
                <w:sz w:val="14"/>
                <w:szCs w:val="14"/>
              </w:rPr>
              <w:t xml:space="preserve"> </w:t>
            </w:r>
            <w:r w:rsidR="00975179" w:rsidRPr="007114AF">
              <w:rPr>
                <w:rFonts w:ascii="Garamond" w:hAnsi="Garamond" w:cs="Calibri"/>
                <w:sz w:val="14"/>
                <w:szCs w:val="14"/>
              </w:rPr>
              <w:t xml:space="preserve">Ndërtimi për Rikuperimin e Lagunës </w:t>
            </w:r>
            <w:r w:rsidR="00FE05E1">
              <w:rPr>
                <w:rFonts w:ascii="Garamond" w:hAnsi="Garamond" w:cs="Calibri"/>
                <w:sz w:val="14"/>
                <w:szCs w:val="14"/>
              </w:rPr>
              <w:t>Kune–Vain</w:t>
            </w:r>
            <w:r w:rsidR="00975179" w:rsidRPr="007114AF">
              <w:rPr>
                <w:rFonts w:ascii="Garamond" w:hAnsi="Garamond" w:cs="Calibri"/>
                <w:sz w:val="14"/>
                <w:szCs w:val="14"/>
              </w:rPr>
              <w:t>i nëpërmjet Adaptimit me bazë Ekosistemin (EbA)</w:t>
            </w:r>
            <w:r w:rsidR="000A2A01" w:rsidRPr="007114AF">
              <w:rPr>
                <w:rFonts w:ascii="Garamond" w:hAnsi="Garamond" w:cs="Calibri"/>
                <w:sz w:val="14"/>
                <w:szCs w:val="14"/>
              </w:rPr>
              <w:t>”</w:t>
            </w:r>
          </w:p>
        </w:tc>
        <w:tc>
          <w:tcPr>
            <w:tcW w:w="1417" w:type="dxa"/>
            <w:shd w:val="clear" w:color="auto" w:fill="auto"/>
            <w:vAlign w:val="center"/>
          </w:tcPr>
          <w:p w14:paraId="6EDD1496" w14:textId="77777777" w:rsidR="00975179" w:rsidRPr="007114AF" w:rsidRDefault="00975179" w:rsidP="009160D5">
            <w:pPr>
              <w:rPr>
                <w:rFonts w:ascii="Garamond" w:hAnsi="Garamond" w:cs="Calibri"/>
                <w:bCs/>
                <w:iCs/>
                <w:sz w:val="14"/>
                <w:szCs w:val="14"/>
              </w:rPr>
            </w:pPr>
            <w:r w:rsidRPr="007114AF">
              <w:rPr>
                <w:rFonts w:ascii="Garamond" w:hAnsi="Garamond" w:cs="Calibri"/>
                <w:bCs/>
                <w:iCs/>
                <w:sz w:val="14"/>
                <w:szCs w:val="14"/>
              </w:rPr>
              <w:t>242 million LEKË</w:t>
            </w:r>
          </w:p>
        </w:tc>
        <w:tc>
          <w:tcPr>
            <w:tcW w:w="1413" w:type="dxa"/>
            <w:shd w:val="clear" w:color="auto" w:fill="auto"/>
            <w:vAlign w:val="center"/>
          </w:tcPr>
          <w:p w14:paraId="6EDD1497" w14:textId="77777777" w:rsidR="00975179" w:rsidRPr="007114AF" w:rsidRDefault="00975179" w:rsidP="009160D5">
            <w:pPr>
              <w:rPr>
                <w:rFonts w:ascii="Garamond" w:hAnsi="Garamond" w:cs="Calibri"/>
                <w:sz w:val="14"/>
                <w:szCs w:val="14"/>
              </w:rPr>
            </w:pPr>
          </w:p>
        </w:tc>
        <w:tc>
          <w:tcPr>
            <w:tcW w:w="5103" w:type="dxa"/>
            <w:shd w:val="clear" w:color="auto" w:fill="auto"/>
          </w:tcPr>
          <w:p w14:paraId="6EDD1498" w14:textId="4244A0C9" w:rsidR="00975179" w:rsidRPr="007114AF" w:rsidRDefault="00975179" w:rsidP="009160D5">
            <w:pPr>
              <w:pStyle w:val="Standardtextbody"/>
              <w:spacing w:after="0" w:line="240" w:lineRule="auto"/>
              <w:jc w:val="both"/>
              <w:rPr>
                <w:rFonts w:ascii="Garamond" w:eastAsia="Calibri" w:hAnsi="Garamond" w:cs="Calibri"/>
                <w:bCs w:val="0"/>
                <w:iCs w:val="0"/>
                <w:sz w:val="14"/>
                <w:szCs w:val="14"/>
                <w:lang w:val="sq-AL"/>
              </w:rPr>
            </w:pPr>
            <w:r w:rsidRPr="007114AF">
              <w:rPr>
                <w:rFonts w:ascii="Garamond" w:eastAsia="Calibri" w:hAnsi="Garamond" w:cs="Calibri"/>
                <w:bCs w:val="0"/>
                <w:iCs w:val="0"/>
                <w:sz w:val="14"/>
                <w:szCs w:val="14"/>
                <w:lang w:val="sq-AL"/>
              </w:rPr>
              <w:t>Afatshkurter- financuar nga</w:t>
            </w:r>
            <w:r w:rsidR="000A2A01" w:rsidRPr="007114AF">
              <w:rPr>
                <w:rFonts w:ascii="Garamond" w:eastAsia="Calibri" w:hAnsi="Garamond" w:cs="Calibri"/>
                <w:bCs w:val="0"/>
                <w:iCs w:val="0"/>
                <w:sz w:val="14"/>
                <w:szCs w:val="14"/>
                <w:lang w:val="sq-AL"/>
              </w:rPr>
              <w:t xml:space="preserve"> </w:t>
            </w:r>
            <w:r w:rsidRPr="007114AF">
              <w:rPr>
                <w:rFonts w:ascii="Garamond" w:hAnsi="Garamond"/>
                <w:sz w:val="14"/>
                <w:szCs w:val="14"/>
                <w:lang w:val="sq-AL"/>
              </w:rPr>
              <w:t>GEF/UNEP</w:t>
            </w:r>
            <w:r w:rsidR="000A2A01" w:rsidRPr="007114AF">
              <w:rPr>
                <w:rFonts w:ascii="Garamond" w:hAnsi="Garamond"/>
                <w:sz w:val="14"/>
                <w:szCs w:val="14"/>
                <w:lang w:val="sq-AL"/>
              </w:rPr>
              <w:t xml:space="preserve"> </w:t>
            </w:r>
          </w:p>
        </w:tc>
        <w:tc>
          <w:tcPr>
            <w:tcW w:w="3402" w:type="dxa"/>
            <w:shd w:val="clear" w:color="auto" w:fill="auto"/>
          </w:tcPr>
          <w:p w14:paraId="6EDD1499" w14:textId="77777777" w:rsidR="00975179" w:rsidRPr="007114AF" w:rsidRDefault="00975179" w:rsidP="009160D5">
            <w:pPr>
              <w:pStyle w:val="Standardtextbody"/>
              <w:jc w:val="both"/>
              <w:rPr>
                <w:rFonts w:ascii="Garamond" w:eastAsia="Calibri" w:hAnsi="Garamond" w:cs="Calibri"/>
                <w:bCs w:val="0"/>
                <w:iCs w:val="0"/>
                <w:sz w:val="14"/>
                <w:szCs w:val="14"/>
                <w:lang w:val="sq-AL"/>
              </w:rPr>
            </w:pPr>
          </w:p>
        </w:tc>
      </w:tr>
    </w:tbl>
    <w:p w14:paraId="6EDD149B" w14:textId="77777777" w:rsidR="00D82F76" w:rsidRPr="007114AF" w:rsidRDefault="00975179" w:rsidP="00E45764">
      <w:pPr>
        <w:rPr>
          <w:rFonts w:ascii="Garamond" w:hAnsi="Garamond" w:cstheme="majorBidi"/>
          <w:b/>
          <w:bCs/>
          <w:iCs/>
          <w:u w:val="single"/>
          <w:lang w:eastAsia="en-US"/>
        </w:rPr>
      </w:pPr>
      <w:r w:rsidRPr="007114AF">
        <w:rPr>
          <w:rFonts w:ascii="Garamond" w:hAnsi="Garamond" w:cstheme="majorBidi"/>
          <w:b/>
          <w:bCs/>
          <w:iCs/>
          <w:u w:val="single"/>
          <w:lang w:eastAsia="en-US"/>
        </w:rPr>
        <w:t>\</w:t>
      </w:r>
    </w:p>
    <w:tbl>
      <w:tblPr>
        <w:tblpPr w:leftFromText="180" w:rightFromText="180" w:vertAnchor="page" w:horzAnchor="margin" w:tblpX="-75" w:tblpY="1955"/>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417"/>
        <w:gridCol w:w="1413"/>
        <w:gridCol w:w="5103"/>
        <w:gridCol w:w="3402"/>
      </w:tblGrid>
      <w:tr w:rsidR="00E45764" w:rsidRPr="007114AF" w14:paraId="6EDD14A1" w14:textId="77777777" w:rsidTr="00BA14F8">
        <w:trPr>
          <w:trHeight w:val="353"/>
        </w:trPr>
        <w:tc>
          <w:tcPr>
            <w:tcW w:w="3251" w:type="dxa"/>
            <w:shd w:val="clear" w:color="auto" w:fill="B6DDE8" w:themeFill="accent5" w:themeFillTint="66"/>
            <w:vAlign w:val="center"/>
          </w:tcPr>
          <w:p w14:paraId="6EDD149C" w14:textId="77777777" w:rsidR="00E45764" w:rsidRPr="007114AF" w:rsidRDefault="00E45764" w:rsidP="00D82F76">
            <w:pPr>
              <w:spacing w:after="0" w:line="240" w:lineRule="auto"/>
              <w:rPr>
                <w:rFonts w:ascii="Garamond" w:hAnsi="Garamond" w:cs="Calibri"/>
                <w:b/>
                <w:sz w:val="18"/>
                <w:szCs w:val="18"/>
              </w:rPr>
            </w:pPr>
            <w:r w:rsidRPr="007114AF">
              <w:rPr>
                <w:rFonts w:ascii="Garamond" w:hAnsi="Garamond" w:cs="Calibri"/>
                <w:b/>
                <w:sz w:val="18"/>
                <w:szCs w:val="18"/>
              </w:rPr>
              <w:t>Masat gjithëpërfshirëse / kuadri i zbatimit</w:t>
            </w:r>
          </w:p>
        </w:tc>
        <w:tc>
          <w:tcPr>
            <w:tcW w:w="1417" w:type="dxa"/>
            <w:shd w:val="clear" w:color="auto" w:fill="B6DDE8" w:themeFill="accent5" w:themeFillTint="66"/>
            <w:vAlign w:val="center"/>
          </w:tcPr>
          <w:p w14:paraId="6EDD149D" w14:textId="77777777" w:rsidR="00E45764" w:rsidRPr="007114AF" w:rsidRDefault="00E45764" w:rsidP="00D82F76">
            <w:pPr>
              <w:spacing w:after="0" w:line="240" w:lineRule="auto"/>
              <w:rPr>
                <w:rFonts w:ascii="Garamond" w:hAnsi="Garamond" w:cs="Calibri"/>
                <w:b/>
                <w:sz w:val="18"/>
                <w:szCs w:val="18"/>
              </w:rPr>
            </w:pPr>
            <w:r w:rsidRPr="007114AF">
              <w:rPr>
                <w:rFonts w:ascii="Garamond" w:hAnsi="Garamond" w:cs="Calibri"/>
                <w:b/>
                <w:sz w:val="18"/>
                <w:szCs w:val="18"/>
              </w:rPr>
              <w:t>Kostoja totale</w:t>
            </w:r>
          </w:p>
        </w:tc>
        <w:tc>
          <w:tcPr>
            <w:tcW w:w="1413" w:type="dxa"/>
            <w:shd w:val="clear" w:color="auto" w:fill="B6DDE8" w:themeFill="accent5" w:themeFillTint="66"/>
            <w:vAlign w:val="center"/>
          </w:tcPr>
          <w:p w14:paraId="6EDD149E" w14:textId="77777777" w:rsidR="00E45764" w:rsidRPr="007114AF" w:rsidRDefault="00E45764" w:rsidP="00D82F76">
            <w:pPr>
              <w:spacing w:after="0" w:line="240" w:lineRule="auto"/>
              <w:rPr>
                <w:rFonts w:ascii="Garamond" w:hAnsi="Garamond" w:cs="Calibri"/>
                <w:b/>
                <w:sz w:val="18"/>
                <w:szCs w:val="18"/>
              </w:rPr>
            </w:pPr>
            <w:r w:rsidRPr="007114AF">
              <w:rPr>
                <w:rFonts w:ascii="Garamond" w:hAnsi="Garamond" w:cs="Calibri"/>
                <w:b/>
                <w:sz w:val="18"/>
                <w:szCs w:val="18"/>
              </w:rPr>
              <w:t>Buxheti kombëtar</w:t>
            </w:r>
          </w:p>
        </w:tc>
        <w:tc>
          <w:tcPr>
            <w:tcW w:w="5103" w:type="dxa"/>
            <w:shd w:val="clear" w:color="auto" w:fill="B6DDE8" w:themeFill="accent5" w:themeFillTint="66"/>
            <w:vAlign w:val="center"/>
          </w:tcPr>
          <w:p w14:paraId="6EDD149F" w14:textId="77777777" w:rsidR="00E45764" w:rsidRPr="007114AF" w:rsidRDefault="00E45764" w:rsidP="00D82F76">
            <w:pPr>
              <w:spacing w:after="0" w:line="240" w:lineRule="auto"/>
              <w:rPr>
                <w:rFonts w:ascii="Garamond" w:hAnsi="Garamond" w:cs="Calibri"/>
                <w:b/>
                <w:sz w:val="18"/>
                <w:szCs w:val="18"/>
              </w:rPr>
            </w:pPr>
            <w:r w:rsidRPr="007114AF">
              <w:rPr>
                <w:rFonts w:ascii="Garamond" w:hAnsi="Garamond" w:cs="Calibri"/>
                <w:b/>
                <w:sz w:val="18"/>
                <w:szCs w:val="18"/>
              </w:rPr>
              <w:t xml:space="preserve">Financuesit/investuesit e mundshëm të jashtëm </w:t>
            </w:r>
          </w:p>
        </w:tc>
        <w:tc>
          <w:tcPr>
            <w:tcW w:w="3402" w:type="dxa"/>
            <w:shd w:val="clear" w:color="auto" w:fill="B6DDE8" w:themeFill="accent5" w:themeFillTint="66"/>
            <w:vAlign w:val="center"/>
          </w:tcPr>
          <w:p w14:paraId="6EDD14A0" w14:textId="77777777" w:rsidR="00E45764" w:rsidRPr="007114AF" w:rsidRDefault="00E45764" w:rsidP="00D82F76">
            <w:pPr>
              <w:spacing w:after="0" w:line="240" w:lineRule="auto"/>
              <w:rPr>
                <w:rFonts w:ascii="Garamond" w:hAnsi="Garamond" w:cs="Calibri"/>
                <w:b/>
                <w:sz w:val="18"/>
                <w:szCs w:val="18"/>
              </w:rPr>
            </w:pPr>
            <w:r w:rsidRPr="007114AF">
              <w:rPr>
                <w:rFonts w:ascii="Garamond" w:hAnsi="Garamond" w:cs="Calibri"/>
                <w:b/>
                <w:sz w:val="18"/>
                <w:szCs w:val="18"/>
              </w:rPr>
              <w:t>Hapi i ardhshëm</w:t>
            </w:r>
          </w:p>
        </w:tc>
      </w:tr>
      <w:tr w:rsidR="00E45764" w:rsidRPr="007114AF" w14:paraId="6EDD14A8" w14:textId="77777777" w:rsidTr="00BA14F8">
        <w:trPr>
          <w:trHeight w:val="713"/>
        </w:trPr>
        <w:tc>
          <w:tcPr>
            <w:tcW w:w="3251" w:type="dxa"/>
            <w:shd w:val="clear" w:color="auto" w:fill="auto"/>
          </w:tcPr>
          <w:p w14:paraId="6EDD14A2" w14:textId="141439EE"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 xml:space="preserve">1: Drejtimi i procesit të përshtatjes në Shqipëri </w:t>
            </w:r>
          </w:p>
        </w:tc>
        <w:tc>
          <w:tcPr>
            <w:tcW w:w="1417" w:type="dxa"/>
            <w:shd w:val="clear" w:color="auto" w:fill="auto"/>
            <w:vAlign w:val="center"/>
          </w:tcPr>
          <w:p w14:paraId="6EDD14A3" w14:textId="11726194"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591.6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1413" w:type="dxa"/>
            <w:shd w:val="clear" w:color="auto" w:fill="auto"/>
            <w:vAlign w:val="center"/>
          </w:tcPr>
          <w:p w14:paraId="6EDD14A4" w14:textId="2AE2FC0C"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2.7 </w:t>
            </w:r>
            <w:r w:rsidR="001C47F0" w:rsidRPr="007114AF">
              <w:rPr>
                <w:rFonts w:ascii="Garamond" w:hAnsi="Garamond" w:cs="Calibri"/>
                <w:sz w:val="18"/>
                <w:szCs w:val="18"/>
              </w:rPr>
              <w:t xml:space="preserve">milionë </w:t>
            </w:r>
            <w:r w:rsidRPr="007114AF">
              <w:rPr>
                <w:rFonts w:ascii="Garamond" w:hAnsi="Garamond" w:cs="Calibri"/>
                <w:sz w:val="18"/>
                <w:szCs w:val="18"/>
              </w:rPr>
              <w:t>LEKË/ vit</w:t>
            </w:r>
          </w:p>
        </w:tc>
        <w:tc>
          <w:tcPr>
            <w:tcW w:w="5103" w:type="dxa"/>
            <w:shd w:val="clear" w:color="auto" w:fill="auto"/>
          </w:tcPr>
          <w:p w14:paraId="6EDD14A5"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afatshkurtër: BE IPA II, aplikimi i dërguar (270 mil. LEK)</w:t>
            </w:r>
          </w:p>
          <w:p w14:paraId="6EDD14A6" w14:textId="6A1A7E6E"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afatshkurtër: pjesërisht të mbuluar nga mbështetja</w:t>
            </w:r>
            <w:r w:rsidR="000A2A01" w:rsidRPr="007114AF">
              <w:rPr>
                <w:rFonts w:ascii="Garamond" w:hAnsi="Garamond" w:cs="Calibri"/>
                <w:sz w:val="18"/>
                <w:szCs w:val="18"/>
              </w:rPr>
              <w:t xml:space="preserve"> </w:t>
            </w:r>
            <w:r w:rsidRPr="007114AF">
              <w:rPr>
                <w:rFonts w:ascii="Garamond" w:hAnsi="Garamond" w:cs="Calibri"/>
                <w:sz w:val="18"/>
                <w:szCs w:val="18"/>
              </w:rPr>
              <w:t>e gatishmërisë së FGJK (GCF)</w:t>
            </w:r>
          </w:p>
        </w:tc>
        <w:tc>
          <w:tcPr>
            <w:tcW w:w="3402" w:type="dxa"/>
            <w:shd w:val="clear" w:color="auto" w:fill="auto"/>
          </w:tcPr>
          <w:p w14:paraId="6EDD14A7"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Shihni gjithashtu udhërrëfyesin në kapitullin 4 </w:t>
            </w:r>
          </w:p>
        </w:tc>
      </w:tr>
      <w:tr w:rsidR="00E45764" w:rsidRPr="007114AF" w14:paraId="6EDD14AF" w14:textId="77777777" w:rsidTr="00BA14F8">
        <w:trPr>
          <w:trHeight w:val="803"/>
        </w:trPr>
        <w:tc>
          <w:tcPr>
            <w:tcW w:w="3251" w:type="dxa"/>
            <w:shd w:val="clear" w:color="auto" w:fill="auto"/>
          </w:tcPr>
          <w:p w14:paraId="6EDD14A9" w14:textId="6401C1C9"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2:</w:t>
            </w:r>
            <w:r w:rsidR="000A2A01" w:rsidRPr="007114AF">
              <w:rPr>
                <w:rFonts w:ascii="Garamond" w:hAnsi="Garamond" w:cs="Calibri"/>
                <w:sz w:val="18"/>
                <w:szCs w:val="18"/>
              </w:rPr>
              <w:t xml:space="preserve"> </w:t>
            </w:r>
            <w:r w:rsidR="00E45764" w:rsidRPr="007114AF">
              <w:rPr>
                <w:rFonts w:ascii="Garamond" w:hAnsi="Garamond" w:cs="Calibri"/>
                <w:sz w:val="18"/>
                <w:szCs w:val="18"/>
              </w:rPr>
              <w:t>Nisma integruese gjithëpërfshirëse</w:t>
            </w:r>
          </w:p>
        </w:tc>
        <w:tc>
          <w:tcPr>
            <w:tcW w:w="1417" w:type="dxa"/>
            <w:shd w:val="clear" w:color="auto" w:fill="auto"/>
            <w:vAlign w:val="center"/>
          </w:tcPr>
          <w:p w14:paraId="6EDD14AA" w14:textId="5C498E7F"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32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1413" w:type="dxa"/>
            <w:shd w:val="clear" w:color="auto" w:fill="auto"/>
            <w:vAlign w:val="center"/>
          </w:tcPr>
          <w:p w14:paraId="6EDD14AB" w14:textId="6952E601"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4 </w:t>
            </w:r>
            <w:r w:rsidR="001C47F0" w:rsidRPr="007114AF">
              <w:rPr>
                <w:rFonts w:ascii="Garamond" w:hAnsi="Garamond" w:cs="Calibri"/>
                <w:sz w:val="18"/>
                <w:szCs w:val="18"/>
              </w:rPr>
              <w:t xml:space="preserve">milionë </w:t>
            </w:r>
            <w:r w:rsidRPr="007114AF">
              <w:rPr>
                <w:rFonts w:ascii="Garamond" w:hAnsi="Garamond" w:cs="Calibri"/>
                <w:sz w:val="18"/>
                <w:szCs w:val="18"/>
              </w:rPr>
              <w:t>LEKË/vit</w:t>
            </w:r>
          </w:p>
        </w:tc>
        <w:tc>
          <w:tcPr>
            <w:tcW w:w="5103" w:type="dxa"/>
            <w:shd w:val="clear" w:color="auto" w:fill="auto"/>
          </w:tcPr>
          <w:p w14:paraId="6EDD14AC"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 afatshkurtër: BE IPA II </w:t>
            </w:r>
          </w:p>
          <w:p w14:paraId="6EDD14AD" w14:textId="52C65978"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afatshkurtër:</w:t>
            </w:r>
            <w:r w:rsidR="000A2A01" w:rsidRPr="007114AF">
              <w:rPr>
                <w:rFonts w:ascii="Garamond" w:hAnsi="Garamond" w:cs="Calibri"/>
                <w:sz w:val="18"/>
                <w:szCs w:val="18"/>
              </w:rPr>
              <w:t xml:space="preserve"> </w:t>
            </w:r>
            <w:r w:rsidRPr="007114AF">
              <w:rPr>
                <w:rFonts w:ascii="Garamond" w:hAnsi="Garamond" w:cs="Calibri"/>
                <w:sz w:val="18"/>
                <w:szCs w:val="18"/>
              </w:rPr>
              <w:t>pjesërisht të mbuluar nga mbështetja</w:t>
            </w:r>
            <w:r w:rsidR="000A2A01" w:rsidRPr="007114AF">
              <w:rPr>
                <w:rFonts w:ascii="Garamond" w:hAnsi="Garamond" w:cs="Calibri"/>
                <w:sz w:val="18"/>
                <w:szCs w:val="18"/>
              </w:rPr>
              <w:t xml:space="preserve"> </w:t>
            </w:r>
            <w:r w:rsidRPr="007114AF">
              <w:rPr>
                <w:rFonts w:ascii="Garamond" w:hAnsi="Garamond" w:cs="Calibri"/>
                <w:sz w:val="18"/>
                <w:szCs w:val="18"/>
              </w:rPr>
              <w:t>e gatishmërisë së FGJK (GCF)</w:t>
            </w:r>
          </w:p>
        </w:tc>
        <w:tc>
          <w:tcPr>
            <w:tcW w:w="3402" w:type="dxa"/>
            <w:shd w:val="clear" w:color="auto" w:fill="auto"/>
          </w:tcPr>
          <w:p w14:paraId="6EDD14AE"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Shihni gjithashtu udhërrëfyesin në kapitullin 4</w:t>
            </w:r>
          </w:p>
        </w:tc>
      </w:tr>
      <w:tr w:rsidR="00E45764" w:rsidRPr="007114AF" w14:paraId="6EDD14B6" w14:textId="77777777" w:rsidTr="00BA14F8">
        <w:trPr>
          <w:trHeight w:val="1100"/>
        </w:trPr>
        <w:tc>
          <w:tcPr>
            <w:tcW w:w="3251" w:type="dxa"/>
            <w:shd w:val="clear" w:color="auto" w:fill="auto"/>
          </w:tcPr>
          <w:p w14:paraId="6EDD14B0" w14:textId="2D433CD8"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3:</w:t>
            </w:r>
            <w:r w:rsidRPr="007114AF">
              <w:rPr>
                <w:rFonts w:ascii="Garamond" w:hAnsi="Garamond" w:cs="Calibri"/>
                <w:sz w:val="18"/>
                <w:szCs w:val="18"/>
              </w:rPr>
              <w:t xml:space="preserve"> </w:t>
            </w:r>
            <w:r w:rsidR="00E45764" w:rsidRPr="007114AF">
              <w:rPr>
                <w:rFonts w:ascii="Garamond" w:hAnsi="Garamond" w:cs="Calibri"/>
                <w:sz w:val="18"/>
                <w:szCs w:val="18"/>
              </w:rPr>
              <w:t>Gatishmëria financiare klimatike – Zhvillimi i kapaciteteve për financimin dhe zbatimin e NAP-it në Shqipëri.</w:t>
            </w:r>
          </w:p>
        </w:tc>
        <w:tc>
          <w:tcPr>
            <w:tcW w:w="1417" w:type="dxa"/>
            <w:shd w:val="clear" w:color="auto" w:fill="auto"/>
            <w:vAlign w:val="center"/>
          </w:tcPr>
          <w:p w14:paraId="6EDD14B1" w14:textId="5F8C51B6"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112.5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1413" w:type="dxa"/>
            <w:shd w:val="clear" w:color="auto" w:fill="auto"/>
            <w:vAlign w:val="center"/>
          </w:tcPr>
          <w:p w14:paraId="6EDD14B2" w14:textId="23A90AE6"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për t</w:t>
            </w:r>
            <w:r w:rsidR="00D10DAB" w:rsidRPr="007114AF">
              <w:rPr>
                <w:rFonts w:ascii="Garamond" w:hAnsi="Garamond" w:cs="Calibri"/>
                <w:sz w:val="18"/>
                <w:szCs w:val="18"/>
              </w:rPr>
              <w:t>’</w:t>
            </w:r>
            <w:r w:rsidRPr="007114AF">
              <w:rPr>
                <w:rFonts w:ascii="Garamond" w:hAnsi="Garamond" w:cs="Calibri"/>
                <w:sz w:val="18"/>
                <w:szCs w:val="18"/>
              </w:rPr>
              <w:t>u vendosur</w:t>
            </w:r>
          </w:p>
        </w:tc>
        <w:tc>
          <w:tcPr>
            <w:tcW w:w="5103" w:type="dxa"/>
            <w:shd w:val="clear" w:color="auto" w:fill="auto"/>
          </w:tcPr>
          <w:p w14:paraId="6EDD14B3" w14:textId="6FCA183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afatshkurtër:</w:t>
            </w:r>
            <w:r w:rsidR="000A2A01" w:rsidRPr="007114AF">
              <w:rPr>
                <w:rFonts w:ascii="Garamond" w:hAnsi="Garamond" w:cs="Calibri"/>
                <w:sz w:val="18"/>
                <w:szCs w:val="18"/>
              </w:rPr>
              <w:t xml:space="preserve"> </w:t>
            </w:r>
            <w:r w:rsidRPr="007114AF">
              <w:rPr>
                <w:rFonts w:ascii="Garamond" w:hAnsi="Garamond" w:cs="Calibri"/>
                <w:sz w:val="18"/>
                <w:szCs w:val="18"/>
              </w:rPr>
              <w:t>pjesërisht të mbuluar nga mbështetja</w:t>
            </w:r>
            <w:r w:rsidR="000A2A01" w:rsidRPr="007114AF">
              <w:rPr>
                <w:rFonts w:ascii="Garamond" w:hAnsi="Garamond" w:cs="Calibri"/>
                <w:sz w:val="18"/>
                <w:szCs w:val="18"/>
              </w:rPr>
              <w:t xml:space="preserve"> </w:t>
            </w:r>
            <w:r w:rsidRPr="007114AF">
              <w:rPr>
                <w:rFonts w:ascii="Garamond" w:hAnsi="Garamond" w:cs="Calibri"/>
                <w:sz w:val="18"/>
                <w:szCs w:val="18"/>
              </w:rPr>
              <w:t>e gatishmërisë së FGJK (GCF) (37.5 milionë LEK/vit për 3 vjet)</w:t>
            </w:r>
          </w:p>
          <w:p w14:paraId="6EDD14B4" w14:textId="71C05779"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w:t>
            </w:r>
            <w:r w:rsidR="000A2A01" w:rsidRPr="007114AF">
              <w:rPr>
                <w:rFonts w:ascii="Garamond" w:hAnsi="Garamond" w:cs="Calibri"/>
                <w:sz w:val="18"/>
                <w:szCs w:val="18"/>
              </w:rPr>
              <w:t xml:space="preserve"> </w:t>
            </w:r>
            <w:r w:rsidRPr="007114AF">
              <w:rPr>
                <w:rFonts w:ascii="Garamond" w:hAnsi="Garamond" w:cs="Calibri"/>
                <w:sz w:val="18"/>
                <w:szCs w:val="18"/>
              </w:rPr>
              <w:t>pjesërisht të mbuluar nga mbështetja</w:t>
            </w:r>
            <w:r w:rsidR="000A2A01" w:rsidRPr="007114AF">
              <w:rPr>
                <w:rFonts w:ascii="Garamond" w:hAnsi="Garamond" w:cs="Calibri"/>
                <w:sz w:val="18"/>
                <w:szCs w:val="18"/>
              </w:rPr>
              <w:t xml:space="preserve"> </w:t>
            </w:r>
            <w:r w:rsidRPr="007114AF">
              <w:rPr>
                <w:rFonts w:ascii="Garamond" w:hAnsi="Garamond" w:cs="Calibri"/>
                <w:sz w:val="18"/>
                <w:szCs w:val="18"/>
              </w:rPr>
              <w:t>e gatishmërisë së FGJK (GCF)</w:t>
            </w:r>
          </w:p>
        </w:tc>
        <w:tc>
          <w:tcPr>
            <w:tcW w:w="3402" w:type="dxa"/>
            <w:shd w:val="clear" w:color="auto" w:fill="auto"/>
          </w:tcPr>
          <w:p w14:paraId="6EDD14B5"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Shihni gjithashtu udhërrëfyesin në kapitullin 4</w:t>
            </w:r>
          </w:p>
        </w:tc>
      </w:tr>
      <w:tr w:rsidR="00E45764" w:rsidRPr="007114AF" w14:paraId="6EDD14BC" w14:textId="77777777" w:rsidTr="00BA14F8">
        <w:trPr>
          <w:trHeight w:val="605"/>
        </w:trPr>
        <w:tc>
          <w:tcPr>
            <w:tcW w:w="3251" w:type="dxa"/>
            <w:shd w:val="clear" w:color="auto" w:fill="auto"/>
          </w:tcPr>
          <w:p w14:paraId="6EDD14B7" w14:textId="1FC9F4F2"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4:</w:t>
            </w:r>
            <w:r w:rsidR="000A2A01" w:rsidRPr="007114AF">
              <w:rPr>
                <w:rFonts w:ascii="Garamond" w:hAnsi="Garamond" w:cs="Calibri"/>
                <w:sz w:val="18"/>
                <w:szCs w:val="18"/>
              </w:rPr>
              <w:t xml:space="preserve"> </w:t>
            </w:r>
            <w:r w:rsidR="00E45764" w:rsidRPr="007114AF">
              <w:rPr>
                <w:rFonts w:ascii="Garamond" w:hAnsi="Garamond" w:cs="Calibri"/>
                <w:sz w:val="18"/>
                <w:szCs w:val="18"/>
              </w:rPr>
              <w:t>Sistemi i monitorimit të implementimit të NAP-it (monitorimi i mbështetur në rezultate)</w:t>
            </w:r>
          </w:p>
        </w:tc>
        <w:tc>
          <w:tcPr>
            <w:tcW w:w="1417" w:type="dxa"/>
            <w:shd w:val="clear" w:color="auto" w:fill="auto"/>
            <w:vAlign w:val="center"/>
          </w:tcPr>
          <w:p w14:paraId="6EDD14B8" w14:textId="7D62361D"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688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1413" w:type="dxa"/>
            <w:shd w:val="clear" w:color="auto" w:fill="auto"/>
          </w:tcPr>
          <w:p w14:paraId="6EDD14B9" w14:textId="4248088E" w:rsidR="00E45764" w:rsidRPr="007114AF" w:rsidRDefault="00E45764" w:rsidP="00D82F76">
            <w:pPr>
              <w:spacing w:after="0" w:line="240" w:lineRule="auto"/>
              <w:rPr>
                <w:rFonts w:ascii="Garamond" w:hAnsi="Garamond"/>
                <w:sz w:val="18"/>
                <w:szCs w:val="18"/>
              </w:rPr>
            </w:pPr>
            <w:r w:rsidRPr="007114AF">
              <w:rPr>
                <w:rFonts w:ascii="Garamond" w:hAnsi="Garamond" w:cs="Calibri"/>
                <w:sz w:val="18"/>
                <w:szCs w:val="18"/>
              </w:rPr>
              <w:t>për t</w:t>
            </w:r>
            <w:r w:rsidR="00D10DAB" w:rsidRPr="007114AF">
              <w:rPr>
                <w:rFonts w:ascii="Garamond" w:hAnsi="Garamond" w:cs="Calibri"/>
                <w:sz w:val="18"/>
                <w:szCs w:val="18"/>
              </w:rPr>
              <w:t>’</w:t>
            </w:r>
            <w:r w:rsidRPr="007114AF">
              <w:rPr>
                <w:rFonts w:ascii="Garamond" w:hAnsi="Garamond" w:cs="Calibri"/>
                <w:sz w:val="18"/>
                <w:szCs w:val="18"/>
              </w:rPr>
              <w:t>u vendosur</w:t>
            </w:r>
          </w:p>
        </w:tc>
        <w:tc>
          <w:tcPr>
            <w:tcW w:w="5103" w:type="dxa"/>
            <w:shd w:val="clear" w:color="auto" w:fill="auto"/>
          </w:tcPr>
          <w:p w14:paraId="6EDD14BA" w14:textId="77777777" w:rsidR="00E45764" w:rsidRPr="007114AF" w:rsidRDefault="00E45764" w:rsidP="00D82F76">
            <w:pPr>
              <w:spacing w:after="0" w:line="240" w:lineRule="auto"/>
              <w:rPr>
                <w:rFonts w:ascii="Garamond" w:hAnsi="Garamond" w:cs="Calibri"/>
                <w:sz w:val="18"/>
                <w:szCs w:val="18"/>
              </w:rPr>
            </w:pPr>
          </w:p>
        </w:tc>
        <w:tc>
          <w:tcPr>
            <w:tcW w:w="3402" w:type="dxa"/>
            <w:shd w:val="clear" w:color="auto" w:fill="auto"/>
          </w:tcPr>
          <w:p w14:paraId="6EDD14BB"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Shihni gjithashtu udhërrëfyesin në kapitullin 4 – rishikoni preventivët pasi rezultojnë tepër të lartë </w:t>
            </w:r>
          </w:p>
        </w:tc>
      </w:tr>
      <w:tr w:rsidR="00E45764" w:rsidRPr="007114AF" w14:paraId="6EDD14C2" w14:textId="77777777" w:rsidTr="00BA14F8">
        <w:tc>
          <w:tcPr>
            <w:tcW w:w="3251" w:type="dxa"/>
            <w:shd w:val="clear" w:color="auto" w:fill="auto"/>
          </w:tcPr>
          <w:p w14:paraId="6EDD14BD" w14:textId="5D8E829E"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5:</w:t>
            </w:r>
            <w:r w:rsidR="000A2A01" w:rsidRPr="007114AF">
              <w:rPr>
                <w:rFonts w:ascii="Garamond" w:hAnsi="Garamond" w:cs="Calibri"/>
                <w:sz w:val="18"/>
                <w:szCs w:val="18"/>
              </w:rPr>
              <w:t xml:space="preserve"> </w:t>
            </w:r>
            <w:r w:rsidR="00E45764" w:rsidRPr="007114AF">
              <w:rPr>
                <w:rFonts w:ascii="Garamond" w:hAnsi="Garamond" w:cs="Calibri"/>
                <w:sz w:val="18"/>
                <w:szCs w:val="18"/>
              </w:rPr>
              <w:t>Nisma për informim dhe përfshirje të publikut</w:t>
            </w:r>
          </w:p>
        </w:tc>
        <w:tc>
          <w:tcPr>
            <w:tcW w:w="1417" w:type="dxa"/>
            <w:shd w:val="clear" w:color="auto" w:fill="auto"/>
            <w:vAlign w:val="center"/>
          </w:tcPr>
          <w:p w14:paraId="6EDD14BE" w14:textId="43522D75"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93.75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1413" w:type="dxa"/>
            <w:shd w:val="clear" w:color="auto" w:fill="auto"/>
          </w:tcPr>
          <w:p w14:paraId="6EDD14BF" w14:textId="378EEFE4" w:rsidR="00E45764" w:rsidRPr="007114AF" w:rsidRDefault="00E45764" w:rsidP="00D82F76">
            <w:pPr>
              <w:spacing w:after="0" w:line="240" w:lineRule="auto"/>
              <w:rPr>
                <w:rFonts w:ascii="Garamond" w:hAnsi="Garamond"/>
                <w:sz w:val="18"/>
                <w:szCs w:val="18"/>
              </w:rPr>
            </w:pPr>
            <w:r w:rsidRPr="007114AF">
              <w:rPr>
                <w:rFonts w:ascii="Garamond" w:hAnsi="Garamond" w:cs="Calibri"/>
                <w:sz w:val="18"/>
                <w:szCs w:val="18"/>
              </w:rPr>
              <w:t>për t</w:t>
            </w:r>
            <w:r w:rsidR="00D10DAB" w:rsidRPr="007114AF">
              <w:rPr>
                <w:rFonts w:ascii="Garamond" w:hAnsi="Garamond" w:cs="Calibri"/>
                <w:sz w:val="18"/>
                <w:szCs w:val="18"/>
              </w:rPr>
              <w:t>’</w:t>
            </w:r>
            <w:r w:rsidRPr="007114AF">
              <w:rPr>
                <w:rFonts w:ascii="Garamond" w:hAnsi="Garamond" w:cs="Calibri"/>
                <w:sz w:val="18"/>
                <w:szCs w:val="18"/>
              </w:rPr>
              <w:t>u vendosur</w:t>
            </w:r>
          </w:p>
        </w:tc>
        <w:tc>
          <w:tcPr>
            <w:tcW w:w="5103" w:type="dxa"/>
            <w:shd w:val="clear" w:color="auto" w:fill="auto"/>
          </w:tcPr>
          <w:p w14:paraId="6EDD14C0" w14:textId="792AEC1C" w:rsidR="00E45764" w:rsidRPr="007114AF" w:rsidRDefault="00E45764" w:rsidP="00D82F76">
            <w:pPr>
              <w:tabs>
                <w:tab w:val="left" w:pos="360"/>
              </w:tabs>
              <w:spacing w:after="0" w:line="240" w:lineRule="auto"/>
              <w:rPr>
                <w:rFonts w:ascii="Garamond" w:hAnsi="Garamond" w:cs="Calibri"/>
                <w:sz w:val="18"/>
                <w:szCs w:val="18"/>
              </w:rPr>
            </w:pPr>
            <w:r w:rsidRPr="007114AF">
              <w:rPr>
                <w:rFonts w:ascii="Garamond" w:hAnsi="Garamond" w:cs="Calibri"/>
                <w:sz w:val="18"/>
                <w:szCs w:val="18"/>
              </w:rPr>
              <w:t>Afatshkurtër-afatmesëm: grante nga donatorë dypalësh, të tillë si Gjermania, Suedia, Austria, Japonia, Franca</w:t>
            </w:r>
            <w:r w:rsidR="000A2A01" w:rsidRPr="007114AF">
              <w:rPr>
                <w:rFonts w:ascii="Garamond" w:hAnsi="Garamond" w:cs="Calibri"/>
                <w:sz w:val="18"/>
                <w:szCs w:val="18"/>
              </w:rPr>
              <w:t xml:space="preserve"> </w:t>
            </w:r>
          </w:p>
        </w:tc>
        <w:tc>
          <w:tcPr>
            <w:tcW w:w="3402" w:type="dxa"/>
            <w:shd w:val="clear" w:color="auto" w:fill="auto"/>
          </w:tcPr>
          <w:p w14:paraId="6EDD14C1" w14:textId="77777777" w:rsidR="00E45764" w:rsidRPr="007114AF" w:rsidRDefault="00E45764" w:rsidP="00D82F76">
            <w:pPr>
              <w:tabs>
                <w:tab w:val="left" w:pos="360"/>
              </w:tabs>
              <w:spacing w:after="0" w:line="240" w:lineRule="auto"/>
              <w:rPr>
                <w:rFonts w:ascii="Garamond" w:hAnsi="Garamond" w:cs="Calibri"/>
                <w:sz w:val="18"/>
                <w:szCs w:val="18"/>
              </w:rPr>
            </w:pPr>
          </w:p>
        </w:tc>
      </w:tr>
      <w:tr w:rsidR="00E45764" w:rsidRPr="007114AF" w14:paraId="6EDD14C8" w14:textId="77777777" w:rsidTr="00BA14F8">
        <w:trPr>
          <w:trHeight w:val="619"/>
        </w:trPr>
        <w:tc>
          <w:tcPr>
            <w:tcW w:w="3251" w:type="dxa"/>
            <w:shd w:val="clear" w:color="auto" w:fill="auto"/>
          </w:tcPr>
          <w:p w14:paraId="6EDD14C3" w14:textId="0CB04DEC"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6:</w:t>
            </w:r>
            <w:r w:rsidR="000A2A01" w:rsidRPr="007114AF">
              <w:rPr>
                <w:rFonts w:ascii="Garamond" w:hAnsi="Garamond" w:cs="Calibri"/>
                <w:sz w:val="18"/>
                <w:szCs w:val="18"/>
              </w:rPr>
              <w:t xml:space="preserve"> </w:t>
            </w:r>
            <w:r w:rsidR="00E45764" w:rsidRPr="007114AF">
              <w:rPr>
                <w:rFonts w:ascii="Garamond" w:hAnsi="Garamond" w:cs="Calibri"/>
                <w:sz w:val="18"/>
                <w:szCs w:val="18"/>
              </w:rPr>
              <w:t>Nisma për ngritjen e kapaciteteve për përshtatjen ndaj ndryshimeve klimatike</w:t>
            </w:r>
          </w:p>
        </w:tc>
        <w:tc>
          <w:tcPr>
            <w:tcW w:w="1417" w:type="dxa"/>
            <w:shd w:val="clear" w:color="auto" w:fill="auto"/>
            <w:vAlign w:val="center"/>
          </w:tcPr>
          <w:p w14:paraId="6EDD14C4"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Nuk ka ende preventivë</w:t>
            </w:r>
          </w:p>
        </w:tc>
        <w:tc>
          <w:tcPr>
            <w:tcW w:w="1413" w:type="dxa"/>
            <w:shd w:val="clear" w:color="auto" w:fill="auto"/>
          </w:tcPr>
          <w:p w14:paraId="6EDD14C5" w14:textId="6C79CD0D" w:rsidR="00E45764" w:rsidRPr="007114AF" w:rsidRDefault="00E45764" w:rsidP="00D82F76">
            <w:pPr>
              <w:spacing w:after="0" w:line="240" w:lineRule="auto"/>
              <w:rPr>
                <w:rFonts w:ascii="Garamond" w:hAnsi="Garamond"/>
                <w:sz w:val="18"/>
                <w:szCs w:val="18"/>
              </w:rPr>
            </w:pPr>
            <w:r w:rsidRPr="007114AF">
              <w:rPr>
                <w:rFonts w:ascii="Garamond" w:hAnsi="Garamond" w:cs="Calibri"/>
                <w:sz w:val="18"/>
                <w:szCs w:val="18"/>
              </w:rPr>
              <w:t>për t</w:t>
            </w:r>
            <w:r w:rsidR="00D10DAB" w:rsidRPr="007114AF">
              <w:rPr>
                <w:rFonts w:ascii="Garamond" w:hAnsi="Garamond" w:cs="Calibri"/>
                <w:sz w:val="18"/>
                <w:szCs w:val="18"/>
              </w:rPr>
              <w:t>’</w:t>
            </w:r>
            <w:r w:rsidRPr="007114AF">
              <w:rPr>
                <w:rFonts w:ascii="Garamond" w:hAnsi="Garamond" w:cs="Calibri"/>
                <w:sz w:val="18"/>
                <w:szCs w:val="18"/>
              </w:rPr>
              <w:t>u vendosur</w:t>
            </w:r>
          </w:p>
        </w:tc>
        <w:tc>
          <w:tcPr>
            <w:tcW w:w="5103" w:type="dxa"/>
            <w:shd w:val="clear" w:color="auto" w:fill="auto"/>
            <w:vAlign w:val="center"/>
          </w:tcPr>
          <w:p w14:paraId="6EDD14C6" w14:textId="587A8CC1" w:rsidR="00E45764" w:rsidRPr="007114AF" w:rsidRDefault="00E45764" w:rsidP="00D82F76">
            <w:pPr>
              <w:tabs>
                <w:tab w:val="left" w:pos="360"/>
              </w:tabs>
              <w:spacing w:after="0" w:line="240" w:lineRule="auto"/>
              <w:rPr>
                <w:rFonts w:ascii="Garamond" w:hAnsi="Garamond" w:cs="Calibri"/>
                <w:sz w:val="18"/>
                <w:szCs w:val="18"/>
              </w:rPr>
            </w:pPr>
            <w:r w:rsidRPr="007114AF">
              <w:rPr>
                <w:rFonts w:ascii="Garamond" w:hAnsi="Garamond" w:cs="Calibri"/>
                <w:sz w:val="18"/>
                <w:szCs w:val="18"/>
              </w:rPr>
              <w:t>afatshkurtër -afatmesëm: grante nga donatorë dypalësh, të tillë si Gjermania, Suedia, Austria, Japonia, Franca</w:t>
            </w:r>
            <w:r w:rsidR="000A2A01" w:rsidRPr="007114AF">
              <w:rPr>
                <w:rFonts w:ascii="Garamond" w:hAnsi="Garamond" w:cs="Calibri"/>
                <w:sz w:val="18"/>
                <w:szCs w:val="18"/>
              </w:rPr>
              <w:t xml:space="preserve"> </w:t>
            </w:r>
          </w:p>
        </w:tc>
        <w:tc>
          <w:tcPr>
            <w:tcW w:w="3402" w:type="dxa"/>
            <w:shd w:val="clear" w:color="auto" w:fill="auto"/>
          </w:tcPr>
          <w:p w14:paraId="6EDD14C7"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Kostot e pjesshme për ndërtimin e kapaciteteve në mënyrë ideale duhet të përfshihen në secilin projekt buxhet, sipas rastit</w:t>
            </w:r>
          </w:p>
        </w:tc>
      </w:tr>
      <w:tr w:rsidR="00E45764" w:rsidRPr="007114AF" w14:paraId="6EDD14D0" w14:textId="77777777" w:rsidTr="00BA14F8">
        <w:trPr>
          <w:trHeight w:val="1366"/>
        </w:trPr>
        <w:tc>
          <w:tcPr>
            <w:tcW w:w="3251" w:type="dxa"/>
            <w:shd w:val="clear" w:color="auto" w:fill="auto"/>
          </w:tcPr>
          <w:p w14:paraId="6EDD14C9" w14:textId="2FCC917F"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7: Ujitje, kullim dhe mbrojtje nga përmbytje, me aftësi ripërtëritëse kundrejt ndryshimeve të klimës</w:t>
            </w:r>
          </w:p>
        </w:tc>
        <w:tc>
          <w:tcPr>
            <w:tcW w:w="1417" w:type="dxa"/>
            <w:shd w:val="clear" w:color="auto" w:fill="auto"/>
            <w:vAlign w:val="center"/>
          </w:tcPr>
          <w:p w14:paraId="6EDD14CA" w14:textId="1017E009"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1841.5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1413" w:type="dxa"/>
            <w:shd w:val="clear" w:color="auto" w:fill="auto"/>
          </w:tcPr>
          <w:p w14:paraId="6EDD14CB" w14:textId="2DF07500" w:rsidR="00E45764" w:rsidRPr="007114AF" w:rsidRDefault="00E45764" w:rsidP="00D82F76">
            <w:pPr>
              <w:spacing w:after="0" w:line="240" w:lineRule="auto"/>
              <w:rPr>
                <w:rFonts w:ascii="Garamond" w:hAnsi="Garamond"/>
                <w:sz w:val="18"/>
                <w:szCs w:val="18"/>
              </w:rPr>
            </w:pPr>
            <w:r w:rsidRPr="007114AF">
              <w:rPr>
                <w:rFonts w:ascii="Garamond" w:hAnsi="Garamond" w:cs="Calibri"/>
                <w:sz w:val="18"/>
                <w:szCs w:val="18"/>
              </w:rPr>
              <w:t>për t</w:t>
            </w:r>
            <w:r w:rsidR="00D10DAB" w:rsidRPr="007114AF">
              <w:rPr>
                <w:rFonts w:ascii="Garamond" w:hAnsi="Garamond" w:cs="Calibri"/>
                <w:sz w:val="18"/>
                <w:szCs w:val="18"/>
              </w:rPr>
              <w:t>’</w:t>
            </w:r>
            <w:r w:rsidRPr="007114AF">
              <w:rPr>
                <w:rFonts w:ascii="Garamond" w:hAnsi="Garamond" w:cs="Calibri"/>
                <w:sz w:val="18"/>
                <w:szCs w:val="18"/>
              </w:rPr>
              <w:t>u vendosur</w:t>
            </w:r>
          </w:p>
        </w:tc>
        <w:tc>
          <w:tcPr>
            <w:tcW w:w="5103" w:type="dxa"/>
            <w:shd w:val="clear" w:color="auto" w:fill="auto"/>
          </w:tcPr>
          <w:p w14:paraId="6EDD14CC"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afatshkurtër: BE IPA II, aplikimi i dërguar (1080 mil. LEKË)</w:t>
            </w:r>
          </w:p>
          <w:p w14:paraId="6EDD14CD"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afatmesëm/afatgjatë: FGJK (GCF), BERZH, KfW</w:t>
            </w:r>
          </w:p>
          <w:p w14:paraId="6EDD14CE" w14:textId="77777777" w:rsidR="00E45764" w:rsidRPr="007114AF" w:rsidRDefault="00E45764" w:rsidP="00D82F76">
            <w:pPr>
              <w:spacing w:after="0" w:line="240" w:lineRule="auto"/>
              <w:rPr>
                <w:rFonts w:ascii="Garamond" w:hAnsi="Garamond" w:cs="Calibri"/>
                <w:sz w:val="18"/>
                <w:szCs w:val="18"/>
              </w:rPr>
            </w:pPr>
          </w:p>
        </w:tc>
        <w:tc>
          <w:tcPr>
            <w:tcW w:w="3402" w:type="dxa"/>
            <w:shd w:val="clear" w:color="auto" w:fill="auto"/>
          </w:tcPr>
          <w:p w14:paraId="6EDD14CF"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 Duhet të prioritizohet për përgatitjen/zhvillimin e projektit në fundryshimet klimatikesion të donatorëve ndërkombëtarë në shkallë të gjerë </w:t>
            </w:r>
          </w:p>
        </w:tc>
      </w:tr>
      <w:tr w:rsidR="00E45764" w:rsidRPr="007114AF" w14:paraId="6EDD14D9" w14:textId="77777777" w:rsidTr="00BA14F8">
        <w:tc>
          <w:tcPr>
            <w:tcW w:w="3251" w:type="dxa"/>
            <w:shd w:val="clear" w:color="auto" w:fill="auto"/>
          </w:tcPr>
          <w:p w14:paraId="6EDD14D1" w14:textId="6FAC94EB"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8: Menaxhimi i Integruar i Burimeve Ujore</w:t>
            </w:r>
          </w:p>
        </w:tc>
        <w:tc>
          <w:tcPr>
            <w:tcW w:w="1417" w:type="dxa"/>
            <w:shd w:val="clear" w:color="auto" w:fill="auto"/>
            <w:vAlign w:val="center"/>
          </w:tcPr>
          <w:p w14:paraId="6EDD14D2"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392</w:t>
            </w:r>
          </w:p>
          <w:p w14:paraId="6EDD14D3" w14:textId="66DA5C30" w:rsidR="00E45764" w:rsidRPr="007114AF" w:rsidRDefault="001C47F0" w:rsidP="00D82F76">
            <w:pPr>
              <w:spacing w:after="0" w:line="240" w:lineRule="auto"/>
              <w:rPr>
                <w:rFonts w:ascii="Garamond" w:hAnsi="Garamond" w:cs="Calibri"/>
                <w:sz w:val="18"/>
                <w:szCs w:val="18"/>
              </w:rPr>
            </w:pPr>
            <w:r w:rsidRPr="007114AF">
              <w:rPr>
                <w:rFonts w:ascii="Garamond" w:hAnsi="Garamond" w:cs="Calibri"/>
                <w:sz w:val="18"/>
                <w:szCs w:val="18"/>
              </w:rPr>
              <w:t xml:space="preserve">milionë </w:t>
            </w:r>
            <w:r w:rsidR="00E45764" w:rsidRPr="007114AF">
              <w:rPr>
                <w:rFonts w:ascii="Garamond" w:hAnsi="Garamond" w:cs="Calibri"/>
                <w:sz w:val="18"/>
                <w:szCs w:val="18"/>
              </w:rPr>
              <w:t>LEKË</w:t>
            </w:r>
          </w:p>
        </w:tc>
        <w:tc>
          <w:tcPr>
            <w:tcW w:w="1413" w:type="dxa"/>
            <w:shd w:val="clear" w:color="auto" w:fill="auto"/>
          </w:tcPr>
          <w:p w14:paraId="6EDD14D4" w14:textId="37F8F5C6" w:rsidR="00E45764" w:rsidRPr="007114AF" w:rsidRDefault="00E45764" w:rsidP="00D82F76">
            <w:pPr>
              <w:spacing w:after="0" w:line="240" w:lineRule="auto"/>
              <w:rPr>
                <w:rFonts w:ascii="Garamond" w:hAnsi="Garamond"/>
                <w:sz w:val="18"/>
                <w:szCs w:val="18"/>
              </w:rPr>
            </w:pPr>
            <w:r w:rsidRPr="007114AF">
              <w:rPr>
                <w:rFonts w:ascii="Garamond" w:hAnsi="Garamond" w:cs="Calibri"/>
                <w:sz w:val="18"/>
                <w:szCs w:val="18"/>
              </w:rPr>
              <w:t>për t</w:t>
            </w:r>
            <w:r w:rsidR="00D10DAB" w:rsidRPr="007114AF">
              <w:rPr>
                <w:rFonts w:ascii="Garamond" w:hAnsi="Garamond" w:cs="Calibri"/>
                <w:sz w:val="18"/>
                <w:szCs w:val="18"/>
              </w:rPr>
              <w:t>’</w:t>
            </w:r>
            <w:r w:rsidRPr="007114AF">
              <w:rPr>
                <w:rFonts w:ascii="Garamond" w:hAnsi="Garamond" w:cs="Calibri"/>
                <w:sz w:val="18"/>
                <w:szCs w:val="18"/>
              </w:rPr>
              <w:t>u vendosur</w:t>
            </w:r>
          </w:p>
        </w:tc>
        <w:tc>
          <w:tcPr>
            <w:tcW w:w="5103" w:type="dxa"/>
            <w:shd w:val="clear" w:color="auto" w:fill="auto"/>
          </w:tcPr>
          <w:p w14:paraId="6EDD14D5" w14:textId="165D2F35"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w:t>
            </w:r>
            <w:r w:rsidR="000A2A01" w:rsidRPr="007114AF">
              <w:rPr>
                <w:rFonts w:ascii="Garamond" w:hAnsi="Garamond" w:cs="Calibri"/>
                <w:sz w:val="18"/>
                <w:szCs w:val="18"/>
              </w:rPr>
              <w:t xml:space="preserve"> </w:t>
            </w:r>
            <w:r w:rsidRPr="007114AF">
              <w:rPr>
                <w:rFonts w:ascii="Garamond" w:hAnsi="Garamond" w:cs="Calibri"/>
                <w:sz w:val="18"/>
                <w:szCs w:val="18"/>
              </w:rPr>
              <w:t>afatmesëm/afatgjatë: FGJK (GCF), BERZH, KfW (në fundryshimet klimatikesion të huave) dhe SIDA (si financues i mëparshëm), Gjermania/ICI (me fokus në Përshtatjen e bazuar në Ekosistem), në fundryshimet klimatikesion të granteve</w:t>
            </w:r>
          </w:p>
        </w:tc>
        <w:tc>
          <w:tcPr>
            <w:tcW w:w="3402" w:type="dxa"/>
            <w:shd w:val="clear" w:color="auto" w:fill="auto"/>
          </w:tcPr>
          <w:p w14:paraId="6EDD14D6" w14:textId="77777777" w:rsidR="00E45764" w:rsidRPr="007114AF" w:rsidRDefault="00E45764" w:rsidP="00D82F76">
            <w:pPr>
              <w:spacing w:after="0" w:line="240" w:lineRule="auto"/>
              <w:rPr>
                <w:rFonts w:ascii="Garamond" w:hAnsi="Garamond"/>
                <w:sz w:val="18"/>
                <w:szCs w:val="18"/>
              </w:rPr>
            </w:pPr>
            <w:r w:rsidRPr="007114AF">
              <w:rPr>
                <w:rFonts w:ascii="Garamond" w:hAnsi="Garamond"/>
                <w:sz w:val="18"/>
                <w:szCs w:val="18"/>
              </w:rPr>
              <w:t>- Nevojat për llogaritjen e shpenzimeve duhet të rishikohen. Llogaritja e shpenzimeve të masës së ardhshme në vend të masës së financuar</w:t>
            </w:r>
          </w:p>
          <w:p w14:paraId="6EDD14D7" w14:textId="6E0590CB" w:rsidR="00E45764" w:rsidRPr="007114AF" w:rsidRDefault="00E45764" w:rsidP="00D82F76">
            <w:pPr>
              <w:spacing w:after="0" w:line="240" w:lineRule="auto"/>
              <w:rPr>
                <w:rFonts w:ascii="Garamond" w:hAnsi="Garamond"/>
                <w:sz w:val="18"/>
                <w:szCs w:val="18"/>
              </w:rPr>
            </w:pPr>
            <w:r w:rsidRPr="007114AF">
              <w:rPr>
                <w:rFonts w:ascii="Garamond" w:hAnsi="Garamond"/>
                <w:sz w:val="18"/>
                <w:szCs w:val="18"/>
              </w:rPr>
              <w:t>- Duhet të prioritizohen për përgatitjen/zhvillimin e projektit</w:t>
            </w:r>
            <w:r w:rsidR="000A2A01" w:rsidRPr="007114AF">
              <w:rPr>
                <w:rFonts w:ascii="Garamond" w:hAnsi="Garamond"/>
                <w:sz w:val="18"/>
                <w:szCs w:val="18"/>
              </w:rPr>
              <w:t xml:space="preserve"> </w:t>
            </w:r>
          </w:p>
          <w:p w14:paraId="6EDD14D8" w14:textId="0995CB7B" w:rsidR="00E45764" w:rsidRPr="007114AF" w:rsidRDefault="00E45764" w:rsidP="00D82F76">
            <w:pPr>
              <w:spacing w:after="0" w:line="240" w:lineRule="auto"/>
              <w:rPr>
                <w:rFonts w:ascii="Garamond" w:hAnsi="Garamond"/>
                <w:sz w:val="18"/>
                <w:szCs w:val="18"/>
              </w:rPr>
            </w:pPr>
            <w:r w:rsidRPr="007114AF">
              <w:rPr>
                <w:rFonts w:ascii="Garamond" w:hAnsi="Garamond"/>
                <w:sz w:val="18"/>
                <w:szCs w:val="18"/>
              </w:rPr>
              <w:t xml:space="preserve">217.5 </w:t>
            </w:r>
            <w:r w:rsidR="001C47F0" w:rsidRPr="007114AF">
              <w:rPr>
                <w:rFonts w:ascii="Garamond" w:hAnsi="Garamond"/>
                <w:sz w:val="18"/>
                <w:szCs w:val="18"/>
              </w:rPr>
              <w:t xml:space="preserve">milionë </w:t>
            </w:r>
            <w:r w:rsidRPr="007114AF">
              <w:rPr>
                <w:rFonts w:ascii="Garamond" w:hAnsi="Garamond"/>
                <w:sz w:val="18"/>
                <w:szCs w:val="18"/>
              </w:rPr>
              <w:t>LEKË</w:t>
            </w:r>
          </w:p>
        </w:tc>
      </w:tr>
      <w:tr w:rsidR="00E45764" w:rsidRPr="007114AF" w14:paraId="6EDD14E4" w14:textId="77777777" w:rsidTr="00BA14F8">
        <w:trPr>
          <w:trHeight w:val="440"/>
        </w:trPr>
        <w:tc>
          <w:tcPr>
            <w:tcW w:w="3251" w:type="dxa"/>
            <w:shd w:val="clear" w:color="auto" w:fill="auto"/>
          </w:tcPr>
          <w:p w14:paraId="6EDD14DA" w14:textId="27CE8590"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9:</w:t>
            </w:r>
            <w:r w:rsidR="000A2A01" w:rsidRPr="007114AF">
              <w:rPr>
                <w:rFonts w:ascii="Garamond" w:hAnsi="Garamond" w:cs="Calibri"/>
                <w:sz w:val="18"/>
                <w:szCs w:val="18"/>
              </w:rPr>
              <w:t xml:space="preserve"> </w:t>
            </w:r>
            <w:r w:rsidR="00E45764" w:rsidRPr="007114AF">
              <w:rPr>
                <w:rFonts w:ascii="Garamond" w:hAnsi="Garamond" w:cs="Calibri"/>
                <w:sz w:val="18"/>
                <w:szCs w:val="18"/>
              </w:rPr>
              <w:t>Përshtatja në sektorin agrar</w:t>
            </w:r>
          </w:p>
        </w:tc>
        <w:tc>
          <w:tcPr>
            <w:tcW w:w="1417" w:type="dxa"/>
            <w:shd w:val="clear" w:color="auto" w:fill="auto"/>
            <w:vAlign w:val="center"/>
          </w:tcPr>
          <w:p w14:paraId="6EDD14DB" w14:textId="2870A1FB"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925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1413" w:type="dxa"/>
            <w:shd w:val="clear" w:color="auto" w:fill="auto"/>
            <w:vAlign w:val="center"/>
          </w:tcPr>
          <w:p w14:paraId="6EDD14DC" w14:textId="7CC644F9"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160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5103" w:type="dxa"/>
            <w:shd w:val="clear" w:color="auto" w:fill="auto"/>
            <w:vAlign w:val="center"/>
          </w:tcPr>
          <w:p w14:paraId="6EDD14DD"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afatshkurtër: FAO (për grante më të vogla dhe asistencë teknike)</w:t>
            </w:r>
          </w:p>
          <w:p w14:paraId="6EDD14DE"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afatmesëm dhe afatgjatë: IFAD (për huatë koncesionare), BERZH</w:t>
            </w:r>
          </w:p>
          <w:p w14:paraId="6EDD14DF"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PES, sigurimet e rrezikut për fermerët ose instrumente të tjera inovative (afatmesme ose afatgjata)</w:t>
            </w:r>
          </w:p>
          <w:p w14:paraId="6EDD14E0" w14:textId="7777777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 BE Horizon 2020 për grante kërkimore </w:t>
            </w:r>
          </w:p>
        </w:tc>
        <w:tc>
          <w:tcPr>
            <w:tcW w:w="3402" w:type="dxa"/>
            <w:shd w:val="clear" w:color="auto" w:fill="auto"/>
          </w:tcPr>
          <w:p w14:paraId="6EDD14E1" w14:textId="77777777" w:rsidR="00E45764" w:rsidRPr="007114AF" w:rsidRDefault="00E45764" w:rsidP="00D82F76">
            <w:pPr>
              <w:spacing w:after="0" w:line="240" w:lineRule="auto"/>
              <w:rPr>
                <w:rFonts w:ascii="Garamond" w:hAnsi="Garamond"/>
                <w:sz w:val="18"/>
                <w:szCs w:val="18"/>
              </w:rPr>
            </w:pPr>
            <w:r w:rsidRPr="007114AF">
              <w:rPr>
                <w:rFonts w:ascii="Garamond" w:hAnsi="Garamond"/>
                <w:sz w:val="18"/>
                <w:szCs w:val="18"/>
              </w:rPr>
              <w:t>-të plotësohet/rishikohet treguesi 3.1</w:t>
            </w:r>
          </w:p>
          <w:p w14:paraId="6EDD14E2" w14:textId="77777777" w:rsidR="00E45764" w:rsidRPr="007114AF" w:rsidRDefault="00E45764" w:rsidP="00D82F76">
            <w:pPr>
              <w:spacing w:after="0" w:line="240" w:lineRule="auto"/>
              <w:rPr>
                <w:rFonts w:ascii="Garamond" w:hAnsi="Garamond"/>
                <w:sz w:val="18"/>
                <w:szCs w:val="18"/>
              </w:rPr>
            </w:pPr>
            <w:r w:rsidRPr="007114AF">
              <w:rPr>
                <w:rFonts w:ascii="Garamond" w:hAnsi="Garamond"/>
                <w:sz w:val="18"/>
                <w:szCs w:val="18"/>
              </w:rPr>
              <w:t xml:space="preserve">- të kontrollohet nëse aplikimi AF për ndryshimet Klimatike i drejtuar nga Banka Botërore është në progres apo nëse duhet të rishikohet </w:t>
            </w:r>
          </w:p>
          <w:p w14:paraId="6EDD14E3" w14:textId="77777777" w:rsidR="00E45764" w:rsidRPr="007114AF" w:rsidRDefault="00E45764" w:rsidP="00D82F76">
            <w:pPr>
              <w:spacing w:after="0" w:line="240" w:lineRule="auto"/>
              <w:rPr>
                <w:rFonts w:ascii="Garamond" w:hAnsi="Garamond"/>
                <w:sz w:val="18"/>
                <w:szCs w:val="18"/>
              </w:rPr>
            </w:pPr>
          </w:p>
        </w:tc>
      </w:tr>
      <w:tr w:rsidR="00E45764" w:rsidRPr="007114AF" w14:paraId="6EDD14EA" w14:textId="77777777" w:rsidTr="00BA14F8">
        <w:tc>
          <w:tcPr>
            <w:tcW w:w="3251" w:type="dxa"/>
            <w:shd w:val="clear" w:color="auto" w:fill="auto"/>
          </w:tcPr>
          <w:p w14:paraId="6EDD14E5" w14:textId="075FAB6C" w:rsidR="00E45764" w:rsidRPr="007114AF" w:rsidRDefault="008D30FC" w:rsidP="00D82F76">
            <w:pPr>
              <w:pStyle w:val="Tabellentext"/>
              <w:pBdr>
                <w:bar w:val="single" w:sz="4" w:color="FF8080"/>
              </w:pBdr>
              <w:jc w:val="both"/>
              <w:rPr>
                <w:rFonts w:ascii="Garamond" w:hAnsi="Garamond" w:cs="Calibri"/>
                <w:sz w:val="18"/>
                <w:szCs w:val="18"/>
                <w:lang w:val="sq-AL"/>
              </w:rPr>
            </w:pPr>
            <w:r w:rsidRPr="007114AF">
              <w:rPr>
                <w:rFonts w:ascii="Garamond" w:eastAsia="MS Mincho" w:hAnsi="Garamond" w:cs="Calibri"/>
                <w:bCs w:val="0"/>
                <w:iCs w:val="0"/>
                <w:sz w:val="18"/>
                <w:szCs w:val="18"/>
                <w:lang w:val="sq-AL" w:eastAsia="en-US"/>
              </w:rPr>
              <w:t xml:space="preserve">Nr. </w:t>
            </w:r>
            <w:r w:rsidR="00E45764" w:rsidRPr="007114AF">
              <w:rPr>
                <w:rFonts w:ascii="Garamond" w:eastAsia="MS Mincho" w:hAnsi="Garamond" w:cs="Calibri"/>
                <w:bCs w:val="0"/>
                <w:iCs w:val="0"/>
                <w:sz w:val="18"/>
                <w:szCs w:val="18"/>
                <w:lang w:val="sq-AL" w:eastAsia="en-US"/>
              </w:rPr>
              <w:t>10:</w:t>
            </w:r>
            <w:r w:rsidR="000A2A01" w:rsidRPr="007114AF">
              <w:rPr>
                <w:rFonts w:ascii="Garamond" w:eastAsia="MS Mincho" w:hAnsi="Garamond" w:cs="Calibri"/>
                <w:bCs w:val="0"/>
                <w:iCs w:val="0"/>
                <w:sz w:val="18"/>
                <w:szCs w:val="18"/>
                <w:lang w:val="sq-AL" w:eastAsia="en-US"/>
              </w:rPr>
              <w:t xml:space="preserve"> </w:t>
            </w:r>
            <w:r w:rsidR="00E45764" w:rsidRPr="007114AF">
              <w:rPr>
                <w:rFonts w:ascii="Garamond" w:eastAsia="MS Mincho" w:hAnsi="Garamond" w:cs="Calibri"/>
                <w:bCs w:val="0"/>
                <w:iCs w:val="0"/>
                <w:sz w:val="18"/>
                <w:szCs w:val="18"/>
                <w:lang w:val="sq-AL" w:eastAsia="en-US"/>
              </w:rPr>
              <w:t>Nxitja e zbatimit të strategjisë së përshtatjes ndaj ndryshimeve klimatike për sektorin e shëndetësisë</w:t>
            </w:r>
          </w:p>
        </w:tc>
        <w:tc>
          <w:tcPr>
            <w:tcW w:w="1417" w:type="dxa"/>
            <w:shd w:val="clear" w:color="auto" w:fill="auto"/>
            <w:vAlign w:val="center"/>
          </w:tcPr>
          <w:p w14:paraId="6EDD14E6" w14:textId="09070F51"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145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1413" w:type="dxa"/>
            <w:shd w:val="clear" w:color="auto" w:fill="auto"/>
            <w:vAlign w:val="center"/>
          </w:tcPr>
          <w:p w14:paraId="6EDD14E7" w14:textId="209F9434"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73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5103" w:type="dxa"/>
            <w:shd w:val="clear" w:color="auto" w:fill="auto"/>
            <w:vAlign w:val="center"/>
          </w:tcPr>
          <w:p w14:paraId="6EDD14E8" w14:textId="59A6F597"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-Hendek financimi 12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3402" w:type="dxa"/>
            <w:shd w:val="clear" w:color="auto" w:fill="auto"/>
          </w:tcPr>
          <w:p w14:paraId="6EDD14E9" w14:textId="77777777" w:rsidR="00E45764" w:rsidRPr="007114AF" w:rsidRDefault="00E45764" w:rsidP="00D82F76">
            <w:pPr>
              <w:spacing w:after="0" w:line="240" w:lineRule="auto"/>
              <w:rPr>
                <w:rFonts w:ascii="Garamond" w:hAnsi="Garamond"/>
                <w:sz w:val="18"/>
                <w:szCs w:val="18"/>
              </w:rPr>
            </w:pPr>
            <w:r w:rsidRPr="007114AF">
              <w:rPr>
                <w:rFonts w:ascii="Garamond" w:hAnsi="Garamond"/>
                <w:sz w:val="18"/>
                <w:szCs w:val="18"/>
              </w:rPr>
              <w:t>- pronësia brenda Ministrisë së Shëndetësisë duhet të rinovohet</w:t>
            </w:r>
          </w:p>
        </w:tc>
      </w:tr>
      <w:tr w:rsidR="00E45764" w:rsidRPr="007114AF" w14:paraId="6EDD14F2" w14:textId="77777777" w:rsidTr="00BA14F8">
        <w:trPr>
          <w:trHeight w:val="2014"/>
        </w:trPr>
        <w:tc>
          <w:tcPr>
            <w:tcW w:w="3251" w:type="dxa"/>
            <w:shd w:val="clear" w:color="auto" w:fill="auto"/>
          </w:tcPr>
          <w:p w14:paraId="6EDD14EB" w14:textId="3D71E198" w:rsidR="00E45764" w:rsidRPr="007114AF" w:rsidRDefault="008D30FC" w:rsidP="00D82F76">
            <w:pPr>
              <w:pStyle w:val="Tabellentext"/>
              <w:pBdr>
                <w:bar w:val="single" w:sz="4" w:color="FF8080"/>
              </w:pBdr>
              <w:jc w:val="both"/>
              <w:rPr>
                <w:rFonts w:ascii="Garamond" w:eastAsia="MS Mincho" w:hAnsi="Garamond" w:cs="Calibri"/>
                <w:bCs w:val="0"/>
                <w:iCs w:val="0"/>
                <w:sz w:val="18"/>
                <w:szCs w:val="18"/>
                <w:lang w:val="sq-AL" w:eastAsia="en-US"/>
              </w:rPr>
            </w:pPr>
            <w:r w:rsidRPr="007114AF">
              <w:rPr>
                <w:rFonts w:ascii="Garamond" w:eastAsia="MS Mincho" w:hAnsi="Garamond" w:cs="Calibri"/>
                <w:bCs w:val="0"/>
                <w:iCs w:val="0"/>
                <w:sz w:val="18"/>
                <w:szCs w:val="18"/>
                <w:lang w:val="sq-AL" w:eastAsia="en-US"/>
              </w:rPr>
              <w:t xml:space="preserve">Nr. </w:t>
            </w:r>
            <w:r w:rsidR="00E45764" w:rsidRPr="007114AF">
              <w:rPr>
                <w:rFonts w:ascii="Garamond" w:eastAsia="MS Mincho" w:hAnsi="Garamond" w:cs="Calibri"/>
                <w:bCs w:val="0"/>
                <w:iCs w:val="0"/>
                <w:sz w:val="18"/>
                <w:szCs w:val="18"/>
                <w:lang w:val="sq-AL" w:eastAsia="en-US"/>
              </w:rPr>
              <w:t>11:</w:t>
            </w:r>
            <w:r w:rsidR="000A2A01" w:rsidRPr="007114AF">
              <w:rPr>
                <w:rFonts w:ascii="Garamond" w:eastAsia="MS Mincho" w:hAnsi="Garamond" w:cs="Calibri"/>
                <w:bCs w:val="0"/>
                <w:iCs w:val="0"/>
                <w:sz w:val="18"/>
                <w:szCs w:val="18"/>
                <w:lang w:val="sq-AL" w:eastAsia="en-US"/>
              </w:rPr>
              <w:t xml:space="preserve"> </w:t>
            </w:r>
            <w:r w:rsidR="00E45764" w:rsidRPr="007114AF">
              <w:rPr>
                <w:rFonts w:ascii="Garamond" w:eastAsia="MS Mincho" w:hAnsi="Garamond" w:cs="Calibri"/>
                <w:bCs w:val="0"/>
                <w:iCs w:val="0"/>
                <w:sz w:val="18"/>
                <w:szCs w:val="18"/>
                <w:lang w:val="sq-AL" w:eastAsia="en-US"/>
              </w:rPr>
              <w:t xml:space="preserve">Plan i integruar ndërsektorial për Zonën Bregdetare </w:t>
            </w:r>
          </w:p>
          <w:p w14:paraId="6EDD14EC" w14:textId="77777777" w:rsidR="00E45764" w:rsidRPr="007114AF" w:rsidRDefault="00E45764" w:rsidP="00D82F76">
            <w:pPr>
              <w:spacing w:after="0" w:line="240" w:lineRule="auto"/>
              <w:rPr>
                <w:rFonts w:ascii="Garamond" w:hAnsi="Garamond" w:cs="Calibri"/>
                <w:sz w:val="18"/>
                <w:szCs w:val="18"/>
              </w:rPr>
            </w:pPr>
          </w:p>
        </w:tc>
        <w:tc>
          <w:tcPr>
            <w:tcW w:w="1417" w:type="dxa"/>
            <w:shd w:val="clear" w:color="auto" w:fill="auto"/>
            <w:vAlign w:val="center"/>
          </w:tcPr>
          <w:p w14:paraId="6EDD14ED" w14:textId="2E8E1CC9"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148.5 </w:t>
            </w:r>
            <w:r w:rsidR="001C47F0" w:rsidRPr="007114AF">
              <w:rPr>
                <w:rFonts w:ascii="Garamond" w:hAnsi="Garamond" w:cs="Calibri"/>
                <w:sz w:val="18"/>
                <w:szCs w:val="18"/>
              </w:rPr>
              <w:t xml:space="preserve">milionë </w:t>
            </w:r>
            <w:r w:rsidRPr="007114AF">
              <w:rPr>
                <w:rFonts w:ascii="Garamond" w:hAnsi="Garamond" w:cs="Calibri"/>
                <w:sz w:val="18"/>
                <w:szCs w:val="18"/>
              </w:rPr>
              <w:t>LEKË (për 3 vjet), kostot për vitin e katërt dhe më pas për t</w:t>
            </w:r>
            <w:r w:rsidR="00D10DAB" w:rsidRPr="007114AF">
              <w:rPr>
                <w:rFonts w:ascii="Garamond" w:hAnsi="Garamond" w:cs="Calibri"/>
                <w:sz w:val="18"/>
                <w:szCs w:val="18"/>
              </w:rPr>
              <w:t>’</w:t>
            </w:r>
            <w:r w:rsidRPr="007114AF">
              <w:rPr>
                <w:rFonts w:ascii="Garamond" w:hAnsi="Garamond" w:cs="Calibri"/>
                <w:sz w:val="18"/>
                <w:szCs w:val="18"/>
              </w:rPr>
              <w:t>u vendosur</w:t>
            </w:r>
          </w:p>
        </w:tc>
        <w:tc>
          <w:tcPr>
            <w:tcW w:w="1413" w:type="dxa"/>
            <w:shd w:val="clear" w:color="auto" w:fill="auto"/>
            <w:vAlign w:val="center"/>
          </w:tcPr>
          <w:p w14:paraId="6EDD14EE" w14:textId="4EEABA0E"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për t</w:t>
            </w:r>
            <w:r w:rsidR="00D10DAB" w:rsidRPr="007114AF">
              <w:rPr>
                <w:rFonts w:ascii="Garamond" w:hAnsi="Garamond" w:cs="Calibri"/>
                <w:sz w:val="18"/>
                <w:szCs w:val="18"/>
              </w:rPr>
              <w:t>’</w:t>
            </w:r>
            <w:r w:rsidRPr="007114AF">
              <w:rPr>
                <w:rFonts w:ascii="Garamond" w:hAnsi="Garamond" w:cs="Calibri"/>
                <w:sz w:val="18"/>
                <w:szCs w:val="18"/>
              </w:rPr>
              <w:t>u vendosur</w:t>
            </w:r>
          </w:p>
        </w:tc>
        <w:tc>
          <w:tcPr>
            <w:tcW w:w="5103" w:type="dxa"/>
            <w:shd w:val="clear" w:color="auto" w:fill="auto"/>
          </w:tcPr>
          <w:p w14:paraId="6EDD14EF" w14:textId="688651FF"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afatshkurtër-afatmesëm: grante nga donatorë dypalësh, të tillë si Suedia, Austria, Japonia, Franca</w:t>
            </w:r>
            <w:r w:rsidR="000A2A01" w:rsidRPr="007114AF">
              <w:rPr>
                <w:rFonts w:ascii="Garamond" w:hAnsi="Garamond" w:cs="Calibri"/>
                <w:sz w:val="18"/>
                <w:szCs w:val="18"/>
              </w:rPr>
              <w:t xml:space="preserve"> </w:t>
            </w:r>
            <w:r w:rsidRPr="007114AF">
              <w:rPr>
                <w:rFonts w:ascii="Garamond" w:hAnsi="Garamond" w:cs="Calibri"/>
                <w:sz w:val="18"/>
                <w:szCs w:val="18"/>
              </w:rPr>
              <w:t xml:space="preserve">ose WBIF </w:t>
            </w:r>
          </w:p>
          <w:p w14:paraId="6EDD14F0" w14:textId="77777777" w:rsidR="00E45764" w:rsidRPr="007114AF" w:rsidRDefault="00E45764" w:rsidP="00D82F76">
            <w:pPr>
              <w:spacing w:after="0" w:line="240" w:lineRule="auto"/>
              <w:rPr>
                <w:rFonts w:ascii="Garamond" w:hAnsi="Garamond" w:cs="Calibri"/>
                <w:sz w:val="18"/>
                <w:szCs w:val="18"/>
              </w:rPr>
            </w:pPr>
          </w:p>
        </w:tc>
        <w:tc>
          <w:tcPr>
            <w:tcW w:w="3402" w:type="dxa"/>
            <w:shd w:val="clear" w:color="auto" w:fill="auto"/>
          </w:tcPr>
          <w:p w14:paraId="6EDD14F1" w14:textId="77777777" w:rsidR="00E45764" w:rsidRPr="007114AF" w:rsidRDefault="00E45764" w:rsidP="00D82F76">
            <w:pPr>
              <w:spacing w:after="0" w:line="240" w:lineRule="auto"/>
              <w:rPr>
                <w:rFonts w:ascii="Garamond" w:hAnsi="Garamond"/>
                <w:sz w:val="18"/>
                <w:szCs w:val="18"/>
              </w:rPr>
            </w:pPr>
            <w:r w:rsidRPr="007114AF">
              <w:rPr>
                <w:rFonts w:ascii="Garamond" w:hAnsi="Garamond"/>
                <w:sz w:val="18"/>
                <w:szCs w:val="18"/>
              </w:rPr>
              <w:t>- Në cilën masë propozimi i PNUD-it FGJK (GCF) mbulon elementë të kësaj PA-je</w:t>
            </w:r>
          </w:p>
        </w:tc>
      </w:tr>
      <w:tr w:rsidR="00E45764" w:rsidRPr="007114AF" w14:paraId="6EDD14FA" w14:textId="77777777" w:rsidTr="00BA14F8">
        <w:tc>
          <w:tcPr>
            <w:tcW w:w="3251" w:type="dxa"/>
            <w:shd w:val="clear" w:color="auto" w:fill="auto"/>
          </w:tcPr>
          <w:p w14:paraId="6EDD14F3" w14:textId="6F454FF3" w:rsidR="00E45764" w:rsidRPr="007114AF" w:rsidRDefault="008D30FC" w:rsidP="00D82F76">
            <w:pPr>
              <w:pStyle w:val="Tabellentext"/>
              <w:jc w:val="both"/>
              <w:rPr>
                <w:rFonts w:ascii="Garamond" w:hAnsi="Garamond" w:cs="Calibri"/>
                <w:sz w:val="18"/>
                <w:szCs w:val="18"/>
                <w:lang w:val="sq-AL"/>
              </w:rPr>
            </w:pPr>
            <w:r w:rsidRPr="007114AF">
              <w:rPr>
                <w:rFonts w:ascii="Garamond" w:eastAsia="MS Mincho" w:hAnsi="Garamond" w:cs="Calibri"/>
                <w:bCs w:val="0"/>
                <w:iCs w:val="0"/>
                <w:sz w:val="18"/>
                <w:szCs w:val="18"/>
                <w:lang w:val="sq-AL" w:eastAsia="en-US"/>
              </w:rPr>
              <w:t xml:space="preserve">Nr. </w:t>
            </w:r>
            <w:r w:rsidR="00E45764" w:rsidRPr="007114AF">
              <w:rPr>
                <w:rFonts w:ascii="Garamond" w:eastAsia="MS Mincho" w:hAnsi="Garamond" w:cs="Calibri"/>
                <w:bCs w:val="0"/>
                <w:iCs w:val="0"/>
                <w:sz w:val="18"/>
                <w:szCs w:val="18"/>
                <w:lang w:val="sq-AL" w:eastAsia="en-US"/>
              </w:rPr>
              <w:t>12:</w:t>
            </w:r>
            <w:r w:rsidR="000A2A01" w:rsidRPr="007114AF">
              <w:rPr>
                <w:rFonts w:ascii="Garamond" w:eastAsia="MS Mincho" w:hAnsi="Garamond" w:cs="Calibri"/>
                <w:bCs w:val="0"/>
                <w:iCs w:val="0"/>
                <w:sz w:val="18"/>
                <w:szCs w:val="18"/>
                <w:lang w:val="sq-AL" w:eastAsia="en-US"/>
              </w:rPr>
              <w:t xml:space="preserve"> </w:t>
            </w:r>
            <w:r w:rsidR="00E45764" w:rsidRPr="007114AF">
              <w:rPr>
                <w:rFonts w:ascii="Garamond" w:eastAsia="MS Mincho" w:hAnsi="Garamond" w:cs="Calibri"/>
                <w:bCs w:val="0"/>
                <w:iCs w:val="0"/>
                <w:sz w:val="18"/>
                <w:szCs w:val="18"/>
                <w:lang w:val="sq-AL" w:eastAsia="en-US"/>
              </w:rPr>
              <w:t>Nisma për krijimin e planeve për përshtatjen ndaj ndryshimeve klimatike në nivel bashkie</w:t>
            </w:r>
          </w:p>
        </w:tc>
        <w:tc>
          <w:tcPr>
            <w:tcW w:w="1417" w:type="dxa"/>
            <w:shd w:val="clear" w:color="auto" w:fill="auto"/>
            <w:vAlign w:val="center"/>
          </w:tcPr>
          <w:p w14:paraId="6EDD14F4" w14:textId="3278D008"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202.5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1413" w:type="dxa"/>
            <w:shd w:val="clear" w:color="auto" w:fill="auto"/>
            <w:vAlign w:val="center"/>
          </w:tcPr>
          <w:p w14:paraId="6EDD14F5" w14:textId="06CAA4D2"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Fonde të</w:t>
            </w:r>
            <w:r w:rsidR="000A2A01" w:rsidRPr="007114AF">
              <w:rPr>
                <w:rFonts w:ascii="Garamond" w:hAnsi="Garamond" w:cs="Calibri"/>
                <w:sz w:val="18"/>
                <w:szCs w:val="18"/>
              </w:rPr>
              <w:t xml:space="preserve"> </w:t>
            </w:r>
            <w:r w:rsidRPr="007114AF">
              <w:rPr>
                <w:rFonts w:ascii="Garamond" w:hAnsi="Garamond"/>
                <w:sz w:val="18"/>
                <w:szCs w:val="18"/>
              </w:rPr>
              <w:t>FZHR (RDF)</w:t>
            </w:r>
            <w:r w:rsidR="003F649E" w:rsidRPr="007114AF">
              <w:rPr>
                <w:rFonts w:ascii="Garamond" w:hAnsi="Garamond"/>
                <w:sz w:val="18"/>
                <w:szCs w:val="18"/>
              </w:rPr>
              <w:t>,</w:t>
            </w:r>
            <w:r w:rsidRPr="007114AF">
              <w:rPr>
                <w:rFonts w:ascii="Garamond" w:hAnsi="Garamond" w:cs="Calibri"/>
                <w:sz w:val="18"/>
                <w:szCs w:val="18"/>
              </w:rPr>
              <w:t xml:space="preserve"> 13.5 </w:t>
            </w:r>
            <w:r w:rsidR="001C47F0" w:rsidRPr="007114AF">
              <w:rPr>
                <w:rFonts w:ascii="Garamond" w:hAnsi="Garamond" w:cs="Calibri"/>
                <w:sz w:val="18"/>
                <w:szCs w:val="18"/>
              </w:rPr>
              <w:t xml:space="preserve">milionë </w:t>
            </w:r>
            <w:r w:rsidRPr="007114AF">
              <w:rPr>
                <w:rFonts w:ascii="Garamond" w:hAnsi="Garamond" w:cs="Calibri"/>
                <w:sz w:val="18"/>
                <w:szCs w:val="18"/>
              </w:rPr>
              <w:t>LEKË</w:t>
            </w:r>
          </w:p>
        </w:tc>
        <w:tc>
          <w:tcPr>
            <w:tcW w:w="5103" w:type="dxa"/>
            <w:shd w:val="clear" w:color="auto" w:fill="auto"/>
          </w:tcPr>
          <w:p w14:paraId="6EDD14F6" w14:textId="5744B72A"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 xml:space="preserve">- afatshkurtër: EU IPA II, aplikimi i dërguar (189 </w:t>
            </w:r>
            <w:r w:rsidR="001C47F0" w:rsidRPr="007114AF">
              <w:rPr>
                <w:rFonts w:ascii="Garamond" w:hAnsi="Garamond" w:cs="Calibri"/>
                <w:sz w:val="18"/>
                <w:szCs w:val="18"/>
              </w:rPr>
              <w:t xml:space="preserve">milionë </w:t>
            </w:r>
            <w:r w:rsidRPr="007114AF">
              <w:rPr>
                <w:rFonts w:ascii="Garamond" w:hAnsi="Garamond" w:cs="Calibri"/>
                <w:sz w:val="18"/>
                <w:szCs w:val="18"/>
              </w:rPr>
              <w:t xml:space="preserve">LEKË) </w:t>
            </w:r>
          </w:p>
          <w:p w14:paraId="6EDD14F7" w14:textId="16E5196C"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-afatshkurtër- afatmesëm: grante nga donatorë dypalësh të tillë si Suedia, Austria, Franca</w:t>
            </w:r>
            <w:r w:rsidR="000A2A01" w:rsidRPr="007114AF">
              <w:rPr>
                <w:rFonts w:ascii="Garamond" w:hAnsi="Garamond" w:cs="Calibri"/>
                <w:sz w:val="18"/>
                <w:szCs w:val="18"/>
              </w:rPr>
              <w:t xml:space="preserve"> </w:t>
            </w:r>
          </w:p>
        </w:tc>
        <w:tc>
          <w:tcPr>
            <w:tcW w:w="3402" w:type="dxa"/>
            <w:shd w:val="clear" w:color="auto" w:fill="auto"/>
          </w:tcPr>
          <w:p w14:paraId="6EDD14F8" w14:textId="04313FA7" w:rsidR="00E45764" w:rsidRPr="007114AF" w:rsidRDefault="00E45764" w:rsidP="00D82F76">
            <w:pPr>
              <w:spacing w:after="0" w:line="240" w:lineRule="auto"/>
              <w:rPr>
                <w:rFonts w:ascii="Garamond" w:hAnsi="Garamond"/>
                <w:sz w:val="18"/>
                <w:szCs w:val="18"/>
              </w:rPr>
            </w:pPr>
            <w:r w:rsidRPr="007114AF">
              <w:rPr>
                <w:rFonts w:ascii="Garamond" w:hAnsi="Garamond"/>
                <w:sz w:val="18"/>
                <w:szCs w:val="18"/>
              </w:rPr>
              <w:t>- të mbështeten bashkitë në përgatitjen e komponentit me aftësi rimëkëmbëse ndaj ndryshimeve klimatike, të aplikimeve të</w:t>
            </w:r>
            <w:r w:rsidR="000A2A01" w:rsidRPr="007114AF">
              <w:rPr>
                <w:rFonts w:ascii="Garamond" w:hAnsi="Garamond"/>
                <w:sz w:val="18"/>
                <w:szCs w:val="18"/>
              </w:rPr>
              <w:t xml:space="preserve"> </w:t>
            </w:r>
            <w:r w:rsidRPr="007114AF">
              <w:rPr>
                <w:rFonts w:ascii="Garamond" w:hAnsi="Garamond"/>
                <w:sz w:val="18"/>
                <w:szCs w:val="18"/>
              </w:rPr>
              <w:t>FZHR (RDF)</w:t>
            </w:r>
          </w:p>
          <w:p w14:paraId="6EDD14F9" w14:textId="77777777" w:rsidR="00E45764" w:rsidRPr="007114AF" w:rsidRDefault="00E45764" w:rsidP="00D82F76">
            <w:pPr>
              <w:spacing w:after="0" w:line="240" w:lineRule="auto"/>
              <w:rPr>
                <w:rFonts w:ascii="Garamond" w:hAnsi="Garamond"/>
                <w:sz w:val="18"/>
                <w:szCs w:val="18"/>
              </w:rPr>
            </w:pPr>
            <w:r w:rsidRPr="007114AF">
              <w:rPr>
                <w:rFonts w:ascii="Garamond" w:hAnsi="Garamond"/>
                <w:sz w:val="18"/>
                <w:szCs w:val="18"/>
              </w:rPr>
              <w:t>- Në cilën masë propozimi I PNUD FGJK (GCF) mbulon elementë të kësaj PA-je</w:t>
            </w:r>
          </w:p>
        </w:tc>
      </w:tr>
      <w:tr w:rsidR="00E45764" w:rsidRPr="007114AF" w14:paraId="6EDD1503" w14:textId="77777777" w:rsidTr="00BA14F8">
        <w:trPr>
          <w:trHeight w:val="1807"/>
        </w:trPr>
        <w:tc>
          <w:tcPr>
            <w:tcW w:w="3251" w:type="dxa"/>
            <w:shd w:val="clear" w:color="auto" w:fill="auto"/>
          </w:tcPr>
          <w:p w14:paraId="6EDD14FB" w14:textId="4953A309" w:rsidR="00E45764" w:rsidRPr="007114AF" w:rsidRDefault="008D30FC" w:rsidP="00D82F76">
            <w:pPr>
              <w:pStyle w:val="Tabellentext"/>
              <w:jc w:val="both"/>
              <w:rPr>
                <w:rFonts w:ascii="Garamond" w:hAnsi="Garamond" w:cs="Calibri"/>
                <w:sz w:val="18"/>
                <w:szCs w:val="18"/>
                <w:lang w:val="sq-AL"/>
              </w:rPr>
            </w:pPr>
            <w:r w:rsidRPr="007114AF">
              <w:rPr>
                <w:rFonts w:ascii="Garamond" w:eastAsia="MS Mincho" w:hAnsi="Garamond" w:cs="Calibri"/>
                <w:bCs w:val="0"/>
                <w:iCs w:val="0"/>
                <w:sz w:val="18"/>
                <w:szCs w:val="18"/>
                <w:lang w:val="sq-AL" w:eastAsia="en-US"/>
              </w:rPr>
              <w:t xml:space="preserve">Nr. </w:t>
            </w:r>
            <w:r w:rsidR="00E45764" w:rsidRPr="007114AF">
              <w:rPr>
                <w:rFonts w:ascii="Garamond" w:eastAsia="MS Mincho" w:hAnsi="Garamond" w:cs="Calibri"/>
                <w:bCs w:val="0"/>
                <w:iCs w:val="0"/>
                <w:sz w:val="18"/>
                <w:szCs w:val="18"/>
                <w:lang w:val="sq-AL" w:eastAsia="en-US"/>
              </w:rPr>
              <w:t>13</w:t>
            </w:r>
            <w:r w:rsidR="000A2A01" w:rsidRPr="007114AF">
              <w:rPr>
                <w:rFonts w:ascii="Garamond" w:eastAsia="MS Mincho" w:hAnsi="Garamond" w:cs="Calibri"/>
                <w:bCs w:val="0"/>
                <w:iCs w:val="0"/>
                <w:sz w:val="18"/>
                <w:szCs w:val="18"/>
                <w:lang w:val="sq-AL" w:eastAsia="en-US"/>
              </w:rPr>
              <w:t xml:space="preserve"> </w:t>
            </w:r>
            <w:r w:rsidR="00E45764" w:rsidRPr="007114AF">
              <w:rPr>
                <w:rFonts w:ascii="Garamond" w:eastAsia="MS Mincho" w:hAnsi="Garamond" w:cs="Calibri"/>
                <w:bCs w:val="0"/>
                <w:iCs w:val="0"/>
                <w:sz w:val="18"/>
                <w:szCs w:val="18"/>
                <w:lang w:val="sq-AL" w:eastAsia="en-US"/>
              </w:rPr>
              <w:t>Përshtatja në turizëm</w:t>
            </w:r>
          </w:p>
        </w:tc>
        <w:tc>
          <w:tcPr>
            <w:tcW w:w="1417" w:type="dxa"/>
            <w:shd w:val="clear" w:color="auto" w:fill="auto"/>
            <w:vAlign w:val="center"/>
          </w:tcPr>
          <w:p w14:paraId="6EDD14FC" w14:textId="1260A772" w:rsidR="00E45764" w:rsidRPr="007114AF" w:rsidRDefault="00E45764" w:rsidP="00D82F76">
            <w:pPr>
              <w:spacing w:after="0" w:line="240" w:lineRule="auto"/>
              <w:rPr>
                <w:rFonts w:ascii="Garamond" w:hAnsi="Garamond" w:cs="Calibri"/>
                <w:sz w:val="18"/>
                <w:szCs w:val="18"/>
              </w:rPr>
            </w:pPr>
            <w:r w:rsidRPr="007114AF">
              <w:rPr>
                <w:rFonts w:ascii="Garamond" w:hAnsi="Garamond" w:cs="Calibri"/>
                <w:bCs/>
                <w:iCs/>
                <w:sz w:val="18"/>
                <w:szCs w:val="18"/>
              </w:rPr>
              <w:t xml:space="preserve">81.2 </w:t>
            </w:r>
            <w:r w:rsidR="001C47F0" w:rsidRPr="007114AF">
              <w:rPr>
                <w:rFonts w:ascii="Garamond" w:hAnsi="Garamond" w:cs="Calibri"/>
                <w:bCs/>
                <w:iCs/>
                <w:sz w:val="18"/>
                <w:szCs w:val="18"/>
              </w:rPr>
              <w:t xml:space="preserve">milionë </w:t>
            </w:r>
            <w:r w:rsidRPr="007114AF">
              <w:rPr>
                <w:rFonts w:ascii="Garamond" w:hAnsi="Garamond" w:cs="Calibri"/>
                <w:bCs/>
                <w:iCs/>
                <w:sz w:val="18"/>
                <w:szCs w:val="18"/>
              </w:rPr>
              <w:t>LEKË (për 3 vjet)</w:t>
            </w:r>
          </w:p>
        </w:tc>
        <w:tc>
          <w:tcPr>
            <w:tcW w:w="1413" w:type="dxa"/>
            <w:shd w:val="clear" w:color="auto" w:fill="auto"/>
            <w:vAlign w:val="center"/>
          </w:tcPr>
          <w:p w14:paraId="6EDD14FD" w14:textId="30C07768"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për t</w:t>
            </w:r>
            <w:r w:rsidR="00D10DAB" w:rsidRPr="007114AF">
              <w:rPr>
                <w:rFonts w:ascii="Garamond" w:hAnsi="Garamond" w:cs="Calibri"/>
                <w:sz w:val="18"/>
                <w:szCs w:val="18"/>
              </w:rPr>
              <w:t>’</w:t>
            </w:r>
            <w:r w:rsidRPr="007114AF">
              <w:rPr>
                <w:rFonts w:ascii="Garamond" w:hAnsi="Garamond" w:cs="Calibri"/>
                <w:sz w:val="18"/>
                <w:szCs w:val="18"/>
              </w:rPr>
              <w:t>u vendosur</w:t>
            </w:r>
          </w:p>
        </w:tc>
        <w:tc>
          <w:tcPr>
            <w:tcW w:w="5103" w:type="dxa"/>
            <w:shd w:val="clear" w:color="auto" w:fill="auto"/>
          </w:tcPr>
          <w:p w14:paraId="6EDD14FE" w14:textId="4781A1F4" w:rsidR="00E45764" w:rsidRPr="007114AF" w:rsidRDefault="00E45764" w:rsidP="00D82F76">
            <w:pPr>
              <w:pStyle w:val="Standardtextbody"/>
              <w:spacing w:after="0" w:line="240" w:lineRule="auto"/>
              <w:jc w:val="both"/>
              <w:rPr>
                <w:rFonts w:ascii="Garamond" w:eastAsia="Calibri" w:hAnsi="Garamond" w:cs="Calibri"/>
                <w:bCs w:val="0"/>
                <w:iCs w:val="0"/>
                <w:sz w:val="18"/>
                <w:szCs w:val="18"/>
                <w:lang w:val="sq-AL"/>
              </w:rPr>
            </w:pPr>
            <w:r w:rsidRPr="007114AF">
              <w:rPr>
                <w:rFonts w:ascii="Garamond" w:eastAsia="Calibri" w:hAnsi="Garamond" w:cs="Calibri"/>
                <w:bCs w:val="0"/>
                <w:iCs w:val="0"/>
                <w:sz w:val="18"/>
                <w:szCs w:val="18"/>
                <w:lang w:val="sq-AL"/>
              </w:rPr>
              <w:t>- afatmesëm:</w:t>
            </w:r>
            <w:r w:rsidR="000A2A01" w:rsidRPr="007114AF">
              <w:rPr>
                <w:rFonts w:ascii="Garamond" w:eastAsia="Calibri" w:hAnsi="Garamond" w:cs="Calibri"/>
                <w:bCs w:val="0"/>
                <w:iCs w:val="0"/>
                <w:sz w:val="18"/>
                <w:szCs w:val="18"/>
                <w:lang w:val="sq-AL"/>
              </w:rPr>
              <w:t xml:space="preserve"> </w:t>
            </w:r>
            <w:r w:rsidRPr="007114AF">
              <w:rPr>
                <w:rFonts w:ascii="Garamond" w:eastAsia="Calibri" w:hAnsi="Garamond" w:cs="Calibri"/>
                <w:bCs w:val="0"/>
                <w:iCs w:val="0"/>
                <w:sz w:val="18"/>
                <w:szCs w:val="18"/>
                <w:lang w:val="sq-AL"/>
              </w:rPr>
              <w:t>instrumente inovative financimi që mbështesin NVM-të në sektorin e turizmit, të cilat janë të gatshme të kontribuojnë për ripërtëritjen e klimës (shihni kapitullin</w:t>
            </w:r>
            <w:r w:rsidR="000A2A01" w:rsidRPr="007114AF">
              <w:rPr>
                <w:rFonts w:ascii="Garamond" w:eastAsia="Calibri" w:hAnsi="Garamond" w:cs="Calibri"/>
                <w:bCs w:val="0"/>
                <w:iCs w:val="0"/>
                <w:sz w:val="18"/>
                <w:szCs w:val="18"/>
                <w:lang w:val="sq-AL"/>
              </w:rPr>
              <w:t xml:space="preserve"> </w:t>
            </w:r>
            <w:r w:rsidRPr="007114AF">
              <w:rPr>
                <w:rFonts w:ascii="Garamond" w:eastAsia="Calibri" w:hAnsi="Garamond" w:cs="Calibri"/>
                <w:bCs w:val="0"/>
                <w:iCs w:val="0"/>
                <w:sz w:val="18"/>
                <w:szCs w:val="18"/>
                <w:lang w:val="sq-AL"/>
              </w:rPr>
              <w:t xml:space="preserve">3.4) </w:t>
            </w:r>
          </w:p>
          <w:p w14:paraId="6EDD14FF" w14:textId="77777777" w:rsidR="00E45764" w:rsidRPr="007114AF" w:rsidRDefault="00E45764" w:rsidP="00D82F76">
            <w:pPr>
              <w:pStyle w:val="Standardtextbody"/>
              <w:spacing w:after="0" w:line="240" w:lineRule="auto"/>
              <w:jc w:val="both"/>
              <w:rPr>
                <w:rFonts w:ascii="Garamond" w:eastAsia="Calibri" w:hAnsi="Garamond" w:cs="Calibri"/>
                <w:bCs w:val="0"/>
                <w:iCs w:val="0"/>
                <w:sz w:val="18"/>
                <w:szCs w:val="18"/>
                <w:lang w:val="sq-AL"/>
              </w:rPr>
            </w:pPr>
            <w:r w:rsidRPr="007114AF">
              <w:rPr>
                <w:rFonts w:ascii="Garamond" w:eastAsia="Calibri" w:hAnsi="Garamond" w:cs="Calibri"/>
                <w:bCs w:val="0"/>
                <w:iCs w:val="0"/>
                <w:sz w:val="18"/>
                <w:szCs w:val="18"/>
                <w:lang w:val="sq-AL"/>
              </w:rPr>
              <w:t>- Banka Evropiane e Investimeve BEI (për shembull Garancia e NVM-ve InnovFin, BB EDIF II)</w:t>
            </w:r>
          </w:p>
          <w:p w14:paraId="6EDD1500" w14:textId="77777777" w:rsidR="00E45764" w:rsidRPr="007114AF" w:rsidRDefault="00E45764" w:rsidP="00D82F76">
            <w:pPr>
              <w:pStyle w:val="Standardtextbody"/>
              <w:spacing w:after="0" w:line="240" w:lineRule="auto"/>
              <w:jc w:val="both"/>
              <w:rPr>
                <w:rFonts w:ascii="Garamond" w:eastAsia="Calibri" w:hAnsi="Garamond" w:cs="Calibri"/>
                <w:bCs w:val="0"/>
                <w:iCs w:val="0"/>
                <w:sz w:val="18"/>
                <w:szCs w:val="18"/>
                <w:lang w:val="sq-AL"/>
              </w:rPr>
            </w:pPr>
          </w:p>
        </w:tc>
        <w:tc>
          <w:tcPr>
            <w:tcW w:w="3402" w:type="dxa"/>
            <w:shd w:val="clear" w:color="auto" w:fill="auto"/>
          </w:tcPr>
          <w:p w14:paraId="6EDD1501" w14:textId="77777777" w:rsidR="00E45764" w:rsidRPr="007114AF" w:rsidRDefault="00E45764" w:rsidP="00D82F76">
            <w:pPr>
              <w:pStyle w:val="Standardtextbody"/>
              <w:spacing w:after="0" w:line="240" w:lineRule="auto"/>
              <w:jc w:val="both"/>
              <w:rPr>
                <w:rFonts w:ascii="Garamond" w:hAnsi="Garamond"/>
                <w:color w:val="000000"/>
                <w:sz w:val="18"/>
                <w:szCs w:val="18"/>
                <w:lang w:val="sq-AL"/>
              </w:rPr>
            </w:pPr>
            <w:r w:rsidRPr="007114AF">
              <w:rPr>
                <w:rFonts w:ascii="Garamond" w:hAnsi="Garamond"/>
                <w:sz w:val="18"/>
                <w:szCs w:val="18"/>
                <w:lang w:val="sq-AL"/>
              </w:rPr>
              <w:t xml:space="preserve">- të </w:t>
            </w:r>
            <w:r w:rsidRPr="007114AF">
              <w:rPr>
                <w:rFonts w:ascii="Garamond" w:hAnsi="Garamond"/>
                <w:color w:val="000000"/>
                <w:sz w:val="18"/>
                <w:szCs w:val="18"/>
                <w:lang w:val="sq-AL"/>
              </w:rPr>
              <w:t xml:space="preserve">specifikohen dhe projektohen aktivitete </w:t>
            </w:r>
          </w:p>
          <w:p w14:paraId="6EDD1502" w14:textId="65742D21" w:rsidR="00E45764" w:rsidRPr="007114AF" w:rsidRDefault="00E45764" w:rsidP="00D82F76">
            <w:pPr>
              <w:pStyle w:val="Standardtextbody"/>
              <w:spacing w:after="0" w:line="240" w:lineRule="auto"/>
              <w:jc w:val="both"/>
              <w:rPr>
                <w:rFonts w:ascii="Garamond" w:eastAsia="Calibri" w:hAnsi="Garamond"/>
                <w:bCs w:val="0"/>
                <w:iCs w:val="0"/>
                <w:sz w:val="18"/>
                <w:szCs w:val="18"/>
                <w:lang w:val="sq-AL"/>
              </w:rPr>
            </w:pPr>
            <w:r w:rsidRPr="007114AF">
              <w:rPr>
                <w:rFonts w:ascii="Garamond" w:hAnsi="Garamond"/>
                <w:color w:val="000000"/>
                <w:sz w:val="18"/>
                <w:szCs w:val="18"/>
                <w:lang w:val="sq-AL"/>
              </w:rPr>
              <w:t>- të kontrollohen fituesit e kontratave të</w:t>
            </w:r>
            <w:r w:rsidR="000A2A01" w:rsidRPr="007114AF">
              <w:rPr>
                <w:rFonts w:ascii="Garamond" w:hAnsi="Garamond"/>
                <w:color w:val="000000"/>
                <w:sz w:val="18"/>
                <w:szCs w:val="18"/>
                <w:lang w:val="sq-AL"/>
              </w:rPr>
              <w:t xml:space="preserve"> </w:t>
            </w:r>
            <w:hyperlink r:id="rId61" w:history="1">
              <w:r w:rsidRPr="007114AF">
                <w:rPr>
                  <w:rStyle w:val="Hyperlink"/>
                  <w:rFonts w:ascii="Garamond" w:hAnsi="Garamond"/>
                  <w:color w:val="000000"/>
                  <w:sz w:val="18"/>
                  <w:szCs w:val="18"/>
                  <w:lang w:val="sq-AL"/>
                </w:rPr>
                <w:t xml:space="preserve">thirrjes së USAID/SIDA për propozimin </w:t>
              </w:r>
              <w:r w:rsidR="00D10DAB" w:rsidRPr="007114AF">
                <w:rPr>
                  <w:rStyle w:val="Hyperlink"/>
                  <w:rFonts w:ascii="Garamond" w:hAnsi="Garamond"/>
                  <w:color w:val="000000"/>
                  <w:sz w:val="18"/>
                  <w:szCs w:val="18"/>
                  <w:lang w:val="sq-AL"/>
                </w:rPr>
                <w:t>‘</w:t>
              </w:r>
              <w:r w:rsidRPr="007114AF">
                <w:rPr>
                  <w:rStyle w:val="Hyperlink"/>
                  <w:rFonts w:ascii="Garamond" w:hAnsi="Garamond"/>
                  <w:color w:val="000000"/>
                  <w:sz w:val="18"/>
                  <w:szCs w:val="18"/>
                  <w:lang w:val="sq-AL"/>
                </w:rPr>
                <w:t>Turizmi si Komponent Pararojë</w:t>
              </w:r>
              <w:r w:rsidR="00D10DAB" w:rsidRPr="007114AF">
                <w:rPr>
                  <w:rStyle w:val="Hyperlink"/>
                  <w:rFonts w:ascii="Garamond" w:hAnsi="Garamond"/>
                  <w:color w:val="000000"/>
                  <w:sz w:val="18"/>
                  <w:szCs w:val="18"/>
                  <w:lang w:val="sq-AL"/>
                </w:rPr>
                <w:t>’</w:t>
              </w:r>
            </w:hyperlink>
            <w:r w:rsidRPr="007114AF">
              <w:rPr>
                <w:rFonts w:ascii="Garamond" w:hAnsi="Garamond"/>
                <w:color w:val="000000"/>
                <w:sz w:val="18"/>
                <w:szCs w:val="18"/>
                <w:lang w:val="sq-AL"/>
              </w:rPr>
              <w:t>për integrimin</w:t>
            </w:r>
            <w:r w:rsidRPr="007114AF">
              <w:rPr>
                <w:rFonts w:ascii="Garamond" w:hAnsi="Garamond"/>
                <w:sz w:val="18"/>
                <w:szCs w:val="18"/>
                <w:lang w:val="sq-AL"/>
              </w:rPr>
              <w:t xml:space="preserve"> e aspekteve të NDRYSHIMEVE KLIMATIKE</w:t>
            </w:r>
          </w:p>
        </w:tc>
      </w:tr>
      <w:tr w:rsidR="00E45764" w:rsidRPr="007114AF" w14:paraId="6EDD150A" w14:textId="77777777" w:rsidTr="00BA14F8">
        <w:trPr>
          <w:trHeight w:val="1168"/>
        </w:trPr>
        <w:tc>
          <w:tcPr>
            <w:tcW w:w="3251" w:type="dxa"/>
            <w:shd w:val="clear" w:color="auto" w:fill="auto"/>
          </w:tcPr>
          <w:p w14:paraId="6EDD1504" w14:textId="7C5448BE"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14:</w:t>
            </w:r>
            <w:r w:rsidR="000A2A01" w:rsidRPr="007114AF">
              <w:rPr>
                <w:rFonts w:ascii="Garamond" w:hAnsi="Garamond" w:cs="Calibri"/>
                <w:sz w:val="18"/>
                <w:szCs w:val="18"/>
              </w:rPr>
              <w:t xml:space="preserve"> </w:t>
            </w:r>
            <w:r w:rsidR="00E45764" w:rsidRPr="007114AF">
              <w:rPr>
                <w:rFonts w:ascii="Garamond" w:hAnsi="Garamond" w:cs="Calibri"/>
                <w:sz w:val="18"/>
                <w:szCs w:val="18"/>
              </w:rPr>
              <w:t>Rritja e nivelit të gatishmërisë së mbrojtjes civile dhe të zvogëlimit të rrezikut të fatkeqësive natyrore</w:t>
            </w:r>
          </w:p>
        </w:tc>
        <w:tc>
          <w:tcPr>
            <w:tcW w:w="1417" w:type="dxa"/>
            <w:shd w:val="clear" w:color="auto" w:fill="auto"/>
            <w:vAlign w:val="center"/>
          </w:tcPr>
          <w:p w14:paraId="6EDD1505" w14:textId="33DEE5EA" w:rsidR="00E45764" w:rsidRPr="007114AF" w:rsidRDefault="00E45764" w:rsidP="00D82F76">
            <w:pPr>
              <w:spacing w:after="0" w:line="240" w:lineRule="auto"/>
              <w:rPr>
                <w:rFonts w:ascii="Garamond" w:hAnsi="Garamond" w:cs="Calibri"/>
                <w:sz w:val="18"/>
                <w:szCs w:val="18"/>
              </w:rPr>
            </w:pPr>
            <w:r w:rsidRPr="007114AF">
              <w:rPr>
                <w:rFonts w:ascii="Garamond" w:hAnsi="Garamond" w:cs="Calibri"/>
                <w:bCs/>
                <w:iCs/>
                <w:sz w:val="18"/>
                <w:szCs w:val="18"/>
              </w:rPr>
              <w:t>1201.5 miliard</w:t>
            </w:r>
            <w:r w:rsidR="00242009" w:rsidRPr="007114AF">
              <w:rPr>
                <w:rFonts w:ascii="Garamond" w:hAnsi="Garamond" w:cs="Calibri"/>
                <w:bCs/>
                <w:iCs/>
                <w:sz w:val="18"/>
                <w:szCs w:val="18"/>
              </w:rPr>
              <w:t>ë</w:t>
            </w:r>
            <w:r w:rsidRPr="007114AF">
              <w:rPr>
                <w:rFonts w:ascii="Garamond" w:hAnsi="Garamond" w:cs="Calibri"/>
                <w:bCs/>
                <w:iCs/>
                <w:sz w:val="18"/>
                <w:szCs w:val="18"/>
              </w:rPr>
              <w:t xml:space="preserve"> LEKË</w:t>
            </w:r>
          </w:p>
        </w:tc>
        <w:tc>
          <w:tcPr>
            <w:tcW w:w="1413" w:type="dxa"/>
            <w:shd w:val="clear" w:color="auto" w:fill="auto"/>
            <w:vAlign w:val="center"/>
          </w:tcPr>
          <w:p w14:paraId="6EDD1506" w14:textId="15E222EE" w:rsidR="00E45764" w:rsidRPr="007114AF" w:rsidRDefault="00E45764" w:rsidP="00D82F76">
            <w:pPr>
              <w:spacing w:after="0" w:line="240" w:lineRule="auto"/>
              <w:rPr>
                <w:rFonts w:ascii="Garamond" w:hAnsi="Garamond" w:cs="Calibri"/>
                <w:sz w:val="18"/>
                <w:szCs w:val="18"/>
              </w:rPr>
            </w:pPr>
            <w:r w:rsidRPr="007114AF">
              <w:rPr>
                <w:rFonts w:ascii="Garamond" w:hAnsi="Garamond" w:cs="Calibri"/>
                <w:sz w:val="18"/>
                <w:szCs w:val="18"/>
              </w:rPr>
              <w:t>për t</w:t>
            </w:r>
            <w:r w:rsidR="00D10DAB" w:rsidRPr="007114AF">
              <w:rPr>
                <w:rFonts w:ascii="Garamond" w:hAnsi="Garamond" w:cs="Calibri"/>
                <w:sz w:val="18"/>
                <w:szCs w:val="18"/>
              </w:rPr>
              <w:t>’</w:t>
            </w:r>
            <w:r w:rsidRPr="007114AF">
              <w:rPr>
                <w:rFonts w:ascii="Garamond" w:hAnsi="Garamond" w:cs="Calibri"/>
                <w:sz w:val="18"/>
                <w:szCs w:val="18"/>
              </w:rPr>
              <w:t>u vendosur</w:t>
            </w:r>
          </w:p>
        </w:tc>
        <w:tc>
          <w:tcPr>
            <w:tcW w:w="5103" w:type="dxa"/>
            <w:shd w:val="clear" w:color="auto" w:fill="auto"/>
          </w:tcPr>
          <w:p w14:paraId="6EDD1507" w14:textId="1A42155F" w:rsidR="00E45764" w:rsidRPr="007114AF" w:rsidRDefault="00E45764" w:rsidP="00D82F76">
            <w:pPr>
              <w:pStyle w:val="Standardtextbody"/>
              <w:spacing w:after="0" w:line="240" w:lineRule="auto"/>
              <w:jc w:val="both"/>
              <w:rPr>
                <w:rFonts w:ascii="Garamond" w:eastAsia="Calibri" w:hAnsi="Garamond" w:cs="Calibri"/>
                <w:bCs w:val="0"/>
                <w:iCs w:val="0"/>
                <w:sz w:val="18"/>
                <w:szCs w:val="18"/>
                <w:lang w:val="sq-AL"/>
              </w:rPr>
            </w:pPr>
            <w:r w:rsidRPr="007114AF">
              <w:rPr>
                <w:rFonts w:ascii="Garamond" w:eastAsia="Calibri" w:hAnsi="Garamond" w:cs="Calibri"/>
                <w:bCs w:val="0"/>
                <w:iCs w:val="0"/>
                <w:sz w:val="18"/>
                <w:szCs w:val="18"/>
                <w:lang w:val="sq-AL"/>
              </w:rPr>
              <w:t>- pjesërisht të mbuluara nga fonde të vazhdueshme të BE</w:t>
            </w:r>
            <w:r w:rsidR="000A2A01" w:rsidRPr="007114AF">
              <w:rPr>
                <w:rFonts w:ascii="Garamond" w:eastAsia="Calibri" w:hAnsi="Garamond" w:cs="Calibri"/>
                <w:bCs w:val="0"/>
                <w:iCs w:val="0"/>
                <w:sz w:val="18"/>
                <w:szCs w:val="18"/>
                <w:lang w:val="sq-AL"/>
              </w:rPr>
              <w:t xml:space="preserve"> </w:t>
            </w:r>
            <w:r w:rsidRPr="007114AF">
              <w:rPr>
                <w:rFonts w:ascii="Garamond" w:eastAsia="Calibri" w:hAnsi="Garamond" w:cs="Calibri"/>
                <w:bCs w:val="0"/>
                <w:iCs w:val="0"/>
                <w:sz w:val="18"/>
                <w:szCs w:val="18"/>
                <w:lang w:val="sq-AL"/>
              </w:rPr>
              <w:t xml:space="preserve">IPA II </w:t>
            </w:r>
          </w:p>
          <w:p w14:paraId="6EDD1508" w14:textId="77777777" w:rsidR="00E45764" w:rsidRPr="007114AF" w:rsidRDefault="00E45764" w:rsidP="00D82F76">
            <w:pPr>
              <w:pStyle w:val="Standardtextbody"/>
              <w:spacing w:after="0" w:line="240" w:lineRule="auto"/>
              <w:jc w:val="both"/>
              <w:rPr>
                <w:rFonts w:ascii="Garamond" w:eastAsia="Calibri" w:hAnsi="Garamond" w:cs="Calibri"/>
                <w:bCs w:val="0"/>
                <w:iCs w:val="0"/>
                <w:sz w:val="18"/>
                <w:szCs w:val="18"/>
                <w:lang w:val="sq-AL"/>
              </w:rPr>
            </w:pPr>
            <w:r w:rsidRPr="007114AF">
              <w:rPr>
                <w:rFonts w:ascii="Garamond" w:eastAsia="Calibri" w:hAnsi="Garamond" w:cs="Calibri"/>
                <w:bCs w:val="0"/>
                <w:iCs w:val="0"/>
                <w:sz w:val="18"/>
                <w:szCs w:val="18"/>
                <w:lang w:val="sq-AL"/>
              </w:rPr>
              <w:t xml:space="preserve">- afatshkurtër dhe afatmesëm: WBIF </w:t>
            </w:r>
          </w:p>
        </w:tc>
        <w:tc>
          <w:tcPr>
            <w:tcW w:w="3402" w:type="dxa"/>
            <w:shd w:val="clear" w:color="auto" w:fill="auto"/>
          </w:tcPr>
          <w:p w14:paraId="6EDD1509" w14:textId="77777777" w:rsidR="00E45764" w:rsidRPr="007114AF" w:rsidRDefault="00E45764" w:rsidP="00D82F76">
            <w:pPr>
              <w:pStyle w:val="Standardtextbody"/>
              <w:spacing w:after="0" w:line="240" w:lineRule="auto"/>
              <w:jc w:val="both"/>
              <w:rPr>
                <w:rFonts w:ascii="Garamond" w:eastAsia="Calibri" w:hAnsi="Garamond" w:cs="Calibri"/>
                <w:bCs w:val="0"/>
                <w:iCs w:val="0"/>
                <w:sz w:val="18"/>
                <w:szCs w:val="18"/>
                <w:lang w:val="sq-AL"/>
              </w:rPr>
            </w:pPr>
            <w:r w:rsidRPr="007114AF">
              <w:rPr>
                <w:rFonts w:ascii="Garamond" w:eastAsia="Calibri" w:hAnsi="Garamond" w:cs="Calibri"/>
                <w:bCs w:val="0"/>
                <w:iCs w:val="0"/>
                <w:sz w:val="18"/>
                <w:szCs w:val="18"/>
                <w:lang w:val="sq-AL"/>
              </w:rPr>
              <w:t>- të rishikohen preventivët</w:t>
            </w:r>
          </w:p>
        </w:tc>
      </w:tr>
      <w:tr w:rsidR="00E45764" w:rsidRPr="007114AF" w14:paraId="6EDD1510" w14:textId="77777777" w:rsidTr="00BA14F8">
        <w:tc>
          <w:tcPr>
            <w:tcW w:w="3251" w:type="dxa"/>
            <w:shd w:val="clear" w:color="auto" w:fill="auto"/>
          </w:tcPr>
          <w:p w14:paraId="6EDD150B" w14:textId="2CC26901" w:rsidR="00E45764" w:rsidRPr="007114AF" w:rsidRDefault="008D30FC" w:rsidP="00D82F76">
            <w:pPr>
              <w:spacing w:after="0" w:line="240" w:lineRule="auto"/>
              <w:rPr>
                <w:rFonts w:ascii="Garamond" w:hAnsi="Garamond" w:cs="Calibri"/>
                <w:sz w:val="18"/>
                <w:szCs w:val="18"/>
              </w:rPr>
            </w:pPr>
            <w:r w:rsidRPr="007114AF">
              <w:rPr>
                <w:rFonts w:ascii="Garamond" w:hAnsi="Garamond" w:cs="Calibri"/>
                <w:sz w:val="18"/>
                <w:szCs w:val="18"/>
              </w:rPr>
              <w:t xml:space="preserve">Nr. </w:t>
            </w:r>
            <w:r w:rsidR="00E45764" w:rsidRPr="007114AF">
              <w:rPr>
                <w:rFonts w:ascii="Garamond" w:hAnsi="Garamond" w:cs="Calibri"/>
                <w:sz w:val="18"/>
                <w:szCs w:val="18"/>
              </w:rPr>
              <w:t>15</w:t>
            </w:r>
            <w:r w:rsidR="000A2A01" w:rsidRPr="007114AF">
              <w:rPr>
                <w:rFonts w:ascii="Garamond" w:hAnsi="Garamond" w:cs="Calibri"/>
                <w:sz w:val="18"/>
                <w:szCs w:val="18"/>
              </w:rPr>
              <w:t xml:space="preserve"> </w:t>
            </w:r>
            <w:r w:rsidR="00E45764" w:rsidRPr="007114AF">
              <w:rPr>
                <w:rFonts w:ascii="Garamond" w:hAnsi="Garamond" w:cs="Calibri"/>
                <w:sz w:val="18"/>
                <w:szCs w:val="18"/>
              </w:rPr>
              <w:t xml:space="preserve">Ndërtimi për Rikuperimin e Lagunës </w:t>
            </w:r>
            <w:r w:rsidR="00FE05E1">
              <w:rPr>
                <w:rFonts w:ascii="Garamond" w:hAnsi="Garamond" w:cs="Calibri"/>
                <w:sz w:val="18"/>
                <w:szCs w:val="18"/>
              </w:rPr>
              <w:t>Kune–Vain</w:t>
            </w:r>
            <w:r w:rsidR="00E45764" w:rsidRPr="007114AF">
              <w:rPr>
                <w:rFonts w:ascii="Garamond" w:hAnsi="Garamond" w:cs="Calibri"/>
                <w:sz w:val="18"/>
                <w:szCs w:val="18"/>
              </w:rPr>
              <w:t>i nëpërmjet Adaptimit me bazë Ekosistemin (EbA)</w:t>
            </w:r>
            <w:r w:rsidR="000A2A01" w:rsidRPr="007114AF">
              <w:rPr>
                <w:rFonts w:ascii="Garamond" w:hAnsi="Garamond" w:cs="Calibri"/>
                <w:sz w:val="18"/>
                <w:szCs w:val="18"/>
              </w:rPr>
              <w:t>”</w:t>
            </w:r>
          </w:p>
        </w:tc>
        <w:tc>
          <w:tcPr>
            <w:tcW w:w="1417" w:type="dxa"/>
            <w:shd w:val="clear" w:color="auto" w:fill="auto"/>
            <w:vAlign w:val="center"/>
          </w:tcPr>
          <w:p w14:paraId="6EDD150C" w14:textId="245D8234" w:rsidR="00E45764" w:rsidRPr="007114AF" w:rsidRDefault="00E45764" w:rsidP="00D82F76">
            <w:pPr>
              <w:spacing w:after="0" w:line="240" w:lineRule="auto"/>
              <w:rPr>
                <w:rFonts w:ascii="Garamond" w:hAnsi="Garamond" w:cs="Calibri"/>
                <w:bCs/>
                <w:iCs/>
                <w:sz w:val="18"/>
                <w:szCs w:val="18"/>
              </w:rPr>
            </w:pPr>
            <w:r w:rsidRPr="007114AF">
              <w:rPr>
                <w:rFonts w:ascii="Garamond" w:hAnsi="Garamond" w:cs="Calibri"/>
                <w:bCs/>
                <w:iCs/>
                <w:sz w:val="18"/>
                <w:szCs w:val="18"/>
              </w:rPr>
              <w:t>242 million</w:t>
            </w:r>
            <w:r w:rsidR="00242009" w:rsidRPr="007114AF">
              <w:rPr>
                <w:rFonts w:ascii="Garamond" w:hAnsi="Garamond" w:cs="Calibri"/>
                <w:bCs/>
                <w:iCs/>
                <w:sz w:val="18"/>
                <w:szCs w:val="18"/>
              </w:rPr>
              <w:t>ë</w:t>
            </w:r>
            <w:r w:rsidRPr="007114AF">
              <w:rPr>
                <w:rFonts w:ascii="Garamond" w:hAnsi="Garamond" w:cs="Calibri"/>
                <w:bCs/>
                <w:iCs/>
                <w:sz w:val="18"/>
                <w:szCs w:val="18"/>
              </w:rPr>
              <w:t xml:space="preserve"> LEKË</w:t>
            </w:r>
          </w:p>
        </w:tc>
        <w:tc>
          <w:tcPr>
            <w:tcW w:w="1413" w:type="dxa"/>
            <w:shd w:val="clear" w:color="auto" w:fill="auto"/>
            <w:vAlign w:val="center"/>
          </w:tcPr>
          <w:p w14:paraId="6EDD150D" w14:textId="77777777" w:rsidR="00E45764" w:rsidRPr="007114AF" w:rsidRDefault="00E45764" w:rsidP="00D82F76">
            <w:pPr>
              <w:spacing w:after="0" w:line="240" w:lineRule="auto"/>
              <w:rPr>
                <w:rFonts w:ascii="Garamond" w:hAnsi="Garamond" w:cs="Calibri"/>
                <w:sz w:val="18"/>
                <w:szCs w:val="18"/>
              </w:rPr>
            </w:pPr>
          </w:p>
        </w:tc>
        <w:tc>
          <w:tcPr>
            <w:tcW w:w="5103" w:type="dxa"/>
            <w:shd w:val="clear" w:color="auto" w:fill="auto"/>
          </w:tcPr>
          <w:p w14:paraId="6EDD150E" w14:textId="5448AB5C" w:rsidR="00E45764" w:rsidRPr="007114AF" w:rsidRDefault="00E45764" w:rsidP="00D82F76">
            <w:pPr>
              <w:pStyle w:val="Standardtextbody"/>
              <w:spacing w:after="0" w:line="240" w:lineRule="auto"/>
              <w:jc w:val="both"/>
              <w:rPr>
                <w:rFonts w:ascii="Garamond" w:eastAsia="Calibri" w:hAnsi="Garamond" w:cs="Calibri"/>
                <w:bCs w:val="0"/>
                <w:iCs w:val="0"/>
                <w:sz w:val="18"/>
                <w:szCs w:val="18"/>
                <w:lang w:val="sq-AL"/>
              </w:rPr>
            </w:pPr>
            <w:r w:rsidRPr="007114AF">
              <w:rPr>
                <w:rFonts w:ascii="Garamond" w:eastAsia="Calibri" w:hAnsi="Garamond" w:cs="Calibri"/>
                <w:bCs w:val="0"/>
                <w:iCs w:val="0"/>
                <w:sz w:val="18"/>
                <w:szCs w:val="18"/>
                <w:lang w:val="sq-AL"/>
              </w:rPr>
              <w:t>Afatshkurter- financuar nga</w:t>
            </w:r>
            <w:r w:rsidR="000A2A01" w:rsidRPr="007114AF">
              <w:rPr>
                <w:rFonts w:ascii="Garamond" w:eastAsia="Calibri" w:hAnsi="Garamond" w:cs="Calibri"/>
                <w:bCs w:val="0"/>
                <w:iCs w:val="0"/>
                <w:sz w:val="18"/>
                <w:szCs w:val="18"/>
                <w:lang w:val="sq-AL"/>
              </w:rPr>
              <w:t xml:space="preserve"> </w:t>
            </w:r>
            <w:r w:rsidRPr="007114AF">
              <w:rPr>
                <w:rFonts w:ascii="Garamond" w:hAnsi="Garamond"/>
                <w:sz w:val="18"/>
                <w:szCs w:val="18"/>
                <w:lang w:val="sq-AL"/>
              </w:rPr>
              <w:t>GEF/UNEP</w:t>
            </w:r>
            <w:r w:rsidR="000A2A01" w:rsidRPr="007114AF">
              <w:rPr>
                <w:rFonts w:ascii="Garamond" w:hAnsi="Garamond"/>
                <w:sz w:val="18"/>
                <w:szCs w:val="18"/>
                <w:lang w:val="sq-AL"/>
              </w:rPr>
              <w:t xml:space="preserve"> </w:t>
            </w:r>
          </w:p>
        </w:tc>
        <w:tc>
          <w:tcPr>
            <w:tcW w:w="3402" w:type="dxa"/>
            <w:shd w:val="clear" w:color="auto" w:fill="auto"/>
          </w:tcPr>
          <w:p w14:paraId="6EDD150F" w14:textId="77777777" w:rsidR="00E45764" w:rsidRPr="007114AF" w:rsidRDefault="00E45764" w:rsidP="00D82F76">
            <w:pPr>
              <w:pStyle w:val="Standardtextbody"/>
              <w:spacing w:after="0" w:line="240" w:lineRule="auto"/>
              <w:jc w:val="both"/>
              <w:rPr>
                <w:rFonts w:ascii="Garamond" w:eastAsia="Calibri" w:hAnsi="Garamond" w:cs="Calibri"/>
                <w:bCs w:val="0"/>
                <w:iCs w:val="0"/>
                <w:sz w:val="18"/>
                <w:szCs w:val="18"/>
                <w:lang w:val="sq-AL"/>
              </w:rPr>
            </w:pPr>
          </w:p>
        </w:tc>
      </w:tr>
    </w:tbl>
    <w:p w14:paraId="6EDD1511" w14:textId="77777777" w:rsidR="009D1AC8" w:rsidRPr="007114AF" w:rsidRDefault="009D1AC8" w:rsidP="009D1AC8">
      <w:pPr>
        <w:rPr>
          <w:rFonts w:ascii="Garamond" w:hAnsi="Garamond"/>
        </w:rPr>
      </w:pPr>
    </w:p>
    <w:p w14:paraId="6EDD1512" w14:textId="77777777" w:rsidR="008E1F53" w:rsidRPr="007114AF" w:rsidRDefault="008E1F53" w:rsidP="00BC1DB5">
      <w:pPr>
        <w:spacing w:after="200"/>
        <w:rPr>
          <w:rFonts w:ascii="Garamond" w:hAnsi="Garamond"/>
          <w:b/>
          <w:bCs/>
          <w:iCs/>
          <w:u w:val="single"/>
        </w:rPr>
        <w:sectPr w:rsidR="008E1F53" w:rsidRPr="007114AF" w:rsidSect="002D0A53">
          <w:headerReference w:type="even" r:id="rId62"/>
          <w:headerReference w:type="default" r:id="rId63"/>
          <w:footerReference w:type="default" r:id="rId64"/>
          <w:headerReference w:type="first" r:id="rId65"/>
          <w:pgSz w:w="16840" w:h="11907" w:orient="landscape" w:code="9"/>
          <w:pgMar w:top="1418" w:right="1418" w:bottom="1418" w:left="1418" w:header="1304" w:footer="1134" w:gutter="0"/>
          <w:cols w:space="708"/>
          <w:noEndnote/>
          <w:docGrid w:linePitch="326"/>
        </w:sectPr>
      </w:pPr>
    </w:p>
    <w:p w14:paraId="6EDD1513" w14:textId="77777777" w:rsidR="003D24B4" w:rsidRPr="007114AF" w:rsidRDefault="003D24B4" w:rsidP="00C065FF">
      <w:pPr>
        <w:pStyle w:val="TEKSTI"/>
      </w:pPr>
      <w:bookmarkStart w:id="248" w:name="_Toc469479189"/>
      <w:bookmarkStart w:id="249" w:name="_Toc479083928"/>
      <w:r w:rsidRPr="007114AF">
        <w:sym w:font="Wingdings 2" w:char="F041"/>
      </w:r>
      <w:r w:rsidRPr="007114AF">
        <w:t>Programi i Buxhetimit Afatmesëm – Rishikimi Institucional</w:t>
      </w:r>
      <w:bookmarkEnd w:id="248"/>
      <w:bookmarkEnd w:id="249"/>
    </w:p>
    <w:p w14:paraId="6EDD1514" w14:textId="77777777" w:rsidR="003D24B4" w:rsidRPr="007114AF" w:rsidRDefault="003D24B4" w:rsidP="00C065FF">
      <w:pPr>
        <w:pStyle w:val="TEKSTI"/>
      </w:pPr>
    </w:p>
    <w:p w14:paraId="6EDD1515" w14:textId="77777777" w:rsidR="003D24B4" w:rsidRPr="007114AF" w:rsidRDefault="003E2A26" w:rsidP="00C065FF">
      <w:pPr>
        <w:pStyle w:val="TEKSTI"/>
      </w:pPr>
      <w:r w:rsidRPr="007114AF">
        <w:t xml:space="preserve">- </w:t>
      </w:r>
      <w:r w:rsidR="003D24B4" w:rsidRPr="007114AF">
        <w:t>Përgjegjësitë e grupeve kryesore të interesit të përfshira në programin e buxhetimit afatmesëm janë si më poshtë:</w:t>
      </w:r>
    </w:p>
    <w:p w14:paraId="6EDD1516" w14:textId="77777777" w:rsidR="003D24B4" w:rsidRPr="007114AF" w:rsidRDefault="003D24B4" w:rsidP="00C065FF">
      <w:pPr>
        <w:pStyle w:val="TEKSTI"/>
      </w:pPr>
      <w:r w:rsidRPr="007114AF">
        <w:t xml:space="preserve">Zyra e Kryeministrisë – Drejtoria për Zhvillimin, Financimin dhe Ndihmën e Huaj (DZHFNH) (DFFAD) që përfshin Planifikimin Strategjik dhe Fondin e Zhvillimit Rajonal, është struktura përgjegjëse për koordinimin e strategjive kombëtare dhe sektoriale dhe luan rol kyç në rishikimin e Deklaratave të Politikave të Programeve. Detyra kryesore e kësaj drejtorie është vlerësimi i përputhshmërisë së këtyre deklaratave politike me të gjitha dokumentet e miratuara nga Këshilli i Ministrave ose Parlamenti. </w:t>
      </w:r>
    </w:p>
    <w:p w14:paraId="6EDD1517" w14:textId="5006F8BA" w:rsidR="003D24B4" w:rsidRPr="007114AF" w:rsidRDefault="00F32480" w:rsidP="00C065FF">
      <w:pPr>
        <w:pStyle w:val="TEKSTI"/>
      </w:pPr>
      <w:r w:rsidRPr="007114AF">
        <w:t xml:space="preserve">- </w:t>
      </w:r>
      <w:r w:rsidR="003D24B4" w:rsidRPr="007114AF">
        <w:t>Ministria e Financave dhe Ekonomisë(MFE) - Ministri i Financave dhe Ekonomisë është autoriteti përgjegjës për miratimin e një sistemi të standardeve dhe procedurave që garanton një administrim ekonomik, eficient dhe efektiv të burimeve financiare publike. MF-ja alokon dhe rialokon të ardhurat kombëtare,</w:t>
      </w:r>
      <w:r w:rsidR="000A2A01" w:rsidRPr="007114AF">
        <w:t xml:space="preserve"> </w:t>
      </w:r>
      <w:r w:rsidR="003D24B4" w:rsidRPr="007114AF">
        <w:t>nëpërmjet mbledhjes së të ardhurave dhe buxhetimit të shpenzimeve publike, si dhe krijon sisteme të informacionit financiar.</w:t>
      </w:r>
    </w:p>
    <w:p w14:paraId="6EDD1518" w14:textId="77777777" w:rsidR="003D24B4" w:rsidRPr="007114AF" w:rsidRDefault="00F32480" w:rsidP="00C065FF">
      <w:pPr>
        <w:pStyle w:val="TEKSTI"/>
      </w:pPr>
      <w:r w:rsidRPr="007114AF">
        <w:rPr>
          <w:color w:val="000000"/>
        </w:rPr>
        <w:t xml:space="preserve">- </w:t>
      </w:r>
      <w:r w:rsidR="003D24B4" w:rsidRPr="007114AF">
        <w:rPr>
          <w:color w:val="000000"/>
        </w:rPr>
        <w:t>Ministria për Evropën dhe Punët e Jashtme (MEPJ)</w:t>
      </w:r>
      <w:r w:rsidR="003D24B4" w:rsidRPr="007114AF">
        <w:t xml:space="preserve">- </w:t>
      </w:r>
      <w:r w:rsidR="003D24B4" w:rsidRPr="007114AF">
        <w:rPr>
          <w:color w:val="000000"/>
        </w:rPr>
        <w:t xml:space="preserve">Ministria për Evropën dhe Punët e Jashtme </w:t>
      </w:r>
      <w:r w:rsidR="003D24B4" w:rsidRPr="007114AF">
        <w:t>analizon Deklaratën Politike për çdo program, produkte dhe aktivitete të paraqitura nga institucionet qendrore, për të garantuar se ato reflektojnë të gjitha detyrimet e Planit Kombëtar për zbatimin e Marrëveshjes së Stabilizimit &amp; Asociimit me BE-në.</w:t>
      </w:r>
    </w:p>
    <w:p w14:paraId="6EDD1519" w14:textId="77777777" w:rsidR="003D24B4" w:rsidRPr="007114AF" w:rsidRDefault="00F32480" w:rsidP="00C065FF">
      <w:pPr>
        <w:pStyle w:val="TEKSTI"/>
      </w:pPr>
      <w:r w:rsidRPr="007114AF">
        <w:t xml:space="preserve">- </w:t>
      </w:r>
      <w:r w:rsidR="003D24B4" w:rsidRPr="007114AF">
        <w:t>Drejtuesit e Institucioneve Qeveritare- Niveli politik miraton projekt dokumentin e PBAM (MTBP) (politika në nivel programesh) dhe ia paraqet Këshillit të Ministrave.</w:t>
      </w:r>
    </w:p>
    <w:p w14:paraId="6EDD151A" w14:textId="0855E1A8" w:rsidR="003D24B4" w:rsidRPr="007114AF" w:rsidRDefault="00F32480" w:rsidP="00C065FF">
      <w:pPr>
        <w:pStyle w:val="TEKSTI"/>
      </w:pPr>
      <w:r w:rsidRPr="007114AF">
        <w:t xml:space="preserve">- </w:t>
      </w:r>
      <w:r w:rsidR="003D24B4" w:rsidRPr="007114AF">
        <w:t>Grupet e Menaxhimit Strategjik</w:t>
      </w:r>
      <w:r w:rsidR="000A2A01" w:rsidRPr="007114AF">
        <w:t xml:space="preserve"> </w:t>
      </w:r>
      <w:r w:rsidR="003D24B4" w:rsidRPr="007114AF">
        <w:t>pranë secilës ministri linje- të drejtuara nga Drejtuesi i Organizatës dhe të përbëra nga Sekretari i Përgjithshëm, Drejtuesit e Programeve dhe Kryefinancieri.</w:t>
      </w:r>
    </w:p>
    <w:p w14:paraId="6EDD151B" w14:textId="77777777" w:rsidR="003D24B4" w:rsidRPr="007114AF" w:rsidRDefault="00F32480" w:rsidP="00C065FF">
      <w:pPr>
        <w:pStyle w:val="TEKSTI"/>
      </w:pPr>
      <w:r w:rsidRPr="007114AF">
        <w:t xml:space="preserve">- </w:t>
      </w:r>
      <w:r w:rsidR="003D24B4" w:rsidRPr="007114AF">
        <w:t>Sekretarët e Përgjithshëm të Institucioneve Qeveritare- Niveli më i lartë i Menaxhimit Teknik përgatit projekt dokumentin përfundimtar të PBAM (MTBP) dhe është përgjegjës për ekzekutimin e buxhetit.</w:t>
      </w:r>
    </w:p>
    <w:p w14:paraId="6EDD151C" w14:textId="6A8A806E" w:rsidR="003D24B4" w:rsidRPr="007114AF" w:rsidRDefault="00F32480" w:rsidP="00C065FF">
      <w:pPr>
        <w:pStyle w:val="TEKSTI"/>
      </w:pPr>
      <w:r w:rsidRPr="007114AF">
        <w:t xml:space="preserve">- </w:t>
      </w:r>
      <w:r w:rsidR="003D24B4" w:rsidRPr="007114AF">
        <w:t>Drejtuesit e programeve (të barazvlefshëm me drejtuesit e departamenteve) përgatitin deklaratën politike për programin përkatës dhe ia paraqesin Grupit të Menaxhimit Strategjik</w:t>
      </w:r>
      <w:r w:rsidR="000A2A01" w:rsidRPr="007114AF">
        <w:t xml:space="preserve"> </w:t>
      </w:r>
      <w:r w:rsidR="003D24B4" w:rsidRPr="007114AF">
        <w:t>(GMS) (SMG).</w:t>
      </w:r>
    </w:p>
    <w:p w14:paraId="6EDD151D" w14:textId="77777777" w:rsidR="003D24B4" w:rsidRPr="007114AF" w:rsidRDefault="00F32480" w:rsidP="00C065FF">
      <w:pPr>
        <w:pStyle w:val="TEKSTI"/>
      </w:pPr>
      <w:r w:rsidRPr="007114AF">
        <w:t xml:space="preserve">- </w:t>
      </w:r>
      <w:r w:rsidR="003D24B4" w:rsidRPr="007114AF">
        <w:t>Ekipet e menaxhimit të programeve (të përbëra nga Drejtuesit e Drejtorive dhe drejtuesit e Agjencive Kombëtare pranë Ministrive të linjës) identifikojnë objektivat, aktivitetet, projektet, shpenzimet etj sipas programit.</w:t>
      </w:r>
    </w:p>
    <w:p w14:paraId="6EDD151E" w14:textId="77777777" w:rsidR="003D24B4" w:rsidRPr="007114AF" w:rsidRDefault="003D24B4" w:rsidP="00C065FF">
      <w:pPr>
        <w:pStyle w:val="TEKSTI"/>
      </w:pPr>
      <w:r w:rsidRPr="007114AF">
        <w:t>Drejtuesit e Departamenteve të Financës që i raportojnë Sekretarit të Përgjithshëm të institucionit, veprojnë si sekretarë për Grupet e Menaxhimit Strategjik dhe janë përgjegjës për cilësinë e dokumentit të PBAM (MTBP).</w:t>
      </w:r>
    </w:p>
    <w:p w14:paraId="6EDD151F" w14:textId="77777777" w:rsidR="003D24B4" w:rsidRPr="007114AF" w:rsidRDefault="003D24B4" w:rsidP="00C065FF">
      <w:pPr>
        <w:pStyle w:val="TEKSTI"/>
      </w:pPr>
      <w:r w:rsidRPr="007114AF">
        <w:rPr>
          <w:color w:val="000000"/>
        </w:rPr>
        <w:t>Gjatë procesit të zbatimit të buxhetit janë marrë vendime të rëndësishme për rialokimin e fondeve dhe janë vendosur rregulla në bazë të performancës së institucioneve buxhetore:</w:t>
      </w:r>
    </w:p>
    <w:p w14:paraId="6EDD1520" w14:textId="77777777" w:rsidR="003D24B4" w:rsidRPr="007114AF" w:rsidRDefault="00F32480" w:rsidP="00C065FF">
      <w:pPr>
        <w:pStyle w:val="TEKSTI"/>
        <w:rPr>
          <w:color w:val="000000"/>
        </w:rPr>
      </w:pPr>
      <w:r w:rsidRPr="007114AF">
        <w:rPr>
          <w:color w:val="000000"/>
        </w:rPr>
        <w:t xml:space="preserve">- </w:t>
      </w:r>
      <w:r w:rsidR="003D24B4" w:rsidRPr="007114AF">
        <w:rPr>
          <w:color w:val="000000"/>
        </w:rPr>
        <w:t>rialokimi i fondeve deri në 10% midis programeve, miratohet nga Këshilli i Ministrave;</w:t>
      </w:r>
    </w:p>
    <w:p w14:paraId="6EDD1521" w14:textId="77777777" w:rsidR="003D24B4" w:rsidRPr="007114AF" w:rsidRDefault="00F32480" w:rsidP="00C065FF">
      <w:pPr>
        <w:pStyle w:val="TEKSTI"/>
        <w:rPr>
          <w:color w:val="000000"/>
        </w:rPr>
      </w:pPr>
      <w:r w:rsidRPr="007114AF">
        <w:rPr>
          <w:color w:val="000000"/>
        </w:rPr>
        <w:t xml:space="preserve">- </w:t>
      </w:r>
      <w:r w:rsidR="003D24B4" w:rsidRPr="007114AF">
        <w:rPr>
          <w:color w:val="000000"/>
        </w:rPr>
        <w:t>midis linjave ekonomike brenda një programi dhe kategorisë së shpenzimeve rrjedhëse, rialokimi i fondeve miratohet nga Sekretari i Përgjithshëm i MF-së (MoF);</w:t>
      </w:r>
    </w:p>
    <w:p w14:paraId="6EDD1522" w14:textId="77777777" w:rsidR="003D24B4" w:rsidRPr="007114AF" w:rsidRDefault="00F32480" w:rsidP="00C065FF">
      <w:pPr>
        <w:pStyle w:val="TEKSTI"/>
        <w:rPr>
          <w:color w:val="000000"/>
        </w:rPr>
      </w:pPr>
      <w:r w:rsidRPr="007114AF">
        <w:rPr>
          <w:color w:val="000000"/>
        </w:rPr>
        <w:t xml:space="preserve">- </w:t>
      </w:r>
      <w:r w:rsidR="003D24B4" w:rsidRPr="007114AF">
        <w:rPr>
          <w:color w:val="000000"/>
        </w:rPr>
        <w:t>midis njësive të shpenzimeve brenda një programi dhe një zëri të shpenzimeve rrjedhëse, rialokimi i fondeve miratohet nga Sekretari i Përgjithshëm i institucionit të qeverisë qendrore;</w:t>
      </w:r>
    </w:p>
    <w:p w14:paraId="6EDD1523" w14:textId="77777777" w:rsidR="003D24B4" w:rsidRPr="007114AF" w:rsidRDefault="00F32480" w:rsidP="00C065FF">
      <w:pPr>
        <w:pStyle w:val="TEKSTI"/>
        <w:rPr>
          <w:color w:val="000000"/>
        </w:rPr>
      </w:pPr>
      <w:r w:rsidRPr="007114AF">
        <w:rPr>
          <w:color w:val="000000"/>
        </w:rPr>
        <w:t xml:space="preserve">- </w:t>
      </w:r>
      <w:r w:rsidR="003D24B4" w:rsidRPr="007114AF">
        <w:rPr>
          <w:color w:val="000000"/>
        </w:rPr>
        <w:t>nuk mund të kryhet asnjë rialokim pas datës 15 nëntor;</w:t>
      </w:r>
    </w:p>
    <w:p w14:paraId="6EDD1524" w14:textId="77777777" w:rsidR="00193B62" w:rsidRPr="007114AF" w:rsidRDefault="00F32480" w:rsidP="00C065FF">
      <w:pPr>
        <w:pStyle w:val="TEKSTI"/>
        <w:rPr>
          <w:color w:val="000000" w:themeColor="text1"/>
        </w:rPr>
      </w:pPr>
      <w:r w:rsidRPr="007114AF">
        <w:rPr>
          <w:color w:val="000000"/>
        </w:rPr>
        <w:t xml:space="preserve">- </w:t>
      </w:r>
      <w:r w:rsidR="003D24B4" w:rsidRPr="007114AF">
        <w:rPr>
          <w:color w:val="000000"/>
        </w:rPr>
        <w:t>nuk ekzistojnë kalime midis shpenzimeve rrjedhëse dhe investimeve</w:t>
      </w:r>
      <w:r w:rsidR="003D24B4" w:rsidRPr="007114AF">
        <w:rPr>
          <w:color w:val="000000" w:themeColor="text1"/>
        </w:rPr>
        <w:t>.</w:t>
      </w:r>
    </w:p>
    <w:p w14:paraId="6EDD1525" w14:textId="77777777" w:rsidR="00F32480" w:rsidRPr="007114AF" w:rsidRDefault="00F32480" w:rsidP="00C065FF">
      <w:pPr>
        <w:pStyle w:val="TEKSTI"/>
        <w:rPr>
          <w:color w:val="000000" w:themeColor="text1"/>
        </w:rPr>
      </w:pPr>
    </w:p>
    <w:p w14:paraId="6EDD1526" w14:textId="77777777" w:rsidR="00F32480" w:rsidRPr="007114AF" w:rsidRDefault="00F32480" w:rsidP="00C065FF">
      <w:pPr>
        <w:pStyle w:val="TEKSTI"/>
        <w:rPr>
          <w:color w:val="000000" w:themeColor="text1"/>
        </w:rPr>
      </w:pPr>
    </w:p>
    <w:p w14:paraId="6EDD1527" w14:textId="77777777" w:rsidR="00F32480" w:rsidRPr="007114AF" w:rsidRDefault="00F32480" w:rsidP="00C065FF">
      <w:pPr>
        <w:pStyle w:val="TEKSTI"/>
        <w:rPr>
          <w:color w:val="000000" w:themeColor="text1"/>
        </w:rPr>
      </w:pPr>
    </w:p>
    <w:p w14:paraId="6EDD1528" w14:textId="77777777" w:rsidR="00F32480" w:rsidRPr="007114AF" w:rsidRDefault="00F32480" w:rsidP="00C065FF">
      <w:pPr>
        <w:pStyle w:val="TEKSTI"/>
        <w:rPr>
          <w:color w:val="000000" w:themeColor="text1"/>
        </w:rPr>
      </w:pPr>
    </w:p>
    <w:p w14:paraId="6EDD1529" w14:textId="77777777" w:rsidR="00F32480" w:rsidRPr="007114AF" w:rsidRDefault="00F32480" w:rsidP="00C065FF">
      <w:pPr>
        <w:pStyle w:val="TEKSTI"/>
        <w:rPr>
          <w:color w:val="000000" w:themeColor="text1"/>
        </w:rPr>
        <w:sectPr w:rsidR="00F32480" w:rsidRPr="007114AF" w:rsidSect="008E1F53">
          <w:pgSz w:w="11907" w:h="16840" w:code="9"/>
          <w:pgMar w:top="1418" w:right="1418" w:bottom="1418" w:left="1418" w:header="1304" w:footer="1134" w:gutter="0"/>
          <w:cols w:space="708"/>
          <w:noEndnote/>
          <w:docGrid w:linePitch="326"/>
        </w:sectPr>
      </w:pPr>
    </w:p>
    <w:p w14:paraId="6EDD152A" w14:textId="77777777" w:rsidR="009160D5" w:rsidRPr="007114AF" w:rsidRDefault="009160D5" w:rsidP="009160D5">
      <w:pPr>
        <w:pStyle w:val="TEKSTI"/>
        <w:rPr>
          <w:b/>
        </w:rPr>
      </w:pPr>
      <w:bookmarkStart w:id="250" w:name="_Toc469479190"/>
      <w:bookmarkStart w:id="251" w:name="_Toc479083929"/>
      <w:r w:rsidRPr="007114AF">
        <w:rPr>
          <w:b/>
        </w:rPr>
        <w:sym w:font="Wingdings 2" w:char="F041"/>
      </w:r>
      <w:r w:rsidRPr="007114AF">
        <w:rPr>
          <w:b/>
        </w:rPr>
        <w:t xml:space="preserve">Avantazhet dhe Disavantazhet e Masave/Marrëveshjeve Ekzistuese Institucionale </w:t>
      </w:r>
      <w:bookmarkEnd w:id="250"/>
      <w:bookmarkEnd w:id="251"/>
    </w:p>
    <w:tbl>
      <w:tblPr>
        <w:tblW w:w="1474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6245"/>
        <w:gridCol w:w="6892"/>
      </w:tblGrid>
      <w:tr w:rsidR="001B6A20" w:rsidRPr="007114AF" w14:paraId="6EDD152E" w14:textId="77777777" w:rsidTr="003305AE">
        <w:trPr>
          <w:trHeight w:val="413"/>
        </w:trPr>
        <w:tc>
          <w:tcPr>
            <w:tcW w:w="1560" w:type="dxa"/>
            <w:shd w:val="clear" w:color="auto" w:fill="D9D9D9"/>
            <w:vAlign w:val="center"/>
          </w:tcPr>
          <w:p w14:paraId="6EDD152B" w14:textId="77777777" w:rsidR="001B6A20" w:rsidRPr="007114AF" w:rsidRDefault="001B6A20" w:rsidP="001B6A20">
            <w:pPr>
              <w:spacing w:after="0" w:line="240" w:lineRule="auto"/>
              <w:jc w:val="left"/>
              <w:rPr>
                <w:rFonts w:ascii="Garamond" w:eastAsiaTheme="minorHAnsi" w:hAnsi="Garamond"/>
                <w:b/>
                <w:sz w:val="20"/>
                <w:szCs w:val="20"/>
                <w:lang w:eastAsia="en-US"/>
              </w:rPr>
            </w:pPr>
            <w:r w:rsidRPr="007114AF">
              <w:rPr>
                <w:rFonts w:ascii="Garamond" w:eastAsiaTheme="minorHAnsi" w:hAnsi="Garamond"/>
                <w:b/>
                <w:sz w:val="20"/>
                <w:szCs w:val="20"/>
                <w:lang w:eastAsia="en-US"/>
              </w:rPr>
              <w:t>Qasja institucionale</w:t>
            </w:r>
          </w:p>
        </w:tc>
        <w:tc>
          <w:tcPr>
            <w:tcW w:w="6267" w:type="dxa"/>
            <w:tcBorders>
              <w:bottom w:val="single" w:sz="4" w:space="0" w:color="auto"/>
            </w:tcBorders>
            <w:shd w:val="clear" w:color="auto" w:fill="D9D9D9"/>
            <w:vAlign w:val="center"/>
          </w:tcPr>
          <w:p w14:paraId="6EDD152C" w14:textId="77777777" w:rsidR="001B6A20" w:rsidRPr="007114AF" w:rsidRDefault="001B6A20" w:rsidP="001B6A20">
            <w:pPr>
              <w:spacing w:after="0" w:line="240" w:lineRule="auto"/>
              <w:jc w:val="left"/>
              <w:rPr>
                <w:rFonts w:ascii="Garamond" w:eastAsiaTheme="minorHAnsi" w:hAnsi="Garamond"/>
                <w:b/>
                <w:sz w:val="20"/>
                <w:szCs w:val="20"/>
                <w:lang w:eastAsia="en-US"/>
              </w:rPr>
            </w:pPr>
            <w:r w:rsidRPr="007114AF">
              <w:rPr>
                <w:rFonts w:ascii="Garamond" w:eastAsiaTheme="minorHAnsi" w:hAnsi="Garamond"/>
                <w:b/>
                <w:sz w:val="20"/>
                <w:szCs w:val="20"/>
                <w:lang w:eastAsia="en-US"/>
              </w:rPr>
              <w:t>Avantazhet</w:t>
            </w:r>
          </w:p>
        </w:tc>
        <w:tc>
          <w:tcPr>
            <w:tcW w:w="6915" w:type="dxa"/>
            <w:tcBorders>
              <w:bottom w:val="single" w:sz="4" w:space="0" w:color="auto"/>
            </w:tcBorders>
            <w:shd w:val="clear" w:color="auto" w:fill="D9D9D9"/>
            <w:vAlign w:val="center"/>
          </w:tcPr>
          <w:p w14:paraId="6EDD152D" w14:textId="77777777" w:rsidR="001B6A20" w:rsidRPr="007114AF" w:rsidRDefault="001B6A20" w:rsidP="001B6A20">
            <w:pPr>
              <w:spacing w:after="0" w:line="240" w:lineRule="auto"/>
              <w:jc w:val="left"/>
              <w:rPr>
                <w:rFonts w:ascii="Garamond" w:eastAsiaTheme="minorHAnsi" w:hAnsi="Garamond"/>
                <w:b/>
                <w:sz w:val="20"/>
                <w:szCs w:val="20"/>
                <w:lang w:eastAsia="en-US"/>
              </w:rPr>
            </w:pPr>
            <w:r w:rsidRPr="007114AF">
              <w:rPr>
                <w:rFonts w:ascii="Garamond" w:eastAsiaTheme="minorHAnsi" w:hAnsi="Garamond"/>
                <w:b/>
                <w:sz w:val="20"/>
                <w:szCs w:val="20"/>
                <w:lang w:eastAsia="en-US"/>
              </w:rPr>
              <w:t>Disavantazhet</w:t>
            </w:r>
          </w:p>
        </w:tc>
      </w:tr>
      <w:tr w:rsidR="001B6A20" w:rsidRPr="007114AF" w14:paraId="6EDD153C" w14:textId="77777777" w:rsidTr="003305AE">
        <w:trPr>
          <w:trHeight w:val="2441"/>
        </w:trPr>
        <w:tc>
          <w:tcPr>
            <w:tcW w:w="1560" w:type="dxa"/>
            <w:tcBorders>
              <w:right w:val="single" w:sz="4" w:space="0" w:color="auto"/>
            </w:tcBorders>
          </w:tcPr>
          <w:p w14:paraId="6EDD152F"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b/>
                <w:bCs/>
                <w:sz w:val="20"/>
                <w:szCs w:val="20"/>
                <w:lang w:eastAsia="en-US"/>
              </w:rPr>
              <w:t>IMWG</w:t>
            </w:r>
          </w:p>
        </w:tc>
        <w:tc>
          <w:tcPr>
            <w:tcW w:w="6267" w:type="dxa"/>
            <w:tcBorders>
              <w:top w:val="single" w:sz="4" w:space="0" w:color="auto"/>
              <w:left w:val="single" w:sz="4" w:space="0" w:color="auto"/>
              <w:right w:val="single" w:sz="4" w:space="0" w:color="auto"/>
            </w:tcBorders>
          </w:tcPr>
          <w:p w14:paraId="6EDD1530"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 Grupi Ndërministror të punës i ndryshimeve klimatike (IMWG) është krijuar me mandatin më të lartë politik (Urdhër i Kryeministrit) </w:t>
            </w:r>
          </w:p>
          <w:p w14:paraId="6EDD1531"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 Masa/marrëveshja ekzistuese garanton lançimin me sukses të një procesi të gjatë përshtatjeje ndaj ndryshimeve klimatike në Shqipëri </w:t>
            </w:r>
          </w:p>
          <w:p w14:paraId="6EDD1532"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Roli i hartimit dhe koordinimit të Grupit Ndërministror për ndryshimet klimatike (IMWG) pranë Ministrisë së Turizmit dhe Mjedisit (CCU) për përgatitjen e dokumentit të NAP-it.</w:t>
            </w:r>
          </w:p>
          <w:p w14:paraId="6EDD1533"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Kompetencat e anëtarëve të Grupit Ndërministror të ndryshimeve klimatike (IMWG) për identifikimin e mundësive për të lehtësuar, promovuar, vlerësuar projektet dhe shprehur opinionin e tyre për projektet.</w:t>
            </w:r>
          </w:p>
          <w:p w14:paraId="6EDD1534" w14:textId="153C919B"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Caktimi i Drejtorisë së Politikave dhe Strategjive te Zhvillimit të Mjedisit, si pikë kontakti në Ministrinë e Turizmit dhe Mjedisit për ndryshimet klimatike</w:t>
            </w:r>
            <w:r w:rsidR="00191838" w:rsidRPr="007114AF">
              <w:rPr>
                <w:rFonts w:ascii="Garamond" w:eastAsiaTheme="minorHAnsi" w:hAnsi="Garamond"/>
                <w:sz w:val="20"/>
                <w:szCs w:val="20"/>
                <w:lang w:eastAsia="en-US"/>
              </w:rPr>
              <w:t>.</w:t>
            </w:r>
          </w:p>
          <w:p w14:paraId="6EDD1535" w14:textId="77777777" w:rsidR="001B6A20" w:rsidRPr="007114AF" w:rsidRDefault="001B6A20" w:rsidP="001B6A20">
            <w:pPr>
              <w:spacing w:after="0" w:line="240" w:lineRule="auto"/>
              <w:jc w:val="left"/>
              <w:rPr>
                <w:rFonts w:ascii="Garamond" w:eastAsiaTheme="minorHAnsi" w:hAnsi="Garamond"/>
                <w:sz w:val="20"/>
                <w:szCs w:val="20"/>
                <w:lang w:eastAsia="en-US"/>
              </w:rPr>
            </w:pPr>
          </w:p>
        </w:tc>
        <w:tc>
          <w:tcPr>
            <w:tcW w:w="6915" w:type="dxa"/>
            <w:tcBorders>
              <w:top w:val="single" w:sz="4" w:space="0" w:color="auto"/>
              <w:left w:val="single" w:sz="4" w:space="0" w:color="auto"/>
              <w:right w:val="single" w:sz="4" w:space="0" w:color="auto"/>
            </w:tcBorders>
          </w:tcPr>
          <w:p w14:paraId="6EDD1536" w14:textId="113A4F00" w:rsidR="001B6A20" w:rsidRPr="007114AF" w:rsidRDefault="001B6A20" w:rsidP="001B6A20">
            <w:pPr>
              <w:spacing w:after="0" w:line="240" w:lineRule="auto"/>
              <w:rPr>
                <w:rFonts w:ascii="Garamond" w:eastAsia="Times New Roman" w:hAnsi="Garamond" w:cs="Times New Roman"/>
                <w:sz w:val="20"/>
                <w:szCs w:val="20"/>
                <w:lang w:eastAsia="en-US"/>
              </w:rPr>
            </w:pPr>
            <w:r w:rsidRPr="007114AF">
              <w:rPr>
                <w:rFonts w:ascii="Garamond" w:eastAsia="Times New Roman" w:hAnsi="Garamond" w:cs="Times New Roman"/>
                <w:bCs/>
                <w:sz w:val="20"/>
                <w:szCs w:val="20"/>
                <w:lang w:eastAsia="en-US"/>
              </w:rPr>
              <w:t>- Terminologjia e përdorur</w:t>
            </w:r>
            <w:r w:rsidR="000A2A01" w:rsidRPr="007114AF">
              <w:rPr>
                <w:rFonts w:ascii="Garamond" w:eastAsia="Times New Roman" w:hAnsi="Garamond" w:cs="Times New Roman"/>
                <w:bCs/>
                <w:sz w:val="20"/>
                <w:szCs w:val="20"/>
                <w:lang w:eastAsia="en-US"/>
              </w:rPr>
              <w:t xml:space="preserve"> “</w:t>
            </w:r>
            <w:r w:rsidRPr="007114AF">
              <w:rPr>
                <w:rFonts w:ascii="Garamond" w:eastAsia="Times New Roman" w:hAnsi="Garamond" w:cs="Times New Roman"/>
                <w:bCs/>
                <w:sz w:val="20"/>
                <w:szCs w:val="20"/>
                <w:lang w:eastAsia="en-US"/>
              </w:rPr>
              <w:t>grup pune</w:t>
            </w:r>
            <w:r w:rsidR="000A2A01" w:rsidRPr="007114AF">
              <w:rPr>
                <w:rFonts w:ascii="Garamond" w:eastAsia="Times New Roman" w:hAnsi="Garamond" w:cs="Times New Roman"/>
                <w:bCs/>
                <w:sz w:val="20"/>
                <w:szCs w:val="20"/>
                <w:lang w:eastAsia="en-US"/>
              </w:rPr>
              <w:t>”</w:t>
            </w:r>
            <w:r w:rsidRPr="007114AF">
              <w:rPr>
                <w:rFonts w:ascii="Garamond" w:eastAsia="Times New Roman" w:hAnsi="Garamond" w:cs="Times New Roman"/>
                <w:bCs/>
                <w:sz w:val="20"/>
                <w:szCs w:val="20"/>
                <w:lang w:eastAsia="en-US"/>
              </w:rPr>
              <w:t xml:space="preserve"> nënkupton një strukturë të përkohshme të krijuar vetëm për përgatitjen e dokumenteve, pa ndonjë autoritet administrativ për mbikëqyrje ose monitorim të miratimit të politikave (Ligji</w:t>
            </w:r>
            <w:r w:rsidR="00242009" w:rsidRPr="007114AF">
              <w:rPr>
                <w:rFonts w:ascii="Garamond" w:eastAsia="Times New Roman" w:hAnsi="Garamond" w:cs="Times New Roman"/>
                <w:bCs/>
                <w:sz w:val="20"/>
                <w:szCs w:val="20"/>
                <w:lang w:eastAsia="en-US"/>
              </w:rPr>
              <w:t xml:space="preserve"> nr. </w:t>
            </w:r>
            <w:r w:rsidRPr="007114AF">
              <w:rPr>
                <w:rFonts w:ascii="Garamond" w:eastAsia="Times New Roman" w:hAnsi="Garamond" w:cs="Times New Roman"/>
                <w:sz w:val="20"/>
                <w:szCs w:val="20"/>
                <w:lang w:eastAsia="en-US"/>
              </w:rPr>
              <w:t>90/2012,</w:t>
            </w:r>
            <w:r w:rsidR="000A2A01" w:rsidRPr="007114AF">
              <w:rPr>
                <w:rFonts w:ascii="Garamond" w:eastAsia="Times New Roman" w:hAnsi="Garamond" w:cs="Times New Roman"/>
                <w:sz w:val="20"/>
                <w:szCs w:val="20"/>
                <w:lang w:eastAsia="en-US"/>
              </w:rPr>
              <w:t xml:space="preserve"> </w:t>
            </w:r>
            <w:r w:rsidRPr="007114AF">
              <w:rPr>
                <w:rFonts w:ascii="Garamond" w:eastAsia="Times New Roman" w:hAnsi="Garamond" w:cs="Times New Roman"/>
                <w:sz w:val="20"/>
                <w:szCs w:val="20"/>
                <w:lang w:eastAsia="en-US"/>
              </w:rPr>
              <w:t>neni 24/b)</w:t>
            </w:r>
          </w:p>
          <w:p w14:paraId="6EDD1537" w14:textId="77777777" w:rsidR="001B6A20" w:rsidRPr="007114AF" w:rsidRDefault="001B6A20" w:rsidP="001B6A20">
            <w:pPr>
              <w:spacing w:after="0" w:line="240" w:lineRule="auto"/>
              <w:rPr>
                <w:rFonts w:ascii="Garamond" w:eastAsia="Times New Roman" w:hAnsi="Garamond" w:cs="Times New Roman"/>
                <w:sz w:val="20"/>
                <w:szCs w:val="20"/>
                <w:lang w:eastAsia="en-US"/>
              </w:rPr>
            </w:pPr>
            <w:r w:rsidRPr="007114AF">
              <w:rPr>
                <w:rFonts w:ascii="Garamond" w:eastAsia="Times New Roman" w:hAnsi="Garamond" w:cs="Times New Roman"/>
                <w:bCs/>
                <w:sz w:val="20"/>
                <w:szCs w:val="20"/>
                <w:lang w:eastAsia="en-US"/>
              </w:rPr>
              <w:t>- Grupi bazë është kryesisht në nivel ekspertësh dhe jo vendim-marrësish/drejtuesish të programeve</w:t>
            </w:r>
            <w:r w:rsidRPr="007114AF">
              <w:rPr>
                <w:rFonts w:ascii="Garamond" w:eastAsia="Times New Roman" w:hAnsi="Garamond" w:cs="Times New Roman"/>
                <w:sz w:val="20"/>
                <w:szCs w:val="20"/>
                <w:lang w:eastAsia="en-US"/>
              </w:rPr>
              <w:t xml:space="preserve">. </w:t>
            </w:r>
          </w:p>
          <w:p w14:paraId="6EDD1538"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bCs/>
                <w:sz w:val="20"/>
                <w:szCs w:val="20"/>
                <w:lang w:eastAsia="en-US"/>
              </w:rPr>
              <w:t>- Përgjegjshmëria institucionale nuk ka hierarki vertikale dhe koordinim horizontal dhe bashkëpunimi nuk është i qartë në aktet nënligjore ekzistuese.</w:t>
            </w:r>
          </w:p>
          <w:p w14:paraId="6EDD1539" w14:textId="77777777" w:rsidR="001B6A20" w:rsidRPr="007114AF" w:rsidRDefault="001B6A20" w:rsidP="001B6A20">
            <w:pPr>
              <w:spacing w:after="0" w:line="240" w:lineRule="auto"/>
              <w:jc w:val="left"/>
              <w:rPr>
                <w:rFonts w:ascii="Garamond" w:eastAsiaTheme="minorHAnsi" w:hAnsi="Garamond"/>
                <w:bCs/>
                <w:sz w:val="20"/>
                <w:szCs w:val="20"/>
                <w:lang w:eastAsia="en-US"/>
              </w:rPr>
            </w:pPr>
            <w:r w:rsidRPr="007114AF">
              <w:rPr>
                <w:rFonts w:ascii="Garamond" w:eastAsiaTheme="minorHAnsi" w:hAnsi="Garamond"/>
                <w:bCs/>
                <w:sz w:val="20"/>
                <w:szCs w:val="20"/>
                <w:lang w:eastAsia="en-US"/>
              </w:rPr>
              <w:t>- Njësia e ndryshimeve klimatikedhe ajritështë e dobët në kapacitetet e Burimeve Njerëzore dhe pozicionohet në nivel ligji të organizatës.</w:t>
            </w:r>
          </w:p>
          <w:p w14:paraId="6EDD153A"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bCs/>
                <w:iCs/>
                <w:sz w:val="20"/>
                <w:szCs w:val="20"/>
                <w:lang w:eastAsia="en-US"/>
              </w:rPr>
              <w:t>- Roli i përgjithshëm mbikëqyrës, mobilizimi i burimeve dhe roli monitorues për ndikimin e politikave të ndryshimeve klimatike (CC) në disa sektorë nuk mbulohet ose nuk mund të mbulohet siç duhet nga grupi ndërministror i punës së ndryshimeve klimatike dhe Ministria e Turizmit dhe Mjedisit ekzistuese.</w:t>
            </w:r>
          </w:p>
          <w:p w14:paraId="6EDD153B"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 </w:t>
            </w:r>
            <w:r w:rsidRPr="007114AF">
              <w:rPr>
                <w:rFonts w:ascii="Garamond" w:eastAsiaTheme="minorHAnsi" w:hAnsi="Garamond"/>
                <w:bCs/>
                <w:iCs/>
                <w:sz w:val="20"/>
                <w:szCs w:val="20"/>
                <w:lang w:eastAsia="en-US"/>
              </w:rPr>
              <w:t>Grupi ndërministror i punës së ndryshimeve klimatike</w:t>
            </w:r>
            <w:r w:rsidRPr="007114AF">
              <w:rPr>
                <w:rFonts w:ascii="Garamond" w:eastAsiaTheme="minorHAnsi" w:hAnsi="Garamond"/>
                <w:sz w:val="20"/>
                <w:szCs w:val="20"/>
                <w:lang w:eastAsia="en-US"/>
              </w:rPr>
              <w:t xml:space="preserve">nuk i nënshtrohet auditimit të brendshëm dhe të jashtëm, duke vështirësuar identifikimin e çështjeve të lidhura me funksionimin e brendshëm dhe përgjegjshmërinë </w:t>
            </w:r>
          </w:p>
        </w:tc>
      </w:tr>
      <w:tr w:rsidR="001B6A20" w:rsidRPr="007114AF" w14:paraId="6EDD1543" w14:textId="77777777" w:rsidTr="003305AE">
        <w:trPr>
          <w:trHeight w:val="1066"/>
        </w:trPr>
        <w:tc>
          <w:tcPr>
            <w:tcW w:w="1560" w:type="dxa"/>
            <w:tcBorders>
              <w:right w:val="single" w:sz="4" w:space="0" w:color="auto"/>
            </w:tcBorders>
          </w:tcPr>
          <w:p w14:paraId="6EDD153D" w14:textId="77777777" w:rsidR="001B6A20" w:rsidRPr="007114AF" w:rsidRDefault="001B6A20" w:rsidP="001B6A20">
            <w:pPr>
              <w:numPr>
                <w:ilvl w:val="0"/>
                <w:numId w:val="1"/>
              </w:numPr>
              <w:spacing w:after="0" w:line="240" w:lineRule="auto"/>
              <w:ind w:left="0" w:firstLine="0"/>
              <w:jc w:val="left"/>
              <w:rPr>
                <w:rFonts w:ascii="Garamond" w:eastAsia="Times New Roman" w:hAnsi="Garamond" w:cs="Calibri"/>
                <w:b/>
                <w:sz w:val="20"/>
                <w:szCs w:val="20"/>
              </w:rPr>
            </w:pPr>
            <w:r w:rsidRPr="007114AF">
              <w:rPr>
                <w:rFonts w:ascii="Garamond" w:eastAsia="Times New Roman" w:hAnsi="Garamond" w:cs="Calibri"/>
                <w:b/>
                <w:sz w:val="20"/>
                <w:szCs w:val="20"/>
              </w:rPr>
              <w:t xml:space="preserve">Buxheti Afatmesëm dhe Strategjik </w:t>
            </w:r>
          </w:p>
        </w:tc>
        <w:tc>
          <w:tcPr>
            <w:tcW w:w="6267" w:type="dxa"/>
            <w:tcBorders>
              <w:top w:val="single" w:sz="4" w:space="0" w:color="auto"/>
              <w:left w:val="single" w:sz="4" w:space="0" w:color="auto"/>
              <w:right w:val="single" w:sz="4" w:space="0" w:color="auto"/>
            </w:tcBorders>
          </w:tcPr>
          <w:p w14:paraId="6EDD153E" w14:textId="7058584D"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Roli i përgjithshëm mbikëqyrës strategjik është</w:t>
            </w:r>
            <w:r w:rsidR="000A2A01" w:rsidRPr="007114AF">
              <w:rPr>
                <w:rFonts w:ascii="Garamond" w:eastAsiaTheme="minorHAnsi" w:hAnsi="Garamond"/>
                <w:sz w:val="20"/>
                <w:szCs w:val="20"/>
                <w:lang w:eastAsia="en-US"/>
              </w:rPr>
              <w:t xml:space="preserve"> </w:t>
            </w:r>
            <w:r w:rsidRPr="007114AF">
              <w:rPr>
                <w:rFonts w:ascii="Garamond" w:eastAsiaTheme="minorHAnsi" w:hAnsi="Garamond"/>
                <w:sz w:val="20"/>
                <w:szCs w:val="20"/>
                <w:lang w:eastAsia="en-US"/>
              </w:rPr>
              <w:t xml:space="preserve">garantuar në nivelin më të lartë </w:t>
            </w:r>
            <w:r w:rsidRPr="007114AF">
              <w:rPr>
                <w:rFonts w:ascii="Garamond" w:eastAsiaTheme="minorHAnsi" w:hAnsi="Garamond"/>
                <w:color w:val="000000"/>
                <w:sz w:val="20"/>
                <w:szCs w:val="20"/>
                <w:lang w:eastAsia="en-US"/>
              </w:rPr>
              <w:t>zyra e Kryeministrisë;</w:t>
            </w:r>
          </w:p>
          <w:p w14:paraId="6EDD153F"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Roli i përgjithshëm i monitorimit dhe kontrollit të buxhetit është garantuar nga Ministria e Financave dhe Ekonomisë;</w:t>
            </w:r>
          </w:p>
          <w:p w14:paraId="6EDD1540"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 </w:t>
            </w:r>
            <w:r w:rsidRPr="007114AF">
              <w:rPr>
                <w:rFonts w:ascii="Garamond" w:eastAsiaTheme="minorHAnsi" w:hAnsi="Garamond"/>
                <w:bCs/>
                <w:sz w:val="20"/>
                <w:szCs w:val="20"/>
                <w:lang w:eastAsia="en-US"/>
              </w:rPr>
              <w:t>Role të qarta të të gjitha institucioneve, linja vertikale përgjegjshmërie dhe procedura standarde janë vendosur në bazë të ligjeve dhe udhëzimeve të Ministrisë s</w:t>
            </w:r>
            <w:r w:rsidRPr="007114AF">
              <w:rPr>
                <w:rFonts w:ascii="Garamond" w:eastAsiaTheme="minorHAnsi" w:hAnsi="Garamond" w:cs="Arial"/>
                <w:bCs/>
                <w:sz w:val="20"/>
                <w:szCs w:val="20"/>
                <w:lang w:eastAsia="ko-KR"/>
              </w:rPr>
              <w:t xml:space="preserve">ë </w:t>
            </w:r>
            <w:r w:rsidRPr="007114AF">
              <w:rPr>
                <w:rFonts w:ascii="Garamond" w:eastAsiaTheme="minorHAnsi" w:hAnsi="Garamond"/>
                <w:bCs/>
                <w:sz w:val="20"/>
                <w:szCs w:val="20"/>
                <w:lang w:eastAsia="en-US"/>
              </w:rPr>
              <w:t>Financave dhe Ekonomisë;</w:t>
            </w:r>
          </w:p>
          <w:p w14:paraId="6EDD1541" w14:textId="77777777" w:rsidR="001B6A20" w:rsidRPr="007114AF" w:rsidRDefault="001B6A20" w:rsidP="001B6A20">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Të gjitha institucionet e përfshira i nënshtrohen auditimit të brendshëm dhe të jashtëm.</w:t>
            </w:r>
          </w:p>
        </w:tc>
        <w:tc>
          <w:tcPr>
            <w:tcW w:w="6915" w:type="dxa"/>
            <w:tcBorders>
              <w:top w:val="single" w:sz="4" w:space="0" w:color="auto"/>
              <w:left w:val="single" w:sz="4" w:space="0" w:color="auto"/>
              <w:right w:val="single" w:sz="4" w:space="0" w:color="auto"/>
            </w:tcBorders>
          </w:tcPr>
          <w:p w14:paraId="6EDD1542" w14:textId="77777777" w:rsidR="001B6A20" w:rsidRPr="007114AF" w:rsidRDefault="001B6A20" w:rsidP="001B6A20">
            <w:pPr>
              <w:spacing w:after="0" w:line="240" w:lineRule="auto"/>
              <w:jc w:val="left"/>
              <w:rPr>
                <w:rFonts w:ascii="Garamond" w:eastAsiaTheme="minorHAnsi" w:hAnsi="Garamond"/>
                <w:bCs/>
                <w:iCs/>
                <w:sz w:val="20"/>
                <w:szCs w:val="20"/>
                <w:lang w:eastAsia="en-US"/>
              </w:rPr>
            </w:pPr>
            <w:r w:rsidRPr="007114AF">
              <w:rPr>
                <w:rFonts w:ascii="Garamond" w:eastAsiaTheme="minorHAnsi" w:hAnsi="Garamond"/>
                <w:bCs/>
                <w:iCs/>
                <w:sz w:val="20"/>
                <w:szCs w:val="20"/>
                <w:lang w:eastAsia="en-US"/>
              </w:rPr>
              <w:t xml:space="preserve">- </w:t>
            </w:r>
            <w:r w:rsidRPr="007114AF">
              <w:rPr>
                <w:rFonts w:ascii="Garamond" w:eastAsiaTheme="minorHAnsi" w:hAnsi="Garamond"/>
                <w:sz w:val="20"/>
                <w:szCs w:val="20"/>
                <w:lang w:eastAsia="en-US"/>
              </w:rPr>
              <w:t>Kuadri aktual ligjor për PBAM nuk ofron një ndarje të qartë të detyrave ndërmjet institucioneve që menaxhojnë politikat komplekse ndërsektoriale që kërkojnë një shkallë të lartë bashkëpunimi ndërministror.</w:t>
            </w:r>
          </w:p>
        </w:tc>
      </w:tr>
      <w:tr w:rsidR="001B6A20" w:rsidRPr="007114AF" w14:paraId="6EDD154F" w14:textId="77777777" w:rsidTr="002F4BDF">
        <w:trPr>
          <w:trHeight w:val="3374"/>
        </w:trPr>
        <w:tc>
          <w:tcPr>
            <w:tcW w:w="1560" w:type="dxa"/>
            <w:tcBorders>
              <w:right w:val="single" w:sz="4" w:space="0" w:color="auto"/>
            </w:tcBorders>
          </w:tcPr>
          <w:p w14:paraId="6EDD1544" w14:textId="2E530426" w:rsidR="001B6A20" w:rsidRPr="007114AF" w:rsidRDefault="001B6A20" w:rsidP="001B6A20">
            <w:pPr>
              <w:spacing w:after="0" w:line="240" w:lineRule="auto"/>
              <w:jc w:val="left"/>
              <w:rPr>
                <w:rFonts w:ascii="Garamond" w:eastAsiaTheme="minorHAnsi" w:hAnsi="Garamond"/>
                <w:b/>
                <w:sz w:val="20"/>
                <w:szCs w:val="20"/>
                <w:lang w:eastAsia="en-US"/>
              </w:rPr>
            </w:pPr>
            <w:r w:rsidRPr="007114AF">
              <w:rPr>
                <w:rFonts w:ascii="Garamond" w:eastAsiaTheme="minorHAnsi" w:hAnsi="Garamond"/>
                <w:b/>
                <w:sz w:val="20"/>
                <w:szCs w:val="20"/>
                <w:lang w:eastAsia="en-US"/>
              </w:rPr>
              <w:t>Mekanizmi i Menaxhimit të Integruar -</w:t>
            </w:r>
            <w:r w:rsidR="000A2A01" w:rsidRPr="007114AF">
              <w:rPr>
                <w:rFonts w:ascii="Garamond" w:eastAsiaTheme="minorHAnsi" w:hAnsi="Garamond"/>
                <w:b/>
                <w:sz w:val="20"/>
                <w:szCs w:val="20"/>
                <w:lang w:eastAsia="en-US"/>
              </w:rPr>
              <w:t xml:space="preserve"> </w:t>
            </w:r>
          </w:p>
        </w:tc>
        <w:tc>
          <w:tcPr>
            <w:tcW w:w="6267" w:type="dxa"/>
            <w:tcBorders>
              <w:top w:val="single" w:sz="4" w:space="0" w:color="auto"/>
              <w:left w:val="single" w:sz="4" w:space="0" w:color="auto"/>
              <w:right w:val="single" w:sz="4" w:space="0" w:color="auto"/>
            </w:tcBorders>
          </w:tcPr>
          <w:p w14:paraId="6EDD1545" w14:textId="77777777" w:rsidR="001B6A20" w:rsidRPr="007114AF" w:rsidRDefault="001B6A20" w:rsidP="001B6A20">
            <w:pPr>
              <w:spacing w:after="0" w:line="240" w:lineRule="auto"/>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Respekton linjat e përgjegjshmërisë dhe parimet e kuadrit institucional të PBAM (MTBP)</w:t>
            </w:r>
          </w:p>
          <w:p w14:paraId="6EDD1546" w14:textId="77777777" w:rsidR="001B6A20" w:rsidRPr="007114AF" w:rsidRDefault="001B6A20" w:rsidP="001B6A20">
            <w:pPr>
              <w:spacing w:after="0" w:line="240" w:lineRule="auto"/>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Procedura tepër të hollësishme koordinimi, komunikimi dhe monitorimi janë miratuar nga VKM;</w:t>
            </w:r>
          </w:p>
          <w:p w14:paraId="6EDD1547" w14:textId="77777777" w:rsidR="001B6A20" w:rsidRPr="007114AF" w:rsidRDefault="001B6A20" w:rsidP="001B6A20">
            <w:pPr>
              <w:spacing w:after="0" w:line="240" w:lineRule="auto"/>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Roli i Përgjithshëm Mbikëqyrës, Koordinimi Ndërsektorial, Mobilizimi i Burimeve dhe role monitoruese janë garantuar nga IPMG.</w:t>
            </w:r>
          </w:p>
          <w:p w14:paraId="6EDD1548" w14:textId="77777777" w:rsidR="001B6A20" w:rsidRPr="007114AF" w:rsidRDefault="001B6A20" w:rsidP="001B6A20">
            <w:pPr>
              <w:spacing w:after="0" w:line="240" w:lineRule="auto"/>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Anëtarësimi i nivelit të lartë në nivel politik dhe ekzekutiv (i kryesuar nga ministri i ministrisë drejtuese. Anëtarë- Sekretarë të Përgjithshëm të ministrive të linjës);</w:t>
            </w:r>
          </w:p>
          <w:p w14:paraId="6EDD1549" w14:textId="77777777" w:rsidR="001B6A20" w:rsidRPr="007114AF" w:rsidRDefault="001B6A20" w:rsidP="001B6A20">
            <w:pPr>
              <w:spacing w:after="0" w:line="240" w:lineRule="auto"/>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xml:space="preserve">- Ministria e Financave dhe Ekonomisë, </w:t>
            </w:r>
            <w:r w:rsidRPr="007114AF">
              <w:rPr>
                <w:rFonts w:ascii="Garamond" w:eastAsia="Times New Roman" w:hAnsi="Garamond" w:cs="Times New Roman"/>
                <w:color w:val="000000"/>
                <w:sz w:val="20"/>
                <w:szCs w:val="20"/>
                <w:lang w:eastAsia="en-US"/>
              </w:rPr>
              <w:t xml:space="preserve">zyra e Kryeministrisë </w:t>
            </w:r>
            <w:r w:rsidRPr="007114AF">
              <w:rPr>
                <w:rFonts w:ascii="Garamond" w:eastAsia="Times New Roman" w:hAnsi="Garamond" w:cs="Times New Roman"/>
                <w:sz w:val="20"/>
                <w:szCs w:val="20"/>
                <w:lang w:eastAsia="en-US"/>
              </w:rPr>
              <w:t>(DZHFNH), Ministria për Evropën dhe Punët e Jashtme anëtarë kyç të IPMG-ës;</w:t>
            </w:r>
          </w:p>
          <w:p w14:paraId="6EDD154A" w14:textId="77777777" w:rsidR="001B6A20" w:rsidRPr="007114AF" w:rsidRDefault="001B6A20" w:rsidP="001B6A20">
            <w:pPr>
              <w:spacing w:after="0" w:line="240" w:lineRule="auto"/>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Miratimi i listës sektoriale të projekteve prioritare strategjike;</w:t>
            </w:r>
          </w:p>
          <w:p w14:paraId="6EDD154B" w14:textId="77777777" w:rsidR="001B6A20" w:rsidRPr="007114AF" w:rsidRDefault="001B6A20" w:rsidP="001B6A20">
            <w:pPr>
              <w:spacing w:after="0" w:line="240" w:lineRule="auto"/>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Sekretariati i IPMG-ës është krijuar nën varësinë e ministrisë drejtuese, me një strukturë të mjaftueshme (1 drejtues sekretariati, 2 ekspertë dhe 1 asistent administrativ) dhe i raportojnë drejtpërdrejt Sekretarit të Përgjithshëm.</w:t>
            </w:r>
          </w:p>
        </w:tc>
        <w:tc>
          <w:tcPr>
            <w:tcW w:w="6915" w:type="dxa"/>
            <w:tcBorders>
              <w:top w:val="single" w:sz="4" w:space="0" w:color="auto"/>
              <w:left w:val="single" w:sz="4" w:space="0" w:color="auto"/>
              <w:right w:val="single" w:sz="4" w:space="0" w:color="auto"/>
            </w:tcBorders>
          </w:tcPr>
          <w:p w14:paraId="6EDD154C" w14:textId="77777777" w:rsidR="001B6A20" w:rsidRPr="007114AF" w:rsidRDefault="001B6A20" w:rsidP="001B6A20">
            <w:pPr>
              <w:spacing w:after="0" w:line="240" w:lineRule="auto"/>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xml:space="preserve">- IPMG-ja është ende në fazën eksperimentale i monitoruar nga </w:t>
            </w:r>
            <w:r w:rsidRPr="007114AF">
              <w:rPr>
                <w:rFonts w:ascii="Garamond" w:eastAsia="Times New Roman" w:hAnsi="Garamond" w:cs="Times New Roman"/>
                <w:color w:val="000000"/>
                <w:sz w:val="20"/>
                <w:szCs w:val="20"/>
                <w:lang w:eastAsia="en-US"/>
              </w:rPr>
              <w:t>zyra e Kryeministrisë</w:t>
            </w:r>
            <w:r w:rsidRPr="007114AF">
              <w:rPr>
                <w:rFonts w:ascii="Garamond" w:eastAsia="Times New Roman" w:hAnsi="Garamond" w:cs="Times New Roman"/>
                <w:sz w:val="20"/>
                <w:szCs w:val="20"/>
                <w:lang w:eastAsia="en-US"/>
              </w:rPr>
              <w:t>. Efikasiteti dhe eficienca e skemës së plotë është në proces monitorimi.</w:t>
            </w:r>
          </w:p>
          <w:p w14:paraId="6EDD154D" w14:textId="77777777" w:rsidR="001B6A20" w:rsidRPr="007114AF" w:rsidRDefault="001B6A20" w:rsidP="001B6A20">
            <w:pPr>
              <w:spacing w:after="0" w:line="240" w:lineRule="auto"/>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Nuk ka burime financiare për sigurimin e mirëfunksionimit të IPMG-së.</w:t>
            </w:r>
          </w:p>
          <w:p w14:paraId="6EDD154E" w14:textId="2C565FE9" w:rsidR="001B6A20" w:rsidRPr="007114AF" w:rsidRDefault="001B6A20" w:rsidP="001B6A20">
            <w:pPr>
              <w:spacing w:after="0" w:line="240" w:lineRule="auto"/>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IPMG-ja nuk mund t</w:t>
            </w:r>
            <w:r w:rsidR="00D10DAB" w:rsidRPr="007114AF">
              <w:rPr>
                <w:rFonts w:ascii="Garamond" w:eastAsia="Times New Roman" w:hAnsi="Garamond" w:cs="Times New Roman"/>
                <w:sz w:val="20"/>
                <w:szCs w:val="20"/>
                <w:lang w:eastAsia="en-US"/>
              </w:rPr>
              <w:t>’</w:t>
            </w:r>
            <w:r w:rsidRPr="007114AF">
              <w:rPr>
                <w:rFonts w:ascii="Garamond" w:eastAsia="Times New Roman" w:hAnsi="Garamond" w:cs="Times New Roman"/>
                <w:sz w:val="20"/>
                <w:szCs w:val="20"/>
                <w:lang w:eastAsia="en-US"/>
              </w:rPr>
              <w:t>i nënshtrohet auditimit të brendshëm dhe të jashtëm.</w:t>
            </w:r>
          </w:p>
        </w:tc>
      </w:tr>
    </w:tbl>
    <w:p w14:paraId="6EDD1550" w14:textId="77777777" w:rsidR="00F32480" w:rsidRPr="007114AF" w:rsidRDefault="00F32480" w:rsidP="009160D5">
      <w:pPr>
        <w:pStyle w:val="TEKSTI"/>
        <w:rPr>
          <w:b/>
        </w:rPr>
      </w:pPr>
    </w:p>
    <w:p w14:paraId="6EDD1551" w14:textId="77777777" w:rsidR="001B6A20" w:rsidRPr="007114AF" w:rsidRDefault="001B6A20" w:rsidP="009160D5">
      <w:pPr>
        <w:pStyle w:val="TEKSTI"/>
        <w:rPr>
          <w:b/>
        </w:rPr>
      </w:pPr>
    </w:p>
    <w:p w14:paraId="6EDD1552" w14:textId="77777777" w:rsidR="001B6A20" w:rsidRPr="007114AF" w:rsidRDefault="001B6A20" w:rsidP="009160D5">
      <w:pPr>
        <w:pStyle w:val="TEKSTI"/>
        <w:rPr>
          <w:b/>
        </w:rPr>
      </w:pPr>
    </w:p>
    <w:p w14:paraId="6EDD1553" w14:textId="77777777" w:rsidR="001B6A20" w:rsidRPr="007114AF" w:rsidRDefault="001B6A20" w:rsidP="009160D5">
      <w:pPr>
        <w:pStyle w:val="TEKSTI"/>
        <w:rPr>
          <w:b/>
        </w:rPr>
      </w:pPr>
    </w:p>
    <w:p w14:paraId="6EDD1554" w14:textId="77777777" w:rsidR="001B6A20" w:rsidRPr="007114AF" w:rsidRDefault="001B6A20" w:rsidP="009160D5">
      <w:pPr>
        <w:pStyle w:val="TEKSTI"/>
        <w:rPr>
          <w:b/>
        </w:rPr>
      </w:pPr>
    </w:p>
    <w:p w14:paraId="6EDD1555" w14:textId="77777777" w:rsidR="001B6A20" w:rsidRPr="007114AF" w:rsidRDefault="001B6A20" w:rsidP="009160D5">
      <w:pPr>
        <w:pStyle w:val="TEKSTI"/>
        <w:rPr>
          <w:b/>
        </w:rPr>
      </w:pPr>
    </w:p>
    <w:p w14:paraId="6EDD1556" w14:textId="77777777" w:rsidR="001B6A20" w:rsidRPr="007114AF" w:rsidRDefault="001B6A20" w:rsidP="009160D5">
      <w:pPr>
        <w:pStyle w:val="TEKSTI"/>
        <w:rPr>
          <w:b/>
        </w:rPr>
      </w:pPr>
    </w:p>
    <w:p w14:paraId="6EDD1557" w14:textId="77777777" w:rsidR="001B6A20" w:rsidRPr="007114AF" w:rsidRDefault="001B6A20" w:rsidP="009160D5">
      <w:pPr>
        <w:pStyle w:val="TEKSTI"/>
        <w:rPr>
          <w:b/>
        </w:rPr>
      </w:pPr>
    </w:p>
    <w:p w14:paraId="6EDD1558" w14:textId="77777777" w:rsidR="001B6A20" w:rsidRPr="007114AF" w:rsidRDefault="001B6A20" w:rsidP="009160D5">
      <w:pPr>
        <w:pStyle w:val="TEKSTI"/>
        <w:rPr>
          <w:b/>
        </w:rPr>
      </w:pPr>
    </w:p>
    <w:p w14:paraId="6EDD1559" w14:textId="77777777" w:rsidR="001B6A20" w:rsidRPr="007114AF" w:rsidRDefault="001B6A20" w:rsidP="009160D5">
      <w:pPr>
        <w:pStyle w:val="TEKSTI"/>
        <w:rPr>
          <w:b/>
        </w:rPr>
      </w:pPr>
    </w:p>
    <w:p w14:paraId="6EDD155A" w14:textId="77777777" w:rsidR="00F32480" w:rsidRPr="007114AF" w:rsidRDefault="00F32480" w:rsidP="00C065FF">
      <w:pPr>
        <w:pStyle w:val="TEKSTI"/>
        <w:rPr>
          <w:color w:val="000000" w:themeColor="text1"/>
        </w:rPr>
      </w:pPr>
    </w:p>
    <w:p w14:paraId="6EDD155B" w14:textId="77777777" w:rsidR="00F32480" w:rsidRPr="007114AF" w:rsidRDefault="00F32480" w:rsidP="00C065FF">
      <w:pPr>
        <w:pStyle w:val="TEKSTI"/>
        <w:rPr>
          <w:bCs/>
          <w:iCs/>
          <w:u w:val="single"/>
        </w:rPr>
      </w:pPr>
    </w:p>
    <w:p w14:paraId="6EDD155C" w14:textId="77777777" w:rsidR="002F4BDF" w:rsidRPr="007114AF" w:rsidRDefault="002F4BDF" w:rsidP="00C065FF">
      <w:pPr>
        <w:pStyle w:val="TEKSTI"/>
        <w:rPr>
          <w:bCs/>
          <w:iCs/>
          <w:u w:val="single"/>
        </w:rPr>
      </w:pPr>
    </w:p>
    <w:p w14:paraId="6EDD155D" w14:textId="77777777" w:rsidR="002F4BDF" w:rsidRPr="007114AF" w:rsidRDefault="002F4BDF" w:rsidP="00C065FF">
      <w:pPr>
        <w:pStyle w:val="TEKSTI"/>
        <w:rPr>
          <w:bCs/>
          <w:iCs/>
          <w:u w:val="single"/>
        </w:rPr>
      </w:pPr>
    </w:p>
    <w:p w14:paraId="6EDD155E" w14:textId="77777777" w:rsidR="002F4BDF" w:rsidRPr="007114AF" w:rsidRDefault="002F4BDF" w:rsidP="00C065FF">
      <w:pPr>
        <w:pStyle w:val="TEKSTI"/>
        <w:rPr>
          <w:bCs/>
          <w:iCs/>
          <w:u w:val="single"/>
        </w:rPr>
      </w:pPr>
    </w:p>
    <w:p w14:paraId="6EDD155F" w14:textId="77777777" w:rsidR="002F4BDF" w:rsidRPr="007114AF" w:rsidRDefault="002F4BDF" w:rsidP="00C065FF">
      <w:pPr>
        <w:pStyle w:val="TEKSTI"/>
        <w:rPr>
          <w:bCs/>
          <w:iCs/>
          <w:u w:val="single"/>
        </w:rPr>
      </w:pPr>
    </w:p>
    <w:p w14:paraId="6EDD1560" w14:textId="77777777" w:rsidR="002F4BDF" w:rsidRPr="007114AF" w:rsidRDefault="002F4BDF" w:rsidP="00C065FF">
      <w:pPr>
        <w:pStyle w:val="TEKSTI"/>
        <w:rPr>
          <w:bCs/>
          <w:iCs/>
          <w:u w:val="single"/>
        </w:rPr>
      </w:pPr>
    </w:p>
    <w:p w14:paraId="6EDD1561" w14:textId="77777777" w:rsidR="002F4BDF" w:rsidRPr="007114AF" w:rsidRDefault="002F4BDF" w:rsidP="00C065FF">
      <w:pPr>
        <w:pStyle w:val="TEKSTI"/>
        <w:rPr>
          <w:bCs/>
          <w:iCs/>
          <w:u w:val="single"/>
        </w:rPr>
      </w:pPr>
    </w:p>
    <w:p w14:paraId="6EDD1562" w14:textId="77777777" w:rsidR="002F4BDF" w:rsidRPr="007114AF" w:rsidRDefault="002F4BDF" w:rsidP="00C065FF">
      <w:pPr>
        <w:pStyle w:val="TEKSTI"/>
        <w:rPr>
          <w:bCs/>
          <w:iCs/>
          <w:u w:val="single"/>
        </w:rPr>
        <w:sectPr w:rsidR="002F4BDF" w:rsidRPr="007114AF" w:rsidSect="00F32480">
          <w:pgSz w:w="16840" w:h="11907" w:orient="landscape" w:code="9"/>
          <w:pgMar w:top="1418" w:right="1418" w:bottom="1418" w:left="1418" w:header="1304" w:footer="1134" w:gutter="0"/>
          <w:cols w:space="708"/>
          <w:noEndnote/>
          <w:docGrid w:linePitch="326"/>
        </w:sectPr>
      </w:pPr>
    </w:p>
    <w:p w14:paraId="6EDD1563" w14:textId="77777777" w:rsidR="002F4BDF" w:rsidRPr="007114AF" w:rsidRDefault="002F4BDF" w:rsidP="002F4BDF">
      <w:pPr>
        <w:spacing w:after="0" w:line="240" w:lineRule="auto"/>
        <w:ind w:firstLine="284"/>
        <w:rPr>
          <w:rFonts w:ascii="Garamond" w:eastAsiaTheme="minorHAnsi" w:hAnsi="Garamond"/>
          <w:b/>
          <w:sz w:val="24"/>
          <w:szCs w:val="24"/>
          <w:lang w:eastAsia="en-US"/>
        </w:rPr>
      </w:pPr>
      <w:r w:rsidRPr="007114AF">
        <w:rPr>
          <w:rFonts w:ascii="Garamond" w:eastAsiaTheme="minorHAnsi" w:hAnsi="Garamond"/>
          <w:b/>
          <w:sz w:val="24"/>
          <w:szCs w:val="24"/>
          <w:lang w:eastAsia="en-US"/>
        </w:rPr>
        <w:sym w:font="Wingdings 2" w:char="F041"/>
      </w:r>
      <w:r w:rsidRPr="007114AF">
        <w:rPr>
          <w:rFonts w:ascii="Garamond" w:eastAsiaTheme="minorHAnsi" w:hAnsi="Garamond"/>
          <w:b/>
          <w:sz w:val="24"/>
          <w:szCs w:val="24"/>
          <w:lang w:eastAsia="en-US"/>
        </w:rPr>
        <w:t>Masa të tjera të mundshme afatshkurtra-afatgjata</w:t>
      </w:r>
    </w:p>
    <w:p w14:paraId="6EDD1564" w14:textId="77777777" w:rsidR="002F4BDF" w:rsidRPr="007114AF" w:rsidRDefault="002F4BDF" w:rsidP="002F4BDF">
      <w:pPr>
        <w:spacing w:after="0" w:line="240" w:lineRule="auto"/>
        <w:ind w:firstLine="284"/>
        <w:rPr>
          <w:rFonts w:ascii="Garamond" w:eastAsiaTheme="minorHAnsi" w:hAnsi="Garamond"/>
          <w:sz w:val="24"/>
          <w:szCs w:val="24"/>
          <w:u w:val="single"/>
          <w:lang w:eastAsia="en-US"/>
        </w:rPr>
      </w:pPr>
    </w:p>
    <w:p w14:paraId="6EDD1565" w14:textId="77777777" w:rsidR="002F4BDF" w:rsidRPr="007114AF" w:rsidRDefault="002F4BDF" w:rsidP="002F4BDF">
      <w:pPr>
        <w:spacing w:after="0" w:line="240" w:lineRule="auto"/>
        <w:ind w:firstLine="284"/>
        <w:rPr>
          <w:rFonts w:ascii="Garamond" w:eastAsiaTheme="minorHAnsi" w:hAnsi="Garamond"/>
          <w:sz w:val="24"/>
          <w:szCs w:val="24"/>
          <w:u w:val="single"/>
          <w:lang w:eastAsia="en-US"/>
        </w:rPr>
      </w:pPr>
      <w:r w:rsidRPr="007114AF">
        <w:rPr>
          <w:rFonts w:ascii="Garamond" w:eastAsiaTheme="minorHAnsi" w:hAnsi="Garamond"/>
          <w:sz w:val="24"/>
          <w:szCs w:val="24"/>
          <w:u w:val="single"/>
          <w:lang w:eastAsia="en-US"/>
        </w:rPr>
        <w:t xml:space="preserve">Opsioni afatshkurtër: </w:t>
      </w:r>
    </w:p>
    <w:p w14:paraId="6EDD1566" w14:textId="56C4F858"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Përditësimi i urdhrit ekzistues të Kryeministrit</w:t>
      </w:r>
      <w:r w:rsidR="00242009" w:rsidRPr="007114AF">
        <w:rPr>
          <w:rFonts w:ascii="Garamond" w:eastAsiaTheme="minorHAnsi" w:hAnsi="Garamond"/>
          <w:sz w:val="24"/>
          <w:szCs w:val="24"/>
          <w:lang w:eastAsia="en-US"/>
        </w:rPr>
        <w:t xml:space="preserve"> nr. </w:t>
      </w:r>
      <w:r w:rsidRPr="007114AF">
        <w:rPr>
          <w:rFonts w:ascii="Garamond" w:eastAsiaTheme="minorHAnsi" w:hAnsi="Garamond"/>
          <w:sz w:val="24"/>
          <w:szCs w:val="24"/>
          <w:lang w:eastAsia="en-US"/>
        </w:rPr>
        <w:t xml:space="preserve">155/2014, duke përfshirë: </w:t>
      </w:r>
    </w:p>
    <w:p w14:paraId="6EDD1567"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xml:space="preserve">Drejtorinë e DZHM- </w:t>
      </w:r>
      <w:r w:rsidRPr="007114AF">
        <w:rPr>
          <w:rFonts w:ascii="Garamond" w:eastAsiaTheme="minorHAnsi" w:hAnsi="Garamond"/>
          <w:color w:val="000000"/>
          <w:sz w:val="24"/>
          <w:szCs w:val="24"/>
          <w:lang w:eastAsia="en-US"/>
        </w:rPr>
        <w:t xml:space="preserve">zyrës së Kryeministrisë </w:t>
      </w:r>
      <w:r w:rsidRPr="007114AF">
        <w:rPr>
          <w:rFonts w:ascii="Garamond" w:eastAsiaTheme="minorHAnsi" w:hAnsi="Garamond"/>
          <w:sz w:val="24"/>
          <w:szCs w:val="24"/>
          <w:lang w:eastAsia="en-US"/>
        </w:rPr>
        <w:t>si anëtar dhe organ mbikëqyrës për të garantuar mirëfunksionimin e Grupit Ndërministror së Ndryshimeve Klimatike (ose gjendjen e ekzekutimit të urdhrit të Kryeministrit);</w:t>
      </w:r>
    </w:p>
    <w:p w14:paraId="6EDD1568"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detyrimi i ministrive të linjës për integrimin e masave prioritare të ndryshimeve klimatike (CC) në programet e tyre përkatëse afatmesme.</w:t>
      </w:r>
    </w:p>
    <w:p w14:paraId="6EDD1569"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xml:space="preserve">- Përgatitja dhe miratimi i rregullores së brendshme të Grupit Ndërministror të Ndryshimeve Klimatike. </w:t>
      </w:r>
    </w:p>
    <w:p w14:paraId="6EDD156A" w14:textId="71BB028A"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xml:space="preserve">- Përgatitja dhe miratimi i një udhëzimi të përbashkët ndërmjet Ministrisë së Turizmit dhe Mjedisit dhe Ministrinë e Financave dhe Ekonomisë për </w:t>
      </w:r>
      <w:r w:rsidR="000A2A01" w:rsidRPr="007114AF">
        <w:rPr>
          <w:rFonts w:ascii="Garamond" w:eastAsiaTheme="minorHAnsi" w:hAnsi="Garamond"/>
          <w:color w:val="000000"/>
          <w:sz w:val="24"/>
          <w:szCs w:val="24"/>
          <w:lang w:eastAsia="en-US"/>
        </w:rPr>
        <w:t>“</w:t>
      </w:r>
      <w:r w:rsidRPr="007114AF">
        <w:rPr>
          <w:rFonts w:ascii="Garamond" w:eastAsiaTheme="minorHAnsi" w:hAnsi="Garamond"/>
          <w:color w:val="000000"/>
          <w:sz w:val="24"/>
          <w:szCs w:val="24"/>
          <w:lang w:eastAsia="en-US"/>
        </w:rPr>
        <w:t>Procedurat për Integrimin e Ndryshimit të Klimës në PBAM (MTBP)</w:t>
      </w:r>
      <w:r w:rsidR="000A2A01" w:rsidRPr="007114AF">
        <w:rPr>
          <w:rFonts w:ascii="Garamond" w:eastAsiaTheme="minorHAnsi" w:hAnsi="Garamond"/>
          <w:color w:val="000000"/>
          <w:sz w:val="24"/>
          <w:szCs w:val="24"/>
          <w:lang w:eastAsia="en-US"/>
        </w:rPr>
        <w:t>”</w:t>
      </w:r>
      <w:r w:rsidRPr="007114AF">
        <w:rPr>
          <w:rFonts w:ascii="Garamond" w:eastAsiaTheme="minorHAnsi" w:hAnsi="Garamond"/>
          <w:color w:val="000000"/>
          <w:sz w:val="24"/>
          <w:szCs w:val="24"/>
          <w:lang w:eastAsia="en-US"/>
        </w:rPr>
        <w:t xml:space="preserve"> dhe garantimi i shkëmbimit të informacionit gjatë procesit të ekzekutimit të PBAM-it (MTBP).</w:t>
      </w:r>
    </w:p>
    <w:p w14:paraId="6EDD156B"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color w:val="000000"/>
          <w:sz w:val="24"/>
          <w:szCs w:val="24"/>
          <w:lang w:eastAsia="en-US"/>
        </w:rPr>
        <w:t>- Forcimi i kapaciteteve në fushën e ndryshimeve klimatike pranë Ministrisë së Turizmit dhe Mjedisit.</w:t>
      </w:r>
    </w:p>
    <w:p w14:paraId="6EDD156C" w14:textId="64A77484"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Ministria e Turizmit dhe Mjedisit (Drejtoria e Politikave dhe Strategjive të Zhvillimit të Mjedisit) garanton dhe raporton për zbatimin e duhur të urdhrit të Kryeministrit</w:t>
      </w:r>
      <w:r w:rsidR="00242009" w:rsidRPr="007114AF">
        <w:rPr>
          <w:rFonts w:ascii="Garamond" w:eastAsiaTheme="minorHAnsi" w:hAnsi="Garamond"/>
          <w:sz w:val="24"/>
          <w:szCs w:val="24"/>
          <w:lang w:eastAsia="en-US"/>
        </w:rPr>
        <w:t xml:space="preserve"> nr. </w:t>
      </w:r>
      <w:r w:rsidRPr="007114AF">
        <w:rPr>
          <w:rFonts w:ascii="Garamond" w:eastAsiaTheme="minorHAnsi" w:hAnsi="Garamond"/>
          <w:sz w:val="24"/>
          <w:szCs w:val="24"/>
          <w:lang w:eastAsia="en-US"/>
        </w:rPr>
        <w:t>155/ 2014 dhe udhëzimit të përbashkët me Ministrinë e Financave dhe Ekonomisë.</w:t>
      </w:r>
    </w:p>
    <w:p w14:paraId="6EDD156D" w14:textId="24D2CEF3"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xml:space="preserve">Disavantazhi: Grupit Ndërministror i Ndryshimeve Klimatike ende mbetet një </w:t>
      </w:r>
      <w:r w:rsidR="000A2A01" w:rsidRPr="007114AF">
        <w:rPr>
          <w:rFonts w:ascii="Garamond" w:eastAsiaTheme="minorHAnsi" w:hAnsi="Garamond"/>
          <w:sz w:val="24"/>
          <w:szCs w:val="24"/>
          <w:lang w:eastAsia="en-US"/>
        </w:rPr>
        <w:t>“</w:t>
      </w:r>
      <w:r w:rsidRPr="007114AF">
        <w:rPr>
          <w:rFonts w:ascii="Garamond" w:eastAsiaTheme="minorHAnsi" w:hAnsi="Garamond"/>
          <w:sz w:val="24"/>
          <w:szCs w:val="24"/>
          <w:lang w:eastAsia="en-US"/>
        </w:rPr>
        <w:t>grup pune</w:t>
      </w:r>
      <w:r w:rsidR="000A2A01" w:rsidRPr="007114AF">
        <w:rPr>
          <w:rFonts w:ascii="Garamond" w:eastAsiaTheme="minorHAnsi" w:hAnsi="Garamond"/>
          <w:sz w:val="24"/>
          <w:szCs w:val="24"/>
          <w:lang w:eastAsia="en-US"/>
        </w:rPr>
        <w:t>”</w:t>
      </w:r>
      <w:r w:rsidRPr="007114AF">
        <w:rPr>
          <w:rFonts w:ascii="Garamond" w:eastAsiaTheme="minorHAnsi" w:hAnsi="Garamond"/>
          <w:sz w:val="24"/>
          <w:szCs w:val="24"/>
          <w:lang w:eastAsia="en-US"/>
        </w:rPr>
        <w:t xml:space="preserve"> (shihni disavantazhet në shtojcën 3)</w:t>
      </w:r>
    </w:p>
    <w:p w14:paraId="6EDD156E" w14:textId="77777777" w:rsidR="002F4BDF" w:rsidRPr="007114AF" w:rsidRDefault="002F4BDF" w:rsidP="002F4BDF">
      <w:pPr>
        <w:spacing w:after="0" w:line="240" w:lineRule="auto"/>
        <w:ind w:firstLine="284"/>
        <w:rPr>
          <w:rFonts w:ascii="Garamond" w:eastAsiaTheme="minorHAnsi" w:hAnsi="Garamond"/>
          <w:sz w:val="24"/>
          <w:szCs w:val="24"/>
          <w:u w:val="single"/>
          <w:lang w:eastAsia="en-US"/>
        </w:rPr>
      </w:pPr>
      <w:r w:rsidRPr="007114AF">
        <w:rPr>
          <w:rFonts w:ascii="Garamond" w:eastAsiaTheme="minorHAnsi" w:hAnsi="Garamond"/>
          <w:sz w:val="24"/>
          <w:szCs w:val="24"/>
          <w:u w:val="single"/>
          <w:lang w:eastAsia="en-US"/>
        </w:rPr>
        <w:t>Opsioni afatmesëm dhe/ose afatgjatë</w:t>
      </w:r>
    </w:p>
    <w:p w14:paraId="6EDD156F" w14:textId="77777777" w:rsidR="002F4BDF" w:rsidRPr="007114AF" w:rsidRDefault="002F4BDF" w:rsidP="002F4BDF">
      <w:pPr>
        <w:spacing w:after="0" w:line="240" w:lineRule="auto"/>
        <w:ind w:firstLine="284"/>
        <w:rPr>
          <w:rFonts w:ascii="Garamond" w:eastAsiaTheme="minorHAnsi" w:hAnsi="Garamond"/>
          <w:sz w:val="24"/>
          <w:szCs w:val="24"/>
          <w:u w:val="single"/>
          <w:lang w:eastAsia="en-US"/>
        </w:rPr>
      </w:pPr>
      <w:r w:rsidRPr="007114AF">
        <w:rPr>
          <w:rFonts w:ascii="Garamond" w:eastAsiaTheme="minorHAnsi" w:hAnsi="Garamond"/>
          <w:sz w:val="24"/>
          <w:szCs w:val="24"/>
          <w:lang w:eastAsia="en-US"/>
        </w:rPr>
        <w:t xml:space="preserve">Ky opsion mund të diskutohet në rast se skema e IPMG-ës nuk do të pranohet ose/nëse zbatimi i skemës së IPMG-ës tregon se nuk mund të garantojë qëndrueshmërinë e procesit të zbatimit të ndryshimeve klimatike në planin afatgjatë. </w:t>
      </w:r>
    </w:p>
    <w:p w14:paraId="6EDD1570"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Përcaktimi nga Ligji për Ndryshimin e Klimës të Bordit/Komitetit Drejtues për Ndryshimin e Klimës:</w:t>
      </w:r>
    </w:p>
    <w:p w14:paraId="6EDD1571"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xml:space="preserve">- i përbërë nga Ministra (me të drejtën për delegim autoriteti për sekretarin e përgjithshëm përkatës), </w:t>
      </w:r>
    </w:p>
    <w:p w14:paraId="6EDD1572"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i drejtuar mbi bazë rotacioni për të garantuar lidership të qëndrueshëm (çdo 6 muaj),</w:t>
      </w:r>
    </w:p>
    <w:p w14:paraId="6EDD1573" w14:textId="5236C1B2"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bordi/komiteti do të jetë përgjithësisht përgjegjës për formulimin e politikave,</w:t>
      </w:r>
      <w:r w:rsidR="000A2A01" w:rsidRPr="007114AF">
        <w:rPr>
          <w:rFonts w:ascii="Garamond" w:eastAsiaTheme="minorHAnsi" w:hAnsi="Garamond"/>
          <w:sz w:val="24"/>
          <w:szCs w:val="24"/>
          <w:lang w:eastAsia="en-US"/>
        </w:rPr>
        <w:t xml:space="preserve"> </w:t>
      </w:r>
      <w:r w:rsidRPr="007114AF">
        <w:rPr>
          <w:rFonts w:ascii="Garamond" w:eastAsiaTheme="minorHAnsi" w:hAnsi="Garamond"/>
          <w:sz w:val="24"/>
          <w:szCs w:val="24"/>
          <w:lang w:eastAsia="en-US"/>
        </w:rPr>
        <w:t xml:space="preserve">planifikimin, mobilizimin e burimeve, rialokimet e buxhetit, mbikëqyrjen, monitorimin dhe marrjen e masave korrigjuese gjatë procesit të zbatimit; </w:t>
      </w:r>
    </w:p>
    <w:p w14:paraId="6EDD1574"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veprimi si organ këshillimor të Komitetit të Planifikimit Strategjik pranë KM-ës, megjithëse çdo ministri linje do të ruajë autoritetin për ekzekutimin e buxheti;</w:t>
      </w:r>
    </w:p>
    <w:p w14:paraId="6EDD1575"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njësia e ndryshime klimatike do të veprojë si sekretariat i bordit (duhet të rritet në nivel drejtorie brenda 3 vjetëve</w:t>
      </w:r>
      <w:r w:rsidR="00E62997" w:rsidRPr="007114AF">
        <w:rPr>
          <w:rFonts w:ascii="Garamond" w:hAnsi="Garamond" w:cs="Times New Roman"/>
          <w:sz w:val="24"/>
          <w:szCs w:val="24"/>
          <w:vertAlign w:val="superscript"/>
          <w:lang w:eastAsia="en-US"/>
        </w:rPr>
        <w:footnoteReference w:id="87"/>
      </w:r>
      <w:r w:rsidRPr="007114AF">
        <w:rPr>
          <w:rFonts w:ascii="Garamond" w:eastAsiaTheme="minorHAnsi" w:hAnsi="Garamond"/>
          <w:sz w:val="24"/>
          <w:szCs w:val="24"/>
          <w:lang w:eastAsia="en-US"/>
        </w:rPr>
        <w:t xml:space="preserve">). </w:t>
      </w:r>
    </w:p>
    <w:p w14:paraId="6EDD1576"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xml:space="preserve">Avantazhet: </w:t>
      </w:r>
    </w:p>
    <w:p w14:paraId="6EDD1577"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Bordi/Komiteti i ri i Menaxhimit të Ndryshimeve Klimatike do të marrë vendime politike dhe administrative gjatë procesit të planifikimit dhe zbatimit (kalimi i shumë hapave të fragmentuar nga formulimi i politikave në monitorim, si dhe rregullore të fragmentuara që ndikojnë në procesin e lehtësimit dhe përshtatjes së ndryshimeve klimatike);</w:t>
      </w:r>
    </w:p>
    <w:p w14:paraId="6EDD1578"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xml:space="preserve">- Nivel i lartë i mbështetjes politike dhe lidershipit të qëndrueshëm; </w:t>
      </w:r>
    </w:p>
    <w:p w14:paraId="6EDD1579"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Burime të mjaftueshme financimi do të garantojnë mirëfunksionim dhe nivel të lartë përgjegjshmërie</w:t>
      </w:r>
      <w:r w:rsidR="00E62997" w:rsidRPr="007114AF">
        <w:rPr>
          <w:rFonts w:ascii="Garamond" w:hAnsi="Garamond" w:cs="Times New Roman"/>
          <w:sz w:val="24"/>
          <w:szCs w:val="24"/>
          <w:vertAlign w:val="superscript"/>
          <w:lang w:eastAsia="en-US"/>
        </w:rPr>
        <w:footnoteReference w:id="88"/>
      </w:r>
      <w:r w:rsidRPr="007114AF">
        <w:rPr>
          <w:rFonts w:ascii="Garamond" w:eastAsiaTheme="minorHAnsi" w:hAnsi="Garamond"/>
          <w:sz w:val="24"/>
          <w:szCs w:val="24"/>
          <w:lang w:eastAsia="en-US"/>
        </w:rPr>
        <w:t>;</w:t>
      </w:r>
    </w:p>
    <w:p w14:paraId="6EDD157A" w14:textId="027D6BA9"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Vendimet dhe funksionimi i strukturës së menaxhimit të ndryshimeve klimatike do t</w:t>
      </w:r>
      <w:r w:rsidR="00D10DAB" w:rsidRPr="007114AF">
        <w:rPr>
          <w:rFonts w:ascii="Garamond" w:eastAsiaTheme="minorHAnsi" w:hAnsi="Garamond"/>
          <w:sz w:val="24"/>
          <w:szCs w:val="24"/>
          <w:lang w:eastAsia="en-US"/>
        </w:rPr>
        <w:t>’</w:t>
      </w:r>
      <w:r w:rsidRPr="007114AF">
        <w:rPr>
          <w:rFonts w:ascii="Garamond" w:eastAsiaTheme="minorHAnsi" w:hAnsi="Garamond"/>
          <w:sz w:val="24"/>
          <w:szCs w:val="24"/>
          <w:lang w:eastAsia="en-US"/>
        </w:rPr>
        <w:t>i nënshtrohen auditimit të rregullt.</w:t>
      </w:r>
      <w:r w:rsidR="000A2A01" w:rsidRPr="007114AF">
        <w:rPr>
          <w:rFonts w:ascii="Garamond" w:eastAsiaTheme="minorHAnsi" w:hAnsi="Garamond"/>
          <w:sz w:val="24"/>
          <w:szCs w:val="24"/>
          <w:lang w:eastAsia="en-US"/>
        </w:rPr>
        <w:t xml:space="preserve"> </w:t>
      </w:r>
    </w:p>
    <w:p w14:paraId="6EDD157B"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57C" w14:textId="32CC90B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Disavantazhet:</w:t>
      </w:r>
      <w:r w:rsidR="000A2A01" w:rsidRPr="007114AF">
        <w:rPr>
          <w:rFonts w:ascii="Garamond" w:eastAsiaTheme="minorHAnsi" w:hAnsi="Garamond"/>
          <w:sz w:val="24"/>
          <w:szCs w:val="24"/>
          <w:lang w:eastAsia="en-US"/>
        </w:rPr>
        <w:t xml:space="preserve"> </w:t>
      </w:r>
      <w:r w:rsidRPr="007114AF">
        <w:rPr>
          <w:rFonts w:ascii="Garamond" w:eastAsiaTheme="minorHAnsi" w:hAnsi="Garamond"/>
          <w:sz w:val="24"/>
          <w:szCs w:val="24"/>
          <w:lang w:eastAsia="en-US"/>
        </w:rPr>
        <w:t>Rreziqet e lidhura me proceset e planifikimit dhe zbatimit mund të lehtësohen duke mos u shmangur.</w:t>
      </w:r>
    </w:p>
    <w:p w14:paraId="6EDD157D"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57E" w14:textId="77777777" w:rsidR="002F4BDF" w:rsidRPr="007114AF" w:rsidRDefault="002F4BDF" w:rsidP="002F4BDF">
      <w:pPr>
        <w:spacing w:after="0" w:line="240" w:lineRule="auto"/>
        <w:ind w:firstLine="284"/>
        <w:jc w:val="left"/>
        <w:rPr>
          <w:rFonts w:ascii="Garamond" w:eastAsiaTheme="minorHAnsi" w:hAnsi="Garamond"/>
          <w:b/>
          <w:sz w:val="24"/>
          <w:szCs w:val="24"/>
          <w:lang w:eastAsia="en-US"/>
        </w:rPr>
      </w:pPr>
      <w:bookmarkStart w:id="252" w:name="_Toc469479192"/>
      <w:bookmarkStart w:id="253" w:name="_Toc479083931"/>
      <w:r w:rsidRPr="007114AF">
        <w:rPr>
          <w:rFonts w:ascii="Garamond" w:eastAsiaTheme="minorHAnsi" w:hAnsi="Garamond"/>
          <w:b/>
          <w:sz w:val="24"/>
          <w:szCs w:val="24"/>
          <w:lang w:eastAsia="en-US"/>
        </w:rPr>
        <w:sym w:font="Wingdings 2" w:char="F041"/>
      </w:r>
      <w:r w:rsidRPr="007114AF">
        <w:rPr>
          <w:rFonts w:ascii="Garamond" w:eastAsiaTheme="minorHAnsi" w:hAnsi="Garamond"/>
          <w:b/>
          <w:sz w:val="24"/>
          <w:szCs w:val="24"/>
          <w:lang w:eastAsia="en-US"/>
        </w:rPr>
        <w:t>Kalendari i Buxhetit (Buxheti Strategjik, Alokimi, Miratimi)</w:t>
      </w:r>
      <w:bookmarkEnd w:id="252"/>
      <w:bookmarkEnd w:id="253"/>
    </w:p>
    <w:tbl>
      <w:tblPr>
        <w:tblW w:w="9266" w:type="dxa"/>
        <w:tblInd w:w="-48" w:type="dxa"/>
        <w:tblLook w:val="04A0" w:firstRow="1" w:lastRow="0" w:firstColumn="1" w:lastColumn="0" w:noHBand="0" w:noVBand="1"/>
      </w:tblPr>
      <w:tblGrid>
        <w:gridCol w:w="2324"/>
        <w:gridCol w:w="1164"/>
        <w:gridCol w:w="3778"/>
        <w:gridCol w:w="2000"/>
      </w:tblGrid>
      <w:tr w:rsidR="002F4BDF" w:rsidRPr="007114AF" w14:paraId="6EDD1583" w14:textId="77777777" w:rsidTr="003305AE">
        <w:trPr>
          <w:trHeight w:val="479"/>
        </w:trPr>
        <w:tc>
          <w:tcPr>
            <w:tcW w:w="2324" w:type="dxa"/>
            <w:shd w:val="clear" w:color="auto" w:fill="C5E0B3"/>
            <w:vAlign w:val="center"/>
          </w:tcPr>
          <w:p w14:paraId="6EDD157F" w14:textId="77777777" w:rsidR="002F4BDF" w:rsidRPr="007114AF" w:rsidRDefault="002F4BDF" w:rsidP="002F4BDF">
            <w:pPr>
              <w:spacing w:line="240" w:lineRule="auto"/>
              <w:rPr>
                <w:rFonts w:ascii="Garamond" w:hAnsi="Garamond"/>
                <w:b/>
                <w:bCs/>
                <w:sz w:val="20"/>
                <w:szCs w:val="20"/>
                <w:lang w:eastAsia="en-US"/>
              </w:rPr>
            </w:pPr>
            <w:r w:rsidRPr="007114AF">
              <w:rPr>
                <w:rFonts w:ascii="Garamond" w:hAnsi="Garamond"/>
                <w:b/>
                <w:bCs/>
                <w:sz w:val="20"/>
                <w:szCs w:val="20"/>
                <w:lang w:eastAsia="en-US"/>
              </w:rPr>
              <w:t>Fazat</w:t>
            </w:r>
          </w:p>
        </w:tc>
        <w:tc>
          <w:tcPr>
            <w:tcW w:w="1164" w:type="dxa"/>
            <w:shd w:val="clear" w:color="auto" w:fill="C5E0B3"/>
            <w:vAlign w:val="center"/>
          </w:tcPr>
          <w:p w14:paraId="6EDD1580"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Afatet</w:t>
            </w:r>
          </w:p>
        </w:tc>
        <w:tc>
          <w:tcPr>
            <w:tcW w:w="3778" w:type="dxa"/>
            <w:shd w:val="clear" w:color="auto" w:fill="C5E0B3"/>
            <w:vAlign w:val="center"/>
          </w:tcPr>
          <w:p w14:paraId="6EDD1581"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Përshkrimi</w:t>
            </w:r>
          </w:p>
        </w:tc>
        <w:tc>
          <w:tcPr>
            <w:tcW w:w="2000" w:type="dxa"/>
            <w:shd w:val="clear" w:color="auto" w:fill="C5E0B3"/>
            <w:vAlign w:val="center"/>
          </w:tcPr>
          <w:p w14:paraId="6EDD1582"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Institucionet përgjegjëse/drejtuese</w:t>
            </w:r>
          </w:p>
        </w:tc>
      </w:tr>
      <w:tr w:rsidR="002F4BDF" w:rsidRPr="007114AF" w14:paraId="6EDD1588" w14:textId="77777777" w:rsidTr="003305AE">
        <w:trPr>
          <w:trHeight w:val="463"/>
        </w:trPr>
        <w:tc>
          <w:tcPr>
            <w:tcW w:w="2324" w:type="dxa"/>
          </w:tcPr>
          <w:p w14:paraId="6EDD1584" w14:textId="77777777" w:rsidR="002F4BDF" w:rsidRPr="007114AF" w:rsidRDefault="002F4BDF" w:rsidP="002F4BDF">
            <w:pPr>
              <w:spacing w:after="200"/>
              <w:jc w:val="left"/>
              <w:rPr>
                <w:rFonts w:ascii="Garamond" w:eastAsiaTheme="minorHAnsi" w:hAnsi="Garamond"/>
                <w:b/>
                <w:bCs/>
                <w:sz w:val="20"/>
                <w:szCs w:val="20"/>
                <w:lang w:eastAsia="en-US"/>
              </w:rPr>
            </w:pPr>
            <w:r w:rsidRPr="007114AF">
              <w:rPr>
                <w:rFonts w:ascii="Garamond" w:eastAsiaTheme="minorHAnsi" w:hAnsi="Garamond"/>
                <w:b/>
                <w:bCs/>
                <w:sz w:val="20"/>
                <w:szCs w:val="20"/>
                <w:lang w:eastAsia="en-US"/>
              </w:rPr>
              <w:t xml:space="preserve">I.Kuadri makroekonomik, prioriteti dhe përgatitja e tavaneve të </w:t>
            </w:r>
          </w:p>
        </w:tc>
        <w:tc>
          <w:tcPr>
            <w:tcW w:w="1164" w:type="dxa"/>
          </w:tcPr>
          <w:p w14:paraId="6EDD1585"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Janar</w:t>
            </w:r>
          </w:p>
        </w:tc>
        <w:tc>
          <w:tcPr>
            <w:tcW w:w="3778" w:type="dxa"/>
          </w:tcPr>
          <w:p w14:paraId="6EDD1586" w14:textId="77777777" w:rsidR="002F4BDF" w:rsidRPr="007114AF" w:rsidRDefault="002F4BDF" w:rsidP="002F4BDF">
            <w:pPr>
              <w:spacing w:before="120" w:line="240" w:lineRule="auto"/>
              <w:ind w:hanging="360"/>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xml:space="preserve">Përcaktimi i treguesve makroekonomikë nëpërmjet parashikimit makroekonomik për periudhën 2017-2019. </w:t>
            </w:r>
          </w:p>
        </w:tc>
        <w:tc>
          <w:tcPr>
            <w:tcW w:w="2000" w:type="dxa"/>
          </w:tcPr>
          <w:p w14:paraId="6EDD1587"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MF</w:t>
            </w:r>
          </w:p>
        </w:tc>
      </w:tr>
      <w:tr w:rsidR="002F4BDF" w:rsidRPr="007114AF" w14:paraId="6EDD158D" w14:textId="77777777" w:rsidTr="003305AE">
        <w:trPr>
          <w:trHeight w:val="705"/>
        </w:trPr>
        <w:tc>
          <w:tcPr>
            <w:tcW w:w="2324" w:type="dxa"/>
            <w:shd w:val="clear" w:color="auto" w:fill="F2F2F2"/>
          </w:tcPr>
          <w:p w14:paraId="6EDD1589" w14:textId="77777777" w:rsidR="002F4BDF" w:rsidRPr="007114AF" w:rsidRDefault="002F4BDF" w:rsidP="002F4BDF">
            <w:pPr>
              <w:spacing w:after="200"/>
              <w:jc w:val="left"/>
              <w:rPr>
                <w:rFonts w:ascii="Garamond" w:eastAsiaTheme="minorHAnsi" w:hAnsi="Garamond"/>
                <w:b/>
                <w:bCs/>
                <w:sz w:val="20"/>
                <w:szCs w:val="20"/>
                <w:lang w:eastAsia="en-US"/>
              </w:rPr>
            </w:pPr>
            <w:r w:rsidRPr="007114AF">
              <w:rPr>
                <w:rFonts w:ascii="Garamond" w:eastAsiaTheme="minorHAnsi" w:hAnsi="Garamond"/>
                <w:b/>
                <w:bCs/>
                <w:sz w:val="20"/>
                <w:szCs w:val="20"/>
                <w:lang w:eastAsia="en-US"/>
              </w:rPr>
              <w:t xml:space="preserve">MTB-ës për çdo institucion të qeverisjes qendrore dhe fondet e posaçme </w:t>
            </w:r>
          </w:p>
        </w:tc>
        <w:tc>
          <w:tcPr>
            <w:tcW w:w="1164" w:type="dxa"/>
            <w:shd w:val="clear" w:color="auto" w:fill="F2F2F2"/>
          </w:tcPr>
          <w:p w14:paraId="6EDD158A"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Janar</w:t>
            </w:r>
          </w:p>
        </w:tc>
        <w:tc>
          <w:tcPr>
            <w:tcW w:w="3778" w:type="dxa"/>
            <w:shd w:val="clear" w:color="auto" w:fill="F2F2F2"/>
          </w:tcPr>
          <w:p w14:paraId="6EDD158B" w14:textId="77777777" w:rsidR="002F4BDF" w:rsidRPr="007114AF" w:rsidRDefault="002F4BDF" w:rsidP="002F4BDF">
            <w:pPr>
              <w:spacing w:before="120" w:line="240" w:lineRule="auto"/>
              <w:ind w:hanging="360"/>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Miratimi i Kuadrit Makroekonomik dhe Fiskal për periudhën 2017-2019</w:t>
            </w:r>
          </w:p>
        </w:tc>
        <w:tc>
          <w:tcPr>
            <w:tcW w:w="2000" w:type="dxa"/>
            <w:shd w:val="clear" w:color="auto" w:fill="F2F2F2"/>
          </w:tcPr>
          <w:p w14:paraId="6EDD158C"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KM</w:t>
            </w:r>
          </w:p>
        </w:tc>
      </w:tr>
      <w:tr w:rsidR="002F4BDF" w:rsidRPr="007114AF" w14:paraId="6EDD1592" w14:textId="77777777" w:rsidTr="003305AE">
        <w:trPr>
          <w:trHeight w:val="688"/>
        </w:trPr>
        <w:tc>
          <w:tcPr>
            <w:tcW w:w="2324" w:type="dxa"/>
          </w:tcPr>
          <w:p w14:paraId="6EDD158E"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tcPr>
          <w:p w14:paraId="6EDD158F"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Shkurt</w:t>
            </w:r>
          </w:p>
        </w:tc>
        <w:tc>
          <w:tcPr>
            <w:tcW w:w="3778" w:type="dxa"/>
          </w:tcPr>
          <w:p w14:paraId="6EDD1590" w14:textId="77777777" w:rsidR="002F4BDF" w:rsidRPr="007114AF" w:rsidRDefault="002F4BDF" w:rsidP="002F4BDF">
            <w:pPr>
              <w:spacing w:before="120" w:line="240" w:lineRule="auto"/>
              <w:ind w:hanging="360"/>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xml:space="preserve">Identifikimi i prioriteteve të politikave me ndikim të konsiderueshëm tek shpenzimet dhe të ardhurat (paga, transferta lokale, programe të reja, projekte kryesore të investimit publik) </w:t>
            </w:r>
          </w:p>
        </w:tc>
        <w:tc>
          <w:tcPr>
            <w:tcW w:w="2000" w:type="dxa"/>
          </w:tcPr>
          <w:p w14:paraId="6EDD1591" w14:textId="2373D102"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MF, DZHFNH</w:t>
            </w:r>
            <w:r w:rsidR="000A2A01" w:rsidRPr="007114AF">
              <w:rPr>
                <w:rFonts w:ascii="Garamond" w:eastAsiaTheme="minorHAnsi" w:hAnsi="Garamond"/>
                <w:sz w:val="20"/>
                <w:szCs w:val="20"/>
                <w:lang w:eastAsia="en-US"/>
              </w:rPr>
              <w:t xml:space="preserve"> </w:t>
            </w:r>
            <w:r w:rsidRPr="007114AF">
              <w:rPr>
                <w:rFonts w:ascii="Garamond" w:eastAsiaTheme="minorHAnsi" w:hAnsi="Garamond"/>
                <w:sz w:val="20"/>
                <w:szCs w:val="20"/>
                <w:lang w:eastAsia="en-US"/>
              </w:rPr>
              <w:t xml:space="preserve">pranë </w:t>
            </w:r>
            <w:r w:rsidRPr="007114AF">
              <w:rPr>
                <w:rFonts w:ascii="Garamond" w:eastAsiaTheme="minorHAnsi" w:hAnsi="Garamond"/>
                <w:color w:val="000000"/>
                <w:sz w:val="20"/>
                <w:szCs w:val="20"/>
                <w:lang w:eastAsia="en-US"/>
              </w:rPr>
              <w:t>ZKM</w:t>
            </w:r>
            <w:r w:rsidR="003F649E" w:rsidRPr="007114AF">
              <w:rPr>
                <w:rFonts w:ascii="Garamond" w:eastAsiaTheme="minorHAnsi" w:hAnsi="Garamond"/>
                <w:color w:val="000000"/>
                <w:sz w:val="20"/>
                <w:szCs w:val="20"/>
                <w:lang w:eastAsia="en-US"/>
              </w:rPr>
              <w:t>,</w:t>
            </w:r>
            <w:r w:rsidRPr="007114AF">
              <w:rPr>
                <w:rFonts w:ascii="Garamond" w:eastAsiaTheme="minorHAnsi" w:hAnsi="Garamond"/>
                <w:sz w:val="20"/>
                <w:szCs w:val="20"/>
                <w:lang w:eastAsia="en-US"/>
              </w:rPr>
              <w:t xml:space="preserve"> </w:t>
            </w:r>
            <w:r w:rsidRPr="007114AF">
              <w:rPr>
                <w:rFonts w:ascii="Garamond" w:eastAsiaTheme="minorHAnsi" w:hAnsi="Garamond"/>
                <w:color w:val="000000"/>
                <w:sz w:val="20"/>
                <w:szCs w:val="20"/>
                <w:lang w:eastAsia="en-US"/>
              </w:rPr>
              <w:t xml:space="preserve">MIE </w:t>
            </w:r>
          </w:p>
        </w:tc>
      </w:tr>
      <w:tr w:rsidR="002F4BDF" w:rsidRPr="007114AF" w14:paraId="6EDD1597" w14:textId="77777777" w:rsidTr="003305AE">
        <w:trPr>
          <w:trHeight w:val="237"/>
        </w:trPr>
        <w:tc>
          <w:tcPr>
            <w:tcW w:w="2324" w:type="dxa"/>
            <w:shd w:val="clear" w:color="auto" w:fill="F2F2F2"/>
          </w:tcPr>
          <w:p w14:paraId="6EDD1593"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shd w:val="clear" w:color="auto" w:fill="F2F2F2"/>
          </w:tcPr>
          <w:p w14:paraId="6EDD1594"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Shkurt</w:t>
            </w:r>
          </w:p>
        </w:tc>
        <w:tc>
          <w:tcPr>
            <w:tcW w:w="3778" w:type="dxa"/>
            <w:shd w:val="clear" w:color="auto" w:fill="F2F2F2"/>
          </w:tcPr>
          <w:p w14:paraId="6EDD1595" w14:textId="77777777" w:rsidR="002F4BDF" w:rsidRPr="007114AF" w:rsidRDefault="002F4BDF" w:rsidP="002F4BDF">
            <w:pPr>
              <w:spacing w:before="120" w:line="240" w:lineRule="auto"/>
              <w:ind w:hanging="360"/>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xml:space="preserve">Paraqitja e tavaneve përgatitore të PBAM (MTBP) </w:t>
            </w:r>
          </w:p>
        </w:tc>
        <w:tc>
          <w:tcPr>
            <w:tcW w:w="2000" w:type="dxa"/>
            <w:shd w:val="clear" w:color="auto" w:fill="F2F2F2"/>
          </w:tcPr>
          <w:p w14:paraId="6EDD1596"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MF </w:t>
            </w:r>
          </w:p>
        </w:tc>
      </w:tr>
      <w:tr w:rsidR="002F4BDF" w:rsidRPr="007114AF" w14:paraId="6EDD159C" w14:textId="77777777" w:rsidTr="003305AE">
        <w:trPr>
          <w:trHeight w:val="463"/>
        </w:trPr>
        <w:tc>
          <w:tcPr>
            <w:tcW w:w="2324" w:type="dxa"/>
          </w:tcPr>
          <w:p w14:paraId="6EDD1598"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tcPr>
          <w:p w14:paraId="6EDD1599"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Shkurt</w:t>
            </w:r>
          </w:p>
        </w:tc>
        <w:tc>
          <w:tcPr>
            <w:tcW w:w="3778" w:type="dxa"/>
          </w:tcPr>
          <w:p w14:paraId="6EDD159A" w14:textId="77777777" w:rsidR="002F4BDF" w:rsidRPr="007114AF" w:rsidRDefault="002F4BDF" w:rsidP="002F4BDF">
            <w:pPr>
              <w:spacing w:before="120" w:line="240" w:lineRule="auto"/>
              <w:ind w:hanging="360"/>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Përcaktimi i tavaneve përgatitore të PBAM (MTBP) për periudhën 2017-2019 dhe informimi i Parlamentit</w:t>
            </w:r>
          </w:p>
        </w:tc>
        <w:tc>
          <w:tcPr>
            <w:tcW w:w="2000" w:type="dxa"/>
          </w:tcPr>
          <w:p w14:paraId="6EDD159B"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KM</w:t>
            </w:r>
          </w:p>
        </w:tc>
      </w:tr>
      <w:tr w:rsidR="002F4BDF" w:rsidRPr="007114AF" w14:paraId="6EDD15A1" w14:textId="77777777" w:rsidTr="003305AE">
        <w:trPr>
          <w:trHeight w:val="463"/>
        </w:trPr>
        <w:tc>
          <w:tcPr>
            <w:tcW w:w="2324" w:type="dxa"/>
            <w:shd w:val="clear" w:color="auto" w:fill="F2F2F2"/>
          </w:tcPr>
          <w:p w14:paraId="6EDD159D"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shd w:val="clear" w:color="auto" w:fill="F2F2F2"/>
          </w:tcPr>
          <w:p w14:paraId="6EDD159E"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Shkurt</w:t>
            </w:r>
          </w:p>
        </w:tc>
        <w:tc>
          <w:tcPr>
            <w:tcW w:w="3778" w:type="dxa"/>
            <w:shd w:val="clear" w:color="auto" w:fill="F2F2F2"/>
          </w:tcPr>
          <w:p w14:paraId="6EDD159F" w14:textId="77777777" w:rsidR="002F4BDF" w:rsidRPr="007114AF" w:rsidRDefault="002F4BDF" w:rsidP="002F4BDF">
            <w:pPr>
              <w:spacing w:before="120" w:line="240" w:lineRule="auto"/>
              <w:ind w:hanging="360"/>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Përgatitja e Udhëzimeve për Përgatitjen e PBAM (MTBP) për Qeverinë Qendrore dhe Vendore.</w:t>
            </w:r>
          </w:p>
        </w:tc>
        <w:tc>
          <w:tcPr>
            <w:tcW w:w="2000" w:type="dxa"/>
            <w:shd w:val="clear" w:color="auto" w:fill="F2F2F2"/>
          </w:tcPr>
          <w:p w14:paraId="6EDD15A0"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MF </w:t>
            </w:r>
          </w:p>
        </w:tc>
      </w:tr>
      <w:tr w:rsidR="002F4BDF" w:rsidRPr="007114AF" w14:paraId="6EDD15A5" w14:textId="77777777" w:rsidTr="003305AE">
        <w:trPr>
          <w:trHeight w:val="237"/>
        </w:trPr>
        <w:tc>
          <w:tcPr>
            <w:tcW w:w="2324" w:type="dxa"/>
          </w:tcPr>
          <w:p w14:paraId="6EDD15A2" w14:textId="77777777" w:rsidR="002F4BDF" w:rsidRPr="007114AF" w:rsidRDefault="002F4BDF" w:rsidP="002F4BDF">
            <w:pPr>
              <w:spacing w:after="200"/>
              <w:jc w:val="left"/>
              <w:rPr>
                <w:rFonts w:ascii="Garamond" w:eastAsiaTheme="minorHAnsi" w:hAnsi="Garamond"/>
                <w:b/>
                <w:bCs/>
                <w:sz w:val="20"/>
                <w:szCs w:val="20"/>
                <w:lang w:eastAsia="en-US"/>
              </w:rPr>
            </w:pPr>
          </w:p>
        </w:tc>
        <w:tc>
          <w:tcPr>
            <w:tcW w:w="4942" w:type="dxa"/>
            <w:gridSpan w:val="2"/>
          </w:tcPr>
          <w:p w14:paraId="6EDD15A3" w14:textId="77777777" w:rsidR="002F4BDF" w:rsidRPr="007114AF" w:rsidRDefault="002F4BDF" w:rsidP="002F4BDF">
            <w:pPr>
              <w:spacing w:after="200"/>
              <w:jc w:val="left"/>
              <w:rPr>
                <w:rFonts w:ascii="Garamond" w:eastAsiaTheme="minorHAnsi" w:hAnsi="Garamond"/>
                <w:sz w:val="20"/>
                <w:szCs w:val="20"/>
                <w:lang w:eastAsia="en-US"/>
              </w:rPr>
            </w:pPr>
          </w:p>
        </w:tc>
        <w:tc>
          <w:tcPr>
            <w:tcW w:w="2000" w:type="dxa"/>
          </w:tcPr>
          <w:p w14:paraId="6EDD15A4" w14:textId="77777777" w:rsidR="002F4BDF" w:rsidRPr="007114AF" w:rsidRDefault="002F4BDF" w:rsidP="002F4BDF">
            <w:pPr>
              <w:spacing w:after="200"/>
              <w:jc w:val="left"/>
              <w:rPr>
                <w:rFonts w:ascii="Garamond" w:eastAsiaTheme="minorHAnsi" w:hAnsi="Garamond"/>
                <w:sz w:val="20"/>
                <w:szCs w:val="20"/>
                <w:lang w:eastAsia="en-US"/>
              </w:rPr>
            </w:pPr>
          </w:p>
        </w:tc>
      </w:tr>
      <w:tr w:rsidR="002F4BDF" w:rsidRPr="007114AF" w14:paraId="6EDD15AD" w14:textId="77777777" w:rsidTr="003305AE">
        <w:trPr>
          <w:trHeight w:val="930"/>
        </w:trPr>
        <w:tc>
          <w:tcPr>
            <w:tcW w:w="2324" w:type="dxa"/>
            <w:shd w:val="clear" w:color="auto" w:fill="F2F2F2"/>
          </w:tcPr>
          <w:p w14:paraId="6EDD15A6" w14:textId="77777777" w:rsidR="002F4BDF" w:rsidRPr="007114AF" w:rsidRDefault="002F4BDF" w:rsidP="002F4BDF">
            <w:pPr>
              <w:spacing w:after="200"/>
              <w:jc w:val="left"/>
              <w:rPr>
                <w:rFonts w:ascii="Garamond" w:eastAsiaTheme="minorHAnsi" w:hAnsi="Garamond"/>
                <w:b/>
                <w:bCs/>
                <w:sz w:val="20"/>
                <w:szCs w:val="20"/>
                <w:lang w:eastAsia="en-US"/>
              </w:rPr>
            </w:pPr>
            <w:r w:rsidRPr="007114AF">
              <w:rPr>
                <w:rFonts w:ascii="Garamond" w:eastAsiaTheme="minorHAnsi" w:hAnsi="Garamond"/>
                <w:b/>
                <w:bCs/>
                <w:sz w:val="20"/>
                <w:szCs w:val="20"/>
                <w:lang w:eastAsia="en-US"/>
              </w:rPr>
              <w:t>II. Rishikimi i Politikave të Programeve</w:t>
            </w:r>
          </w:p>
          <w:p w14:paraId="6EDD15A7" w14:textId="77777777" w:rsidR="002F4BDF" w:rsidRPr="007114AF" w:rsidRDefault="002F4BDF" w:rsidP="002F4BDF">
            <w:pPr>
              <w:spacing w:after="200"/>
              <w:jc w:val="left"/>
              <w:rPr>
                <w:rFonts w:ascii="Garamond" w:eastAsiaTheme="minorHAnsi" w:hAnsi="Garamond"/>
                <w:b/>
                <w:bCs/>
                <w:sz w:val="20"/>
                <w:szCs w:val="20"/>
                <w:lang w:eastAsia="en-US"/>
              </w:rPr>
            </w:pPr>
          </w:p>
          <w:p w14:paraId="6EDD15A8" w14:textId="77777777" w:rsidR="002F4BDF" w:rsidRPr="007114AF" w:rsidRDefault="002F4BDF" w:rsidP="002F4BDF">
            <w:pPr>
              <w:spacing w:after="200"/>
              <w:jc w:val="left"/>
              <w:rPr>
                <w:rFonts w:ascii="Garamond" w:eastAsiaTheme="minorHAnsi" w:hAnsi="Garamond"/>
                <w:b/>
                <w:bCs/>
                <w:sz w:val="20"/>
                <w:szCs w:val="20"/>
                <w:lang w:eastAsia="en-US"/>
              </w:rPr>
            </w:pPr>
            <w:r w:rsidRPr="007114AF">
              <w:rPr>
                <w:rFonts w:ascii="Garamond" w:eastAsiaTheme="minorHAnsi" w:hAnsi="Garamond"/>
                <w:b/>
                <w:bCs/>
                <w:sz w:val="20"/>
                <w:szCs w:val="20"/>
                <w:lang w:eastAsia="en-US"/>
              </w:rPr>
              <w:t>III. Planifikimi i Shpenzimeve dhe Investimeve për secilin Program</w:t>
            </w:r>
          </w:p>
        </w:tc>
        <w:tc>
          <w:tcPr>
            <w:tcW w:w="1164" w:type="dxa"/>
            <w:shd w:val="clear" w:color="auto" w:fill="F2F2F2"/>
          </w:tcPr>
          <w:p w14:paraId="6EDD15A9" w14:textId="77777777" w:rsidR="002F4BDF" w:rsidRPr="007114AF" w:rsidRDefault="002F4BDF" w:rsidP="002F4BDF">
            <w:pPr>
              <w:spacing w:after="0" w:line="240" w:lineRule="auto"/>
              <w:rPr>
                <w:rFonts w:ascii="Garamond" w:eastAsia="Calibri" w:hAnsi="Garamond" w:cs="Arial"/>
                <w:sz w:val="20"/>
                <w:szCs w:val="20"/>
                <w:lang w:eastAsia="en-US"/>
              </w:rPr>
            </w:pPr>
            <w:r w:rsidRPr="007114AF">
              <w:rPr>
                <w:rFonts w:ascii="Garamond" w:eastAsia="Calibri" w:hAnsi="Garamond" w:cs="Arial"/>
                <w:sz w:val="20"/>
                <w:szCs w:val="20"/>
                <w:lang w:eastAsia="en-US"/>
              </w:rPr>
              <w:t>Mars- prill</w:t>
            </w:r>
          </w:p>
        </w:tc>
        <w:tc>
          <w:tcPr>
            <w:tcW w:w="3778" w:type="dxa"/>
            <w:shd w:val="clear" w:color="auto" w:fill="F2F2F2"/>
          </w:tcPr>
          <w:p w14:paraId="6EDD15AA" w14:textId="77777777" w:rsidR="002F4BDF" w:rsidRPr="007114AF" w:rsidRDefault="002F4BDF" w:rsidP="002F4BDF">
            <w:pPr>
              <w:spacing w:before="120" w:line="240" w:lineRule="auto"/>
              <w:ind w:hanging="360"/>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xml:space="preserve">Përcaktimi i politikave për secilin program dhe identifikimi i qëllimeve dhe objektivave të programit </w:t>
            </w:r>
          </w:p>
          <w:p w14:paraId="6EDD15AB" w14:textId="77777777" w:rsidR="002F4BDF" w:rsidRPr="007114AF" w:rsidRDefault="002F4BDF" w:rsidP="002F4BDF">
            <w:pPr>
              <w:spacing w:before="120" w:line="240" w:lineRule="auto"/>
              <w:ind w:hanging="360"/>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 xml:space="preserve">Përgatitja e Kërkesave të Buxhetit dhe paraqitja pranë MF </w:t>
            </w:r>
          </w:p>
        </w:tc>
        <w:tc>
          <w:tcPr>
            <w:tcW w:w="2000" w:type="dxa"/>
            <w:shd w:val="clear" w:color="auto" w:fill="F2F2F2"/>
          </w:tcPr>
          <w:p w14:paraId="6EDD15AC" w14:textId="3AA48054"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Çdo Institucion Qeveritar Qendror dhe</w:t>
            </w:r>
            <w:r w:rsidR="000A2A01" w:rsidRPr="007114AF">
              <w:rPr>
                <w:rFonts w:ascii="Garamond" w:eastAsiaTheme="minorHAnsi" w:hAnsi="Garamond"/>
                <w:sz w:val="20"/>
                <w:szCs w:val="20"/>
                <w:lang w:eastAsia="en-US"/>
              </w:rPr>
              <w:t xml:space="preserve"> </w:t>
            </w:r>
            <w:r w:rsidRPr="007114AF">
              <w:rPr>
                <w:rFonts w:ascii="Garamond" w:eastAsiaTheme="minorHAnsi" w:hAnsi="Garamond"/>
                <w:sz w:val="20"/>
                <w:szCs w:val="20"/>
                <w:lang w:eastAsia="en-US"/>
              </w:rPr>
              <w:t>Fondi i Posaçëm</w:t>
            </w:r>
          </w:p>
        </w:tc>
      </w:tr>
      <w:tr w:rsidR="002F4BDF" w:rsidRPr="007114AF" w14:paraId="6EDD15B2" w14:textId="77777777" w:rsidTr="003305AE">
        <w:trPr>
          <w:trHeight w:val="463"/>
        </w:trPr>
        <w:tc>
          <w:tcPr>
            <w:tcW w:w="2324" w:type="dxa"/>
          </w:tcPr>
          <w:p w14:paraId="6EDD15AE"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tcPr>
          <w:p w14:paraId="6EDD15AF" w14:textId="77777777" w:rsidR="002F4BDF" w:rsidRPr="007114AF" w:rsidRDefault="002F4BDF" w:rsidP="002F4BDF">
            <w:pPr>
              <w:spacing w:after="0" w:line="240" w:lineRule="auto"/>
              <w:rPr>
                <w:rFonts w:ascii="Garamond" w:eastAsia="Calibri" w:hAnsi="Garamond" w:cs="Arial"/>
                <w:sz w:val="20"/>
                <w:szCs w:val="20"/>
                <w:lang w:eastAsia="en-US"/>
              </w:rPr>
            </w:pPr>
            <w:r w:rsidRPr="007114AF">
              <w:rPr>
                <w:rFonts w:ascii="Garamond" w:eastAsia="Calibri" w:hAnsi="Garamond" w:cs="Arial"/>
                <w:sz w:val="20"/>
                <w:szCs w:val="20"/>
                <w:lang w:eastAsia="en-US"/>
              </w:rPr>
              <w:t>Maj- Qershor</w:t>
            </w:r>
          </w:p>
        </w:tc>
        <w:tc>
          <w:tcPr>
            <w:tcW w:w="3778" w:type="dxa"/>
          </w:tcPr>
          <w:p w14:paraId="6EDD15B0" w14:textId="77777777" w:rsidR="002F4BDF" w:rsidRPr="007114AF" w:rsidRDefault="002F4BDF" w:rsidP="002F4BDF">
            <w:pPr>
              <w:spacing w:before="120" w:line="240" w:lineRule="auto"/>
              <w:ind w:hanging="360"/>
              <w:contextualSpacing/>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Analizat e kërkesave të buxhetit dhe seancat dëgjimore</w:t>
            </w:r>
          </w:p>
        </w:tc>
        <w:tc>
          <w:tcPr>
            <w:tcW w:w="2000" w:type="dxa"/>
          </w:tcPr>
          <w:p w14:paraId="6EDD15B1" w14:textId="2573B9C2"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MFE, (DZHFNH)</w:t>
            </w:r>
            <w:r w:rsidR="000A2A01" w:rsidRPr="007114AF">
              <w:rPr>
                <w:rFonts w:ascii="Garamond" w:eastAsiaTheme="minorHAnsi" w:hAnsi="Garamond"/>
                <w:sz w:val="20"/>
                <w:szCs w:val="20"/>
                <w:lang w:eastAsia="en-US"/>
              </w:rPr>
              <w:t xml:space="preserve"> </w:t>
            </w:r>
            <w:r w:rsidRPr="007114AF">
              <w:rPr>
                <w:rFonts w:ascii="Garamond" w:eastAsiaTheme="minorHAnsi" w:hAnsi="Garamond"/>
                <w:sz w:val="20"/>
                <w:szCs w:val="20"/>
                <w:lang w:eastAsia="en-US"/>
              </w:rPr>
              <w:t xml:space="preserve">pranë </w:t>
            </w:r>
            <w:r w:rsidRPr="007114AF">
              <w:rPr>
                <w:rFonts w:ascii="Garamond" w:eastAsiaTheme="minorHAnsi" w:hAnsi="Garamond"/>
                <w:color w:val="000000"/>
                <w:sz w:val="20"/>
                <w:szCs w:val="20"/>
                <w:lang w:eastAsia="en-US"/>
              </w:rPr>
              <w:t>ZKM</w:t>
            </w:r>
            <w:r w:rsidR="003F649E" w:rsidRPr="007114AF">
              <w:rPr>
                <w:rFonts w:ascii="Garamond" w:eastAsiaTheme="minorHAnsi" w:hAnsi="Garamond"/>
                <w:color w:val="000000"/>
                <w:sz w:val="20"/>
                <w:szCs w:val="20"/>
                <w:lang w:eastAsia="en-US"/>
              </w:rPr>
              <w:t>,</w:t>
            </w:r>
            <w:r w:rsidRPr="007114AF">
              <w:rPr>
                <w:rFonts w:ascii="Garamond" w:eastAsiaTheme="minorHAnsi" w:hAnsi="Garamond"/>
                <w:sz w:val="20"/>
                <w:szCs w:val="20"/>
                <w:lang w:eastAsia="en-US"/>
              </w:rPr>
              <w:t xml:space="preserve"> </w:t>
            </w:r>
            <w:r w:rsidRPr="007114AF">
              <w:rPr>
                <w:rFonts w:ascii="Garamond" w:eastAsiaTheme="minorHAnsi" w:hAnsi="Garamond"/>
                <w:color w:val="000000"/>
                <w:sz w:val="20"/>
                <w:szCs w:val="20"/>
                <w:lang w:eastAsia="en-US"/>
              </w:rPr>
              <w:t>MIE</w:t>
            </w:r>
            <w:r w:rsidRPr="007114AF">
              <w:rPr>
                <w:rFonts w:ascii="Garamond" w:eastAsiaTheme="minorHAnsi" w:hAnsi="Garamond"/>
                <w:sz w:val="20"/>
                <w:szCs w:val="20"/>
                <w:lang w:eastAsia="en-US"/>
              </w:rPr>
              <w:t xml:space="preserve">, </w:t>
            </w:r>
          </w:p>
        </w:tc>
      </w:tr>
      <w:tr w:rsidR="002F4BDF" w:rsidRPr="007114AF" w14:paraId="6EDD15B8" w14:textId="77777777" w:rsidTr="003305AE">
        <w:trPr>
          <w:trHeight w:val="426"/>
        </w:trPr>
        <w:tc>
          <w:tcPr>
            <w:tcW w:w="2324" w:type="dxa"/>
            <w:shd w:val="clear" w:color="auto" w:fill="F2F2F2"/>
          </w:tcPr>
          <w:p w14:paraId="6EDD15B3"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shd w:val="clear" w:color="auto" w:fill="F2F2F2"/>
          </w:tcPr>
          <w:p w14:paraId="6EDD15B4"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Qershor (java e tretë)</w:t>
            </w:r>
          </w:p>
        </w:tc>
        <w:tc>
          <w:tcPr>
            <w:tcW w:w="3778" w:type="dxa"/>
            <w:shd w:val="clear" w:color="auto" w:fill="F2F2F2"/>
          </w:tcPr>
          <w:p w14:paraId="6EDD15B5"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Rishikimi i kuadrit fiskal, nëse është e nevojshme</w:t>
            </w:r>
          </w:p>
          <w:p w14:paraId="6EDD15B6"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Hartimi i dokumentit të PBAM (MTBP) për periudhën 2017-2019, tavanet e reja dhe kufijtë e angazhimeve të reja financiare dhe paraqitja pranë Komitetit të Planifikimit Strategjik dhe Këshillit të Ministrave.</w:t>
            </w:r>
          </w:p>
        </w:tc>
        <w:tc>
          <w:tcPr>
            <w:tcW w:w="2000" w:type="dxa"/>
            <w:shd w:val="clear" w:color="auto" w:fill="F2F2F2"/>
          </w:tcPr>
          <w:p w14:paraId="6EDD15B7" w14:textId="273F461E"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MF</w:t>
            </w:r>
            <w:r w:rsidR="000A2A01" w:rsidRPr="007114AF">
              <w:rPr>
                <w:rFonts w:ascii="Garamond" w:eastAsiaTheme="minorHAnsi" w:hAnsi="Garamond"/>
                <w:sz w:val="20"/>
                <w:szCs w:val="20"/>
                <w:lang w:eastAsia="en-US"/>
              </w:rPr>
              <w:t xml:space="preserve"> </w:t>
            </w:r>
          </w:p>
        </w:tc>
      </w:tr>
      <w:tr w:rsidR="002F4BDF" w:rsidRPr="007114AF" w14:paraId="6EDD15BE" w14:textId="77777777" w:rsidTr="003305AE">
        <w:trPr>
          <w:trHeight w:val="688"/>
        </w:trPr>
        <w:tc>
          <w:tcPr>
            <w:tcW w:w="2324" w:type="dxa"/>
          </w:tcPr>
          <w:p w14:paraId="6EDD15B9"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tcPr>
          <w:p w14:paraId="6EDD15BA"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Fund Qershori</w:t>
            </w:r>
          </w:p>
        </w:tc>
        <w:tc>
          <w:tcPr>
            <w:tcW w:w="3778" w:type="dxa"/>
          </w:tcPr>
          <w:p w14:paraId="6EDD15BB"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Miratimi i dytë i Kuadrit Fiskal dhe dokumentit të PBAM (MTBP) për periudhën 2017-2019 me tavane të reja.</w:t>
            </w:r>
          </w:p>
          <w:p w14:paraId="6EDD15BC"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KM informon Parlamentin</w:t>
            </w:r>
          </w:p>
        </w:tc>
        <w:tc>
          <w:tcPr>
            <w:tcW w:w="2000" w:type="dxa"/>
          </w:tcPr>
          <w:p w14:paraId="6EDD15BD"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SPC dhe KM</w:t>
            </w:r>
          </w:p>
        </w:tc>
      </w:tr>
      <w:tr w:rsidR="002F4BDF" w:rsidRPr="007114AF" w14:paraId="6EDD15C3" w14:textId="77777777" w:rsidTr="003305AE">
        <w:trPr>
          <w:trHeight w:val="463"/>
        </w:trPr>
        <w:tc>
          <w:tcPr>
            <w:tcW w:w="2324" w:type="dxa"/>
            <w:shd w:val="clear" w:color="auto" w:fill="F2F2F2"/>
          </w:tcPr>
          <w:p w14:paraId="6EDD15BF" w14:textId="40B4C271" w:rsidR="002F4BDF" w:rsidRPr="007114AF" w:rsidRDefault="002F4BDF" w:rsidP="002F4BDF">
            <w:pPr>
              <w:spacing w:after="200"/>
              <w:jc w:val="left"/>
              <w:rPr>
                <w:rFonts w:ascii="Garamond" w:eastAsiaTheme="minorHAnsi" w:hAnsi="Garamond"/>
                <w:b/>
                <w:bCs/>
                <w:sz w:val="20"/>
                <w:szCs w:val="20"/>
                <w:lang w:eastAsia="en-US"/>
              </w:rPr>
            </w:pPr>
            <w:r w:rsidRPr="007114AF">
              <w:rPr>
                <w:rFonts w:ascii="Garamond" w:eastAsiaTheme="minorHAnsi" w:hAnsi="Garamond"/>
                <w:b/>
                <w:bCs/>
                <w:sz w:val="20"/>
                <w:szCs w:val="20"/>
                <w:lang w:eastAsia="en-US"/>
              </w:rPr>
              <w:t>IV. Përgatitja e Programit të rishikuar të Buxhetit Afatmesëm</w:t>
            </w:r>
            <w:r w:rsidR="000A2A01" w:rsidRPr="007114AF">
              <w:rPr>
                <w:rFonts w:ascii="Garamond" w:eastAsiaTheme="minorHAnsi" w:hAnsi="Garamond"/>
                <w:b/>
                <w:bCs/>
                <w:sz w:val="20"/>
                <w:szCs w:val="20"/>
                <w:lang w:eastAsia="en-US"/>
              </w:rPr>
              <w:t xml:space="preserve"> </w:t>
            </w:r>
          </w:p>
        </w:tc>
        <w:tc>
          <w:tcPr>
            <w:tcW w:w="1164" w:type="dxa"/>
            <w:shd w:val="clear" w:color="auto" w:fill="F2F2F2"/>
          </w:tcPr>
          <w:p w14:paraId="6EDD15C0"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Korrik(java e parë)</w:t>
            </w:r>
          </w:p>
        </w:tc>
        <w:tc>
          <w:tcPr>
            <w:tcW w:w="3778" w:type="dxa"/>
            <w:shd w:val="clear" w:color="auto" w:fill="F2F2F2"/>
          </w:tcPr>
          <w:p w14:paraId="6EDD15C1"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Lëshimi i udhëzimeve plotësuese për përgatitjen e PBAM (MTBP) së rishikuar </w:t>
            </w:r>
          </w:p>
        </w:tc>
        <w:tc>
          <w:tcPr>
            <w:tcW w:w="2000" w:type="dxa"/>
            <w:shd w:val="clear" w:color="auto" w:fill="F2F2F2"/>
          </w:tcPr>
          <w:p w14:paraId="6EDD15C2"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MF </w:t>
            </w:r>
          </w:p>
        </w:tc>
      </w:tr>
      <w:tr w:rsidR="002F4BDF" w:rsidRPr="007114AF" w14:paraId="6EDD15C8" w14:textId="77777777" w:rsidTr="003305AE">
        <w:trPr>
          <w:trHeight w:val="705"/>
        </w:trPr>
        <w:tc>
          <w:tcPr>
            <w:tcW w:w="2324" w:type="dxa"/>
          </w:tcPr>
          <w:p w14:paraId="6EDD15C4"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tcPr>
          <w:p w14:paraId="6EDD15C5"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Korrik-Gusht</w:t>
            </w:r>
          </w:p>
        </w:tc>
        <w:tc>
          <w:tcPr>
            <w:tcW w:w="3778" w:type="dxa"/>
          </w:tcPr>
          <w:p w14:paraId="6EDD15C6" w14:textId="58CF7B50"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Përgatitja e Programit të rishikuar të Buxhetit Afatmesëm</w:t>
            </w:r>
            <w:r w:rsidR="008D30FC" w:rsidRPr="007114AF">
              <w:rPr>
                <w:rFonts w:ascii="Garamond" w:eastAsiaTheme="minorHAnsi" w:hAnsi="Garamond"/>
                <w:sz w:val="20"/>
                <w:szCs w:val="20"/>
                <w:lang w:eastAsia="en-US"/>
              </w:rPr>
              <w:t xml:space="preserve"> </w:t>
            </w:r>
          </w:p>
        </w:tc>
        <w:tc>
          <w:tcPr>
            <w:tcW w:w="2000" w:type="dxa"/>
          </w:tcPr>
          <w:p w14:paraId="6EDD15C7"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Çdo institucion qeveritar dhe Fondi i Posaçëm</w:t>
            </w:r>
          </w:p>
        </w:tc>
      </w:tr>
      <w:tr w:rsidR="002F4BDF" w:rsidRPr="007114AF" w14:paraId="6EDD15CD" w14:textId="77777777" w:rsidTr="003305AE">
        <w:trPr>
          <w:trHeight w:val="463"/>
        </w:trPr>
        <w:tc>
          <w:tcPr>
            <w:tcW w:w="2324" w:type="dxa"/>
            <w:shd w:val="clear" w:color="auto" w:fill="F2F2F2"/>
          </w:tcPr>
          <w:p w14:paraId="6EDD15C9"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shd w:val="clear" w:color="auto" w:fill="F2F2F2"/>
          </w:tcPr>
          <w:p w14:paraId="6EDD15CA"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Shtator </w:t>
            </w:r>
          </w:p>
        </w:tc>
        <w:tc>
          <w:tcPr>
            <w:tcW w:w="3778" w:type="dxa"/>
            <w:shd w:val="clear" w:color="auto" w:fill="F2F2F2"/>
          </w:tcPr>
          <w:p w14:paraId="6EDD15CB"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Paraqitje e PBAM (MTBP) të rishikuar tek Ministria përgjegjëse për Financat</w:t>
            </w:r>
          </w:p>
        </w:tc>
        <w:tc>
          <w:tcPr>
            <w:tcW w:w="2000" w:type="dxa"/>
            <w:shd w:val="clear" w:color="auto" w:fill="F2F2F2"/>
          </w:tcPr>
          <w:p w14:paraId="6EDD15CC" w14:textId="77777777" w:rsidR="002F4BDF" w:rsidRPr="007114AF" w:rsidRDefault="002F4BDF" w:rsidP="002F4BDF">
            <w:pPr>
              <w:spacing w:after="200"/>
              <w:jc w:val="left"/>
              <w:rPr>
                <w:rFonts w:ascii="Garamond" w:eastAsiaTheme="minorHAnsi" w:hAnsi="Garamond"/>
                <w:sz w:val="20"/>
                <w:szCs w:val="20"/>
                <w:lang w:eastAsia="en-US"/>
              </w:rPr>
            </w:pPr>
          </w:p>
        </w:tc>
      </w:tr>
      <w:tr w:rsidR="002F4BDF" w:rsidRPr="007114AF" w14:paraId="6EDD15D2" w14:textId="77777777" w:rsidTr="003305AE">
        <w:trPr>
          <w:trHeight w:val="479"/>
        </w:trPr>
        <w:tc>
          <w:tcPr>
            <w:tcW w:w="2324" w:type="dxa"/>
          </w:tcPr>
          <w:p w14:paraId="6EDD15CE"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tcPr>
          <w:p w14:paraId="6EDD15CF"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Shtator- Tetor</w:t>
            </w:r>
          </w:p>
        </w:tc>
        <w:tc>
          <w:tcPr>
            <w:tcW w:w="3778" w:type="dxa"/>
          </w:tcPr>
          <w:p w14:paraId="6EDD15D0"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Analizat e kërkesave të buxhetit dhe raundi i dytë i seancave dëgjimore</w:t>
            </w:r>
          </w:p>
        </w:tc>
        <w:tc>
          <w:tcPr>
            <w:tcW w:w="2000" w:type="dxa"/>
          </w:tcPr>
          <w:p w14:paraId="6EDD15D1" w14:textId="102ED93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MFE, (DZHFNH)</w:t>
            </w:r>
            <w:r w:rsidR="003F649E" w:rsidRPr="007114AF">
              <w:rPr>
                <w:rFonts w:ascii="Garamond" w:eastAsiaTheme="minorHAnsi" w:hAnsi="Garamond"/>
                <w:sz w:val="20"/>
                <w:szCs w:val="20"/>
                <w:lang w:eastAsia="en-US"/>
              </w:rPr>
              <w:t>,</w:t>
            </w:r>
            <w:r w:rsidRPr="007114AF">
              <w:rPr>
                <w:rFonts w:ascii="Garamond" w:eastAsiaTheme="minorHAnsi" w:hAnsi="Garamond"/>
                <w:sz w:val="20"/>
                <w:szCs w:val="20"/>
                <w:lang w:eastAsia="en-US"/>
              </w:rPr>
              <w:t xml:space="preserve"> </w:t>
            </w:r>
            <w:r w:rsidRPr="007114AF">
              <w:rPr>
                <w:rFonts w:ascii="Garamond" w:eastAsiaTheme="minorHAnsi" w:hAnsi="Garamond"/>
                <w:color w:val="000000"/>
                <w:sz w:val="20"/>
                <w:szCs w:val="20"/>
                <w:lang w:eastAsia="en-US"/>
              </w:rPr>
              <w:t xml:space="preserve">MIE </w:t>
            </w:r>
          </w:p>
        </w:tc>
      </w:tr>
      <w:tr w:rsidR="002F4BDF" w:rsidRPr="007114AF" w14:paraId="6EDD15D7" w14:textId="77777777" w:rsidTr="003305AE">
        <w:trPr>
          <w:trHeight w:val="688"/>
        </w:trPr>
        <w:tc>
          <w:tcPr>
            <w:tcW w:w="2324" w:type="dxa"/>
            <w:shd w:val="clear" w:color="auto" w:fill="F2F2F2"/>
          </w:tcPr>
          <w:p w14:paraId="6EDD15D3"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shd w:val="clear" w:color="auto" w:fill="F2F2F2"/>
          </w:tcPr>
          <w:p w14:paraId="6EDD15D4"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Tetor</w:t>
            </w:r>
          </w:p>
        </w:tc>
        <w:tc>
          <w:tcPr>
            <w:tcW w:w="3778" w:type="dxa"/>
            <w:shd w:val="clear" w:color="auto" w:fill="F2F2F2"/>
          </w:tcPr>
          <w:p w14:paraId="6EDD15D5" w14:textId="5E8084C8"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Programi i Buxhetit Afatmesëm dhe Ligji Vjetor për Buxhetin të paraqitur pranë Komitetit të Planifikimit Strategjik dhe</w:t>
            </w:r>
            <w:r w:rsidR="000A2A01" w:rsidRPr="007114AF">
              <w:rPr>
                <w:rFonts w:ascii="Garamond" w:eastAsiaTheme="minorHAnsi" w:hAnsi="Garamond"/>
                <w:sz w:val="20"/>
                <w:szCs w:val="20"/>
                <w:lang w:eastAsia="en-US"/>
              </w:rPr>
              <w:t xml:space="preserve"> </w:t>
            </w:r>
            <w:r w:rsidRPr="007114AF">
              <w:rPr>
                <w:rFonts w:ascii="Garamond" w:eastAsiaTheme="minorHAnsi" w:hAnsi="Garamond"/>
                <w:sz w:val="20"/>
                <w:szCs w:val="20"/>
                <w:lang w:eastAsia="en-US"/>
              </w:rPr>
              <w:t>Këshillit të Ministrave</w:t>
            </w:r>
          </w:p>
        </w:tc>
        <w:tc>
          <w:tcPr>
            <w:tcW w:w="2000" w:type="dxa"/>
            <w:shd w:val="clear" w:color="auto" w:fill="F2F2F2"/>
          </w:tcPr>
          <w:p w14:paraId="6EDD15D6" w14:textId="65528683"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MF</w:t>
            </w:r>
            <w:r w:rsidR="000A2A01" w:rsidRPr="007114AF">
              <w:rPr>
                <w:rFonts w:ascii="Garamond" w:eastAsiaTheme="minorHAnsi" w:hAnsi="Garamond"/>
                <w:sz w:val="20"/>
                <w:szCs w:val="20"/>
                <w:lang w:eastAsia="en-US"/>
              </w:rPr>
              <w:t xml:space="preserve"> </w:t>
            </w:r>
          </w:p>
        </w:tc>
      </w:tr>
      <w:tr w:rsidR="002F4BDF" w:rsidRPr="007114AF" w14:paraId="6EDD15DC" w14:textId="77777777" w:rsidTr="003305AE">
        <w:trPr>
          <w:trHeight w:val="463"/>
        </w:trPr>
        <w:tc>
          <w:tcPr>
            <w:tcW w:w="2324" w:type="dxa"/>
          </w:tcPr>
          <w:p w14:paraId="6EDD15D8"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tcPr>
          <w:p w14:paraId="6EDD15D9"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Fund Tetori</w:t>
            </w:r>
          </w:p>
        </w:tc>
        <w:tc>
          <w:tcPr>
            <w:tcW w:w="3778" w:type="dxa"/>
          </w:tcPr>
          <w:p w14:paraId="6EDD15DA"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Miratimi i tretë i Kuadrit Fiskal, PBAM (MTBP) 2017-2019 dhe Buxheti Vjetor 2017</w:t>
            </w:r>
          </w:p>
        </w:tc>
        <w:tc>
          <w:tcPr>
            <w:tcW w:w="2000" w:type="dxa"/>
          </w:tcPr>
          <w:p w14:paraId="6EDD15DB"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KM</w:t>
            </w:r>
          </w:p>
        </w:tc>
      </w:tr>
      <w:tr w:rsidR="002F4BDF" w:rsidRPr="007114AF" w14:paraId="6EDD15E1" w14:textId="77777777" w:rsidTr="003305AE">
        <w:trPr>
          <w:trHeight w:val="237"/>
        </w:trPr>
        <w:tc>
          <w:tcPr>
            <w:tcW w:w="2324" w:type="dxa"/>
            <w:shd w:val="clear" w:color="auto" w:fill="F2F2F2"/>
          </w:tcPr>
          <w:p w14:paraId="6EDD15DD" w14:textId="77777777" w:rsidR="002F4BDF" w:rsidRPr="007114AF" w:rsidRDefault="002F4BDF" w:rsidP="002F4BDF">
            <w:pPr>
              <w:spacing w:after="200"/>
              <w:jc w:val="left"/>
              <w:rPr>
                <w:rFonts w:ascii="Garamond" w:eastAsiaTheme="minorHAnsi" w:hAnsi="Garamond"/>
                <w:b/>
                <w:bCs/>
                <w:sz w:val="20"/>
                <w:szCs w:val="20"/>
                <w:highlight w:val="yellow"/>
                <w:lang w:eastAsia="en-US"/>
              </w:rPr>
            </w:pPr>
          </w:p>
        </w:tc>
        <w:tc>
          <w:tcPr>
            <w:tcW w:w="1164" w:type="dxa"/>
            <w:shd w:val="clear" w:color="auto" w:fill="F2F2F2"/>
          </w:tcPr>
          <w:p w14:paraId="6EDD15DE"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31 tetor</w:t>
            </w:r>
          </w:p>
        </w:tc>
        <w:tc>
          <w:tcPr>
            <w:tcW w:w="3778" w:type="dxa"/>
            <w:shd w:val="clear" w:color="auto" w:fill="F2F2F2"/>
          </w:tcPr>
          <w:p w14:paraId="6EDD15DF"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Paraqitje në Parlament për miratim</w:t>
            </w:r>
          </w:p>
        </w:tc>
        <w:tc>
          <w:tcPr>
            <w:tcW w:w="2000" w:type="dxa"/>
            <w:shd w:val="clear" w:color="auto" w:fill="F2F2F2"/>
          </w:tcPr>
          <w:p w14:paraId="6EDD15E0"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KM</w:t>
            </w:r>
          </w:p>
        </w:tc>
      </w:tr>
      <w:tr w:rsidR="002F4BDF" w:rsidRPr="007114AF" w14:paraId="6EDD15E6" w14:textId="77777777" w:rsidTr="003305AE">
        <w:trPr>
          <w:trHeight w:val="930"/>
        </w:trPr>
        <w:tc>
          <w:tcPr>
            <w:tcW w:w="2324" w:type="dxa"/>
          </w:tcPr>
          <w:p w14:paraId="6EDD15E2" w14:textId="77777777" w:rsidR="002F4BDF" w:rsidRPr="007114AF" w:rsidRDefault="002F4BDF" w:rsidP="002F4BDF">
            <w:pPr>
              <w:spacing w:after="200"/>
              <w:jc w:val="left"/>
              <w:rPr>
                <w:rFonts w:ascii="Garamond" w:eastAsiaTheme="minorHAnsi" w:hAnsi="Garamond"/>
                <w:b/>
                <w:bCs/>
                <w:sz w:val="20"/>
                <w:szCs w:val="20"/>
                <w:lang w:eastAsia="en-US"/>
              </w:rPr>
            </w:pPr>
            <w:r w:rsidRPr="007114AF">
              <w:rPr>
                <w:rFonts w:ascii="Garamond" w:eastAsiaTheme="minorHAnsi" w:hAnsi="Garamond"/>
                <w:b/>
                <w:bCs/>
                <w:sz w:val="20"/>
                <w:szCs w:val="20"/>
                <w:lang w:eastAsia="en-US"/>
              </w:rPr>
              <w:t>V. Rishikimi dhe miratimi i buxhetit nga Parlamenti</w:t>
            </w:r>
          </w:p>
        </w:tc>
        <w:tc>
          <w:tcPr>
            <w:tcW w:w="1164" w:type="dxa"/>
          </w:tcPr>
          <w:p w14:paraId="6EDD15E3"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Nëntor-Dhjetor</w:t>
            </w:r>
          </w:p>
        </w:tc>
        <w:tc>
          <w:tcPr>
            <w:tcW w:w="3778" w:type="dxa"/>
          </w:tcPr>
          <w:p w14:paraId="6EDD15E4" w14:textId="4226761C"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Komisionet parlamentare zhvillojnë seanca për buxhetin me</w:t>
            </w:r>
            <w:r w:rsidR="000A2A01" w:rsidRPr="007114AF">
              <w:rPr>
                <w:rFonts w:ascii="Garamond" w:eastAsiaTheme="minorHAnsi" w:hAnsi="Garamond"/>
                <w:sz w:val="20"/>
                <w:szCs w:val="20"/>
                <w:lang w:eastAsia="en-US"/>
              </w:rPr>
              <w:t xml:space="preserve"> </w:t>
            </w:r>
            <w:r w:rsidRPr="007114AF">
              <w:rPr>
                <w:rFonts w:ascii="Garamond" w:eastAsiaTheme="minorHAnsi" w:hAnsi="Garamond"/>
                <w:sz w:val="20"/>
                <w:szCs w:val="20"/>
                <w:lang w:eastAsia="en-US"/>
              </w:rPr>
              <w:t>Ministrinë e Financave dhe ministri të tjera</w:t>
            </w:r>
          </w:p>
        </w:tc>
        <w:tc>
          <w:tcPr>
            <w:tcW w:w="2000" w:type="dxa"/>
          </w:tcPr>
          <w:p w14:paraId="6EDD15E5"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Komisioni për Ekonominë dhe Financat (komisioni drejtues)</w:t>
            </w:r>
          </w:p>
        </w:tc>
      </w:tr>
      <w:tr w:rsidR="002F4BDF" w:rsidRPr="007114AF" w14:paraId="6EDD15EB" w14:textId="77777777" w:rsidTr="003305AE">
        <w:trPr>
          <w:trHeight w:val="479"/>
        </w:trPr>
        <w:tc>
          <w:tcPr>
            <w:tcW w:w="2324" w:type="dxa"/>
            <w:shd w:val="clear" w:color="auto" w:fill="F2F2F2"/>
          </w:tcPr>
          <w:p w14:paraId="6EDD15E7"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shd w:val="clear" w:color="auto" w:fill="F2F2F2"/>
          </w:tcPr>
          <w:p w14:paraId="6EDD15E8"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Brenda Dhjetorit</w:t>
            </w:r>
          </w:p>
        </w:tc>
        <w:tc>
          <w:tcPr>
            <w:tcW w:w="3778" w:type="dxa"/>
            <w:shd w:val="clear" w:color="auto" w:fill="F2F2F2"/>
          </w:tcPr>
          <w:p w14:paraId="6EDD15E9"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Buxheti i miratuar dhe i hyrë në fuqi nga data 1 janar 2017</w:t>
            </w:r>
          </w:p>
        </w:tc>
        <w:tc>
          <w:tcPr>
            <w:tcW w:w="2000" w:type="dxa"/>
            <w:shd w:val="clear" w:color="auto" w:fill="F2F2F2"/>
          </w:tcPr>
          <w:p w14:paraId="6EDD15EA"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Parlamenti</w:t>
            </w:r>
          </w:p>
        </w:tc>
      </w:tr>
      <w:tr w:rsidR="002F4BDF" w:rsidRPr="007114AF" w14:paraId="6EDD15F0" w14:textId="77777777" w:rsidTr="003305AE">
        <w:trPr>
          <w:trHeight w:val="688"/>
        </w:trPr>
        <w:tc>
          <w:tcPr>
            <w:tcW w:w="2324" w:type="dxa"/>
          </w:tcPr>
          <w:p w14:paraId="6EDD15EC" w14:textId="77777777" w:rsidR="002F4BDF" w:rsidRPr="007114AF" w:rsidRDefault="002F4BDF" w:rsidP="002F4BDF">
            <w:pPr>
              <w:spacing w:after="200"/>
              <w:jc w:val="left"/>
              <w:rPr>
                <w:rFonts w:ascii="Garamond" w:eastAsiaTheme="minorHAnsi" w:hAnsi="Garamond"/>
                <w:b/>
                <w:bCs/>
                <w:sz w:val="20"/>
                <w:szCs w:val="20"/>
                <w:lang w:eastAsia="en-US"/>
              </w:rPr>
            </w:pPr>
          </w:p>
        </w:tc>
        <w:tc>
          <w:tcPr>
            <w:tcW w:w="1164" w:type="dxa"/>
          </w:tcPr>
          <w:p w14:paraId="6EDD15ED"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Brenda Janarit</w:t>
            </w:r>
          </w:p>
        </w:tc>
        <w:tc>
          <w:tcPr>
            <w:tcW w:w="3778" w:type="dxa"/>
          </w:tcPr>
          <w:p w14:paraId="6EDD15EE"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Duke përfshirë ndryshimet e Shteteve nga Këshilli i Ministrave dhe Parlamenti. (PBAM) (MTBP) e tretë e përgatitur për periudhën 2017-2019)</w:t>
            </w:r>
          </w:p>
        </w:tc>
        <w:tc>
          <w:tcPr>
            <w:tcW w:w="2000" w:type="dxa"/>
          </w:tcPr>
          <w:p w14:paraId="6EDD15EF" w14:textId="77777777" w:rsidR="002F4BDF" w:rsidRPr="007114AF" w:rsidRDefault="002F4BDF" w:rsidP="002F4BDF">
            <w:pPr>
              <w:spacing w:after="200"/>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MF </w:t>
            </w:r>
          </w:p>
        </w:tc>
      </w:tr>
    </w:tbl>
    <w:p w14:paraId="6EDD15F1" w14:textId="050F0BA2"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Burimi: VKM</w:t>
      </w:r>
      <w:r w:rsidR="00242009" w:rsidRPr="007114AF">
        <w:rPr>
          <w:rFonts w:ascii="Garamond" w:eastAsiaTheme="minorHAnsi" w:hAnsi="Garamond"/>
          <w:sz w:val="24"/>
          <w:szCs w:val="24"/>
          <w:lang w:eastAsia="en-US"/>
        </w:rPr>
        <w:t xml:space="preserve"> nr. </w:t>
      </w:r>
      <w:r w:rsidRPr="007114AF">
        <w:rPr>
          <w:rFonts w:ascii="Garamond" w:eastAsiaTheme="minorHAnsi" w:hAnsi="Garamond"/>
          <w:sz w:val="24"/>
          <w:szCs w:val="24"/>
          <w:lang w:eastAsia="en-US"/>
        </w:rPr>
        <w:t xml:space="preserve">59 e datës 27.1.2016. </w:t>
      </w:r>
      <w:r w:rsidR="000A2A01" w:rsidRPr="007114AF">
        <w:rPr>
          <w:rFonts w:ascii="Garamond" w:eastAsiaTheme="minorHAnsi" w:hAnsi="Garamond"/>
          <w:sz w:val="24"/>
          <w:szCs w:val="24"/>
          <w:lang w:eastAsia="en-US"/>
        </w:rPr>
        <w:t>“</w:t>
      </w:r>
      <w:r w:rsidRPr="007114AF">
        <w:rPr>
          <w:rFonts w:ascii="Garamond" w:eastAsiaTheme="minorHAnsi" w:hAnsi="Garamond"/>
          <w:sz w:val="24"/>
          <w:szCs w:val="24"/>
          <w:lang w:eastAsia="en-US"/>
        </w:rPr>
        <w:t>Miratimi i Kalendarit për Shpenzimet e Administrimit Publik për vitin 2016</w:t>
      </w:r>
      <w:r w:rsidR="000A2A01" w:rsidRPr="007114AF">
        <w:rPr>
          <w:rFonts w:ascii="Garamond" w:eastAsiaTheme="minorHAnsi" w:hAnsi="Garamond"/>
          <w:sz w:val="24"/>
          <w:szCs w:val="24"/>
          <w:lang w:eastAsia="en-US"/>
        </w:rPr>
        <w:t>”</w:t>
      </w:r>
    </w:p>
    <w:p w14:paraId="6EDD15F2" w14:textId="77777777" w:rsidR="002F4BDF" w:rsidRPr="007114AF" w:rsidRDefault="002F4BDF" w:rsidP="002F4BDF">
      <w:pPr>
        <w:spacing w:after="200"/>
        <w:jc w:val="left"/>
        <w:rPr>
          <w:rFonts w:ascii="Garamond" w:eastAsiaTheme="minorHAnsi" w:hAnsi="Garamond"/>
          <w:lang w:eastAsia="en-US"/>
        </w:rPr>
      </w:pPr>
    </w:p>
    <w:p w14:paraId="6EDD15F3" w14:textId="77777777" w:rsidR="002F4BDF" w:rsidRPr="007114AF" w:rsidRDefault="002F4BDF" w:rsidP="002F4BDF">
      <w:pPr>
        <w:spacing w:after="200"/>
        <w:jc w:val="left"/>
        <w:rPr>
          <w:rFonts w:ascii="Garamond" w:eastAsiaTheme="minorHAnsi" w:hAnsi="Garamond"/>
          <w:lang w:eastAsia="en-US"/>
        </w:rPr>
      </w:pPr>
    </w:p>
    <w:p w14:paraId="6EDD15F4" w14:textId="77777777" w:rsidR="002F4BDF" w:rsidRPr="007114AF" w:rsidRDefault="002F4BDF" w:rsidP="002F4BDF">
      <w:pPr>
        <w:spacing w:after="200"/>
        <w:jc w:val="left"/>
        <w:rPr>
          <w:rFonts w:ascii="Garamond" w:eastAsiaTheme="minorHAnsi" w:hAnsi="Garamond"/>
          <w:lang w:eastAsia="en-US"/>
        </w:rPr>
      </w:pPr>
    </w:p>
    <w:p w14:paraId="6EDD15F5" w14:textId="77777777" w:rsidR="002F4BDF" w:rsidRPr="007114AF" w:rsidRDefault="002F4BDF" w:rsidP="002F4BDF">
      <w:pPr>
        <w:spacing w:after="200"/>
        <w:jc w:val="left"/>
        <w:rPr>
          <w:rFonts w:ascii="Garamond" w:eastAsiaTheme="minorHAnsi" w:hAnsi="Garamond"/>
          <w:lang w:eastAsia="en-US"/>
        </w:rPr>
      </w:pPr>
    </w:p>
    <w:p w14:paraId="6EDD15F6" w14:textId="77777777" w:rsidR="002F4BDF" w:rsidRPr="007114AF" w:rsidRDefault="002F4BDF" w:rsidP="002F4BDF">
      <w:pPr>
        <w:spacing w:after="200"/>
        <w:jc w:val="left"/>
        <w:rPr>
          <w:rFonts w:ascii="Garamond" w:eastAsiaTheme="minorHAnsi" w:hAnsi="Garamond"/>
          <w:lang w:eastAsia="en-US"/>
        </w:rPr>
      </w:pPr>
    </w:p>
    <w:p w14:paraId="6EDD15F7" w14:textId="77777777" w:rsidR="002F4BDF" w:rsidRPr="007114AF" w:rsidRDefault="002F4BDF" w:rsidP="002F4BDF">
      <w:pPr>
        <w:spacing w:after="0" w:line="240" w:lineRule="auto"/>
        <w:ind w:firstLine="284"/>
        <w:rPr>
          <w:rFonts w:ascii="Garamond" w:eastAsiaTheme="minorHAnsi" w:hAnsi="Garamond"/>
          <w:b/>
          <w:sz w:val="24"/>
          <w:szCs w:val="24"/>
          <w:lang w:eastAsia="en-US"/>
        </w:rPr>
      </w:pPr>
      <w:bookmarkStart w:id="254" w:name="_Toc469479193"/>
      <w:bookmarkStart w:id="255" w:name="_Toc479083932"/>
      <w:r w:rsidRPr="007114AF">
        <w:rPr>
          <w:rFonts w:ascii="Garamond" w:eastAsiaTheme="minorHAnsi" w:hAnsi="Garamond"/>
          <w:b/>
          <w:sz w:val="24"/>
          <w:szCs w:val="24"/>
          <w:lang w:eastAsia="en-US"/>
        </w:rPr>
        <w:sym w:font="Wingdings 2" w:char="F041"/>
      </w:r>
      <w:r w:rsidRPr="007114AF">
        <w:rPr>
          <w:rFonts w:ascii="Garamond" w:eastAsiaTheme="minorHAnsi" w:hAnsi="Garamond"/>
          <w:b/>
          <w:sz w:val="24"/>
          <w:szCs w:val="24"/>
          <w:lang w:eastAsia="en-US"/>
        </w:rPr>
        <w:t xml:space="preserve">Procesi i shpenzimeve vjetore të programit në një institucion të Qeverisë Qendrore </w:t>
      </w:r>
      <w:bookmarkEnd w:id="254"/>
      <w:bookmarkEnd w:id="255"/>
    </w:p>
    <w:p w14:paraId="6EDD15F8"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(Shpjegim i hollësishëm i PBAM (MTBP), Faza III)</w:t>
      </w:r>
    </w:p>
    <w:p w14:paraId="6EDD15F9" w14:textId="77777777" w:rsidR="002F4BDF" w:rsidRPr="007114AF" w:rsidRDefault="00941E9F" w:rsidP="002F4BDF">
      <w:pPr>
        <w:spacing w:after="200"/>
        <w:jc w:val="left"/>
        <w:rPr>
          <w:rFonts w:ascii="Garamond" w:eastAsiaTheme="minorHAnsi" w:hAnsi="Garamond"/>
          <w:lang w:eastAsia="en-US"/>
        </w:rPr>
      </w:pPr>
      <w:r>
        <w:rPr>
          <w:rFonts w:ascii="Garamond" w:eastAsiaTheme="minorHAnsi" w:hAnsi="Garamond"/>
          <w:lang w:eastAsia="en-US"/>
        </w:rPr>
        <w:object w:dxaOrig="1440" w:dyaOrig="1440" w14:anchorId="6EDD17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27.45pt;width:453.2pt;height:529.55pt;z-index:251658250;mso-position-horizontal:left">
            <v:imagedata r:id="rId66" o:title=""/>
            <w10:wrap type="square" side="right"/>
          </v:shape>
          <o:OLEObject Type="Embed" ProgID="Visio.Drawing.11" ShapeID="_x0000_s1026" DrawAspect="Content" ObjectID="_1624346851" r:id="rId67"/>
        </w:object>
      </w:r>
    </w:p>
    <w:p w14:paraId="6EDD15FA"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5FB" w14:textId="4C77C2A3" w:rsidR="002F4BDF" w:rsidRPr="007114AF" w:rsidRDefault="002F4BDF" w:rsidP="002F4BDF">
      <w:pPr>
        <w:spacing w:after="0" w:line="240" w:lineRule="auto"/>
        <w:ind w:firstLine="284"/>
        <w:jc w:val="center"/>
        <w:rPr>
          <w:rFonts w:ascii="Garamond" w:eastAsiaTheme="minorHAnsi" w:hAnsi="Garamond" w:cs="Calibri"/>
          <w:b/>
          <w:bCs/>
          <w:lang w:eastAsia="en-US"/>
        </w:rPr>
      </w:pPr>
      <w:r w:rsidRPr="007114AF">
        <w:rPr>
          <w:rFonts w:ascii="Garamond" w:eastAsiaTheme="minorHAnsi" w:hAnsi="Garamond" w:cs="Calibri"/>
          <w:b/>
          <w:bCs/>
          <w:lang w:eastAsia="en-US"/>
        </w:rPr>
        <w:t>Figura 1</w:t>
      </w:r>
      <w:r w:rsidR="000A2A01" w:rsidRPr="007114AF">
        <w:rPr>
          <w:rFonts w:ascii="Garamond" w:eastAsiaTheme="minorHAnsi" w:hAnsi="Garamond" w:cs="Calibri"/>
          <w:b/>
          <w:bCs/>
          <w:lang w:eastAsia="en-US"/>
        </w:rPr>
        <w:t xml:space="preserve"> </w:t>
      </w:r>
      <w:r w:rsidRPr="007114AF">
        <w:rPr>
          <w:rFonts w:ascii="Garamond" w:eastAsiaTheme="minorHAnsi" w:hAnsi="Garamond" w:cs="Calibri"/>
          <w:b/>
          <w:bCs/>
          <w:lang w:eastAsia="en-US"/>
        </w:rPr>
        <w:t>Procesi i programimit të shpenzimeve vjetore në një Institucion të Qeverisë Q</w:t>
      </w:r>
      <w:r w:rsidR="00203893" w:rsidRPr="007114AF">
        <w:rPr>
          <w:rFonts w:ascii="Garamond" w:eastAsiaTheme="minorHAnsi" w:hAnsi="Garamond" w:cs="Calibri"/>
          <w:b/>
          <w:bCs/>
          <w:lang w:eastAsia="en-US"/>
        </w:rPr>
        <w:t>e</w:t>
      </w:r>
      <w:r w:rsidRPr="007114AF">
        <w:rPr>
          <w:rFonts w:ascii="Garamond" w:eastAsiaTheme="minorHAnsi" w:hAnsi="Garamond" w:cs="Calibri"/>
          <w:b/>
          <w:bCs/>
          <w:lang w:eastAsia="en-US"/>
        </w:rPr>
        <w:t>ndrore</w:t>
      </w:r>
    </w:p>
    <w:p w14:paraId="6EDD15FC" w14:textId="3E19F71C"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Burimi: MF-ja udhëzimi</w:t>
      </w:r>
      <w:r w:rsidR="00242009" w:rsidRPr="007114AF">
        <w:rPr>
          <w:rFonts w:ascii="Garamond" w:eastAsiaTheme="minorHAnsi" w:hAnsi="Garamond"/>
          <w:sz w:val="24"/>
          <w:szCs w:val="24"/>
          <w:lang w:eastAsia="en-US"/>
        </w:rPr>
        <w:t xml:space="preserve"> nr. </w:t>
      </w:r>
      <w:r w:rsidRPr="007114AF">
        <w:rPr>
          <w:rFonts w:ascii="Garamond" w:eastAsiaTheme="minorHAnsi" w:hAnsi="Garamond"/>
          <w:sz w:val="24"/>
          <w:szCs w:val="24"/>
          <w:lang w:eastAsia="en-US"/>
        </w:rPr>
        <w:t xml:space="preserve">8/2012 </w:t>
      </w:r>
      <w:r w:rsidR="000A2A01" w:rsidRPr="007114AF">
        <w:rPr>
          <w:rFonts w:ascii="Garamond" w:eastAsiaTheme="minorHAnsi" w:hAnsi="Garamond"/>
          <w:sz w:val="24"/>
          <w:szCs w:val="24"/>
          <w:lang w:eastAsia="en-US"/>
        </w:rPr>
        <w:t>“</w:t>
      </w:r>
      <w:r w:rsidRPr="007114AF">
        <w:rPr>
          <w:rFonts w:ascii="Garamond" w:eastAsiaTheme="minorHAnsi" w:hAnsi="Garamond"/>
          <w:sz w:val="24"/>
          <w:szCs w:val="24"/>
          <w:lang w:eastAsia="en-US"/>
        </w:rPr>
        <w:t>Procedurat standarde për përgatitjen e PBA-së</w:t>
      </w:r>
      <w:r w:rsidR="000A2A01" w:rsidRPr="007114AF">
        <w:rPr>
          <w:rFonts w:ascii="Garamond" w:eastAsiaTheme="minorHAnsi" w:hAnsi="Garamond"/>
          <w:sz w:val="24"/>
          <w:szCs w:val="24"/>
          <w:lang w:eastAsia="en-US"/>
        </w:rPr>
        <w:t>”</w:t>
      </w:r>
    </w:p>
    <w:p w14:paraId="6EDD15FD"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5FE"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5FF"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600"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601" w14:textId="5FD650D5" w:rsidR="002F4BDF" w:rsidRPr="007114AF" w:rsidRDefault="002F4BDF" w:rsidP="002F4BDF">
      <w:pPr>
        <w:spacing w:after="0" w:line="240" w:lineRule="auto"/>
        <w:ind w:firstLine="284"/>
        <w:rPr>
          <w:rFonts w:ascii="Garamond" w:eastAsiaTheme="minorHAnsi" w:hAnsi="Garamond"/>
          <w:b/>
          <w:sz w:val="24"/>
          <w:szCs w:val="24"/>
          <w:lang w:eastAsia="en-US"/>
        </w:rPr>
      </w:pPr>
      <w:bookmarkStart w:id="256" w:name="_Toc469479194"/>
      <w:bookmarkStart w:id="257" w:name="_Toc479083933"/>
      <w:r w:rsidRPr="007114AF">
        <w:rPr>
          <w:rFonts w:ascii="Garamond" w:eastAsiaTheme="minorHAnsi" w:hAnsi="Garamond"/>
          <w:b/>
          <w:sz w:val="24"/>
          <w:szCs w:val="24"/>
          <w:lang w:eastAsia="en-US"/>
        </w:rPr>
        <w:sym w:font="Wingdings 2" w:char="F041"/>
      </w:r>
      <w:r w:rsidRPr="007114AF">
        <w:rPr>
          <w:rFonts w:ascii="Garamond" w:eastAsiaTheme="minorHAnsi" w:hAnsi="Garamond"/>
          <w:b/>
          <w:sz w:val="24"/>
          <w:szCs w:val="24"/>
          <w:lang w:eastAsia="en-US"/>
        </w:rPr>
        <w:t>Lista e Programeve Buxhetore të Ministrive të Linjës</w:t>
      </w:r>
      <w:bookmarkEnd w:id="256"/>
      <w:bookmarkEnd w:id="257"/>
      <w:r w:rsidR="00203893" w:rsidRPr="007114AF">
        <w:rPr>
          <w:rFonts w:ascii="Garamond" w:eastAsiaTheme="minorHAnsi" w:hAnsi="Garamond"/>
          <w:b/>
          <w:sz w:val="24"/>
          <w:szCs w:val="24"/>
          <w:lang w:eastAsia="en-US"/>
        </w:rPr>
        <w:t xml:space="preserve"> </w:t>
      </w:r>
      <w:r w:rsidRPr="007114AF">
        <w:rPr>
          <w:rFonts w:ascii="Garamond" w:eastAsiaTheme="minorHAnsi" w:hAnsi="Garamond"/>
          <w:b/>
          <w:sz w:val="24"/>
          <w:szCs w:val="24"/>
          <w:lang w:eastAsia="en-US"/>
        </w:rPr>
        <w:t xml:space="preserve">Sektori i </w:t>
      </w:r>
      <w:r w:rsidR="00203893" w:rsidRPr="007114AF">
        <w:rPr>
          <w:rFonts w:ascii="Garamond" w:eastAsiaTheme="minorHAnsi" w:hAnsi="Garamond"/>
          <w:b/>
          <w:sz w:val="24"/>
          <w:szCs w:val="24"/>
          <w:lang w:eastAsia="en-US"/>
        </w:rPr>
        <w:t>F</w:t>
      </w:r>
      <w:r w:rsidRPr="007114AF">
        <w:rPr>
          <w:rFonts w:ascii="Garamond" w:eastAsiaTheme="minorHAnsi" w:hAnsi="Garamond"/>
          <w:b/>
          <w:sz w:val="24"/>
          <w:szCs w:val="24"/>
          <w:lang w:eastAsia="en-US"/>
        </w:rPr>
        <w:t>inanc</w:t>
      </w:r>
      <w:r w:rsidR="00203893" w:rsidRPr="007114AF">
        <w:rPr>
          <w:rFonts w:ascii="Garamond" w:eastAsiaTheme="minorHAnsi" w:hAnsi="Garamond"/>
          <w:b/>
          <w:sz w:val="24"/>
          <w:szCs w:val="24"/>
          <w:lang w:eastAsia="en-US"/>
        </w:rPr>
        <w:t>ë</w:t>
      </w:r>
      <w:r w:rsidRPr="007114AF">
        <w:rPr>
          <w:rFonts w:ascii="Garamond" w:eastAsiaTheme="minorHAnsi" w:hAnsi="Garamond"/>
          <w:b/>
          <w:sz w:val="24"/>
          <w:szCs w:val="24"/>
          <w:lang w:eastAsia="en-US"/>
        </w:rPr>
        <w:t>s</w:t>
      </w:r>
    </w:p>
    <w:tbl>
      <w:tblPr>
        <w:tblpPr w:leftFromText="180" w:rightFromText="180" w:vertAnchor="text" w:horzAnchor="margin" w:tblpY="63"/>
        <w:tblW w:w="9466" w:type="dxa"/>
        <w:tblLook w:val="04A0" w:firstRow="1" w:lastRow="0" w:firstColumn="1" w:lastColumn="0" w:noHBand="0" w:noVBand="1"/>
      </w:tblPr>
      <w:tblGrid>
        <w:gridCol w:w="1866"/>
        <w:gridCol w:w="7600"/>
      </w:tblGrid>
      <w:tr w:rsidR="002F4BDF" w:rsidRPr="007114AF" w14:paraId="6EDD1604" w14:textId="77777777" w:rsidTr="003305AE">
        <w:trPr>
          <w:trHeight w:val="481"/>
        </w:trPr>
        <w:tc>
          <w:tcPr>
            <w:tcW w:w="1866" w:type="dxa"/>
            <w:vMerge w:val="restart"/>
            <w:tcBorders>
              <w:top w:val="single" w:sz="12" w:space="0" w:color="auto"/>
              <w:left w:val="single" w:sz="12" w:space="0" w:color="auto"/>
              <w:bottom w:val="single" w:sz="4" w:space="0" w:color="auto"/>
              <w:right w:val="nil"/>
            </w:tcBorders>
            <w:shd w:val="clear" w:color="auto" w:fill="auto"/>
            <w:noWrap/>
            <w:vAlign w:val="bottom"/>
            <w:hideMark/>
          </w:tcPr>
          <w:p w14:paraId="6EDD1602" w14:textId="77777777" w:rsidR="002F4BDF" w:rsidRPr="007114AF" w:rsidRDefault="002F4BDF" w:rsidP="002F4BDF">
            <w:pPr>
              <w:spacing w:after="0" w:line="240" w:lineRule="auto"/>
              <w:jc w:val="left"/>
              <w:rPr>
                <w:rFonts w:ascii="Garamond" w:eastAsia="Times New Roman" w:hAnsi="Garamond" w:cs="Arial"/>
                <w:b/>
                <w:bCs/>
                <w:color w:val="FF0000"/>
                <w:sz w:val="18"/>
                <w:szCs w:val="18"/>
                <w:lang w:eastAsia="en-US"/>
              </w:rPr>
            </w:pPr>
          </w:p>
        </w:tc>
        <w:tc>
          <w:tcPr>
            <w:tcW w:w="76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DD1603"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Institucioni/Programi Buxhetor</w:t>
            </w:r>
          </w:p>
        </w:tc>
      </w:tr>
      <w:tr w:rsidR="002F4BDF" w:rsidRPr="007114AF" w14:paraId="6EDD1607" w14:textId="77777777" w:rsidTr="003305AE">
        <w:trPr>
          <w:trHeight w:val="214"/>
        </w:trPr>
        <w:tc>
          <w:tcPr>
            <w:tcW w:w="1866" w:type="dxa"/>
            <w:vMerge/>
            <w:tcBorders>
              <w:top w:val="single" w:sz="12" w:space="0" w:color="auto"/>
              <w:left w:val="single" w:sz="12" w:space="0" w:color="auto"/>
              <w:bottom w:val="single" w:sz="4" w:space="0" w:color="auto"/>
              <w:right w:val="nil"/>
            </w:tcBorders>
            <w:vAlign w:val="center"/>
            <w:hideMark/>
          </w:tcPr>
          <w:p w14:paraId="6EDD1605"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p>
        </w:tc>
        <w:tc>
          <w:tcPr>
            <w:tcW w:w="7600" w:type="dxa"/>
            <w:vMerge/>
            <w:tcBorders>
              <w:top w:val="single" w:sz="8" w:space="0" w:color="auto"/>
              <w:left w:val="single" w:sz="8" w:space="0" w:color="auto"/>
              <w:bottom w:val="single" w:sz="8" w:space="0" w:color="000000"/>
              <w:right w:val="single" w:sz="8" w:space="0" w:color="auto"/>
            </w:tcBorders>
            <w:vAlign w:val="center"/>
            <w:hideMark/>
          </w:tcPr>
          <w:p w14:paraId="6EDD1606"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p>
        </w:tc>
      </w:tr>
      <w:tr w:rsidR="002F4BDF" w:rsidRPr="007114AF" w14:paraId="6EDD160A" w14:textId="77777777" w:rsidTr="003305AE">
        <w:trPr>
          <w:trHeight w:val="313"/>
        </w:trPr>
        <w:tc>
          <w:tcPr>
            <w:tcW w:w="1866" w:type="dxa"/>
            <w:tcBorders>
              <w:top w:val="nil"/>
              <w:left w:val="single" w:sz="12" w:space="0" w:color="auto"/>
              <w:bottom w:val="nil"/>
              <w:right w:val="nil"/>
            </w:tcBorders>
            <w:shd w:val="clear" w:color="auto" w:fill="auto"/>
            <w:noWrap/>
            <w:vAlign w:val="bottom"/>
            <w:hideMark/>
          </w:tcPr>
          <w:p w14:paraId="6EDD1608"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Klasifikimi i Buxhetit</w:t>
            </w:r>
          </w:p>
        </w:tc>
        <w:tc>
          <w:tcPr>
            <w:tcW w:w="7600" w:type="dxa"/>
            <w:vMerge/>
            <w:tcBorders>
              <w:top w:val="single" w:sz="8" w:space="0" w:color="auto"/>
              <w:left w:val="single" w:sz="8" w:space="0" w:color="auto"/>
              <w:bottom w:val="single" w:sz="8" w:space="0" w:color="000000"/>
              <w:right w:val="single" w:sz="8" w:space="0" w:color="auto"/>
            </w:tcBorders>
            <w:vAlign w:val="center"/>
            <w:hideMark/>
          </w:tcPr>
          <w:p w14:paraId="6EDD1609"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p>
        </w:tc>
      </w:tr>
      <w:tr w:rsidR="002F4BDF" w:rsidRPr="007114AF" w14:paraId="6EDD160D" w14:textId="77777777" w:rsidTr="003305AE">
        <w:trPr>
          <w:trHeight w:val="255"/>
        </w:trPr>
        <w:tc>
          <w:tcPr>
            <w:tcW w:w="1866" w:type="dxa"/>
            <w:tcBorders>
              <w:top w:val="single" w:sz="4" w:space="0" w:color="auto"/>
              <w:left w:val="single" w:sz="12" w:space="0" w:color="auto"/>
              <w:bottom w:val="dotted" w:sz="4" w:space="0" w:color="auto"/>
              <w:right w:val="nil"/>
            </w:tcBorders>
            <w:shd w:val="clear" w:color="auto" w:fill="auto"/>
            <w:vAlign w:val="bottom"/>
            <w:hideMark/>
          </w:tcPr>
          <w:p w14:paraId="6EDD160B"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4</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0C"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Ministria e Zhvillimit Ekonomik, Turizmit, Tregtisë dhe Sipërmarrjes</w:t>
            </w:r>
          </w:p>
        </w:tc>
      </w:tr>
      <w:tr w:rsidR="002F4BDF" w:rsidRPr="007114AF" w14:paraId="6EDD1610" w14:textId="77777777" w:rsidTr="003305AE">
        <w:trPr>
          <w:trHeight w:val="255"/>
        </w:trPr>
        <w:tc>
          <w:tcPr>
            <w:tcW w:w="1866" w:type="dxa"/>
            <w:tcBorders>
              <w:top w:val="nil"/>
              <w:left w:val="single" w:sz="12" w:space="0" w:color="auto"/>
              <w:bottom w:val="dotted" w:sz="4" w:space="0" w:color="auto"/>
              <w:right w:val="nil"/>
            </w:tcBorders>
            <w:shd w:val="clear" w:color="auto" w:fill="auto"/>
            <w:noWrap/>
            <w:vAlign w:val="bottom"/>
            <w:hideMark/>
          </w:tcPr>
          <w:p w14:paraId="6EDD160E"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04130</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0F"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Mbështetje për Zhvillimin Ekonomik</w:t>
            </w:r>
          </w:p>
        </w:tc>
      </w:tr>
      <w:tr w:rsidR="002F4BDF" w:rsidRPr="007114AF" w14:paraId="6EDD1613" w14:textId="77777777" w:rsidTr="003305AE">
        <w:trPr>
          <w:trHeight w:val="255"/>
        </w:trPr>
        <w:tc>
          <w:tcPr>
            <w:tcW w:w="1866" w:type="dxa"/>
            <w:tcBorders>
              <w:top w:val="dotted" w:sz="4" w:space="0" w:color="auto"/>
              <w:left w:val="single" w:sz="12" w:space="0" w:color="auto"/>
              <w:bottom w:val="nil"/>
              <w:right w:val="nil"/>
            </w:tcBorders>
            <w:shd w:val="clear" w:color="000000" w:fill="DCE6F1"/>
            <w:noWrap/>
            <w:vAlign w:val="bottom"/>
            <w:hideMark/>
          </w:tcPr>
          <w:p w14:paraId="6EDD1611"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04760</w:t>
            </w:r>
          </w:p>
        </w:tc>
        <w:tc>
          <w:tcPr>
            <w:tcW w:w="7600" w:type="dxa"/>
            <w:tcBorders>
              <w:top w:val="dotted" w:sz="4" w:space="0" w:color="auto"/>
              <w:left w:val="single" w:sz="4" w:space="0" w:color="auto"/>
              <w:bottom w:val="nil"/>
              <w:right w:val="single" w:sz="4" w:space="0" w:color="auto"/>
            </w:tcBorders>
            <w:shd w:val="clear" w:color="000000" w:fill="DCE6F1"/>
            <w:noWrap/>
            <w:vAlign w:val="bottom"/>
            <w:hideMark/>
          </w:tcPr>
          <w:p w14:paraId="6EDD1612"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Zhvillimi i Turizmit</w:t>
            </w:r>
          </w:p>
        </w:tc>
      </w:tr>
      <w:tr w:rsidR="002F4BDF" w:rsidRPr="007114AF" w14:paraId="6EDD1616" w14:textId="77777777" w:rsidTr="003305AE">
        <w:trPr>
          <w:trHeight w:val="255"/>
        </w:trPr>
        <w:tc>
          <w:tcPr>
            <w:tcW w:w="1866" w:type="dxa"/>
            <w:tcBorders>
              <w:top w:val="single" w:sz="4" w:space="0" w:color="auto"/>
              <w:left w:val="single" w:sz="12" w:space="0" w:color="auto"/>
              <w:bottom w:val="dotted" w:sz="4" w:space="0" w:color="auto"/>
              <w:right w:val="nil"/>
            </w:tcBorders>
            <w:shd w:val="clear" w:color="auto" w:fill="auto"/>
            <w:vAlign w:val="bottom"/>
            <w:hideMark/>
          </w:tcPr>
          <w:p w14:paraId="6EDD1614"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5</w:t>
            </w:r>
          </w:p>
        </w:tc>
        <w:tc>
          <w:tcPr>
            <w:tcW w:w="760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EDD1615"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Ministria e Bujqësisë, Zhvillimit Rural dhe Administrimit të Ujërave</w:t>
            </w:r>
          </w:p>
        </w:tc>
      </w:tr>
      <w:tr w:rsidR="002F4BDF" w:rsidRPr="007114AF" w14:paraId="6EDD1619"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17"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04220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18"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Siguria e ushqimit dhe mbrojtja e konsumatorit</w:t>
            </w:r>
          </w:p>
        </w:tc>
      </w:tr>
      <w:tr w:rsidR="002F4BDF" w:rsidRPr="007114AF" w14:paraId="6EDD161C"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1A"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04240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1B"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Menaxhimi i infrastrukturës së kullimit dhe ujitjes</w:t>
            </w:r>
          </w:p>
        </w:tc>
      </w:tr>
      <w:tr w:rsidR="002F4BDF" w:rsidRPr="007114AF" w14:paraId="6EDD161F"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1D"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04250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1E" w14:textId="174FA572"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Mbështetja e Zhvillimit Rural, Prodhimit Bujqësor,</w:t>
            </w:r>
            <w:r w:rsidR="000A2A01" w:rsidRPr="007114AF">
              <w:rPr>
                <w:rFonts w:ascii="Garamond" w:eastAsia="Times New Roman" w:hAnsi="Garamond" w:cs="Arial"/>
                <w:sz w:val="18"/>
                <w:szCs w:val="18"/>
                <w:lang w:eastAsia="en-US"/>
              </w:rPr>
              <w:t xml:space="preserve"> </w:t>
            </w:r>
            <w:r w:rsidRPr="007114AF">
              <w:rPr>
                <w:rFonts w:ascii="Garamond" w:eastAsia="Times New Roman" w:hAnsi="Garamond" w:cs="Arial"/>
                <w:sz w:val="18"/>
                <w:szCs w:val="18"/>
                <w:lang w:eastAsia="en-US"/>
              </w:rPr>
              <w:t>Blegtoral, Agro-industrisë dhe Tregut</w:t>
            </w:r>
          </w:p>
        </w:tc>
      </w:tr>
      <w:tr w:rsidR="002F4BDF" w:rsidRPr="007114AF" w14:paraId="6EDD1622"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20"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04860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21"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Këshillim dhe Informacion Bujqësor</w:t>
            </w:r>
          </w:p>
        </w:tc>
      </w:tr>
      <w:tr w:rsidR="002F4BDF" w:rsidRPr="007114AF" w14:paraId="6EDD1625"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23"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05470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24"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Menaxhimi i Qëndrueshëm i Tokës</w:t>
            </w:r>
          </w:p>
        </w:tc>
      </w:tr>
      <w:tr w:rsidR="002F4BDF" w:rsidRPr="007114AF" w14:paraId="6EDD1628" w14:textId="77777777" w:rsidTr="003305AE">
        <w:trPr>
          <w:trHeight w:val="255"/>
        </w:trPr>
        <w:tc>
          <w:tcPr>
            <w:tcW w:w="1866" w:type="dxa"/>
            <w:tcBorders>
              <w:top w:val="nil"/>
              <w:left w:val="single" w:sz="12" w:space="0" w:color="auto"/>
              <w:bottom w:val="dotted" w:sz="4" w:space="0" w:color="auto"/>
              <w:right w:val="nil"/>
            </w:tcBorders>
            <w:shd w:val="clear" w:color="auto" w:fill="auto"/>
            <w:noWrap/>
            <w:vAlign w:val="bottom"/>
            <w:hideMark/>
          </w:tcPr>
          <w:p w14:paraId="6EDD1626"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04230</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27"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Mbështetje për Peshkimin</w:t>
            </w:r>
          </w:p>
        </w:tc>
      </w:tr>
      <w:tr w:rsidR="002F4BDF" w:rsidRPr="007114AF" w14:paraId="6EDD162B" w14:textId="77777777" w:rsidTr="003305AE">
        <w:trPr>
          <w:trHeight w:val="255"/>
        </w:trPr>
        <w:tc>
          <w:tcPr>
            <w:tcW w:w="1866" w:type="dxa"/>
            <w:tcBorders>
              <w:top w:val="nil"/>
              <w:left w:val="single" w:sz="12" w:space="0" w:color="auto"/>
              <w:bottom w:val="single" w:sz="4" w:space="0" w:color="auto"/>
              <w:right w:val="nil"/>
            </w:tcBorders>
            <w:shd w:val="clear" w:color="000000" w:fill="DCE6F1"/>
            <w:noWrap/>
            <w:vAlign w:val="bottom"/>
            <w:hideMark/>
          </w:tcPr>
          <w:p w14:paraId="6EDD1629"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05640</w:t>
            </w:r>
          </w:p>
        </w:tc>
        <w:tc>
          <w:tcPr>
            <w:tcW w:w="7600" w:type="dxa"/>
            <w:tcBorders>
              <w:top w:val="nil"/>
              <w:left w:val="single" w:sz="4" w:space="0" w:color="auto"/>
              <w:bottom w:val="single" w:sz="4" w:space="0" w:color="auto"/>
              <w:right w:val="single" w:sz="4" w:space="0" w:color="auto"/>
            </w:tcBorders>
            <w:shd w:val="clear" w:color="000000" w:fill="DCE6F1"/>
            <w:noWrap/>
            <w:vAlign w:val="bottom"/>
            <w:hideMark/>
          </w:tcPr>
          <w:p w14:paraId="6EDD162A"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Menaxhimi i Ujërave</w:t>
            </w:r>
          </w:p>
        </w:tc>
      </w:tr>
      <w:tr w:rsidR="002F4BDF" w:rsidRPr="007114AF" w14:paraId="6EDD162E" w14:textId="77777777" w:rsidTr="003305AE">
        <w:trPr>
          <w:trHeight w:val="215"/>
        </w:trPr>
        <w:tc>
          <w:tcPr>
            <w:tcW w:w="1866" w:type="dxa"/>
            <w:tcBorders>
              <w:top w:val="nil"/>
              <w:left w:val="single" w:sz="12" w:space="0" w:color="auto"/>
              <w:bottom w:val="dotted" w:sz="4" w:space="0" w:color="auto"/>
              <w:right w:val="nil"/>
            </w:tcBorders>
            <w:shd w:val="clear" w:color="auto" w:fill="auto"/>
            <w:vAlign w:val="bottom"/>
            <w:hideMark/>
          </w:tcPr>
          <w:p w14:paraId="6EDD162C"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6</w:t>
            </w:r>
          </w:p>
        </w:tc>
        <w:tc>
          <w:tcPr>
            <w:tcW w:w="7600" w:type="dxa"/>
            <w:tcBorders>
              <w:top w:val="nil"/>
              <w:left w:val="single" w:sz="4" w:space="0" w:color="auto"/>
              <w:bottom w:val="dotted" w:sz="4" w:space="0" w:color="auto"/>
              <w:right w:val="single" w:sz="4" w:space="0" w:color="auto"/>
            </w:tcBorders>
            <w:shd w:val="clear" w:color="auto" w:fill="auto"/>
            <w:vAlign w:val="bottom"/>
            <w:hideMark/>
          </w:tcPr>
          <w:p w14:paraId="6EDD162D"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Ministria e Transportit dhe Infrastrukturës</w:t>
            </w:r>
          </w:p>
        </w:tc>
      </w:tr>
      <w:tr w:rsidR="002F4BDF" w:rsidRPr="007114AF" w14:paraId="6EDD1631"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2F"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04520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30"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Infrastruktura Rrugore</w:t>
            </w:r>
          </w:p>
        </w:tc>
      </w:tr>
      <w:tr w:rsidR="002F4BDF" w:rsidRPr="007114AF" w14:paraId="6EDD1634" w14:textId="77777777" w:rsidTr="003305AE">
        <w:trPr>
          <w:trHeight w:val="255"/>
        </w:trPr>
        <w:tc>
          <w:tcPr>
            <w:tcW w:w="1866" w:type="dxa"/>
            <w:tcBorders>
              <w:top w:val="nil"/>
              <w:left w:val="single" w:sz="12" w:space="0" w:color="auto"/>
              <w:bottom w:val="dotted" w:sz="4" w:space="0" w:color="auto"/>
              <w:right w:val="nil"/>
            </w:tcBorders>
            <w:shd w:val="clear" w:color="auto" w:fill="auto"/>
            <w:noWrap/>
            <w:vAlign w:val="bottom"/>
            <w:hideMark/>
          </w:tcPr>
          <w:p w14:paraId="6EDD1632"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04530</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33"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Mbështetje për Studimet në Transport</w:t>
            </w:r>
          </w:p>
        </w:tc>
      </w:tr>
      <w:tr w:rsidR="002F4BDF" w:rsidRPr="007114AF" w14:paraId="6EDD1637" w14:textId="77777777" w:rsidTr="003305AE">
        <w:trPr>
          <w:trHeight w:val="255"/>
        </w:trPr>
        <w:tc>
          <w:tcPr>
            <w:tcW w:w="1866" w:type="dxa"/>
            <w:tcBorders>
              <w:top w:val="nil"/>
              <w:left w:val="single" w:sz="12" w:space="0" w:color="auto"/>
              <w:bottom w:val="dotted" w:sz="4" w:space="0" w:color="auto"/>
              <w:right w:val="nil"/>
            </w:tcBorders>
            <w:shd w:val="clear" w:color="auto" w:fill="auto"/>
            <w:noWrap/>
            <w:vAlign w:val="bottom"/>
            <w:hideMark/>
          </w:tcPr>
          <w:p w14:paraId="6EDD1635"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04540</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36"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Transporti Detar</w:t>
            </w:r>
          </w:p>
        </w:tc>
      </w:tr>
      <w:tr w:rsidR="002F4BDF" w:rsidRPr="007114AF" w14:paraId="6EDD163A" w14:textId="77777777" w:rsidTr="003305AE">
        <w:trPr>
          <w:trHeight w:val="255"/>
        </w:trPr>
        <w:tc>
          <w:tcPr>
            <w:tcW w:w="1866" w:type="dxa"/>
            <w:tcBorders>
              <w:top w:val="nil"/>
              <w:left w:val="single" w:sz="12" w:space="0" w:color="auto"/>
              <w:bottom w:val="dotted" w:sz="4" w:space="0" w:color="auto"/>
              <w:right w:val="nil"/>
            </w:tcBorders>
            <w:shd w:val="clear" w:color="auto" w:fill="auto"/>
            <w:noWrap/>
            <w:vAlign w:val="bottom"/>
            <w:hideMark/>
          </w:tcPr>
          <w:p w14:paraId="6EDD1638"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04550</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39"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Transporti Hekurudhor</w:t>
            </w:r>
          </w:p>
        </w:tc>
      </w:tr>
      <w:tr w:rsidR="002F4BDF" w:rsidRPr="007114AF" w14:paraId="6EDD163D"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3B"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06370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3C"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Furnizimi me Ujë dhe Kanalizimet</w:t>
            </w:r>
          </w:p>
        </w:tc>
      </w:tr>
      <w:tr w:rsidR="002F4BDF" w:rsidRPr="007114AF" w14:paraId="6EDD1640" w14:textId="77777777" w:rsidTr="003305AE">
        <w:trPr>
          <w:trHeight w:val="255"/>
        </w:trPr>
        <w:tc>
          <w:tcPr>
            <w:tcW w:w="1866" w:type="dxa"/>
            <w:tcBorders>
              <w:top w:val="nil"/>
              <w:left w:val="single" w:sz="12" w:space="0" w:color="auto"/>
              <w:bottom w:val="dotted" w:sz="4" w:space="0" w:color="auto"/>
              <w:right w:val="nil"/>
            </w:tcBorders>
            <w:shd w:val="clear" w:color="auto" w:fill="auto"/>
            <w:noWrap/>
            <w:vAlign w:val="bottom"/>
            <w:hideMark/>
          </w:tcPr>
          <w:p w14:paraId="6EDD163E"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06220</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3F"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Menaxhimi i Mbetjeve</w:t>
            </w:r>
          </w:p>
        </w:tc>
      </w:tr>
      <w:tr w:rsidR="002F4BDF" w:rsidRPr="007114AF" w14:paraId="6EDD1643" w14:textId="77777777" w:rsidTr="003305AE">
        <w:trPr>
          <w:trHeight w:val="287"/>
        </w:trPr>
        <w:tc>
          <w:tcPr>
            <w:tcW w:w="1866" w:type="dxa"/>
            <w:tcBorders>
              <w:top w:val="single" w:sz="4" w:space="0" w:color="auto"/>
              <w:left w:val="single" w:sz="12" w:space="0" w:color="auto"/>
              <w:bottom w:val="dotted" w:sz="4" w:space="0" w:color="auto"/>
              <w:right w:val="nil"/>
            </w:tcBorders>
            <w:shd w:val="clear" w:color="auto" w:fill="auto"/>
            <w:vAlign w:val="bottom"/>
            <w:hideMark/>
          </w:tcPr>
          <w:p w14:paraId="6EDD1641"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11</w:t>
            </w:r>
          </w:p>
        </w:tc>
        <w:tc>
          <w:tcPr>
            <w:tcW w:w="7600"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6EDD1642"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Ministria e Arsimit dhe Sportit</w:t>
            </w:r>
          </w:p>
        </w:tc>
      </w:tr>
      <w:tr w:rsidR="002F4BDF" w:rsidRPr="007114AF" w14:paraId="6EDD1646" w14:textId="77777777" w:rsidTr="003305AE">
        <w:trPr>
          <w:trHeight w:val="255"/>
        </w:trPr>
        <w:tc>
          <w:tcPr>
            <w:tcW w:w="1866" w:type="dxa"/>
            <w:tcBorders>
              <w:top w:val="nil"/>
              <w:left w:val="single" w:sz="12" w:space="0" w:color="auto"/>
              <w:bottom w:val="dotted" w:sz="4" w:space="0" w:color="auto"/>
              <w:right w:val="nil"/>
            </w:tcBorders>
            <w:shd w:val="clear" w:color="auto" w:fill="auto"/>
            <w:noWrap/>
            <w:vAlign w:val="bottom"/>
            <w:hideMark/>
          </w:tcPr>
          <w:p w14:paraId="6EDD1644"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09120</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45"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Arsimi Bazë (duke përfshirë arsimin parashkollor)</w:t>
            </w:r>
          </w:p>
        </w:tc>
      </w:tr>
      <w:tr w:rsidR="002F4BDF" w:rsidRPr="007114AF" w14:paraId="6EDD1649" w14:textId="77777777" w:rsidTr="003305AE">
        <w:trPr>
          <w:trHeight w:val="255"/>
        </w:trPr>
        <w:tc>
          <w:tcPr>
            <w:tcW w:w="1866" w:type="dxa"/>
            <w:tcBorders>
              <w:top w:val="nil"/>
              <w:left w:val="single" w:sz="12" w:space="0" w:color="auto"/>
              <w:bottom w:val="dotted" w:sz="4" w:space="0" w:color="auto"/>
              <w:right w:val="nil"/>
            </w:tcBorders>
            <w:shd w:val="clear" w:color="auto" w:fill="auto"/>
            <w:noWrap/>
            <w:vAlign w:val="bottom"/>
            <w:hideMark/>
          </w:tcPr>
          <w:p w14:paraId="6EDD1647"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09230</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48"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Arsimi Dytësor (i përgjithshëm)</w:t>
            </w:r>
          </w:p>
        </w:tc>
      </w:tr>
      <w:tr w:rsidR="002F4BDF" w:rsidRPr="007114AF" w14:paraId="6EDD164C" w14:textId="77777777" w:rsidTr="003305AE">
        <w:trPr>
          <w:trHeight w:val="255"/>
        </w:trPr>
        <w:tc>
          <w:tcPr>
            <w:tcW w:w="1866" w:type="dxa"/>
            <w:tcBorders>
              <w:top w:val="nil"/>
              <w:left w:val="single" w:sz="12" w:space="0" w:color="auto"/>
              <w:bottom w:val="dotted" w:sz="4" w:space="0" w:color="auto"/>
              <w:right w:val="nil"/>
            </w:tcBorders>
            <w:shd w:val="clear" w:color="auto" w:fill="auto"/>
            <w:noWrap/>
            <w:vAlign w:val="bottom"/>
            <w:hideMark/>
          </w:tcPr>
          <w:p w14:paraId="6EDD164A"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09450</w:t>
            </w:r>
          </w:p>
        </w:tc>
        <w:tc>
          <w:tcPr>
            <w:tcW w:w="7600" w:type="dxa"/>
            <w:tcBorders>
              <w:top w:val="nil"/>
              <w:left w:val="single" w:sz="4" w:space="0" w:color="auto"/>
              <w:bottom w:val="dotted" w:sz="4" w:space="0" w:color="auto"/>
              <w:right w:val="single" w:sz="4" w:space="0" w:color="auto"/>
            </w:tcBorders>
            <w:shd w:val="clear" w:color="auto" w:fill="auto"/>
            <w:vAlign w:val="bottom"/>
            <w:hideMark/>
          </w:tcPr>
          <w:p w14:paraId="6EDD164B"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Arsimi Universitar</w:t>
            </w:r>
          </w:p>
        </w:tc>
      </w:tr>
      <w:tr w:rsidR="002F4BDF" w:rsidRPr="007114AF" w14:paraId="6EDD164F" w14:textId="77777777" w:rsidTr="003305AE">
        <w:trPr>
          <w:trHeight w:val="255"/>
        </w:trPr>
        <w:tc>
          <w:tcPr>
            <w:tcW w:w="1866" w:type="dxa"/>
            <w:tcBorders>
              <w:top w:val="nil"/>
              <w:left w:val="single" w:sz="12" w:space="0" w:color="auto"/>
              <w:bottom w:val="nil"/>
              <w:right w:val="nil"/>
            </w:tcBorders>
            <w:shd w:val="clear" w:color="000000" w:fill="DCE6F1"/>
            <w:noWrap/>
            <w:vAlign w:val="bottom"/>
            <w:hideMark/>
          </w:tcPr>
          <w:p w14:paraId="6EDD164D"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09770</w:t>
            </w:r>
          </w:p>
        </w:tc>
        <w:tc>
          <w:tcPr>
            <w:tcW w:w="7600" w:type="dxa"/>
            <w:tcBorders>
              <w:top w:val="nil"/>
              <w:left w:val="single" w:sz="4" w:space="0" w:color="auto"/>
              <w:bottom w:val="nil"/>
              <w:right w:val="single" w:sz="4" w:space="0" w:color="auto"/>
            </w:tcBorders>
            <w:shd w:val="clear" w:color="000000" w:fill="DCE6F1"/>
            <w:noWrap/>
            <w:vAlign w:val="bottom"/>
            <w:hideMark/>
          </w:tcPr>
          <w:p w14:paraId="6EDD164E"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Financimi për Shkencën</w:t>
            </w:r>
          </w:p>
        </w:tc>
      </w:tr>
      <w:tr w:rsidR="002F4BDF" w:rsidRPr="007114AF" w14:paraId="6EDD1652" w14:textId="77777777" w:rsidTr="003305AE">
        <w:trPr>
          <w:trHeight w:val="287"/>
        </w:trPr>
        <w:tc>
          <w:tcPr>
            <w:tcW w:w="1866" w:type="dxa"/>
            <w:tcBorders>
              <w:top w:val="nil"/>
              <w:left w:val="single" w:sz="12" w:space="0" w:color="auto"/>
              <w:bottom w:val="dotted" w:sz="4" w:space="0" w:color="auto"/>
              <w:right w:val="nil"/>
            </w:tcBorders>
            <w:shd w:val="clear" w:color="auto" w:fill="auto"/>
            <w:vAlign w:val="bottom"/>
            <w:hideMark/>
          </w:tcPr>
          <w:p w14:paraId="6EDD1650"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13</w:t>
            </w:r>
          </w:p>
        </w:tc>
        <w:tc>
          <w:tcPr>
            <w:tcW w:w="7600" w:type="dxa"/>
            <w:tcBorders>
              <w:top w:val="nil"/>
              <w:left w:val="single" w:sz="4" w:space="0" w:color="auto"/>
              <w:bottom w:val="dotted" w:sz="4" w:space="0" w:color="auto"/>
              <w:right w:val="single" w:sz="4" w:space="0" w:color="auto"/>
            </w:tcBorders>
            <w:shd w:val="clear" w:color="auto" w:fill="auto"/>
            <w:vAlign w:val="bottom"/>
            <w:hideMark/>
          </w:tcPr>
          <w:p w14:paraId="6EDD1651"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Ministria e Shëndetësisë</w:t>
            </w:r>
          </w:p>
        </w:tc>
      </w:tr>
      <w:tr w:rsidR="002F4BDF" w:rsidRPr="007114AF" w14:paraId="6EDD1655"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53"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07220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54"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Shërbimet ë Kujdesit Parësor</w:t>
            </w:r>
          </w:p>
        </w:tc>
      </w:tr>
      <w:tr w:rsidR="002F4BDF" w:rsidRPr="007114AF" w14:paraId="6EDD1658"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56"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07330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57"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Shërbime të Kujdesit Dytësor</w:t>
            </w:r>
          </w:p>
        </w:tc>
      </w:tr>
      <w:tr w:rsidR="002F4BDF" w:rsidRPr="007114AF" w14:paraId="6EDD165B"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59"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07450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5A" w14:textId="77777777" w:rsidR="002F4BDF" w:rsidRPr="007114AF" w:rsidRDefault="002F4BDF" w:rsidP="002F4BDF">
            <w:pPr>
              <w:spacing w:after="0" w:line="240" w:lineRule="auto"/>
              <w:rPr>
                <w:rFonts w:ascii="Garamond" w:eastAsia="Times New Roman" w:hAnsi="Garamond" w:cs="Arial"/>
                <w:sz w:val="18"/>
                <w:szCs w:val="18"/>
                <w:lang w:eastAsia="en-US"/>
              </w:rPr>
            </w:pPr>
            <w:r w:rsidRPr="007114AF">
              <w:rPr>
                <w:rFonts w:ascii="Garamond" w:hAnsi="Garamond"/>
                <w:sz w:val="18"/>
                <w:szCs w:val="18"/>
                <w:lang w:eastAsia="en-US"/>
              </w:rPr>
              <w:t>Shërbime të Shëndetit Publik</w:t>
            </w:r>
          </w:p>
        </w:tc>
      </w:tr>
      <w:tr w:rsidR="002F4BDF" w:rsidRPr="007114AF" w14:paraId="6EDD165E" w14:textId="77777777" w:rsidTr="003305AE">
        <w:trPr>
          <w:trHeight w:val="70"/>
        </w:trPr>
        <w:tc>
          <w:tcPr>
            <w:tcW w:w="1866" w:type="dxa"/>
            <w:tcBorders>
              <w:top w:val="single" w:sz="4" w:space="0" w:color="auto"/>
              <w:left w:val="single" w:sz="12" w:space="0" w:color="auto"/>
              <w:bottom w:val="dotted" w:sz="4" w:space="0" w:color="auto"/>
              <w:right w:val="nil"/>
            </w:tcBorders>
            <w:shd w:val="clear" w:color="auto" w:fill="auto"/>
            <w:vAlign w:val="bottom"/>
            <w:hideMark/>
          </w:tcPr>
          <w:p w14:paraId="6EDD165C"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16</w:t>
            </w:r>
          </w:p>
        </w:tc>
        <w:tc>
          <w:tcPr>
            <w:tcW w:w="7600"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6EDD165D"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Ministria e Brendshme</w:t>
            </w:r>
          </w:p>
        </w:tc>
      </w:tr>
      <w:tr w:rsidR="002F4BDF" w:rsidRPr="007114AF" w14:paraId="6EDD1661" w14:textId="77777777" w:rsidTr="003305AE">
        <w:trPr>
          <w:trHeight w:val="255"/>
        </w:trPr>
        <w:tc>
          <w:tcPr>
            <w:tcW w:w="1866" w:type="dxa"/>
            <w:tcBorders>
              <w:top w:val="nil"/>
              <w:left w:val="single" w:sz="12" w:space="0" w:color="auto"/>
              <w:bottom w:val="dotted" w:sz="4" w:space="0" w:color="auto"/>
              <w:right w:val="nil"/>
            </w:tcBorders>
            <w:shd w:val="clear" w:color="auto" w:fill="auto"/>
            <w:noWrap/>
            <w:vAlign w:val="bottom"/>
            <w:hideMark/>
          </w:tcPr>
          <w:p w14:paraId="6EDD165F"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01160</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60"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Prefekturat e deleguara dhe funksionet e Qeverisë Vendore</w:t>
            </w:r>
          </w:p>
        </w:tc>
      </w:tr>
      <w:tr w:rsidR="002F4BDF" w:rsidRPr="007114AF" w14:paraId="6EDD1664" w14:textId="77777777" w:rsidTr="003305AE">
        <w:trPr>
          <w:trHeight w:val="255"/>
        </w:trPr>
        <w:tc>
          <w:tcPr>
            <w:tcW w:w="1866" w:type="dxa"/>
            <w:tcBorders>
              <w:top w:val="nil"/>
              <w:left w:val="single" w:sz="12" w:space="0" w:color="auto"/>
              <w:bottom w:val="nil"/>
              <w:right w:val="nil"/>
            </w:tcBorders>
            <w:shd w:val="clear" w:color="auto" w:fill="auto"/>
            <w:noWrap/>
            <w:vAlign w:val="bottom"/>
            <w:hideMark/>
          </w:tcPr>
          <w:p w14:paraId="6EDD1662"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01180</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63"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Menaxhimi i Rezervave të Shtetit</w:t>
            </w:r>
          </w:p>
        </w:tc>
      </w:tr>
      <w:tr w:rsidR="002F4BDF" w:rsidRPr="007114AF" w14:paraId="6EDD1667" w14:textId="77777777" w:rsidTr="003305AE">
        <w:trPr>
          <w:trHeight w:val="255"/>
        </w:trPr>
        <w:tc>
          <w:tcPr>
            <w:tcW w:w="1866" w:type="dxa"/>
            <w:tcBorders>
              <w:top w:val="dotted" w:sz="4" w:space="0" w:color="auto"/>
              <w:left w:val="single" w:sz="12" w:space="0" w:color="auto"/>
              <w:bottom w:val="single" w:sz="4" w:space="0" w:color="auto"/>
              <w:right w:val="nil"/>
            </w:tcBorders>
            <w:shd w:val="clear" w:color="000000" w:fill="DCE6F1"/>
            <w:noWrap/>
            <w:vAlign w:val="bottom"/>
            <w:hideMark/>
          </w:tcPr>
          <w:p w14:paraId="6EDD1665"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10910</w:t>
            </w:r>
          </w:p>
        </w:tc>
        <w:tc>
          <w:tcPr>
            <w:tcW w:w="7600" w:type="dxa"/>
            <w:tcBorders>
              <w:top w:val="nil"/>
              <w:left w:val="single" w:sz="4" w:space="0" w:color="auto"/>
              <w:bottom w:val="single" w:sz="4" w:space="0" w:color="auto"/>
              <w:right w:val="single" w:sz="4" w:space="0" w:color="auto"/>
            </w:tcBorders>
            <w:shd w:val="clear" w:color="000000" w:fill="DCE6F1"/>
            <w:noWrap/>
            <w:vAlign w:val="bottom"/>
            <w:hideMark/>
          </w:tcPr>
          <w:p w14:paraId="6EDD1666"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Emergjenca Civile</w:t>
            </w:r>
          </w:p>
        </w:tc>
      </w:tr>
      <w:tr w:rsidR="002F4BDF" w:rsidRPr="007114AF" w14:paraId="6EDD166A" w14:textId="77777777" w:rsidTr="003305AE">
        <w:trPr>
          <w:trHeight w:val="278"/>
        </w:trPr>
        <w:tc>
          <w:tcPr>
            <w:tcW w:w="1866" w:type="dxa"/>
            <w:tcBorders>
              <w:top w:val="nil"/>
              <w:left w:val="single" w:sz="12" w:space="0" w:color="auto"/>
              <w:bottom w:val="dotted" w:sz="4" w:space="0" w:color="auto"/>
              <w:right w:val="nil"/>
            </w:tcBorders>
            <w:shd w:val="clear" w:color="auto" w:fill="auto"/>
            <w:vAlign w:val="bottom"/>
            <w:hideMark/>
          </w:tcPr>
          <w:p w14:paraId="6EDD1668"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25</w:t>
            </w:r>
          </w:p>
        </w:tc>
        <w:tc>
          <w:tcPr>
            <w:tcW w:w="7600" w:type="dxa"/>
            <w:tcBorders>
              <w:top w:val="nil"/>
              <w:left w:val="single" w:sz="4" w:space="0" w:color="auto"/>
              <w:bottom w:val="dotted" w:sz="4" w:space="0" w:color="auto"/>
              <w:right w:val="single" w:sz="4" w:space="0" w:color="auto"/>
            </w:tcBorders>
            <w:shd w:val="clear" w:color="auto" w:fill="auto"/>
            <w:vAlign w:val="bottom"/>
            <w:hideMark/>
          </w:tcPr>
          <w:p w14:paraId="6EDD1669"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Ministria e Mirëqenies Sociale dhe Rinisë</w:t>
            </w:r>
          </w:p>
        </w:tc>
      </w:tr>
      <w:tr w:rsidR="002F4BDF" w:rsidRPr="007114AF" w14:paraId="6EDD166D" w14:textId="77777777" w:rsidTr="003305AE">
        <w:trPr>
          <w:trHeight w:val="255"/>
        </w:trPr>
        <w:tc>
          <w:tcPr>
            <w:tcW w:w="1866" w:type="dxa"/>
            <w:tcBorders>
              <w:top w:val="nil"/>
              <w:left w:val="single" w:sz="12" w:space="0" w:color="auto"/>
              <w:bottom w:val="nil"/>
              <w:right w:val="nil"/>
            </w:tcBorders>
            <w:shd w:val="clear" w:color="auto" w:fill="auto"/>
            <w:noWrap/>
            <w:vAlign w:val="bottom"/>
            <w:hideMark/>
          </w:tcPr>
          <w:p w14:paraId="6EDD166B"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10460</w:t>
            </w:r>
          </w:p>
        </w:tc>
        <w:tc>
          <w:tcPr>
            <w:tcW w:w="7600" w:type="dxa"/>
            <w:tcBorders>
              <w:top w:val="nil"/>
              <w:left w:val="single" w:sz="4" w:space="0" w:color="auto"/>
              <w:bottom w:val="nil"/>
              <w:right w:val="single" w:sz="4" w:space="0" w:color="auto"/>
            </w:tcBorders>
            <w:shd w:val="clear" w:color="auto" w:fill="auto"/>
            <w:noWrap/>
            <w:vAlign w:val="bottom"/>
            <w:hideMark/>
          </w:tcPr>
          <w:p w14:paraId="6EDD166C"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Përfshirja Sociale</w:t>
            </w:r>
          </w:p>
        </w:tc>
      </w:tr>
      <w:tr w:rsidR="002F4BDF" w:rsidRPr="007114AF" w14:paraId="6EDD1670" w14:textId="77777777" w:rsidTr="003305AE">
        <w:trPr>
          <w:trHeight w:val="255"/>
        </w:trPr>
        <w:tc>
          <w:tcPr>
            <w:tcW w:w="1866" w:type="dxa"/>
            <w:tcBorders>
              <w:top w:val="dotted" w:sz="4" w:space="0" w:color="auto"/>
              <w:left w:val="single" w:sz="12" w:space="0" w:color="auto"/>
              <w:bottom w:val="dotted" w:sz="4" w:space="0" w:color="auto"/>
              <w:right w:val="nil"/>
            </w:tcBorders>
            <w:shd w:val="clear" w:color="000000" w:fill="DCE6F1"/>
            <w:noWrap/>
            <w:vAlign w:val="bottom"/>
            <w:hideMark/>
          </w:tcPr>
          <w:p w14:paraId="6EDD166E"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09240</w:t>
            </w:r>
          </w:p>
        </w:tc>
        <w:tc>
          <w:tcPr>
            <w:tcW w:w="7600" w:type="dxa"/>
            <w:tcBorders>
              <w:top w:val="dotted" w:sz="4" w:space="0" w:color="auto"/>
              <w:left w:val="single" w:sz="4" w:space="0" w:color="auto"/>
              <w:bottom w:val="dotted" w:sz="4" w:space="0" w:color="auto"/>
              <w:right w:val="single" w:sz="4" w:space="0" w:color="auto"/>
            </w:tcBorders>
            <w:shd w:val="clear" w:color="000000" w:fill="DCE6F1"/>
            <w:noWrap/>
            <w:vAlign w:val="bottom"/>
            <w:hideMark/>
          </w:tcPr>
          <w:p w14:paraId="6EDD166F"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Arsimi Dytësor (Profesional)</w:t>
            </w:r>
          </w:p>
        </w:tc>
      </w:tr>
      <w:tr w:rsidR="002F4BDF" w:rsidRPr="007114AF" w14:paraId="6EDD1673" w14:textId="77777777" w:rsidTr="003305AE">
        <w:trPr>
          <w:trHeight w:val="255"/>
        </w:trPr>
        <w:tc>
          <w:tcPr>
            <w:tcW w:w="1866" w:type="dxa"/>
            <w:tcBorders>
              <w:top w:val="single" w:sz="4" w:space="0" w:color="auto"/>
              <w:left w:val="single" w:sz="12" w:space="0" w:color="auto"/>
              <w:bottom w:val="dotted" w:sz="4" w:space="0" w:color="auto"/>
              <w:right w:val="nil"/>
            </w:tcBorders>
            <w:shd w:val="clear" w:color="auto" w:fill="auto"/>
            <w:vAlign w:val="bottom"/>
            <w:hideMark/>
          </w:tcPr>
          <w:p w14:paraId="6EDD1671"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26</w:t>
            </w:r>
          </w:p>
        </w:tc>
        <w:tc>
          <w:tcPr>
            <w:tcW w:w="760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EDD1672"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 xml:space="preserve">Ministria e Turizmit dhe Mjedisit </w:t>
            </w:r>
          </w:p>
        </w:tc>
      </w:tr>
      <w:tr w:rsidR="002F4BDF" w:rsidRPr="007114AF" w14:paraId="6EDD1676"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74"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05320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75"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Programe të Mbrojtjes Mjedisore</w:t>
            </w:r>
          </w:p>
        </w:tc>
      </w:tr>
      <w:tr w:rsidR="002F4BDF" w:rsidRPr="007114AF" w14:paraId="6EDD1679"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77"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04260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78"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Menaxhimi i Pyjeve</w:t>
            </w:r>
          </w:p>
        </w:tc>
      </w:tr>
      <w:tr w:rsidR="002F4BDF" w:rsidRPr="007114AF" w14:paraId="6EDD167C" w14:textId="77777777" w:rsidTr="003305AE">
        <w:trPr>
          <w:trHeight w:val="285"/>
        </w:trPr>
        <w:tc>
          <w:tcPr>
            <w:tcW w:w="1866" w:type="dxa"/>
            <w:tcBorders>
              <w:top w:val="single" w:sz="4" w:space="0" w:color="auto"/>
              <w:left w:val="single" w:sz="12" w:space="0" w:color="auto"/>
              <w:bottom w:val="dotted" w:sz="4" w:space="0" w:color="auto"/>
              <w:right w:val="nil"/>
            </w:tcBorders>
            <w:shd w:val="clear" w:color="auto" w:fill="auto"/>
            <w:vAlign w:val="bottom"/>
            <w:hideMark/>
          </w:tcPr>
          <w:p w14:paraId="6EDD167A"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56</w:t>
            </w:r>
          </w:p>
        </w:tc>
        <w:tc>
          <w:tcPr>
            <w:tcW w:w="7600"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6EDD167B"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Fondi Shqiptar i Zhvillimit</w:t>
            </w:r>
          </w:p>
        </w:tc>
      </w:tr>
      <w:tr w:rsidR="002F4BDF" w:rsidRPr="007114AF" w14:paraId="6EDD167F" w14:textId="77777777" w:rsidTr="003305AE">
        <w:trPr>
          <w:trHeight w:val="255"/>
        </w:trPr>
        <w:tc>
          <w:tcPr>
            <w:tcW w:w="1866" w:type="dxa"/>
            <w:tcBorders>
              <w:top w:val="nil"/>
              <w:left w:val="single" w:sz="12" w:space="0" w:color="auto"/>
              <w:bottom w:val="single" w:sz="4" w:space="0" w:color="auto"/>
              <w:right w:val="nil"/>
            </w:tcBorders>
            <w:shd w:val="clear" w:color="000000" w:fill="DCE6F1"/>
            <w:noWrap/>
            <w:vAlign w:val="bottom"/>
            <w:hideMark/>
          </w:tcPr>
          <w:p w14:paraId="6EDD167D"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06210</w:t>
            </w:r>
          </w:p>
        </w:tc>
        <w:tc>
          <w:tcPr>
            <w:tcW w:w="7600" w:type="dxa"/>
            <w:tcBorders>
              <w:top w:val="nil"/>
              <w:left w:val="single" w:sz="4" w:space="0" w:color="auto"/>
              <w:bottom w:val="single" w:sz="4" w:space="0" w:color="auto"/>
              <w:right w:val="single" w:sz="4" w:space="0" w:color="auto"/>
            </w:tcBorders>
            <w:shd w:val="clear" w:color="000000" w:fill="DCE6F1"/>
            <w:noWrap/>
            <w:vAlign w:val="bottom"/>
            <w:hideMark/>
          </w:tcPr>
          <w:p w14:paraId="6EDD167E"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Programe Zhvillimi</w:t>
            </w:r>
          </w:p>
        </w:tc>
      </w:tr>
      <w:tr w:rsidR="002F4BDF" w:rsidRPr="007114AF" w14:paraId="6EDD1682" w14:textId="77777777" w:rsidTr="003305AE">
        <w:trPr>
          <w:trHeight w:val="330"/>
        </w:trPr>
        <w:tc>
          <w:tcPr>
            <w:tcW w:w="1866" w:type="dxa"/>
            <w:tcBorders>
              <w:top w:val="nil"/>
              <w:left w:val="single" w:sz="12" w:space="0" w:color="auto"/>
              <w:bottom w:val="dotted" w:sz="4" w:space="0" w:color="auto"/>
              <w:right w:val="nil"/>
            </w:tcBorders>
            <w:shd w:val="clear" w:color="auto" w:fill="auto"/>
            <w:vAlign w:val="bottom"/>
            <w:hideMark/>
          </w:tcPr>
          <w:p w14:paraId="6EDD1680"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78</w:t>
            </w:r>
          </w:p>
        </w:tc>
        <w:tc>
          <w:tcPr>
            <w:tcW w:w="7600" w:type="dxa"/>
            <w:tcBorders>
              <w:top w:val="nil"/>
              <w:left w:val="single" w:sz="4" w:space="0" w:color="auto"/>
              <w:bottom w:val="dotted" w:sz="4" w:space="0" w:color="auto"/>
              <w:right w:val="single" w:sz="4" w:space="0" w:color="auto"/>
            </w:tcBorders>
            <w:shd w:val="clear" w:color="auto" w:fill="auto"/>
            <w:vAlign w:val="bottom"/>
            <w:hideMark/>
          </w:tcPr>
          <w:p w14:paraId="6EDD1681"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Ministria e Integrimit Evropian</w:t>
            </w:r>
          </w:p>
        </w:tc>
      </w:tr>
      <w:tr w:rsidR="002F4BDF" w:rsidRPr="007114AF" w14:paraId="6EDD1685" w14:textId="77777777" w:rsidTr="003305AE">
        <w:trPr>
          <w:trHeight w:val="255"/>
        </w:trPr>
        <w:tc>
          <w:tcPr>
            <w:tcW w:w="1866" w:type="dxa"/>
            <w:tcBorders>
              <w:top w:val="nil"/>
              <w:left w:val="single" w:sz="12" w:space="0" w:color="auto"/>
              <w:bottom w:val="single" w:sz="4" w:space="0" w:color="auto"/>
              <w:right w:val="nil"/>
            </w:tcBorders>
            <w:shd w:val="clear" w:color="000000" w:fill="DCE6F1"/>
            <w:noWrap/>
            <w:vAlign w:val="bottom"/>
            <w:hideMark/>
          </w:tcPr>
          <w:p w14:paraId="6EDD1683"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01150</w:t>
            </w:r>
          </w:p>
        </w:tc>
        <w:tc>
          <w:tcPr>
            <w:tcW w:w="7600" w:type="dxa"/>
            <w:tcBorders>
              <w:top w:val="nil"/>
              <w:left w:val="single" w:sz="4" w:space="0" w:color="auto"/>
              <w:bottom w:val="single" w:sz="4" w:space="0" w:color="auto"/>
              <w:right w:val="single" w:sz="4" w:space="0" w:color="auto"/>
            </w:tcBorders>
            <w:shd w:val="clear" w:color="000000" w:fill="DCE6F1"/>
            <w:noWrap/>
            <w:vAlign w:val="bottom"/>
            <w:hideMark/>
          </w:tcPr>
          <w:p w14:paraId="6EDD1684"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 xml:space="preserve">Mbështetje Institucionale për Procesin e Integrimit </w:t>
            </w:r>
          </w:p>
        </w:tc>
      </w:tr>
      <w:tr w:rsidR="002F4BDF" w:rsidRPr="007114AF" w14:paraId="6EDD1688" w14:textId="77777777" w:rsidTr="003305AE">
        <w:trPr>
          <w:trHeight w:val="255"/>
        </w:trPr>
        <w:tc>
          <w:tcPr>
            <w:tcW w:w="1866" w:type="dxa"/>
            <w:tcBorders>
              <w:top w:val="nil"/>
              <w:left w:val="single" w:sz="12" w:space="0" w:color="auto"/>
              <w:bottom w:val="dotted" w:sz="4" w:space="0" w:color="auto"/>
              <w:right w:val="nil"/>
            </w:tcBorders>
            <w:shd w:val="clear" w:color="auto" w:fill="auto"/>
            <w:vAlign w:val="bottom"/>
            <w:hideMark/>
          </w:tcPr>
          <w:p w14:paraId="6EDD1686"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93</w:t>
            </w:r>
          </w:p>
        </w:tc>
        <w:tc>
          <w:tcPr>
            <w:tcW w:w="7600" w:type="dxa"/>
            <w:tcBorders>
              <w:top w:val="nil"/>
              <w:left w:val="single" w:sz="4" w:space="0" w:color="auto"/>
              <w:bottom w:val="dotted" w:sz="4" w:space="0" w:color="auto"/>
              <w:right w:val="single" w:sz="4" w:space="0" w:color="auto"/>
            </w:tcBorders>
            <w:shd w:val="clear" w:color="auto" w:fill="auto"/>
            <w:noWrap/>
            <w:vAlign w:val="bottom"/>
            <w:hideMark/>
          </w:tcPr>
          <w:p w14:paraId="6EDD1687"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Ministria e Energjisë dhe Industrisë</w:t>
            </w:r>
          </w:p>
        </w:tc>
      </w:tr>
      <w:tr w:rsidR="002F4BDF" w:rsidRPr="007114AF" w14:paraId="6EDD168B"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89"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04320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8A"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Mbështetje për Energjinë</w:t>
            </w:r>
          </w:p>
        </w:tc>
      </w:tr>
      <w:tr w:rsidR="002F4BDF" w:rsidRPr="007114AF" w14:paraId="6EDD168E" w14:textId="77777777" w:rsidTr="003305AE">
        <w:trPr>
          <w:trHeight w:val="255"/>
        </w:trPr>
        <w:tc>
          <w:tcPr>
            <w:tcW w:w="1866" w:type="dxa"/>
            <w:tcBorders>
              <w:top w:val="nil"/>
              <w:left w:val="single" w:sz="12" w:space="0" w:color="auto"/>
              <w:bottom w:val="dotted" w:sz="4" w:space="0" w:color="auto"/>
              <w:right w:val="nil"/>
            </w:tcBorders>
            <w:shd w:val="clear" w:color="000000" w:fill="DCE6F1"/>
            <w:noWrap/>
            <w:vAlign w:val="bottom"/>
            <w:hideMark/>
          </w:tcPr>
          <w:p w14:paraId="6EDD168C"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04430</w:t>
            </w:r>
          </w:p>
        </w:tc>
        <w:tc>
          <w:tcPr>
            <w:tcW w:w="7600" w:type="dxa"/>
            <w:tcBorders>
              <w:top w:val="nil"/>
              <w:left w:val="single" w:sz="4" w:space="0" w:color="auto"/>
              <w:bottom w:val="dotted" w:sz="4" w:space="0" w:color="auto"/>
              <w:right w:val="single" w:sz="4" w:space="0" w:color="auto"/>
            </w:tcBorders>
            <w:shd w:val="clear" w:color="000000" w:fill="DCE6F1"/>
            <w:noWrap/>
            <w:vAlign w:val="bottom"/>
            <w:hideMark/>
          </w:tcPr>
          <w:p w14:paraId="6EDD168D"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 xml:space="preserve">Mbështetje për Burimet Natyrore </w:t>
            </w:r>
          </w:p>
        </w:tc>
      </w:tr>
      <w:tr w:rsidR="002F4BDF" w:rsidRPr="007114AF" w14:paraId="6EDD1691" w14:textId="77777777" w:rsidTr="003305AE">
        <w:trPr>
          <w:trHeight w:val="255"/>
        </w:trPr>
        <w:tc>
          <w:tcPr>
            <w:tcW w:w="1866" w:type="dxa"/>
            <w:tcBorders>
              <w:top w:val="nil"/>
              <w:left w:val="single" w:sz="12" w:space="0" w:color="auto"/>
              <w:bottom w:val="nil"/>
              <w:right w:val="nil"/>
            </w:tcBorders>
            <w:shd w:val="clear" w:color="auto" w:fill="auto"/>
            <w:noWrap/>
            <w:vAlign w:val="bottom"/>
            <w:hideMark/>
          </w:tcPr>
          <w:p w14:paraId="6EDD168F"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04440</w:t>
            </w:r>
          </w:p>
        </w:tc>
        <w:tc>
          <w:tcPr>
            <w:tcW w:w="7600" w:type="dxa"/>
            <w:tcBorders>
              <w:top w:val="nil"/>
              <w:left w:val="single" w:sz="4" w:space="0" w:color="auto"/>
              <w:bottom w:val="nil"/>
              <w:right w:val="single" w:sz="4" w:space="0" w:color="auto"/>
            </w:tcBorders>
            <w:shd w:val="clear" w:color="auto" w:fill="auto"/>
            <w:noWrap/>
            <w:vAlign w:val="bottom"/>
            <w:hideMark/>
          </w:tcPr>
          <w:p w14:paraId="6EDD1690"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Mbështetje për Industrinë</w:t>
            </w:r>
          </w:p>
        </w:tc>
      </w:tr>
      <w:tr w:rsidR="002F4BDF" w:rsidRPr="007114AF" w14:paraId="6EDD1694" w14:textId="77777777" w:rsidTr="003305AE">
        <w:trPr>
          <w:trHeight w:val="122"/>
        </w:trPr>
        <w:tc>
          <w:tcPr>
            <w:tcW w:w="1866" w:type="dxa"/>
            <w:tcBorders>
              <w:top w:val="single" w:sz="4" w:space="0" w:color="auto"/>
              <w:left w:val="single" w:sz="12" w:space="0" w:color="auto"/>
              <w:bottom w:val="dotted" w:sz="4" w:space="0" w:color="auto"/>
              <w:right w:val="nil"/>
            </w:tcBorders>
            <w:shd w:val="clear" w:color="auto" w:fill="auto"/>
            <w:vAlign w:val="bottom"/>
            <w:hideMark/>
          </w:tcPr>
          <w:p w14:paraId="6EDD1692"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94</w:t>
            </w:r>
          </w:p>
        </w:tc>
        <w:tc>
          <w:tcPr>
            <w:tcW w:w="760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EDD1693" w14:textId="77777777" w:rsidR="002F4BDF" w:rsidRPr="007114AF" w:rsidRDefault="002F4BDF" w:rsidP="002F4BDF">
            <w:pPr>
              <w:spacing w:after="0" w:line="240" w:lineRule="auto"/>
              <w:jc w:val="left"/>
              <w:rPr>
                <w:rFonts w:ascii="Garamond" w:eastAsia="Times New Roman" w:hAnsi="Garamond" w:cs="Arial"/>
                <w:b/>
                <w:bCs/>
                <w:sz w:val="18"/>
                <w:szCs w:val="18"/>
                <w:lang w:eastAsia="en-US"/>
              </w:rPr>
            </w:pPr>
            <w:r w:rsidRPr="007114AF">
              <w:rPr>
                <w:rFonts w:ascii="Garamond" w:eastAsia="Times New Roman" w:hAnsi="Garamond" w:cs="Arial"/>
                <w:b/>
                <w:bCs/>
                <w:sz w:val="18"/>
                <w:szCs w:val="18"/>
                <w:lang w:eastAsia="en-US"/>
              </w:rPr>
              <w:t>Ministria e Zhvillimit Urban</w:t>
            </w:r>
          </w:p>
        </w:tc>
      </w:tr>
      <w:tr w:rsidR="002F4BDF" w:rsidRPr="007114AF" w14:paraId="6EDD1697" w14:textId="77777777" w:rsidTr="003305AE">
        <w:trPr>
          <w:trHeight w:val="270"/>
        </w:trPr>
        <w:tc>
          <w:tcPr>
            <w:tcW w:w="1866" w:type="dxa"/>
            <w:tcBorders>
              <w:top w:val="nil"/>
              <w:left w:val="single" w:sz="12" w:space="0" w:color="auto"/>
              <w:bottom w:val="single" w:sz="8" w:space="0" w:color="auto"/>
              <w:right w:val="nil"/>
            </w:tcBorders>
            <w:shd w:val="clear" w:color="000000" w:fill="DCE6F1"/>
            <w:noWrap/>
            <w:vAlign w:val="bottom"/>
            <w:hideMark/>
          </w:tcPr>
          <w:p w14:paraId="6EDD1695"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06180</w:t>
            </w:r>
          </w:p>
        </w:tc>
        <w:tc>
          <w:tcPr>
            <w:tcW w:w="7600" w:type="dxa"/>
            <w:tcBorders>
              <w:top w:val="nil"/>
              <w:left w:val="single" w:sz="4" w:space="0" w:color="auto"/>
              <w:bottom w:val="single" w:sz="8" w:space="0" w:color="auto"/>
              <w:right w:val="single" w:sz="4" w:space="0" w:color="auto"/>
            </w:tcBorders>
            <w:shd w:val="clear" w:color="000000" w:fill="DCE6F1"/>
            <w:noWrap/>
            <w:vAlign w:val="bottom"/>
            <w:hideMark/>
          </w:tcPr>
          <w:p w14:paraId="6EDD1696" w14:textId="77777777" w:rsidR="002F4BDF" w:rsidRPr="007114AF" w:rsidRDefault="002F4BDF" w:rsidP="002F4BDF">
            <w:pPr>
              <w:spacing w:after="0" w:line="240" w:lineRule="auto"/>
              <w:jc w:val="left"/>
              <w:rPr>
                <w:rFonts w:ascii="Garamond" w:eastAsia="Times New Roman" w:hAnsi="Garamond" w:cs="Arial"/>
                <w:sz w:val="18"/>
                <w:szCs w:val="18"/>
                <w:lang w:eastAsia="en-US"/>
              </w:rPr>
            </w:pPr>
            <w:r w:rsidRPr="007114AF">
              <w:rPr>
                <w:rFonts w:ascii="Garamond" w:eastAsia="Times New Roman" w:hAnsi="Garamond" w:cs="Arial"/>
                <w:sz w:val="18"/>
                <w:szCs w:val="18"/>
                <w:lang w:eastAsia="en-US"/>
              </w:rPr>
              <w:t>Planifikimi Urban dhe Strehim</w:t>
            </w:r>
          </w:p>
        </w:tc>
      </w:tr>
    </w:tbl>
    <w:p w14:paraId="6EDD1698" w14:textId="165AADE2" w:rsidR="002F4BDF" w:rsidRPr="007114AF" w:rsidRDefault="002F4BDF" w:rsidP="002F4BDF">
      <w:pPr>
        <w:spacing w:after="0" w:line="240" w:lineRule="auto"/>
        <w:ind w:firstLine="284"/>
        <w:rPr>
          <w:rFonts w:ascii="Garamond" w:eastAsiaTheme="minorHAnsi" w:hAnsi="Garamond"/>
          <w:b/>
          <w:color w:val="000000" w:themeColor="text1"/>
          <w:spacing w:val="-4"/>
          <w:sz w:val="24"/>
          <w:szCs w:val="24"/>
          <w:u w:val="single"/>
          <w:lang w:eastAsia="en-US"/>
        </w:rPr>
      </w:pPr>
      <w:r w:rsidRPr="007114AF">
        <w:rPr>
          <w:rFonts w:ascii="Garamond" w:eastAsiaTheme="minorHAnsi" w:hAnsi="Garamond"/>
          <w:b/>
          <w:spacing w:val="-4"/>
          <w:sz w:val="24"/>
          <w:szCs w:val="24"/>
          <w:lang w:eastAsia="en-US"/>
        </w:rPr>
        <w:sym w:font="Wingdings 2" w:char="F041"/>
      </w:r>
      <w:r w:rsidRPr="007114AF">
        <w:rPr>
          <w:rFonts w:ascii="Garamond" w:eastAsiaTheme="minorHAnsi" w:hAnsi="Garamond"/>
          <w:b/>
          <w:spacing w:val="-4"/>
          <w:sz w:val="24"/>
          <w:szCs w:val="24"/>
          <w:lang w:eastAsia="en-US"/>
        </w:rPr>
        <w:t>Sfidat për Integrimin e Përshtatjes së ndryshimeve klimatike</w:t>
      </w:r>
      <w:r w:rsidR="000A2A01" w:rsidRPr="007114AF">
        <w:rPr>
          <w:rFonts w:ascii="Garamond" w:eastAsiaTheme="minorHAnsi" w:hAnsi="Garamond"/>
          <w:b/>
          <w:spacing w:val="-4"/>
          <w:sz w:val="24"/>
          <w:szCs w:val="24"/>
          <w:lang w:eastAsia="en-US"/>
        </w:rPr>
        <w:t xml:space="preserve"> </w:t>
      </w:r>
      <w:r w:rsidRPr="007114AF">
        <w:rPr>
          <w:rFonts w:ascii="Garamond" w:eastAsiaTheme="minorHAnsi" w:hAnsi="Garamond"/>
          <w:b/>
          <w:spacing w:val="-4"/>
          <w:sz w:val="24"/>
          <w:szCs w:val="24"/>
          <w:lang w:eastAsia="en-US"/>
        </w:rPr>
        <w:t xml:space="preserve">në Paraqitjen e Buxhetit Vjetor </w:t>
      </w:r>
    </w:p>
    <w:p w14:paraId="6EDD1699" w14:textId="5FAD5AEE"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u w:val="single"/>
          <w:lang w:eastAsia="en-US"/>
        </w:rPr>
        <w:t>Burimet e pamjaftueshme financiare në nivel rrethi dhe komuniteti për trajtimin e sfidave të Përshtatjes së Ndryshimeve Klimatike</w:t>
      </w:r>
      <w:r w:rsidR="00191838" w:rsidRPr="007114AF">
        <w:rPr>
          <w:rFonts w:ascii="Garamond" w:eastAsiaTheme="minorHAnsi" w:hAnsi="Garamond"/>
          <w:color w:val="000000"/>
          <w:spacing w:val="-4"/>
          <w:sz w:val="24"/>
          <w:szCs w:val="24"/>
          <w:u w:val="single"/>
          <w:lang w:eastAsia="en-US"/>
        </w:rPr>
        <w:t>.</w:t>
      </w:r>
    </w:p>
    <w:p w14:paraId="6EDD169A" w14:textId="6774CE89"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lang w:eastAsia="en-US"/>
        </w:rPr>
        <w:t>Një sfidë për bashkitë është se shumë vendime për përshtatjen aktualisht të marra në nivel rrethi,</w:t>
      </w:r>
      <w:r w:rsidR="000A2A01" w:rsidRPr="007114AF">
        <w:rPr>
          <w:rFonts w:ascii="Garamond" w:eastAsiaTheme="minorHAnsi" w:hAnsi="Garamond"/>
          <w:color w:val="000000"/>
          <w:spacing w:val="-4"/>
          <w:sz w:val="24"/>
          <w:szCs w:val="24"/>
          <w:lang w:eastAsia="en-US"/>
        </w:rPr>
        <w:t xml:space="preserve"> </w:t>
      </w:r>
      <w:r w:rsidRPr="007114AF">
        <w:rPr>
          <w:rFonts w:ascii="Garamond" w:eastAsiaTheme="minorHAnsi" w:hAnsi="Garamond"/>
          <w:color w:val="000000"/>
          <w:spacing w:val="-4"/>
          <w:sz w:val="24"/>
          <w:szCs w:val="24"/>
          <w:lang w:eastAsia="en-US"/>
        </w:rPr>
        <w:t>duhet të merren në nivel rajonal për të qenë efektive. Kostot tejkalojnë buxhetet vendore, kështu që koordinimi midis buxhetit vendor dhe qendror, është i nevojshëm, si dhe caktimi i kritereve për investime private.</w:t>
      </w:r>
      <w:r w:rsidR="000A2A01" w:rsidRPr="007114AF">
        <w:rPr>
          <w:rFonts w:ascii="Garamond" w:eastAsiaTheme="minorHAnsi" w:hAnsi="Garamond"/>
          <w:color w:val="000000"/>
          <w:spacing w:val="-4"/>
          <w:sz w:val="24"/>
          <w:szCs w:val="24"/>
          <w:lang w:eastAsia="en-US"/>
        </w:rPr>
        <w:t xml:space="preserve"> </w:t>
      </w:r>
      <w:r w:rsidRPr="007114AF">
        <w:rPr>
          <w:rFonts w:ascii="Garamond" w:eastAsiaTheme="minorHAnsi" w:hAnsi="Garamond"/>
          <w:color w:val="000000"/>
          <w:spacing w:val="-4"/>
          <w:sz w:val="24"/>
          <w:szCs w:val="24"/>
          <w:lang w:eastAsia="en-US"/>
        </w:rPr>
        <w:t>Në këtë rast, Fondi i Zhvillimit të Rajoneve me politikën e tij të investimeve mund të vepronte si mekanizëm koordinimi, dhe mund të mbështesë reagime në shkallë më të gjerë.</w:t>
      </w:r>
    </w:p>
    <w:p w14:paraId="6EDD169B" w14:textId="77777777"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u w:val="single"/>
          <w:lang w:eastAsia="en-US"/>
        </w:rPr>
        <w:t>Kompleksiteti dhe koordinimi sektorial i shpenzime të përshtatjes për ndryshimin e klimës.</w:t>
      </w:r>
    </w:p>
    <w:p w14:paraId="6EDD169C" w14:textId="751EDA78"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lang w:eastAsia="en-US"/>
        </w:rPr>
        <w:t>Kompleksiteti i shpenzimeve të përshtatjes së ndryshimeve të klimës CC-ës nënkupton se përshtatja efektive mund të çonte në një rivlerësim të objektivave të tjer</w:t>
      </w:r>
      <w:r w:rsidR="009B0B46">
        <w:rPr>
          <w:rFonts w:ascii="Garamond" w:eastAsiaTheme="minorHAnsi" w:hAnsi="Garamond"/>
          <w:color w:val="000000"/>
          <w:spacing w:val="-4"/>
          <w:sz w:val="24"/>
          <w:szCs w:val="24"/>
          <w:lang w:eastAsia="en-US"/>
        </w:rPr>
        <w:t>ë</w:t>
      </w:r>
      <w:r w:rsidRPr="007114AF">
        <w:rPr>
          <w:rFonts w:ascii="Garamond" w:eastAsiaTheme="minorHAnsi" w:hAnsi="Garamond"/>
          <w:color w:val="000000"/>
          <w:spacing w:val="-4"/>
          <w:sz w:val="24"/>
          <w:szCs w:val="24"/>
          <w:lang w:eastAsia="en-US"/>
        </w:rPr>
        <w:t xml:space="preserve"> politik</w:t>
      </w:r>
      <w:r w:rsidR="009B0B46">
        <w:rPr>
          <w:rFonts w:ascii="Garamond" w:eastAsiaTheme="minorHAnsi" w:hAnsi="Garamond"/>
          <w:color w:val="000000"/>
          <w:spacing w:val="-4"/>
          <w:sz w:val="24"/>
          <w:szCs w:val="24"/>
          <w:lang w:eastAsia="en-US"/>
        </w:rPr>
        <w:t>ë</w:t>
      </w:r>
      <w:r w:rsidRPr="007114AF">
        <w:rPr>
          <w:rFonts w:ascii="Garamond" w:eastAsiaTheme="minorHAnsi" w:hAnsi="Garamond"/>
          <w:color w:val="000000"/>
          <w:spacing w:val="-4"/>
          <w:sz w:val="24"/>
          <w:szCs w:val="24"/>
          <w:lang w:eastAsia="en-US"/>
        </w:rPr>
        <w:t>, duke përfshirë alternativa në zbatim dhe kërkon koordinim në rajone, sektorë dhe lidhje qeveritare. Kjo mund të kërkonte një rishikim të strategjive ekzistuese sektoriale, si dhe programit të buxhetimit afatmesëm, p.sh. në dokumentin e PBAM-it (MTBP); është e rëndësishme të garantohet që fondet e alokuara për përmbushjen e detyrimit të një ministrie, të shoqërohen me llogaritjen përkatëse në buxhetin e institucioneve të tjera, me qëllim arritjen e eficiencës së plotë për reforma.</w:t>
      </w:r>
    </w:p>
    <w:p w14:paraId="6EDD169D" w14:textId="77777777" w:rsidR="002F4BDF" w:rsidRPr="007114AF" w:rsidRDefault="002F4BDF" w:rsidP="002F4BDF">
      <w:pPr>
        <w:spacing w:after="0" w:line="240" w:lineRule="auto"/>
        <w:ind w:firstLine="284"/>
        <w:rPr>
          <w:rFonts w:ascii="Garamond" w:eastAsiaTheme="minorHAnsi" w:hAnsi="Garamond"/>
          <w:color w:val="000000"/>
          <w:spacing w:val="-4"/>
          <w:sz w:val="24"/>
          <w:szCs w:val="24"/>
          <w:u w:val="single"/>
          <w:lang w:eastAsia="en-US"/>
        </w:rPr>
      </w:pPr>
      <w:r w:rsidRPr="007114AF">
        <w:rPr>
          <w:rFonts w:ascii="Garamond" w:eastAsiaTheme="minorHAnsi" w:hAnsi="Garamond"/>
          <w:color w:val="000000"/>
          <w:spacing w:val="-4"/>
          <w:sz w:val="24"/>
          <w:szCs w:val="24"/>
          <w:u w:val="single"/>
          <w:lang w:eastAsia="en-US"/>
        </w:rPr>
        <w:t xml:space="preserve">Procesi i përgatitjes së vetë reformave strukturore. </w:t>
      </w:r>
    </w:p>
    <w:p w14:paraId="6EDD169E" w14:textId="77777777"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lang w:eastAsia="en-US"/>
        </w:rPr>
        <w:t>R</w:t>
      </w:r>
      <w:r w:rsidRPr="007114AF">
        <w:rPr>
          <w:rFonts w:ascii="Garamond" w:eastAsiaTheme="minorHAnsi" w:hAnsi="Garamond"/>
          <w:spacing w:val="-4"/>
          <w:sz w:val="24"/>
          <w:szCs w:val="24"/>
          <w:lang w:eastAsia="en-US"/>
        </w:rPr>
        <w:t>eformat strukturore shpesh formulohen pa elemente të detajuara të zbatimit të tyre dhe pa përcaktuar kostot përkatëse për çdo fazë. Si rrjedhojë, integrimi i tyre me buxhetin bëhet shumë i vështirë. Forma e PBAM-it (MTBP) e propozuar nga MF-ja kërkon një vlerësim të qartë të politikës, objektivave, aktiviteteve dhe rezultateve që do të realizohen në tre vitet e ardhshme. Problemet fillojnë kur institucionit i kërkohet të caktojë qëllimin e programit, objektivat e tij dhe gjithashtu,standardin e politikës së programit. Nëse një objektiv nuk është i mirëpërcaktuar, kjo sjellë vështirësi në vlerësimin e produkteve të një programi. Megjithatë, ka raste edhe kur ministritë e linjës janë të vetëdijshme për nevojën për një proces të saktë buxhetimi, por nuk arrijnë të shndërrojnë reformat në implikime monetare, për shkak të mungesës së një perceptimi të qartë të reformës apo kapacitetit të pamjaftueshëm të burimeve njerëzore.</w:t>
      </w:r>
    </w:p>
    <w:p w14:paraId="6EDD169F" w14:textId="77777777" w:rsidR="002F4BDF" w:rsidRPr="007114AF" w:rsidRDefault="002F4BDF" w:rsidP="002F4BDF">
      <w:pPr>
        <w:spacing w:after="0" w:line="240" w:lineRule="auto"/>
        <w:ind w:firstLine="284"/>
        <w:rPr>
          <w:rFonts w:ascii="Garamond" w:eastAsiaTheme="minorHAnsi" w:hAnsi="Garamond" w:cs="Calibri"/>
          <w:spacing w:val="-4"/>
          <w:sz w:val="24"/>
          <w:szCs w:val="24"/>
          <w:lang w:eastAsia="en-US"/>
        </w:rPr>
      </w:pPr>
      <w:r w:rsidRPr="007114AF">
        <w:rPr>
          <w:rFonts w:ascii="Garamond" w:eastAsiaTheme="minorHAnsi" w:hAnsi="Garamond" w:cs="Calibri"/>
          <w:spacing w:val="-4"/>
          <w:sz w:val="24"/>
          <w:szCs w:val="24"/>
          <w:u w:val="single"/>
          <w:lang w:eastAsia="en-US"/>
        </w:rPr>
        <w:t>Qasja e fragmentuar institucionale dhe pengesat rregullatore</w:t>
      </w:r>
      <w:r w:rsidRPr="007114AF">
        <w:rPr>
          <w:rFonts w:ascii="Garamond" w:eastAsiaTheme="minorHAnsi" w:hAnsi="Garamond" w:cs="Calibri"/>
          <w:spacing w:val="-4"/>
          <w:sz w:val="24"/>
          <w:szCs w:val="24"/>
          <w:lang w:eastAsia="en-US"/>
        </w:rPr>
        <w:t>.</w:t>
      </w:r>
    </w:p>
    <w:p w14:paraId="6EDD16A0" w14:textId="383078AD" w:rsidR="002F4BDF" w:rsidRPr="007114AF" w:rsidRDefault="002F4BDF" w:rsidP="002F4BDF">
      <w:pPr>
        <w:spacing w:after="0" w:line="240" w:lineRule="auto"/>
        <w:ind w:firstLine="284"/>
        <w:rPr>
          <w:rFonts w:ascii="Garamond" w:eastAsiaTheme="minorHAnsi" w:hAnsi="Garamond"/>
          <w:color w:val="000000"/>
          <w:spacing w:val="-4"/>
          <w:sz w:val="24"/>
          <w:szCs w:val="24"/>
          <w:u w:val="single"/>
          <w:lang w:eastAsia="en-US"/>
        </w:rPr>
      </w:pPr>
      <w:r w:rsidRPr="007114AF">
        <w:rPr>
          <w:rFonts w:ascii="Garamond" w:eastAsiaTheme="minorHAnsi" w:hAnsi="Garamond"/>
          <w:spacing w:val="-4"/>
          <w:sz w:val="24"/>
          <w:szCs w:val="24"/>
          <w:lang w:eastAsia="en-US"/>
        </w:rPr>
        <w:t xml:space="preserve">Arsyeja kryesore përse ministritë e linjës dhe bashkitë nuk e marrin në konsideratë ndryshimin e klimës ose nuk marrin masa për të reduktuar ndikimet e saj, është se nuk ka asnjë kërkesë rregullatore për të vepruar në këtë mënyrë, ose ka shumë akte rregullatore të fragmentuara, që ndonjëherë janë në kundërshtim me njëra-tjetrën. Ministria e Turizmit dhe Mjedisit është duke punuar për një projektligj për ndryshimin e klimës, i cili do të përcaktojë bazën ligjore, si dhe rolin e organeve të qeverisjes. Përveç kësaj, një vendim i qeverisë për </w:t>
      </w:r>
      <w:r w:rsidR="000A2A01" w:rsidRPr="007114AF">
        <w:rPr>
          <w:rFonts w:ascii="Garamond" w:eastAsiaTheme="minorHAnsi" w:hAnsi="Garamond"/>
          <w:spacing w:val="-4"/>
          <w:sz w:val="24"/>
          <w:szCs w:val="24"/>
          <w:lang w:eastAsia="en-US"/>
        </w:rPr>
        <w:t>“</w:t>
      </w:r>
      <w:r w:rsidRPr="007114AF">
        <w:rPr>
          <w:rFonts w:ascii="Garamond" w:eastAsiaTheme="minorHAnsi" w:hAnsi="Garamond"/>
          <w:spacing w:val="-4"/>
          <w:sz w:val="24"/>
          <w:szCs w:val="24"/>
          <w:lang w:eastAsia="en-US"/>
        </w:rPr>
        <w:t>Integrimin e Ndryshimeve Klimatike në PBAM (MTBP) dhe Qasjen Institucionale</w:t>
      </w:r>
      <w:r w:rsidR="000A2A01" w:rsidRPr="007114AF">
        <w:rPr>
          <w:rFonts w:ascii="Garamond" w:eastAsiaTheme="minorHAnsi" w:hAnsi="Garamond"/>
          <w:spacing w:val="-4"/>
          <w:sz w:val="24"/>
          <w:szCs w:val="24"/>
          <w:lang w:eastAsia="en-US"/>
        </w:rPr>
        <w:t>”</w:t>
      </w:r>
      <w:r w:rsidRPr="007114AF">
        <w:rPr>
          <w:rFonts w:ascii="Garamond" w:eastAsiaTheme="minorHAnsi" w:hAnsi="Garamond"/>
          <w:spacing w:val="-4"/>
          <w:sz w:val="24"/>
          <w:szCs w:val="24"/>
          <w:lang w:eastAsia="en-US"/>
        </w:rPr>
        <w:t xml:space="preserve"> i shoqëruar me një udhëzim qeveritar ose të Ministrisë së Financave dhe Ekonomisë për </w:t>
      </w:r>
      <w:r w:rsidR="000A2A01" w:rsidRPr="007114AF">
        <w:rPr>
          <w:rFonts w:ascii="Garamond" w:eastAsiaTheme="minorHAnsi" w:hAnsi="Garamond"/>
          <w:spacing w:val="-4"/>
          <w:sz w:val="24"/>
          <w:szCs w:val="24"/>
          <w:lang w:eastAsia="en-US"/>
        </w:rPr>
        <w:t>“</w:t>
      </w:r>
      <w:r w:rsidRPr="007114AF">
        <w:rPr>
          <w:rFonts w:ascii="Garamond" w:eastAsiaTheme="minorHAnsi" w:hAnsi="Garamond"/>
          <w:spacing w:val="-4"/>
          <w:sz w:val="24"/>
          <w:szCs w:val="24"/>
          <w:lang w:eastAsia="en-US"/>
        </w:rPr>
        <w:t>Procedurat për integrimin e Ndryshimeve Klimatike në PBA</w:t>
      </w:r>
      <w:r w:rsidR="000A2A01" w:rsidRPr="007114AF">
        <w:rPr>
          <w:rFonts w:ascii="Garamond" w:eastAsiaTheme="minorHAnsi" w:hAnsi="Garamond"/>
          <w:spacing w:val="-4"/>
          <w:sz w:val="24"/>
          <w:szCs w:val="24"/>
          <w:lang w:eastAsia="en-US"/>
        </w:rPr>
        <w:t>”</w:t>
      </w:r>
      <w:r w:rsidRPr="007114AF">
        <w:rPr>
          <w:rFonts w:ascii="Garamond" w:eastAsiaTheme="minorHAnsi" w:hAnsi="Garamond"/>
          <w:spacing w:val="-4"/>
          <w:sz w:val="24"/>
          <w:szCs w:val="24"/>
          <w:lang w:eastAsia="en-US"/>
        </w:rPr>
        <w:t>, duhet të plotësojë kuadrin ligjor për të krijuar kushtet e nevojshme për zbatimin e e integrimit të përshtatjes, siç përshkruhet në NAP.</w:t>
      </w:r>
    </w:p>
    <w:p w14:paraId="6EDD16A1" w14:textId="77777777" w:rsidR="002F4BDF" w:rsidRPr="007114AF" w:rsidRDefault="002F4BDF" w:rsidP="002F4BDF">
      <w:pPr>
        <w:spacing w:after="0" w:line="240" w:lineRule="auto"/>
        <w:ind w:firstLine="284"/>
        <w:rPr>
          <w:rFonts w:ascii="Garamond" w:eastAsiaTheme="minorHAnsi" w:hAnsi="Garamond"/>
          <w:color w:val="000000"/>
          <w:spacing w:val="-4"/>
          <w:sz w:val="24"/>
          <w:szCs w:val="24"/>
          <w:u w:val="single"/>
          <w:lang w:eastAsia="en-US"/>
        </w:rPr>
      </w:pPr>
      <w:r w:rsidRPr="007114AF">
        <w:rPr>
          <w:rFonts w:ascii="Garamond" w:eastAsiaTheme="minorHAnsi" w:hAnsi="Garamond"/>
          <w:color w:val="000000"/>
          <w:spacing w:val="-4"/>
          <w:sz w:val="24"/>
          <w:szCs w:val="24"/>
          <w:u w:val="single"/>
          <w:lang w:eastAsia="en-US"/>
        </w:rPr>
        <w:t xml:space="preserve">Bashkëpunimi dhe njohuria për procesin e PBAM-it (MTBP). </w:t>
      </w:r>
    </w:p>
    <w:p w14:paraId="6EDD16A2" w14:textId="77777777" w:rsidR="002F4BDF" w:rsidRPr="007114AF" w:rsidRDefault="002F4BDF" w:rsidP="002F4BDF">
      <w:pPr>
        <w:spacing w:after="0" w:line="240" w:lineRule="auto"/>
        <w:ind w:firstLine="284"/>
        <w:rPr>
          <w:rFonts w:ascii="Garamond" w:eastAsiaTheme="minorHAnsi" w:hAnsi="Garamond" w:cs="Calibri"/>
          <w:spacing w:val="-4"/>
          <w:sz w:val="24"/>
          <w:szCs w:val="24"/>
          <w:lang w:eastAsia="en-US"/>
        </w:rPr>
      </w:pPr>
      <w:r w:rsidRPr="007114AF">
        <w:rPr>
          <w:rFonts w:ascii="Garamond" w:eastAsiaTheme="minorHAnsi" w:hAnsi="Garamond" w:cs="Calibri"/>
          <w:spacing w:val="-4"/>
          <w:sz w:val="24"/>
          <w:szCs w:val="24"/>
          <w:lang w:eastAsia="en-US"/>
        </w:rPr>
        <w:t xml:space="preserve">Sfida kryesore në formulimin dhe zbatimin e politikave është koordinimi ndërmjet ministrive të linjës përgjegjëse për zbatimin e reformave, veçanërisht në rastin e reformave ndërsektoriale që përfshijnë shumë prioritete të sektorëve. Ministria e linjës e lidhur drejtpërdrejt me zbatimin e reformës, e përfshin atë në buxhet, ndërsa të tjera ministri tëlinjës nuk mund të caktojnë domosdoshmërisht fonde të disponueshme, për një reformë që nuk është prioritet për sektorët e tyre. Kjo mungesë bashkëpunimi nënkupton se mund të nisin reforma strukturore, por nuk mund të jenë operative, nëse të gjithë komponentët e tjerë nuk janë të harmonizuar. Gjithashtu, drejtoritë pranë ministrive të linjës që nuk njohin hollësisht politikat, strategjitë ose reformat e plota që do të zhvillohen në institucionet e tyre, nuk pajtohen me kërkesat e PBAM-it (MTBP) që kërkohen nga Ministria e Financave dhe Ekonomisë. Në shumicën e rasteve, megjithëse ministritë e linjës mund të kenë hartuar një reformë, zbatimi i së cilës kërkon disa vjet, ato nuk mund të sjellin kosto të sakta financiare për të gjitha vitet në të cilat do të zhvillohet reforma, edhe nëse kostot dhe produktet përcaktohen në planet përkatëse të veprimeve. Drejtoritë e politikave të ministrisë së linjës gjatë procesit të llogaritjes së shpenzimeve, kryesisht nuk bashkëpunojnë me agjenci varësie të specializuara dhe drejtori financimi pranë ministrisë. Kjo i sjellë vështirësi Ministrisë së Financave dhe Ekonomisë që të vlerësojë kërkesat e përgatitura nga institucionet buxhetore. Një problem tjetër për rishikim nga Ministria e Financave dhe Ekonomisë është vlerësimi i kërkesave shtesë për politikat dhe objektivat e institucioneve që ishin paraqitur si më pak të rëndësishme gjatë caktimit të tavaneve. </w:t>
      </w:r>
    </w:p>
    <w:p w14:paraId="6EDD16A3" w14:textId="77777777" w:rsidR="002F4BDF" w:rsidRPr="007114AF" w:rsidRDefault="002F4BDF" w:rsidP="002F4BDF">
      <w:pPr>
        <w:spacing w:after="0" w:line="240" w:lineRule="auto"/>
        <w:ind w:firstLine="284"/>
        <w:rPr>
          <w:rFonts w:ascii="Garamond" w:eastAsiaTheme="minorHAnsi" w:hAnsi="Garamond"/>
          <w:b/>
          <w:spacing w:val="-4"/>
          <w:sz w:val="24"/>
          <w:szCs w:val="24"/>
          <w:lang w:eastAsia="en-US"/>
        </w:rPr>
      </w:pPr>
      <w:r w:rsidRPr="007114AF">
        <w:rPr>
          <w:rFonts w:ascii="Garamond" w:eastAsiaTheme="minorHAnsi" w:hAnsi="Garamond"/>
          <w:b/>
          <w:spacing w:val="-4"/>
          <w:sz w:val="24"/>
          <w:szCs w:val="24"/>
          <w:lang w:eastAsia="en-US"/>
        </w:rPr>
        <w:sym w:font="Wingdings 2" w:char="F041"/>
      </w:r>
      <w:r w:rsidRPr="007114AF">
        <w:rPr>
          <w:rFonts w:ascii="Garamond" w:eastAsiaTheme="minorHAnsi" w:hAnsi="Garamond"/>
          <w:b/>
          <w:spacing w:val="-4"/>
          <w:sz w:val="24"/>
          <w:szCs w:val="24"/>
          <w:lang w:eastAsia="en-US"/>
        </w:rPr>
        <w:t>Shenjuesit Statistikorë të Klimës të OECD-ës</w:t>
      </w:r>
    </w:p>
    <w:p w14:paraId="6EDD16A4" w14:textId="77777777"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lang w:eastAsia="en-US"/>
        </w:rPr>
        <w:t>Përkufizimi i OECD-ës për lehtësimin dhe përshtatjen është si më poshtë:</w:t>
      </w:r>
    </w:p>
    <w:p w14:paraId="6EDD16A5" w14:textId="56AD59E2" w:rsidR="002F4BDF" w:rsidRPr="007114AF" w:rsidRDefault="002F4BDF" w:rsidP="002F4BDF">
      <w:pPr>
        <w:spacing w:after="0" w:line="240" w:lineRule="auto"/>
        <w:ind w:firstLine="284"/>
        <w:rPr>
          <w:rFonts w:ascii="Garamond" w:eastAsiaTheme="minorHAnsi" w:hAnsi="Garamond"/>
          <w:spacing w:val="-4"/>
          <w:lang w:eastAsia="en-US"/>
        </w:rPr>
      </w:pPr>
      <w:r w:rsidRPr="007114AF">
        <w:rPr>
          <w:rFonts w:ascii="Garamond" w:eastAsiaTheme="minorHAnsi" w:hAnsi="Garamond"/>
          <w:spacing w:val="-4"/>
          <w:lang w:eastAsia="en-US"/>
        </w:rPr>
        <w:t>1.</w:t>
      </w:r>
      <w:r w:rsidR="000A2A01" w:rsidRPr="007114AF">
        <w:rPr>
          <w:rFonts w:ascii="Garamond" w:eastAsiaTheme="minorHAnsi" w:hAnsi="Garamond"/>
          <w:spacing w:val="-4"/>
          <w:lang w:eastAsia="en-US"/>
        </w:rPr>
        <w:t xml:space="preserve"> </w:t>
      </w:r>
      <w:r w:rsidRPr="007114AF">
        <w:rPr>
          <w:rFonts w:ascii="Garamond" w:eastAsiaTheme="minorHAnsi" w:hAnsi="Garamond"/>
          <w:spacing w:val="-4"/>
          <w:lang w:eastAsia="en-US"/>
        </w:rPr>
        <w:t xml:space="preserve">Zbutja – aktivitetet që kontribuojnë </w:t>
      </w:r>
      <w:r w:rsidR="000A2A01" w:rsidRPr="007114AF">
        <w:rPr>
          <w:rFonts w:ascii="Garamond" w:eastAsiaTheme="minorHAnsi" w:hAnsi="Garamond"/>
          <w:spacing w:val="-4"/>
          <w:lang w:eastAsia="en-US"/>
        </w:rPr>
        <w:t>“</w:t>
      </w:r>
      <w:r w:rsidRPr="007114AF">
        <w:rPr>
          <w:rFonts w:ascii="Garamond" w:eastAsiaTheme="minorHAnsi" w:hAnsi="Garamond"/>
          <w:spacing w:val="-4"/>
          <w:lang w:eastAsia="en-US"/>
        </w:rPr>
        <w:t>ndaj objektivit të stabilizimit të përqendrimeve të gazit</w:t>
      </w:r>
      <w:r w:rsidR="000A2A01" w:rsidRPr="007114AF">
        <w:rPr>
          <w:rFonts w:ascii="Garamond" w:eastAsiaTheme="minorHAnsi" w:hAnsi="Garamond"/>
          <w:spacing w:val="-4"/>
          <w:lang w:eastAsia="en-US"/>
        </w:rPr>
        <w:t xml:space="preserve"> </w:t>
      </w:r>
      <w:r w:rsidRPr="007114AF">
        <w:rPr>
          <w:rFonts w:ascii="Garamond" w:eastAsiaTheme="minorHAnsi" w:hAnsi="Garamond"/>
          <w:spacing w:val="-4"/>
          <w:lang w:eastAsia="en-US"/>
        </w:rPr>
        <w:t>serrë (GHG) në atmosferë, në një nivel që do të parandalonte ndërhyrjen antropogjene të rrezikshme në sistemin klimatik, me anë të nxitjes së përpjekjeve për uljen ose kufizimin e emetimeve të GHG-ve ose për përmirësimin e sekuestrimit të CHG-ës</w:t>
      </w:r>
      <w:r w:rsidR="000A2A01" w:rsidRPr="007114AF">
        <w:rPr>
          <w:rFonts w:ascii="Garamond" w:eastAsiaTheme="minorHAnsi" w:hAnsi="Garamond"/>
          <w:spacing w:val="-4"/>
          <w:lang w:eastAsia="en-US"/>
        </w:rPr>
        <w:t>”</w:t>
      </w:r>
      <w:r w:rsidRPr="007114AF">
        <w:rPr>
          <w:rFonts w:ascii="Garamond" w:eastAsiaTheme="minorHAnsi" w:hAnsi="Garamond"/>
          <w:spacing w:val="-4"/>
          <w:lang w:eastAsia="en-US"/>
        </w:rPr>
        <w:t xml:space="preserve">. </w:t>
      </w:r>
    </w:p>
    <w:p w14:paraId="6EDD16A6" w14:textId="66CC1B12"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lang w:eastAsia="en-US"/>
        </w:rPr>
        <w:t xml:space="preserve">2. Përshtatja – aktivitetet që synojnë </w:t>
      </w:r>
      <w:r w:rsidR="000A2A01" w:rsidRPr="007114AF">
        <w:rPr>
          <w:rFonts w:ascii="Garamond" w:eastAsiaTheme="minorHAnsi" w:hAnsi="Garamond"/>
          <w:color w:val="000000"/>
          <w:spacing w:val="-4"/>
          <w:sz w:val="24"/>
          <w:szCs w:val="24"/>
          <w:lang w:eastAsia="en-US"/>
        </w:rPr>
        <w:t>“</w:t>
      </w:r>
      <w:r w:rsidRPr="007114AF">
        <w:rPr>
          <w:rFonts w:ascii="Garamond" w:eastAsiaTheme="minorHAnsi" w:hAnsi="Garamond"/>
          <w:color w:val="000000"/>
          <w:spacing w:val="-4"/>
          <w:sz w:val="24"/>
          <w:szCs w:val="24"/>
          <w:lang w:eastAsia="en-US"/>
        </w:rPr>
        <w:t>rritjen e kapacitetit dhe ripërtëritjen e sistemeve njerëzore ose natyrore ndaj ndikimeve të ndryshimit të klimës dhe rreziqeve të lidhura me klimën</w:t>
      </w:r>
      <w:r w:rsidR="000A2A01" w:rsidRPr="007114AF">
        <w:rPr>
          <w:rFonts w:ascii="Garamond" w:eastAsiaTheme="minorHAnsi" w:hAnsi="Garamond"/>
          <w:color w:val="000000"/>
          <w:spacing w:val="-4"/>
          <w:sz w:val="24"/>
          <w:szCs w:val="24"/>
          <w:lang w:eastAsia="en-US"/>
        </w:rPr>
        <w:t>”</w:t>
      </w:r>
      <w:r w:rsidRPr="007114AF">
        <w:rPr>
          <w:rFonts w:ascii="Garamond" w:eastAsiaTheme="minorHAnsi" w:hAnsi="Garamond"/>
          <w:color w:val="000000"/>
          <w:spacing w:val="-4"/>
          <w:sz w:val="24"/>
          <w:szCs w:val="24"/>
          <w:lang w:eastAsia="en-US"/>
        </w:rPr>
        <w:t>.</w:t>
      </w:r>
    </w:p>
    <w:p w14:paraId="6EDD16A7" w14:textId="77777777" w:rsidR="002F4BDF" w:rsidRPr="007114AF" w:rsidRDefault="002F4BDF" w:rsidP="002F4BDF">
      <w:pPr>
        <w:spacing w:after="0" w:line="240" w:lineRule="auto"/>
        <w:ind w:firstLine="284"/>
        <w:rPr>
          <w:rFonts w:ascii="Garamond" w:eastAsiaTheme="minorHAnsi" w:hAnsi="Garamond"/>
          <w:color w:val="000000"/>
          <w:spacing w:val="-4"/>
          <w:sz w:val="24"/>
          <w:szCs w:val="24"/>
          <w:u w:val="single"/>
          <w:lang w:eastAsia="en-US"/>
        </w:rPr>
      </w:pPr>
      <w:r w:rsidRPr="007114AF">
        <w:rPr>
          <w:rFonts w:ascii="Garamond" w:eastAsiaTheme="minorHAnsi" w:hAnsi="Garamond"/>
          <w:color w:val="000000"/>
          <w:spacing w:val="-4"/>
          <w:sz w:val="24"/>
          <w:szCs w:val="24"/>
          <w:u w:val="single"/>
          <w:lang w:eastAsia="en-US"/>
        </w:rPr>
        <w:t>Sistemi i klasifikimit për shenjuesit e klimës</w:t>
      </w:r>
    </w:p>
    <w:p w14:paraId="6EDD16A8" w14:textId="77777777"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lang w:eastAsia="en-US"/>
        </w:rPr>
        <w:t>Mbledhja e të dhënave për shenjuesit e klimës bazohet në një sistem klasifikimi me tri vlera:</w:t>
      </w:r>
    </w:p>
    <w:p w14:paraId="6EDD16A9" w14:textId="12421774"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lang w:eastAsia="en-US"/>
        </w:rPr>
        <w:t xml:space="preserve">Objektivi kryesor </w:t>
      </w:r>
      <w:r w:rsidRPr="007114AF">
        <w:rPr>
          <w:rFonts w:ascii="Garamond" w:eastAsiaTheme="minorHAnsi" w:hAnsi="Garamond"/>
          <w:spacing w:val="-4"/>
          <w:sz w:val="24"/>
          <w:szCs w:val="24"/>
          <w:lang w:eastAsia="en-US"/>
        </w:rPr>
        <w:t>(2)</w:t>
      </w:r>
      <w:r w:rsidRPr="007114AF">
        <w:rPr>
          <w:rFonts w:ascii="Garamond" w:eastAsiaTheme="minorHAnsi" w:hAnsi="Garamond"/>
          <w:color w:val="000000"/>
          <w:spacing w:val="-4"/>
          <w:sz w:val="24"/>
          <w:szCs w:val="24"/>
          <w:lang w:eastAsia="en-US"/>
        </w:rPr>
        <w:t>- Shpenzimet ekonomike/ projektet/programet me rëndësi të lartë, të cilat kanë objektiva të qart</w:t>
      </w:r>
      <w:r w:rsidR="009B0B46">
        <w:rPr>
          <w:rFonts w:ascii="Garamond" w:eastAsiaTheme="minorHAnsi" w:hAnsi="Garamond"/>
          <w:color w:val="000000"/>
          <w:spacing w:val="-4"/>
          <w:sz w:val="24"/>
          <w:szCs w:val="24"/>
          <w:lang w:eastAsia="en-US"/>
        </w:rPr>
        <w:t>ë</w:t>
      </w:r>
      <w:r w:rsidRPr="007114AF">
        <w:rPr>
          <w:rFonts w:ascii="Garamond" w:eastAsiaTheme="minorHAnsi" w:hAnsi="Garamond"/>
          <w:color w:val="000000"/>
          <w:spacing w:val="-4"/>
          <w:sz w:val="24"/>
          <w:szCs w:val="24"/>
          <w:lang w:eastAsia="en-US"/>
        </w:rPr>
        <w:t xml:space="preserve"> parësor</w:t>
      </w:r>
      <w:r w:rsidR="009B0B46">
        <w:rPr>
          <w:rFonts w:ascii="Garamond" w:eastAsiaTheme="minorHAnsi" w:hAnsi="Garamond"/>
          <w:color w:val="000000"/>
          <w:spacing w:val="-4"/>
          <w:sz w:val="24"/>
          <w:szCs w:val="24"/>
          <w:lang w:eastAsia="en-US"/>
        </w:rPr>
        <w:t>ë</w:t>
      </w:r>
      <w:r w:rsidRPr="007114AF">
        <w:rPr>
          <w:rFonts w:ascii="Garamond" w:eastAsiaTheme="minorHAnsi" w:hAnsi="Garamond"/>
          <w:color w:val="000000"/>
          <w:spacing w:val="-4"/>
          <w:sz w:val="24"/>
          <w:szCs w:val="24"/>
          <w:lang w:eastAsia="en-US"/>
        </w:rPr>
        <w:t xml:space="preserve"> të dhënies së rezultateve konkrete dhe të dukshme që përmirësojnë ripërtëritjen e klimës. Ato përfshijnë përshtatjen ndaj tendencave të pritshme të klimës ose ngjarjeve ekstreme klimatike dhe ofrim të shërbimeve klimatike, të tilla si: ndërgjegjësimi, informacioni, ndërtimi i kapaciteteve, planifikimi dhe rregulloret. Supozohet se 80% e shpenzimeve në këto programe kontribuojnë në përshtatje.</w:t>
      </w:r>
    </w:p>
    <w:p w14:paraId="6EDD16AA" w14:textId="088E0258"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lang w:eastAsia="en-US"/>
        </w:rPr>
        <w:t>Objektivi i rëndësishëm (1) – Shpenzimet ekonomike/ projektet/programet me rëndësi të mesme që japin kontribute të fuqishme ndaj përshtatjes, por motivohen kryesisht nga probleme më të gjera zhvillimore. Ato përfshijnë programe dhe infrastrukturë për pylltarinë ekonomike, biodiversitetin,</w:t>
      </w:r>
      <w:r w:rsidR="000A2A01" w:rsidRPr="007114AF">
        <w:rPr>
          <w:rFonts w:ascii="Garamond" w:eastAsiaTheme="minorHAnsi" w:hAnsi="Garamond"/>
          <w:color w:val="000000"/>
          <w:spacing w:val="-4"/>
          <w:sz w:val="24"/>
          <w:szCs w:val="24"/>
          <w:lang w:eastAsia="en-US"/>
        </w:rPr>
        <w:t xml:space="preserve"> </w:t>
      </w:r>
      <w:r w:rsidRPr="007114AF">
        <w:rPr>
          <w:rFonts w:ascii="Garamond" w:eastAsiaTheme="minorHAnsi" w:hAnsi="Garamond"/>
          <w:color w:val="000000"/>
          <w:spacing w:val="-4"/>
          <w:sz w:val="24"/>
          <w:szCs w:val="24"/>
          <w:lang w:eastAsia="en-US"/>
        </w:rPr>
        <w:t>ujërat, të cilat kanë një element të fuqishëm të mbrojtjes klimatike. Në të njëjtën kohë ato mund të përfshijnë programe të kombinuara me një sërë aktivitetesh që nuk mund të dallohen lehtësisht. Supozohet se 50% e shpenzimeve kontribuojnë në përshtatje ose zbutje.</w:t>
      </w:r>
    </w:p>
    <w:p w14:paraId="6EDD16AB" w14:textId="77777777" w:rsidR="002F4BDF" w:rsidRPr="007114AF" w:rsidRDefault="002F4BDF" w:rsidP="002F4BDF">
      <w:pPr>
        <w:spacing w:after="0" w:line="240" w:lineRule="auto"/>
        <w:ind w:firstLine="284"/>
        <w:rPr>
          <w:rFonts w:ascii="Garamond" w:eastAsiaTheme="minorHAnsi" w:hAnsi="Garamond"/>
          <w:color w:val="000000"/>
          <w:spacing w:val="-4"/>
          <w:sz w:val="24"/>
          <w:szCs w:val="24"/>
          <w:lang w:eastAsia="en-US"/>
        </w:rPr>
      </w:pPr>
      <w:r w:rsidRPr="007114AF">
        <w:rPr>
          <w:rFonts w:ascii="Garamond" w:eastAsiaTheme="minorHAnsi" w:hAnsi="Garamond"/>
          <w:color w:val="000000"/>
          <w:spacing w:val="-4"/>
          <w:sz w:val="24"/>
          <w:szCs w:val="24"/>
          <w:lang w:eastAsia="en-US"/>
        </w:rPr>
        <w:t>Jo i synuar ndaj objektivit politik (0) – Programe me rëndësi të ulët kontribuojnë në përshtatje vetëm në mënyrë të tërthortë. Ato përfshijnë kapacitete të përgjithshme infrastrukturore dhe administrative si dhe planifikues, dhe supozohet se 25% e shpenzimeve kontribuojnë në përshtatje.</w:t>
      </w:r>
    </w:p>
    <w:p w14:paraId="6EDD16AC"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Si të caktohen në praktikë?</w:t>
      </w:r>
    </w:p>
    <w:p w14:paraId="6EDD16AD"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Skema e mëposhtme tregon pyetësorin logjik në fazën e programimit të buxhetit:</w:t>
      </w:r>
    </w:p>
    <w:p w14:paraId="6EDD16AE"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cs="Calibri"/>
          <w:i/>
          <w:noProof/>
          <w:lang w:val="en-US" w:eastAsia="en-US"/>
        </w:rPr>
        <w:drawing>
          <wp:inline distT="0" distB="0" distL="0" distR="0" wp14:anchorId="6EDD17DB" wp14:editId="6EDD17DC">
            <wp:extent cx="5756745" cy="196397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56745" cy="1963973"/>
                    </a:xfrm>
                    <a:prstGeom prst="rect">
                      <a:avLst/>
                    </a:prstGeom>
                    <a:noFill/>
                    <a:ln>
                      <a:noFill/>
                    </a:ln>
                  </pic:spPr>
                </pic:pic>
              </a:graphicData>
            </a:graphic>
          </wp:inline>
        </w:drawing>
      </w:r>
    </w:p>
    <w:p w14:paraId="6EDD16B2" w14:textId="1BAA0E5E" w:rsidR="002F4BDF" w:rsidRPr="007114AF" w:rsidRDefault="002F4BDF" w:rsidP="00203893">
      <w:pPr>
        <w:spacing w:after="0" w:line="240" w:lineRule="auto"/>
        <w:ind w:firstLine="284"/>
        <w:jc w:val="center"/>
        <w:rPr>
          <w:rFonts w:ascii="Garamond" w:eastAsiaTheme="minorHAnsi" w:hAnsi="Garamond"/>
          <w:sz w:val="24"/>
          <w:szCs w:val="24"/>
          <w:lang w:eastAsia="en-US"/>
        </w:rPr>
      </w:pPr>
      <w:bookmarkStart w:id="258" w:name="_GoBack"/>
      <w:bookmarkEnd w:id="258"/>
      <w:r w:rsidRPr="007114AF">
        <w:rPr>
          <w:rFonts w:ascii="Garamond" w:eastAsiaTheme="minorHAnsi" w:hAnsi="Garamond"/>
          <w:b/>
          <w:sz w:val="24"/>
          <w:szCs w:val="24"/>
          <w:lang w:eastAsia="en-US"/>
        </w:rPr>
        <w:t xml:space="preserve">Burimi: Manual për </w:t>
      </w:r>
      <w:r w:rsidR="00203893" w:rsidRPr="007114AF">
        <w:rPr>
          <w:rFonts w:ascii="Garamond" w:eastAsiaTheme="minorHAnsi" w:hAnsi="Garamond"/>
          <w:b/>
          <w:sz w:val="24"/>
          <w:szCs w:val="24"/>
          <w:lang w:eastAsia="en-US"/>
        </w:rPr>
        <w:t>Shënjuesit</w:t>
      </w:r>
      <w:r w:rsidRPr="007114AF">
        <w:rPr>
          <w:rFonts w:ascii="Garamond" w:eastAsiaTheme="minorHAnsi" w:hAnsi="Garamond"/>
          <w:b/>
          <w:sz w:val="24"/>
          <w:szCs w:val="24"/>
          <w:lang w:eastAsia="en-US"/>
        </w:rPr>
        <w:t xml:space="preserve"> e Klimës të OECD-DAC-it</w:t>
      </w:r>
    </w:p>
    <w:p w14:paraId="6EDD16B3"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6B4" w14:textId="77777777" w:rsidR="002F4BDF" w:rsidRPr="007114AF" w:rsidRDefault="002F4BDF" w:rsidP="002F4BDF">
      <w:pPr>
        <w:spacing w:after="0" w:line="240" w:lineRule="auto"/>
        <w:ind w:firstLine="284"/>
        <w:rPr>
          <w:rFonts w:ascii="Garamond" w:eastAsiaTheme="minorHAnsi" w:hAnsi="Garamond"/>
          <w:sz w:val="24"/>
          <w:szCs w:val="24"/>
          <w:lang w:eastAsia="en-US"/>
        </w:rPr>
        <w:sectPr w:rsidR="002F4BDF" w:rsidRPr="007114AF" w:rsidSect="003305AE">
          <w:pgSz w:w="11907" w:h="16840" w:code="9"/>
          <w:pgMar w:top="1418" w:right="1418" w:bottom="1418" w:left="1418" w:header="1304" w:footer="1134" w:gutter="0"/>
          <w:cols w:space="720"/>
          <w:docGrid w:linePitch="360"/>
        </w:sectPr>
      </w:pPr>
    </w:p>
    <w:p w14:paraId="6EDD16B5" w14:textId="5B082F5D" w:rsidR="002F4BDF" w:rsidRPr="007114AF" w:rsidRDefault="002F4BDF" w:rsidP="002F4BDF">
      <w:pPr>
        <w:spacing w:after="0" w:line="240" w:lineRule="auto"/>
        <w:ind w:firstLine="284"/>
        <w:rPr>
          <w:rFonts w:ascii="Garamond" w:eastAsiaTheme="minorHAnsi" w:hAnsi="Garamond"/>
          <w:b/>
          <w:sz w:val="24"/>
          <w:szCs w:val="24"/>
          <w:lang w:eastAsia="en-US"/>
        </w:rPr>
      </w:pPr>
      <w:bookmarkStart w:id="259" w:name="_Toc469479197"/>
      <w:bookmarkStart w:id="260" w:name="_Toc479083936"/>
      <w:r w:rsidRPr="007114AF">
        <w:rPr>
          <w:rFonts w:ascii="Garamond" w:eastAsiaTheme="minorHAnsi" w:hAnsi="Garamond"/>
          <w:b/>
          <w:sz w:val="24"/>
          <w:szCs w:val="24"/>
          <w:lang w:eastAsia="en-US"/>
        </w:rPr>
        <w:sym w:font="Wingdings 2" w:char="F041"/>
      </w:r>
      <w:r w:rsidRPr="007114AF">
        <w:rPr>
          <w:rFonts w:ascii="Garamond" w:eastAsiaTheme="minorHAnsi" w:hAnsi="Garamond"/>
          <w:b/>
          <w:sz w:val="24"/>
          <w:szCs w:val="24"/>
          <w:lang w:eastAsia="en-US"/>
        </w:rPr>
        <w:t>Metodologjia për dhënien e prioritetit</w:t>
      </w:r>
      <w:r w:rsidR="000A2A01" w:rsidRPr="007114AF">
        <w:rPr>
          <w:rFonts w:ascii="Garamond" w:eastAsiaTheme="minorHAnsi" w:hAnsi="Garamond"/>
          <w:b/>
          <w:sz w:val="24"/>
          <w:szCs w:val="24"/>
          <w:lang w:eastAsia="en-US"/>
        </w:rPr>
        <w:t xml:space="preserve"> </w:t>
      </w:r>
      <w:r w:rsidRPr="007114AF">
        <w:rPr>
          <w:rFonts w:ascii="Garamond" w:eastAsiaTheme="minorHAnsi" w:hAnsi="Garamond"/>
          <w:b/>
          <w:sz w:val="24"/>
          <w:szCs w:val="24"/>
          <w:lang w:eastAsia="en-US"/>
        </w:rPr>
        <w:t>burimeve të jashtme të financimit të përshtatjes për zbatimin e PKP-ës (NAP</w:t>
      </w:r>
      <w:bookmarkEnd w:id="259"/>
      <w:bookmarkEnd w:id="260"/>
      <w:r w:rsidRPr="007114AF">
        <w:rPr>
          <w:rFonts w:ascii="Garamond" w:eastAsiaTheme="minorHAnsi" w:hAnsi="Garamond"/>
          <w:b/>
          <w:sz w:val="24"/>
          <w:szCs w:val="24"/>
          <w:lang w:eastAsia="en-US"/>
        </w:rPr>
        <w:t>)</w:t>
      </w:r>
    </w:p>
    <w:p w14:paraId="6EDD16B6"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Qasja e strategjisë së financimit ka zbatuar një metodë me tre komponentë për priorizitimin e donatorëve/financuesve të përshtatshëm të mundshëm:</w:t>
      </w:r>
    </w:p>
    <w:p w14:paraId="6EDD16B7" w14:textId="077EA221"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1. Verifikimi dhe dhënia e prioritetit</w:t>
      </w:r>
      <w:r w:rsidR="000A2A01" w:rsidRPr="007114AF">
        <w:rPr>
          <w:rFonts w:ascii="Garamond" w:eastAsiaTheme="minorHAnsi" w:hAnsi="Garamond"/>
          <w:sz w:val="24"/>
          <w:szCs w:val="24"/>
          <w:lang w:eastAsia="en-US"/>
        </w:rPr>
        <w:t xml:space="preserve"> </w:t>
      </w:r>
      <w:r w:rsidRPr="007114AF">
        <w:rPr>
          <w:rFonts w:ascii="Garamond" w:eastAsiaTheme="minorHAnsi" w:hAnsi="Garamond"/>
          <w:sz w:val="24"/>
          <w:szCs w:val="24"/>
          <w:lang w:eastAsia="en-US"/>
        </w:rPr>
        <w:t>të donatorëve të jashtëm/burimeve të financimit.</w:t>
      </w:r>
    </w:p>
    <w:p w14:paraId="6EDD16B8" w14:textId="4F658EDF"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2. Prioriteti</w:t>
      </w:r>
      <w:r w:rsidR="000A2A01" w:rsidRPr="007114AF">
        <w:rPr>
          <w:rFonts w:ascii="Garamond" w:eastAsiaTheme="minorHAnsi" w:hAnsi="Garamond"/>
          <w:sz w:val="24"/>
          <w:szCs w:val="24"/>
          <w:lang w:eastAsia="en-US"/>
        </w:rPr>
        <w:t xml:space="preserve"> </w:t>
      </w:r>
      <w:r w:rsidRPr="007114AF">
        <w:rPr>
          <w:rFonts w:ascii="Garamond" w:eastAsiaTheme="minorHAnsi" w:hAnsi="Garamond"/>
          <w:sz w:val="24"/>
          <w:szCs w:val="24"/>
          <w:lang w:eastAsia="en-US"/>
        </w:rPr>
        <w:t>i PA-ve ( Veprimeve Prioritare) në funksion të gatishmërisë për mobilizimin e burimeve në vitet e ardhshme.</w:t>
      </w:r>
    </w:p>
    <w:p w14:paraId="6EDD16B9"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3. Kombinimi i PA-ve prioritare me donatorë të jashtëm/burime financimi prioritare.</w:t>
      </w:r>
    </w:p>
    <w:p w14:paraId="6EDD16BA"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xml:space="preserve">Instrumenti i dhënies së prioritetit është fleksibël dhe mund të përditësohet në mënyrë të vazhdueshme. Ai jep udhëzime mbi mënyrën e identifikimit të donatorëve/financuesve të përshtatshëm të përshtatjes. Kritere të reja të dhënies së prioritetit mund të shtohen lehtësisht dhe peshat e kritereve specifike mund të ndryshohen, nëse çmohen të përshtatshme. Është e rëndësishme që të merret parasysh se një mjet i tillë prioriteti është vetëm një hap i parë për kufizimin e fondeve/financuesve të mundshëm. Duhet të vazhdojë një kërkim më i thelluar për kërkesat dhe bisedimet fillestare me fonde/investues të mundshëm. </w:t>
      </w:r>
    </w:p>
    <w:p w14:paraId="6EDD16BB" w14:textId="61054384"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 xml:space="preserve">Lista e mëposhtme e kritereve për klasifikimin/priorititetin e burimeve të financimit ndërkombëtar të përshtatjes përmban dy tipe kriteresh: 1) Kriteret që përdoren në </w:t>
      </w:r>
      <w:r w:rsidR="00D10DAB" w:rsidRPr="007114AF">
        <w:rPr>
          <w:rFonts w:ascii="Garamond" w:eastAsiaTheme="minorHAnsi" w:hAnsi="Garamond"/>
          <w:sz w:val="24"/>
          <w:szCs w:val="24"/>
          <w:lang w:eastAsia="en-US"/>
        </w:rPr>
        <w:t>‘</w:t>
      </w:r>
      <w:r w:rsidRPr="007114AF">
        <w:rPr>
          <w:rFonts w:ascii="Garamond" w:eastAsiaTheme="minorHAnsi" w:hAnsi="Garamond"/>
          <w:sz w:val="24"/>
          <w:szCs w:val="24"/>
          <w:lang w:eastAsia="en-US"/>
        </w:rPr>
        <w:t>rezultatin e prioritetit</w:t>
      </w:r>
      <w:r w:rsidR="00D10DAB" w:rsidRPr="007114AF">
        <w:rPr>
          <w:rFonts w:ascii="Garamond" w:eastAsiaTheme="minorHAnsi" w:hAnsi="Garamond"/>
          <w:sz w:val="24"/>
          <w:szCs w:val="24"/>
          <w:lang w:eastAsia="en-US"/>
        </w:rPr>
        <w:t>’</w:t>
      </w:r>
      <w:r w:rsidRPr="007114AF">
        <w:rPr>
          <w:rFonts w:ascii="Garamond" w:eastAsiaTheme="minorHAnsi" w:hAnsi="Garamond"/>
          <w:sz w:val="24"/>
          <w:szCs w:val="24"/>
          <w:lang w:eastAsia="en-US"/>
        </w:rPr>
        <w:t xml:space="preserve"> (shihni edhe rubrikën </w:t>
      </w:r>
      <w:r w:rsidR="00D10DAB" w:rsidRPr="007114AF">
        <w:rPr>
          <w:rFonts w:ascii="Garamond" w:eastAsiaTheme="minorHAnsi" w:hAnsi="Garamond"/>
          <w:sz w:val="24"/>
          <w:szCs w:val="24"/>
          <w:lang w:eastAsia="en-US"/>
        </w:rPr>
        <w:t>‘</w:t>
      </w:r>
      <w:r w:rsidRPr="007114AF">
        <w:rPr>
          <w:rFonts w:ascii="Garamond" w:eastAsiaTheme="minorHAnsi" w:hAnsi="Garamond"/>
          <w:sz w:val="24"/>
          <w:szCs w:val="24"/>
          <w:lang w:eastAsia="en-US"/>
        </w:rPr>
        <w:t>përfshirë në rezultat</w:t>
      </w:r>
      <w:r w:rsidR="00D10DAB" w:rsidRPr="007114AF">
        <w:rPr>
          <w:rFonts w:ascii="Garamond" w:eastAsiaTheme="minorHAnsi" w:hAnsi="Garamond"/>
          <w:sz w:val="24"/>
          <w:szCs w:val="24"/>
          <w:lang w:eastAsia="en-US"/>
        </w:rPr>
        <w:t>’</w:t>
      </w:r>
      <w:r w:rsidRPr="007114AF">
        <w:rPr>
          <w:rFonts w:ascii="Garamond" w:eastAsiaTheme="minorHAnsi" w:hAnsi="Garamond"/>
          <w:sz w:val="24"/>
          <w:szCs w:val="24"/>
          <w:lang w:eastAsia="en-US"/>
        </w:rPr>
        <w:t>),</w:t>
      </w:r>
      <w:r w:rsidR="000A2A01" w:rsidRPr="007114AF">
        <w:rPr>
          <w:rFonts w:ascii="Garamond" w:eastAsiaTheme="minorHAnsi" w:hAnsi="Garamond"/>
          <w:sz w:val="24"/>
          <w:szCs w:val="24"/>
          <w:lang w:eastAsia="en-US"/>
        </w:rPr>
        <w:t xml:space="preserve"> </w:t>
      </w:r>
      <w:r w:rsidRPr="007114AF">
        <w:rPr>
          <w:rFonts w:ascii="Garamond" w:eastAsiaTheme="minorHAnsi" w:hAnsi="Garamond"/>
          <w:sz w:val="24"/>
          <w:szCs w:val="24"/>
          <w:lang w:eastAsia="en-US"/>
        </w:rPr>
        <w:t>2) kriteret që grumbullohen si informacion i dobishëm shtesë.</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4167"/>
        <w:gridCol w:w="1054"/>
        <w:gridCol w:w="3409"/>
        <w:gridCol w:w="918"/>
        <w:gridCol w:w="3934"/>
      </w:tblGrid>
      <w:tr w:rsidR="002F4BDF" w:rsidRPr="007114AF" w14:paraId="6EDD16C2" w14:textId="77777777" w:rsidTr="003305AE">
        <w:tc>
          <w:tcPr>
            <w:tcW w:w="1206" w:type="dxa"/>
            <w:shd w:val="clear" w:color="auto" w:fill="B6DDE8" w:themeFill="accent5" w:themeFillTint="66"/>
            <w:vAlign w:val="center"/>
          </w:tcPr>
          <w:p w14:paraId="6EDD16BC"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Rubrika në instrumentin e prioritetit</w:t>
            </w:r>
          </w:p>
        </w:tc>
        <w:tc>
          <w:tcPr>
            <w:tcW w:w="4167" w:type="dxa"/>
            <w:shd w:val="clear" w:color="auto" w:fill="B6DDE8" w:themeFill="accent5" w:themeFillTint="66"/>
            <w:vAlign w:val="center"/>
          </w:tcPr>
          <w:p w14:paraId="6EDD16BD"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Kriteri</w:t>
            </w:r>
          </w:p>
        </w:tc>
        <w:tc>
          <w:tcPr>
            <w:tcW w:w="1054" w:type="dxa"/>
            <w:shd w:val="clear" w:color="auto" w:fill="B6DDE8" w:themeFill="accent5" w:themeFillTint="66"/>
            <w:vAlign w:val="center"/>
          </w:tcPr>
          <w:p w14:paraId="6EDD16BE"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Përfshirë në rezultat</w:t>
            </w:r>
          </w:p>
        </w:tc>
        <w:tc>
          <w:tcPr>
            <w:tcW w:w="3409" w:type="dxa"/>
            <w:shd w:val="clear" w:color="auto" w:fill="B6DDE8" w:themeFill="accent5" w:themeFillTint="66"/>
            <w:vAlign w:val="center"/>
          </w:tcPr>
          <w:p w14:paraId="6EDD16BF"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Vlerat/kategoritë</w:t>
            </w:r>
          </w:p>
        </w:tc>
        <w:tc>
          <w:tcPr>
            <w:tcW w:w="918" w:type="dxa"/>
            <w:shd w:val="clear" w:color="auto" w:fill="B6DDE8" w:themeFill="accent5" w:themeFillTint="66"/>
            <w:vAlign w:val="center"/>
          </w:tcPr>
          <w:p w14:paraId="6EDD16C0"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Pesha</w:t>
            </w:r>
          </w:p>
        </w:tc>
        <w:tc>
          <w:tcPr>
            <w:tcW w:w="3934" w:type="dxa"/>
            <w:shd w:val="clear" w:color="auto" w:fill="B6DDE8" w:themeFill="accent5" w:themeFillTint="66"/>
            <w:vAlign w:val="center"/>
          </w:tcPr>
          <w:p w14:paraId="6EDD16C1"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Supozimi/shpjegimi për rëndësinë</w:t>
            </w:r>
          </w:p>
        </w:tc>
      </w:tr>
      <w:tr w:rsidR="002F4BDF" w:rsidRPr="007114AF" w14:paraId="6EDD16C9" w14:textId="77777777" w:rsidTr="003305AE">
        <w:tc>
          <w:tcPr>
            <w:tcW w:w="1206" w:type="dxa"/>
            <w:vAlign w:val="center"/>
          </w:tcPr>
          <w:p w14:paraId="6EDD16C3"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E</w:t>
            </w:r>
          </w:p>
        </w:tc>
        <w:tc>
          <w:tcPr>
            <w:tcW w:w="4167" w:type="dxa"/>
          </w:tcPr>
          <w:p w14:paraId="6EDD16C4"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A është procesi i aplikimit një proces konkurrues? </w:t>
            </w:r>
          </w:p>
        </w:tc>
        <w:tc>
          <w:tcPr>
            <w:tcW w:w="1054" w:type="dxa"/>
            <w:vAlign w:val="center"/>
          </w:tcPr>
          <w:p w14:paraId="6EDD16C5"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409" w:type="dxa"/>
          </w:tcPr>
          <w:p w14:paraId="6EDD16C6"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918" w:type="dxa"/>
            <w:vAlign w:val="center"/>
          </w:tcPr>
          <w:p w14:paraId="6EDD16C7"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934" w:type="dxa"/>
          </w:tcPr>
          <w:p w14:paraId="6EDD16C8" w14:textId="77777777" w:rsidR="002F4BDF" w:rsidRPr="007114AF" w:rsidRDefault="002F4BDF" w:rsidP="002F4BDF">
            <w:pPr>
              <w:spacing w:after="0" w:line="240" w:lineRule="auto"/>
              <w:jc w:val="left"/>
              <w:rPr>
                <w:rFonts w:ascii="Garamond" w:eastAsiaTheme="minorHAnsi" w:hAnsi="Garamond"/>
                <w:sz w:val="20"/>
                <w:szCs w:val="20"/>
                <w:lang w:eastAsia="en-US"/>
              </w:rPr>
            </w:pPr>
          </w:p>
        </w:tc>
      </w:tr>
      <w:tr w:rsidR="002F4BDF" w:rsidRPr="007114AF" w14:paraId="6EDD16D0" w14:textId="77777777" w:rsidTr="003305AE">
        <w:tc>
          <w:tcPr>
            <w:tcW w:w="1206" w:type="dxa"/>
            <w:vAlign w:val="center"/>
          </w:tcPr>
          <w:p w14:paraId="6EDD16CA"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F</w:t>
            </w:r>
          </w:p>
        </w:tc>
        <w:tc>
          <w:tcPr>
            <w:tcW w:w="4167" w:type="dxa"/>
          </w:tcPr>
          <w:p w14:paraId="6EDD16CB"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A është Shqipëria e pranueshme për marrjen e financimit nga fondi/investuesi?</w:t>
            </w:r>
          </w:p>
        </w:tc>
        <w:tc>
          <w:tcPr>
            <w:tcW w:w="1054" w:type="dxa"/>
            <w:vAlign w:val="center"/>
          </w:tcPr>
          <w:p w14:paraId="6EDD16CC"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409" w:type="dxa"/>
          </w:tcPr>
          <w:p w14:paraId="6EDD16CD"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918" w:type="dxa"/>
            <w:vAlign w:val="center"/>
          </w:tcPr>
          <w:p w14:paraId="6EDD16CE"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934" w:type="dxa"/>
          </w:tcPr>
          <w:p w14:paraId="6EDD16CF" w14:textId="77777777" w:rsidR="002F4BDF" w:rsidRPr="007114AF" w:rsidRDefault="002F4BDF" w:rsidP="002F4BDF">
            <w:pPr>
              <w:spacing w:after="0" w:line="240" w:lineRule="auto"/>
              <w:jc w:val="left"/>
              <w:rPr>
                <w:rFonts w:ascii="Garamond" w:eastAsiaTheme="minorHAnsi" w:hAnsi="Garamond"/>
                <w:sz w:val="20"/>
                <w:szCs w:val="20"/>
                <w:lang w:eastAsia="en-US"/>
              </w:rPr>
            </w:pPr>
          </w:p>
        </w:tc>
      </w:tr>
      <w:tr w:rsidR="002F4BDF" w:rsidRPr="007114AF" w14:paraId="6EDD16D9" w14:textId="77777777" w:rsidTr="003305AE">
        <w:trPr>
          <w:trHeight w:val="1786"/>
        </w:trPr>
        <w:tc>
          <w:tcPr>
            <w:tcW w:w="1206" w:type="dxa"/>
            <w:vAlign w:val="center"/>
          </w:tcPr>
          <w:p w14:paraId="6EDD16D1"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G</w:t>
            </w:r>
          </w:p>
        </w:tc>
        <w:tc>
          <w:tcPr>
            <w:tcW w:w="4167" w:type="dxa"/>
          </w:tcPr>
          <w:p w14:paraId="6EDD16D2"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A ka siguruar më parë fondi/investuesi fonde për Shqipërinë (gjatë 5 viteve të mëparshme)?</w:t>
            </w:r>
          </w:p>
        </w:tc>
        <w:tc>
          <w:tcPr>
            <w:tcW w:w="1054" w:type="dxa"/>
            <w:vAlign w:val="center"/>
          </w:tcPr>
          <w:p w14:paraId="6EDD16D3"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X</w:t>
            </w:r>
          </w:p>
        </w:tc>
        <w:tc>
          <w:tcPr>
            <w:tcW w:w="3409" w:type="dxa"/>
          </w:tcPr>
          <w:p w14:paraId="6EDD16D4"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në çdo sektor, pa vëmendje të veçantë ndaj përshtatjes</w:t>
            </w:r>
          </w:p>
          <w:p w14:paraId="6EDD16D5" w14:textId="711E7630" w:rsidR="002F4BDF" w:rsidRPr="007114AF" w:rsidRDefault="002F4BDF" w:rsidP="009B0B46">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2 = në sektor/projekte me objektiva të qart</w:t>
            </w:r>
            <w:r w:rsidR="009B0B46">
              <w:rPr>
                <w:rFonts w:ascii="Garamond" w:eastAsiaTheme="minorHAnsi" w:hAnsi="Garamond"/>
                <w:sz w:val="20"/>
                <w:szCs w:val="20"/>
                <w:lang w:eastAsia="en-US"/>
              </w:rPr>
              <w:t>ë</w:t>
            </w:r>
            <w:r w:rsidRPr="007114AF">
              <w:rPr>
                <w:rFonts w:ascii="Garamond" w:eastAsiaTheme="minorHAnsi" w:hAnsi="Garamond"/>
                <w:sz w:val="20"/>
                <w:szCs w:val="20"/>
                <w:lang w:eastAsia="en-US"/>
              </w:rPr>
              <w:t xml:space="preserve"> përshtatjeje </w:t>
            </w:r>
          </w:p>
        </w:tc>
        <w:tc>
          <w:tcPr>
            <w:tcW w:w="918" w:type="dxa"/>
            <w:vAlign w:val="center"/>
          </w:tcPr>
          <w:p w14:paraId="6EDD16D6"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3</w:t>
            </w:r>
          </w:p>
        </w:tc>
        <w:tc>
          <w:tcPr>
            <w:tcW w:w="3934" w:type="dxa"/>
          </w:tcPr>
          <w:p w14:paraId="6EDD16D7" w14:textId="7491F99E"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Donatorët/financuesit që kanë siguruar më parë financim, kanë më shumë gjasa të sigurojnë sërish financim, nëse nuk kanë një</w:t>
            </w:r>
            <w:r w:rsidR="000A2A01" w:rsidRPr="007114AF">
              <w:rPr>
                <w:rFonts w:ascii="Garamond" w:eastAsiaTheme="minorHAnsi" w:hAnsi="Garamond"/>
                <w:sz w:val="20"/>
                <w:szCs w:val="20"/>
                <w:lang w:eastAsia="en-US"/>
              </w:rPr>
              <w:t xml:space="preserve"> </w:t>
            </w:r>
            <w:r w:rsidRPr="007114AF">
              <w:rPr>
                <w:rFonts w:ascii="Garamond" w:eastAsiaTheme="minorHAnsi" w:hAnsi="Garamond"/>
                <w:sz w:val="20"/>
                <w:szCs w:val="20"/>
                <w:lang w:eastAsia="en-US"/>
              </w:rPr>
              <w:t>prag alokimi për vend/shtet.</w:t>
            </w:r>
          </w:p>
          <w:p w14:paraId="6EDD16D8" w14:textId="78128818"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Projekti i mëparshëm dhe përdorimi i fondeve ka sjellë rezultate pozitive dhe marrëdhënie të favorshme. Nëse jo, ky kriter mund të duhet të</w:t>
            </w:r>
            <w:r w:rsidR="000A2A01" w:rsidRPr="007114AF">
              <w:rPr>
                <w:rFonts w:ascii="Garamond" w:eastAsiaTheme="minorHAnsi" w:hAnsi="Garamond"/>
                <w:sz w:val="20"/>
                <w:szCs w:val="20"/>
                <w:lang w:eastAsia="en-US"/>
              </w:rPr>
              <w:t xml:space="preserve"> </w:t>
            </w:r>
            <w:r w:rsidRPr="007114AF">
              <w:rPr>
                <w:rFonts w:ascii="Garamond" w:eastAsiaTheme="minorHAnsi" w:hAnsi="Garamond"/>
                <w:sz w:val="20"/>
                <w:szCs w:val="20"/>
                <w:lang w:eastAsia="en-US"/>
              </w:rPr>
              <w:t>përjashtohet.</w:t>
            </w:r>
          </w:p>
        </w:tc>
      </w:tr>
      <w:tr w:rsidR="002F4BDF" w:rsidRPr="007114AF" w14:paraId="6EDD16E1" w14:textId="77777777" w:rsidTr="003305AE">
        <w:tc>
          <w:tcPr>
            <w:tcW w:w="1206" w:type="dxa"/>
            <w:vAlign w:val="center"/>
          </w:tcPr>
          <w:p w14:paraId="6EDD16DA"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H</w:t>
            </w:r>
          </w:p>
        </w:tc>
        <w:tc>
          <w:tcPr>
            <w:tcW w:w="4167" w:type="dxa"/>
          </w:tcPr>
          <w:p w14:paraId="6EDD16DB"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A ka fondi/investuesi një alokim/prag për një vend specifik? </w:t>
            </w:r>
          </w:p>
        </w:tc>
        <w:tc>
          <w:tcPr>
            <w:tcW w:w="1054" w:type="dxa"/>
            <w:vAlign w:val="center"/>
          </w:tcPr>
          <w:p w14:paraId="6EDD16DC"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409" w:type="dxa"/>
          </w:tcPr>
          <w:p w14:paraId="6EDD16DD"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jo</w:t>
            </w:r>
          </w:p>
          <w:p w14:paraId="6EDD16DE"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po</w:t>
            </w:r>
          </w:p>
        </w:tc>
        <w:tc>
          <w:tcPr>
            <w:tcW w:w="918" w:type="dxa"/>
            <w:vAlign w:val="center"/>
          </w:tcPr>
          <w:p w14:paraId="6EDD16DF"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934" w:type="dxa"/>
          </w:tcPr>
          <w:p w14:paraId="6EDD16E0" w14:textId="77777777" w:rsidR="002F4BDF" w:rsidRPr="007114AF" w:rsidRDefault="002F4BDF" w:rsidP="002F4BDF">
            <w:pPr>
              <w:spacing w:after="0" w:line="240" w:lineRule="auto"/>
              <w:jc w:val="left"/>
              <w:rPr>
                <w:rFonts w:ascii="Garamond" w:eastAsiaTheme="minorHAnsi" w:hAnsi="Garamond"/>
                <w:sz w:val="20"/>
                <w:szCs w:val="20"/>
                <w:lang w:eastAsia="en-US"/>
              </w:rPr>
            </w:pPr>
          </w:p>
        </w:tc>
      </w:tr>
      <w:tr w:rsidR="002F4BDF" w:rsidRPr="007114AF" w14:paraId="6EDD16E9" w14:textId="77777777" w:rsidTr="003305AE">
        <w:tc>
          <w:tcPr>
            <w:tcW w:w="1206" w:type="dxa"/>
            <w:vAlign w:val="center"/>
          </w:tcPr>
          <w:p w14:paraId="6EDD16E2"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I</w:t>
            </w:r>
          </w:p>
        </w:tc>
        <w:tc>
          <w:tcPr>
            <w:tcW w:w="4167" w:type="dxa"/>
          </w:tcPr>
          <w:p w14:paraId="6EDD16E3" w14:textId="51802924"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A ka marrë Shqipëria një përqindje të konsiderueshme (më shumë se</w:t>
            </w:r>
            <w:r w:rsidR="000A2A01" w:rsidRPr="007114AF">
              <w:rPr>
                <w:rFonts w:ascii="Garamond" w:eastAsiaTheme="minorHAnsi" w:hAnsi="Garamond"/>
                <w:sz w:val="20"/>
                <w:szCs w:val="20"/>
                <w:lang w:eastAsia="en-US"/>
              </w:rPr>
              <w:t xml:space="preserve"> </w:t>
            </w:r>
            <w:r w:rsidRPr="007114AF">
              <w:rPr>
                <w:rFonts w:ascii="Garamond" w:eastAsiaTheme="minorHAnsi" w:hAnsi="Garamond"/>
                <w:sz w:val="20"/>
                <w:szCs w:val="20"/>
                <w:lang w:eastAsia="en-US"/>
              </w:rPr>
              <w:t>50%) të këtij alokimi/ pragu?</w:t>
            </w:r>
          </w:p>
        </w:tc>
        <w:tc>
          <w:tcPr>
            <w:tcW w:w="1054" w:type="dxa"/>
            <w:vAlign w:val="center"/>
          </w:tcPr>
          <w:p w14:paraId="6EDD16E4"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409" w:type="dxa"/>
          </w:tcPr>
          <w:p w14:paraId="6EDD16E5"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po</w:t>
            </w:r>
          </w:p>
          <w:p w14:paraId="6EDD16E6"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jo</w:t>
            </w:r>
          </w:p>
        </w:tc>
        <w:tc>
          <w:tcPr>
            <w:tcW w:w="918" w:type="dxa"/>
            <w:vAlign w:val="center"/>
          </w:tcPr>
          <w:p w14:paraId="6EDD16E7"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934" w:type="dxa"/>
          </w:tcPr>
          <w:p w14:paraId="6EDD16E8" w14:textId="77777777" w:rsidR="002F4BDF" w:rsidRPr="007114AF" w:rsidRDefault="002F4BDF" w:rsidP="002F4BDF">
            <w:pPr>
              <w:spacing w:after="0" w:line="240" w:lineRule="auto"/>
              <w:jc w:val="left"/>
              <w:rPr>
                <w:rFonts w:ascii="Garamond" w:eastAsiaTheme="minorHAnsi" w:hAnsi="Garamond"/>
                <w:sz w:val="20"/>
                <w:szCs w:val="20"/>
                <w:lang w:eastAsia="en-US"/>
              </w:rPr>
            </w:pPr>
          </w:p>
        </w:tc>
      </w:tr>
      <w:tr w:rsidR="002F4BDF" w:rsidRPr="007114AF" w14:paraId="6EDD16F1" w14:textId="77777777" w:rsidTr="003305AE">
        <w:tc>
          <w:tcPr>
            <w:tcW w:w="1206" w:type="dxa"/>
            <w:vAlign w:val="center"/>
          </w:tcPr>
          <w:p w14:paraId="6EDD16EA"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J</w:t>
            </w:r>
          </w:p>
        </w:tc>
        <w:tc>
          <w:tcPr>
            <w:tcW w:w="4167" w:type="dxa"/>
          </w:tcPr>
          <w:p w14:paraId="6EDD16EB"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A jep grante fondi/investuesi? </w:t>
            </w:r>
          </w:p>
        </w:tc>
        <w:tc>
          <w:tcPr>
            <w:tcW w:w="1054" w:type="dxa"/>
            <w:vAlign w:val="center"/>
          </w:tcPr>
          <w:p w14:paraId="6EDD16EC"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X</w:t>
            </w:r>
          </w:p>
        </w:tc>
        <w:tc>
          <w:tcPr>
            <w:tcW w:w="3409" w:type="dxa"/>
          </w:tcPr>
          <w:p w14:paraId="6EDD16ED"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jo</w:t>
            </w:r>
          </w:p>
          <w:p w14:paraId="6EDD16EE"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po</w:t>
            </w:r>
          </w:p>
        </w:tc>
        <w:tc>
          <w:tcPr>
            <w:tcW w:w="918" w:type="dxa"/>
            <w:vAlign w:val="center"/>
          </w:tcPr>
          <w:p w14:paraId="6EDD16EF"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w:t>
            </w:r>
          </w:p>
        </w:tc>
        <w:tc>
          <w:tcPr>
            <w:tcW w:w="3934" w:type="dxa"/>
          </w:tcPr>
          <w:p w14:paraId="6EDD16F0"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Duke pasur parasysh çështjet aktuale të huamarrjes, donatorët/financuesit që ofrojnë grante, kanë prioritet.</w:t>
            </w:r>
          </w:p>
        </w:tc>
      </w:tr>
      <w:tr w:rsidR="002F4BDF" w:rsidRPr="007114AF" w14:paraId="6EDD16F9" w14:textId="77777777" w:rsidTr="003305AE">
        <w:trPr>
          <w:trHeight w:val="469"/>
        </w:trPr>
        <w:tc>
          <w:tcPr>
            <w:tcW w:w="1206" w:type="dxa"/>
            <w:vAlign w:val="center"/>
          </w:tcPr>
          <w:p w14:paraId="6EDD16F2"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K</w:t>
            </w:r>
          </w:p>
        </w:tc>
        <w:tc>
          <w:tcPr>
            <w:tcW w:w="4167" w:type="dxa"/>
          </w:tcPr>
          <w:p w14:paraId="6EDD16F3"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A kërkon financuesi/investuesi bashkëfinancim? </w:t>
            </w:r>
          </w:p>
        </w:tc>
        <w:tc>
          <w:tcPr>
            <w:tcW w:w="1054" w:type="dxa"/>
            <w:vAlign w:val="center"/>
          </w:tcPr>
          <w:p w14:paraId="6EDD16F4"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409" w:type="dxa"/>
          </w:tcPr>
          <w:p w14:paraId="6EDD16F5"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jo</w:t>
            </w:r>
          </w:p>
          <w:p w14:paraId="6EDD16F6"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po</w:t>
            </w:r>
          </w:p>
        </w:tc>
        <w:tc>
          <w:tcPr>
            <w:tcW w:w="918" w:type="dxa"/>
            <w:vAlign w:val="center"/>
          </w:tcPr>
          <w:p w14:paraId="6EDD16F7"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934" w:type="dxa"/>
          </w:tcPr>
          <w:p w14:paraId="6EDD16F8" w14:textId="77777777" w:rsidR="002F4BDF" w:rsidRPr="007114AF" w:rsidRDefault="002F4BDF" w:rsidP="002F4BDF">
            <w:pPr>
              <w:spacing w:after="0" w:line="240" w:lineRule="auto"/>
              <w:jc w:val="left"/>
              <w:rPr>
                <w:rFonts w:ascii="Garamond" w:eastAsiaTheme="minorHAnsi" w:hAnsi="Garamond"/>
                <w:sz w:val="20"/>
                <w:szCs w:val="20"/>
                <w:lang w:eastAsia="en-US"/>
              </w:rPr>
            </w:pPr>
          </w:p>
        </w:tc>
      </w:tr>
      <w:tr w:rsidR="002F4BDF" w:rsidRPr="007114AF" w14:paraId="6EDD1702" w14:textId="77777777" w:rsidTr="003305AE">
        <w:tc>
          <w:tcPr>
            <w:tcW w:w="1206" w:type="dxa"/>
            <w:vAlign w:val="center"/>
          </w:tcPr>
          <w:p w14:paraId="6EDD16FA"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L</w:t>
            </w:r>
          </w:p>
        </w:tc>
        <w:tc>
          <w:tcPr>
            <w:tcW w:w="4167" w:type="dxa"/>
          </w:tcPr>
          <w:p w14:paraId="6EDD16FB" w14:textId="5B0627BA"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Shkalla e fokusit për përshtatjen në strategjinë e financimit (për Shqipërinë)</w:t>
            </w:r>
            <w:r w:rsidR="000A2A01" w:rsidRPr="007114AF">
              <w:rPr>
                <w:rFonts w:ascii="Garamond" w:eastAsiaTheme="minorHAnsi" w:hAnsi="Garamond"/>
                <w:sz w:val="20"/>
                <w:szCs w:val="20"/>
                <w:lang w:eastAsia="en-US"/>
              </w:rPr>
              <w:t xml:space="preserve"> </w:t>
            </w:r>
          </w:p>
        </w:tc>
        <w:tc>
          <w:tcPr>
            <w:tcW w:w="1054" w:type="dxa"/>
            <w:vAlign w:val="center"/>
          </w:tcPr>
          <w:p w14:paraId="6EDD16FC"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X</w:t>
            </w:r>
          </w:p>
        </w:tc>
        <w:tc>
          <w:tcPr>
            <w:tcW w:w="3409" w:type="dxa"/>
          </w:tcPr>
          <w:p w14:paraId="6EDD16FD" w14:textId="248C6D50"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përshtatja nuk është marrë në konsideratë</w:t>
            </w:r>
            <w:r w:rsidR="000A2A01" w:rsidRPr="007114AF">
              <w:rPr>
                <w:rFonts w:ascii="Garamond" w:eastAsiaTheme="minorHAnsi" w:hAnsi="Garamond"/>
                <w:sz w:val="20"/>
                <w:szCs w:val="20"/>
                <w:lang w:eastAsia="en-US"/>
              </w:rPr>
              <w:t xml:space="preserve"> </w:t>
            </w:r>
          </w:p>
          <w:p w14:paraId="6EDD16FE"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objektivat e përshtatjes nuk janë synuar qartë, por përmenden si bashkëpërfitim</w:t>
            </w:r>
          </w:p>
          <w:p w14:paraId="6EDD16FF"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2 = financimi fokusohet në objektivat e përshtatjes</w:t>
            </w:r>
          </w:p>
        </w:tc>
        <w:tc>
          <w:tcPr>
            <w:tcW w:w="918" w:type="dxa"/>
            <w:vAlign w:val="center"/>
          </w:tcPr>
          <w:p w14:paraId="6EDD1700"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w:t>
            </w:r>
          </w:p>
        </w:tc>
        <w:tc>
          <w:tcPr>
            <w:tcW w:w="3934" w:type="dxa"/>
          </w:tcPr>
          <w:p w14:paraId="6EDD1701" w14:textId="77777777" w:rsidR="002F4BDF" w:rsidRPr="007114AF" w:rsidRDefault="002F4BDF" w:rsidP="002F4BDF">
            <w:pPr>
              <w:spacing w:after="0" w:line="240" w:lineRule="auto"/>
              <w:jc w:val="left"/>
              <w:rPr>
                <w:rFonts w:ascii="Garamond" w:eastAsiaTheme="minorHAnsi" w:hAnsi="Garamond"/>
                <w:sz w:val="20"/>
                <w:szCs w:val="20"/>
                <w:lang w:eastAsia="en-US"/>
              </w:rPr>
            </w:pPr>
          </w:p>
        </w:tc>
      </w:tr>
      <w:tr w:rsidR="002F4BDF" w:rsidRPr="007114AF" w14:paraId="6EDD170D" w14:textId="77777777" w:rsidTr="003305AE">
        <w:tc>
          <w:tcPr>
            <w:tcW w:w="1206" w:type="dxa"/>
            <w:vAlign w:val="center"/>
          </w:tcPr>
          <w:p w14:paraId="6EDD1703"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M</w:t>
            </w:r>
          </w:p>
        </w:tc>
        <w:tc>
          <w:tcPr>
            <w:tcW w:w="4167" w:type="dxa"/>
          </w:tcPr>
          <w:p w14:paraId="6EDD1704"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Madhësia e fondeve potencialisht të disponueshme (duke marrë gjithashtu parasysh shumat e mëparshme të financimit).</w:t>
            </w:r>
          </w:p>
        </w:tc>
        <w:tc>
          <w:tcPr>
            <w:tcW w:w="1054" w:type="dxa"/>
            <w:vAlign w:val="center"/>
          </w:tcPr>
          <w:p w14:paraId="6EDD1705"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X</w:t>
            </w:r>
          </w:p>
        </w:tc>
        <w:tc>
          <w:tcPr>
            <w:tcW w:w="3409" w:type="dxa"/>
          </w:tcPr>
          <w:p w14:paraId="6EDD1706"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&lt; 100.000 USD</w:t>
            </w:r>
          </w:p>
          <w:p w14:paraId="6EDD1707" w14:textId="7B3C75F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2= 100.000 – 1 </w:t>
            </w:r>
            <w:r w:rsidR="001C47F0" w:rsidRPr="007114AF">
              <w:rPr>
                <w:rFonts w:ascii="Garamond" w:eastAsiaTheme="minorHAnsi" w:hAnsi="Garamond"/>
                <w:sz w:val="20"/>
                <w:szCs w:val="20"/>
                <w:lang w:eastAsia="en-US"/>
              </w:rPr>
              <w:t xml:space="preserve">milion </w:t>
            </w:r>
            <w:r w:rsidRPr="007114AF">
              <w:rPr>
                <w:rFonts w:ascii="Garamond" w:eastAsiaTheme="minorHAnsi" w:hAnsi="Garamond"/>
                <w:sz w:val="20"/>
                <w:szCs w:val="20"/>
                <w:lang w:eastAsia="en-US"/>
              </w:rPr>
              <w:t>USD</w:t>
            </w:r>
          </w:p>
          <w:p w14:paraId="6EDD1708" w14:textId="59866B9B"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3= &gt; 1 </w:t>
            </w:r>
            <w:r w:rsidR="001C47F0" w:rsidRPr="007114AF">
              <w:rPr>
                <w:rFonts w:ascii="Garamond" w:eastAsiaTheme="minorHAnsi" w:hAnsi="Garamond"/>
                <w:sz w:val="20"/>
                <w:szCs w:val="20"/>
                <w:lang w:eastAsia="en-US"/>
              </w:rPr>
              <w:t xml:space="preserve">milion </w:t>
            </w:r>
            <w:r w:rsidRPr="007114AF">
              <w:rPr>
                <w:rFonts w:ascii="Garamond" w:eastAsiaTheme="minorHAnsi" w:hAnsi="Garamond"/>
                <w:sz w:val="20"/>
                <w:szCs w:val="20"/>
                <w:lang w:eastAsia="en-US"/>
              </w:rPr>
              <w:t>USD</w:t>
            </w:r>
          </w:p>
          <w:p w14:paraId="6EDD1709" w14:textId="1361CF13"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4= &gt; 3 </w:t>
            </w:r>
            <w:r w:rsidR="001C47F0" w:rsidRPr="007114AF">
              <w:rPr>
                <w:rFonts w:ascii="Garamond" w:eastAsiaTheme="minorHAnsi" w:hAnsi="Garamond"/>
                <w:sz w:val="20"/>
                <w:szCs w:val="20"/>
                <w:lang w:eastAsia="en-US"/>
              </w:rPr>
              <w:t xml:space="preserve">milionë </w:t>
            </w:r>
            <w:r w:rsidRPr="007114AF">
              <w:rPr>
                <w:rFonts w:ascii="Garamond" w:eastAsiaTheme="minorHAnsi" w:hAnsi="Garamond"/>
                <w:sz w:val="20"/>
                <w:szCs w:val="20"/>
                <w:lang w:eastAsia="en-US"/>
              </w:rPr>
              <w:t xml:space="preserve">USD </w:t>
            </w:r>
          </w:p>
        </w:tc>
        <w:tc>
          <w:tcPr>
            <w:tcW w:w="918" w:type="dxa"/>
            <w:vAlign w:val="center"/>
          </w:tcPr>
          <w:p w14:paraId="6EDD170A"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0.5</w:t>
            </w:r>
          </w:p>
          <w:p w14:paraId="6EDD170B"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934" w:type="dxa"/>
          </w:tcPr>
          <w:p w14:paraId="6EDD170C"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Në veçanti, fondet/investuesit që janë </w:t>
            </w:r>
          </w:p>
        </w:tc>
      </w:tr>
      <w:tr w:rsidR="002F4BDF" w:rsidRPr="007114AF" w14:paraId="6EDD1715" w14:textId="77777777" w:rsidTr="003305AE">
        <w:tc>
          <w:tcPr>
            <w:tcW w:w="1206" w:type="dxa"/>
            <w:vAlign w:val="center"/>
          </w:tcPr>
          <w:p w14:paraId="6EDD170E"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N</w:t>
            </w:r>
          </w:p>
        </w:tc>
        <w:tc>
          <w:tcPr>
            <w:tcW w:w="4167" w:type="dxa"/>
          </w:tcPr>
          <w:p w14:paraId="6EDD170F"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A siguron fondi/investuesi fonde/mbështetje për përgatitjen e projektit?</w:t>
            </w:r>
          </w:p>
        </w:tc>
        <w:tc>
          <w:tcPr>
            <w:tcW w:w="1054" w:type="dxa"/>
            <w:vAlign w:val="center"/>
          </w:tcPr>
          <w:p w14:paraId="6EDD1710"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409" w:type="dxa"/>
          </w:tcPr>
          <w:p w14:paraId="6EDD1711"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jo</w:t>
            </w:r>
          </w:p>
          <w:p w14:paraId="6EDD1712"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po</w:t>
            </w:r>
          </w:p>
        </w:tc>
        <w:tc>
          <w:tcPr>
            <w:tcW w:w="918" w:type="dxa"/>
            <w:vAlign w:val="center"/>
          </w:tcPr>
          <w:p w14:paraId="6EDD1713"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934" w:type="dxa"/>
          </w:tcPr>
          <w:p w14:paraId="6EDD1714" w14:textId="77777777" w:rsidR="002F4BDF" w:rsidRPr="007114AF" w:rsidRDefault="002F4BDF" w:rsidP="002F4BDF">
            <w:pPr>
              <w:spacing w:after="0" w:line="240" w:lineRule="auto"/>
              <w:jc w:val="left"/>
              <w:rPr>
                <w:rFonts w:ascii="Garamond" w:eastAsiaTheme="minorHAnsi" w:hAnsi="Garamond"/>
                <w:sz w:val="20"/>
                <w:szCs w:val="20"/>
                <w:lang w:eastAsia="en-US"/>
              </w:rPr>
            </w:pPr>
          </w:p>
        </w:tc>
      </w:tr>
      <w:tr w:rsidR="002F4BDF" w:rsidRPr="007114AF" w14:paraId="6EDD171D" w14:textId="77777777" w:rsidTr="003305AE">
        <w:tc>
          <w:tcPr>
            <w:tcW w:w="1206" w:type="dxa"/>
            <w:vAlign w:val="center"/>
          </w:tcPr>
          <w:p w14:paraId="6EDD1716"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R</w:t>
            </w:r>
          </w:p>
        </w:tc>
        <w:tc>
          <w:tcPr>
            <w:tcW w:w="4167" w:type="dxa"/>
          </w:tcPr>
          <w:p w14:paraId="6EDD1717"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A siguron fondi/investuesi financim për projektet e investimit?</w:t>
            </w:r>
          </w:p>
        </w:tc>
        <w:tc>
          <w:tcPr>
            <w:tcW w:w="1054" w:type="dxa"/>
            <w:vAlign w:val="center"/>
          </w:tcPr>
          <w:p w14:paraId="6EDD1718"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X</w:t>
            </w:r>
          </w:p>
        </w:tc>
        <w:tc>
          <w:tcPr>
            <w:tcW w:w="3409" w:type="dxa"/>
          </w:tcPr>
          <w:p w14:paraId="6EDD1719"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jo</w:t>
            </w:r>
          </w:p>
          <w:p w14:paraId="6EDD171A"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po</w:t>
            </w:r>
          </w:p>
        </w:tc>
        <w:tc>
          <w:tcPr>
            <w:tcW w:w="918" w:type="dxa"/>
            <w:vAlign w:val="center"/>
          </w:tcPr>
          <w:p w14:paraId="6EDD171B"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w:t>
            </w:r>
          </w:p>
        </w:tc>
        <w:tc>
          <w:tcPr>
            <w:tcW w:w="3934" w:type="dxa"/>
          </w:tcPr>
          <w:p w14:paraId="6EDD171C"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Në funksion të PA 8-15</w:t>
            </w:r>
          </w:p>
        </w:tc>
      </w:tr>
      <w:tr w:rsidR="002F4BDF" w:rsidRPr="007114AF" w14:paraId="6EDD1725" w14:textId="77777777" w:rsidTr="003305AE">
        <w:tc>
          <w:tcPr>
            <w:tcW w:w="1206" w:type="dxa"/>
            <w:vAlign w:val="center"/>
          </w:tcPr>
          <w:p w14:paraId="6EDD171E"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P</w:t>
            </w:r>
          </w:p>
        </w:tc>
        <w:tc>
          <w:tcPr>
            <w:tcW w:w="4167" w:type="dxa"/>
          </w:tcPr>
          <w:p w14:paraId="6EDD171F"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A siguron fondi/investuesi financim për asistencën teknike?</w:t>
            </w:r>
          </w:p>
        </w:tc>
        <w:tc>
          <w:tcPr>
            <w:tcW w:w="1054" w:type="dxa"/>
            <w:vAlign w:val="center"/>
          </w:tcPr>
          <w:p w14:paraId="6EDD1720"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409" w:type="dxa"/>
          </w:tcPr>
          <w:p w14:paraId="6EDD1721"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jo</w:t>
            </w:r>
          </w:p>
          <w:p w14:paraId="6EDD1722"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po</w:t>
            </w:r>
          </w:p>
        </w:tc>
        <w:tc>
          <w:tcPr>
            <w:tcW w:w="918" w:type="dxa"/>
            <w:vAlign w:val="center"/>
          </w:tcPr>
          <w:p w14:paraId="6EDD1723"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934" w:type="dxa"/>
          </w:tcPr>
          <w:p w14:paraId="6EDD1724" w14:textId="77777777" w:rsidR="002F4BDF" w:rsidRPr="007114AF" w:rsidRDefault="002F4BDF" w:rsidP="002F4BDF">
            <w:pPr>
              <w:spacing w:after="0" w:line="240" w:lineRule="auto"/>
              <w:jc w:val="left"/>
              <w:rPr>
                <w:rFonts w:ascii="Garamond" w:eastAsiaTheme="minorHAnsi" w:hAnsi="Garamond"/>
                <w:sz w:val="20"/>
                <w:szCs w:val="20"/>
                <w:lang w:eastAsia="en-US"/>
              </w:rPr>
            </w:pPr>
          </w:p>
        </w:tc>
      </w:tr>
      <w:tr w:rsidR="002F4BDF" w:rsidRPr="007114AF" w14:paraId="6EDD172D" w14:textId="77777777" w:rsidTr="003305AE">
        <w:tc>
          <w:tcPr>
            <w:tcW w:w="1206" w:type="dxa"/>
            <w:vAlign w:val="center"/>
          </w:tcPr>
          <w:p w14:paraId="6EDD1726"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Q</w:t>
            </w:r>
          </w:p>
        </w:tc>
        <w:tc>
          <w:tcPr>
            <w:tcW w:w="4167" w:type="dxa"/>
          </w:tcPr>
          <w:p w14:paraId="6EDD1727"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A siguron fondi/investuesi financim për trajnim dhe ndërtim kapacitetesh?</w:t>
            </w:r>
          </w:p>
        </w:tc>
        <w:tc>
          <w:tcPr>
            <w:tcW w:w="1054" w:type="dxa"/>
            <w:vAlign w:val="center"/>
          </w:tcPr>
          <w:p w14:paraId="6EDD1728"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409" w:type="dxa"/>
          </w:tcPr>
          <w:p w14:paraId="6EDD1729"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jo</w:t>
            </w:r>
          </w:p>
          <w:p w14:paraId="6EDD172A"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po</w:t>
            </w:r>
          </w:p>
        </w:tc>
        <w:tc>
          <w:tcPr>
            <w:tcW w:w="918" w:type="dxa"/>
            <w:vAlign w:val="center"/>
          </w:tcPr>
          <w:p w14:paraId="6EDD172B" w14:textId="77777777" w:rsidR="002F4BDF" w:rsidRPr="007114AF" w:rsidRDefault="002F4BDF" w:rsidP="002F4BDF">
            <w:pPr>
              <w:spacing w:after="0" w:line="240" w:lineRule="auto"/>
              <w:jc w:val="left"/>
              <w:rPr>
                <w:rFonts w:ascii="Garamond" w:eastAsiaTheme="minorHAnsi" w:hAnsi="Garamond"/>
                <w:sz w:val="20"/>
                <w:szCs w:val="20"/>
                <w:lang w:eastAsia="en-US"/>
              </w:rPr>
            </w:pPr>
          </w:p>
        </w:tc>
        <w:tc>
          <w:tcPr>
            <w:tcW w:w="3934" w:type="dxa"/>
          </w:tcPr>
          <w:p w14:paraId="6EDD172C" w14:textId="77777777" w:rsidR="002F4BDF" w:rsidRPr="007114AF" w:rsidRDefault="002F4BDF" w:rsidP="002F4BDF">
            <w:pPr>
              <w:spacing w:after="0" w:line="240" w:lineRule="auto"/>
              <w:jc w:val="left"/>
              <w:rPr>
                <w:rFonts w:ascii="Garamond" w:eastAsiaTheme="minorHAnsi" w:hAnsi="Garamond"/>
                <w:sz w:val="20"/>
                <w:szCs w:val="20"/>
                <w:lang w:eastAsia="en-US"/>
              </w:rPr>
            </w:pPr>
          </w:p>
        </w:tc>
      </w:tr>
      <w:tr w:rsidR="002F4BDF" w:rsidRPr="007114AF" w14:paraId="6EDD1735" w14:textId="77777777" w:rsidTr="003305AE">
        <w:tc>
          <w:tcPr>
            <w:tcW w:w="1206" w:type="dxa"/>
            <w:vAlign w:val="center"/>
          </w:tcPr>
          <w:p w14:paraId="6EDD172E"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O</w:t>
            </w:r>
          </w:p>
        </w:tc>
        <w:tc>
          <w:tcPr>
            <w:tcW w:w="4167" w:type="dxa"/>
          </w:tcPr>
          <w:p w14:paraId="6EDD172F"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 xml:space="preserve">A siguron fondi/investuesi financim për forcim institucional/procese të politikave/koordinimit? </w:t>
            </w:r>
          </w:p>
        </w:tc>
        <w:tc>
          <w:tcPr>
            <w:tcW w:w="1054" w:type="dxa"/>
            <w:vAlign w:val="center"/>
          </w:tcPr>
          <w:p w14:paraId="6EDD1730"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X</w:t>
            </w:r>
          </w:p>
        </w:tc>
        <w:tc>
          <w:tcPr>
            <w:tcW w:w="3409" w:type="dxa"/>
          </w:tcPr>
          <w:p w14:paraId="6EDD1731"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jo</w:t>
            </w:r>
          </w:p>
          <w:p w14:paraId="6EDD1732"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po</w:t>
            </w:r>
          </w:p>
        </w:tc>
        <w:tc>
          <w:tcPr>
            <w:tcW w:w="918" w:type="dxa"/>
            <w:vAlign w:val="center"/>
          </w:tcPr>
          <w:p w14:paraId="6EDD1733"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w:t>
            </w:r>
          </w:p>
        </w:tc>
        <w:tc>
          <w:tcPr>
            <w:tcW w:w="3934" w:type="dxa"/>
          </w:tcPr>
          <w:p w14:paraId="6EDD1734"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Në funksion të PA 1-7</w:t>
            </w:r>
          </w:p>
        </w:tc>
      </w:tr>
      <w:tr w:rsidR="002F4BDF" w:rsidRPr="007114AF" w14:paraId="6EDD1744" w14:textId="77777777" w:rsidTr="003305AE">
        <w:tc>
          <w:tcPr>
            <w:tcW w:w="1206" w:type="dxa"/>
            <w:vAlign w:val="center"/>
          </w:tcPr>
          <w:p w14:paraId="6EDD1736"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S-Y</w:t>
            </w:r>
          </w:p>
        </w:tc>
        <w:tc>
          <w:tcPr>
            <w:tcW w:w="4167" w:type="dxa"/>
          </w:tcPr>
          <w:p w14:paraId="6EDD1737"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A siguron fondi/investuesi financim në sektorët e mëposhtëm:</w:t>
            </w:r>
          </w:p>
          <w:p w14:paraId="6EDD1738" w14:textId="77777777" w:rsidR="002F4BDF" w:rsidRPr="007114AF" w:rsidRDefault="002F4BDF" w:rsidP="002F4BDF">
            <w:pPr>
              <w:numPr>
                <w:ilvl w:val="0"/>
                <w:numId w:val="82"/>
              </w:numPr>
              <w:spacing w:after="0" w:line="240" w:lineRule="auto"/>
              <w:ind w:left="0" w:firstLine="0"/>
              <w:contextualSpacing/>
              <w:jc w:val="left"/>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ujë, ujitje dhe mbrojtje nga përmbytjet</w:t>
            </w:r>
          </w:p>
          <w:p w14:paraId="6EDD1739" w14:textId="77777777" w:rsidR="002F4BDF" w:rsidRPr="007114AF" w:rsidRDefault="002F4BDF" w:rsidP="002F4BDF">
            <w:pPr>
              <w:numPr>
                <w:ilvl w:val="0"/>
                <w:numId w:val="82"/>
              </w:numPr>
              <w:spacing w:after="0" w:line="240" w:lineRule="auto"/>
              <w:ind w:left="0" w:firstLine="0"/>
              <w:contextualSpacing/>
              <w:jc w:val="left"/>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bujqësi</w:t>
            </w:r>
          </w:p>
          <w:p w14:paraId="6EDD173A" w14:textId="77777777" w:rsidR="002F4BDF" w:rsidRPr="007114AF" w:rsidRDefault="002F4BDF" w:rsidP="002F4BDF">
            <w:pPr>
              <w:numPr>
                <w:ilvl w:val="0"/>
                <w:numId w:val="82"/>
              </w:numPr>
              <w:spacing w:after="0" w:line="240" w:lineRule="auto"/>
              <w:ind w:left="0" w:firstLine="0"/>
              <w:contextualSpacing/>
              <w:jc w:val="left"/>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shëndetësi</w:t>
            </w:r>
          </w:p>
          <w:p w14:paraId="6EDD173B" w14:textId="77777777" w:rsidR="002F4BDF" w:rsidRPr="007114AF" w:rsidRDefault="002F4BDF" w:rsidP="002F4BDF">
            <w:pPr>
              <w:numPr>
                <w:ilvl w:val="0"/>
                <w:numId w:val="82"/>
              </w:numPr>
              <w:spacing w:after="0" w:line="240" w:lineRule="auto"/>
              <w:ind w:left="0" w:firstLine="0"/>
              <w:contextualSpacing/>
              <w:jc w:val="left"/>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menaxhim/mbrojtje e bregdetit</w:t>
            </w:r>
          </w:p>
          <w:p w14:paraId="6EDD173C" w14:textId="77777777" w:rsidR="002F4BDF" w:rsidRPr="007114AF" w:rsidRDefault="002F4BDF" w:rsidP="002F4BDF">
            <w:pPr>
              <w:numPr>
                <w:ilvl w:val="0"/>
                <w:numId w:val="82"/>
              </w:numPr>
              <w:spacing w:after="0" w:line="240" w:lineRule="auto"/>
              <w:ind w:left="0" w:firstLine="0"/>
              <w:contextualSpacing/>
              <w:jc w:val="left"/>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urban</w:t>
            </w:r>
          </w:p>
          <w:p w14:paraId="6EDD173D" w14:textId="77777777" w:rsidR="002F4BDF" w:rsidRPr="007114AF" w:rsidRDefault="002F4BDF" w:rsidP="002F4BDF">
            <w:pPr>
              <w:numPr>
                <w:ilvl w:val="0"/>
                <w:numId w:val="82"/>
              </w:numPr>
              <w:spacing w:after="0" w:line="240" w:lineRule="auto"/>
              <w:ind w:left="0" w:firstLine="0"/>
              <w:contextualSpacing/>
              <w:jc w:val="left"/>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turizëm</w:t>
            </w:r>
          </w:p>
          <w:p w14:paraId="6EDD173E" w14:textId="77777777" w:rsidR="002F4BDF" w:rsidRPr="007114AF" w:rsidRDefault="002F4BDF" w:rsidP="002F4BDF">
            <w:pPr>
              <w:numPr>
                <w:ilvl w:val="0"/>
                <w:numId w:val="82"/>
              </w:numPr>
              <w:spacing w:after="0" w:line="240" w:lineRule="auto"/>
              <w:ind w:left="0" w:firstLine="0"/>
              <w:contextualSpacing/>
              <w:jc w:val="left"/>
              <w:rPr>
                <w:rFonts w:ascii="Garamond" w:eastAsia="Times New Roman" w:hAnsi="Garamond" w:cs="Times New Roman"/>
                <w:sz w:val="20"/>
                <w:szCs w:val="20"/>
                <w:lang w:eastAsia="en-US"/>
              </w:rPr>
            </w:pPr>
            <w:r w:rsidRPr="007114AF">
              <w:rPr>
                <w:rFonts w:ascii="Garamond" w:eastAsia="Times New Roman" w:hAnsi="Garamond" w:cs="Times New Roman"/>
                <w:sz w:val="20"/>
                <w:szCs w:val="20"/>
                <w:lang w:eastAsia="en-US"/>
              </w:rPr>
              <w:t>ulja e rrezikut nga fatkeqësitë/ gatishmëria</w:t>
            </w:r>
          </w:p>
        </w:tc>
        <w:tc>
          <w:tcPr>
            <w:tcW w:w="1054" w:type="dxa"/>
            <w:vAlign w:val="center"/>
          </w:tcPr>
          <w:p w14:paraId="6EDD173F"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X</w:t>
            </w:r>
          </w:p>
        </w:tc>
        <w:tc>
          <w:tcPr>
            <w:tcW w:w="3409" w:type="dxa"/>
          </w:tcPr>
          <w:p w14:paraId="6EDD1740"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0 = jo</w:t>
            </w:r>
          </w:p>
          <w:p w14:paraId="6EDD1741"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 = po</w:t>
            </w:r>
          </w:p>
        </w:tc>
        <w:tc>
          <w:tcPr>
            <w:tcW w:w="918" w:type="dxa"/>
            <w:vAlign w:val="center"/>
          </w:tcPr>
          <w:p w14:paraId="6EDD1742"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1</w:t>
            </w:r>
          </w:p>
        </w:tc>
        <w:tc>
          <w:tcPr>
            <w:tcW w:w="3934" w:type="dxa"/>
          </w:tcPr>
          <w:p w14:paraId="6EDD1743" w14:textId="77777777" w:rsidR="002F4BDF" w:rsidRPr="007114AF" w:rsidRDefault="002F4BDF" w:rsidP="002F4BDF">
            <w:pPr>
              <w:spacing w:after="0" w:line="240" w:lineRule="auto"/>
              <w:jc w:val="left"/>
              <w:rPr>
                <w:rFonts w:ascii="Garamond" w:eastAsiaTheme="minorHAnsi" w:hAnsi="Garamond"/>
                <w:sz w:val="20"/>
                <w:szCs w:val="20"/>
                <w:lang w:eastAsia="en-US"/>
              </w:rPr>
            </w:pPr>
            <w:r w:rsidRPr="007114AF">
              <w:rPr>
                <w:rFonts w:ascii="Garamond" w:eastAsiaTheme="minorHAnsi" w:hAnsi="Garamond"/>
                <w:sz w:val="20"/>
                <w:szCs w:val="20"/>
                <w:lang w:eastAsia="en-US"/>
              </w:rPr>
              <w:t>Në funksion të PA 8-15</w:t>
            </w:r>
          </w:p>
        </w:tc>
      </w:tr>
    </w:tbl>
    <w:p w14:paraId="6EDD1745" w14:textId="21E55A6D"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Fondet/investuesit do të klasifikohen eventualisht (specifikisht, duke përdorur kolonën Z për klasifikim) sipas rezultatit të prioritetit, duke llogaritur rezultatin e mëposhtëm:</w:t>
      </w:r>
      <w:r w:rsidR="00203893" w:rsidRPr="007114AF">
        <w:rPr>
          <w:rFonts w:ascii="Garamond" w:eastAsiaTheme="minorHAnsi" w:hAnsi="Garamond"/>
          <w:sz w:val="24"/>
          <w:szCs w:val="24"/>
          <w:lang w:eastAsia="en-US"/>
        </w:rPr>
        <w:t xml:space="preserve"> </w:t>
      </w:r>
      <w:r w:rsidRPr="007114AF">
        <w:rPr>
          <w:rFonts w:ascii="Garamond" w:eastAsiaTheme="minorHAnsi" w:hAnsi="Garamond"/>
          <w:sz w:val="24"/>
          <w:szCs w:val="24"/>
          <w:lang w:eastAsia="en-US"/>
        </w:rPr>
        <w:t>Rezultati i prioritetit në kolonën Z = SHUMA (G*3; J; L; M*0,5; O; R:Y)</w:t>
      </w:r>
    </w:p>
    <w:p w14:paraId="6EDD1746"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47" w14:textId="77777777" w:rsidR="002F4BDF" w:rsidRPr="007114AF" w:rsidRDefault="002F4BDF" w:rsidP="002F4BDF">
      <w:pPr>
        <w:spacing w:after="0" w:line="240" w:lineRule="auto"/>
        <w:ind w:firstLine="284"/>
        <w:rPr>
          <w:rFonts w:ascii="Garamond" w:eastAsiaTheme="minorHAnsi" w:hAnsi="Garamond"/>
          <w:sz w:val="24"/>
          <w:szCs w:val="24"/>
          <w:lang w:eastAsia="en-US"/>
        </w:rPr>
      </w:pPr>
      <w:r w:rsidRPr="007114AF">
        <w:rPr>
          <w:rFonts w:ascii="Garamond" w:eastAsiaTheme="minorHAnsi" w:hAnsi="Garamond"/>
          <w:sz w:val="24"/>
          <w:szCs w:val="24"/>
          <w:lang w:eastAsia="en-US"/>
        </w:rPr>
        <w:t>Ju lutemi vëreni: Në përgjithësi ka një tendencë ndaj prioritetit të fondeve/ investuesve, të cilët parashikojnë projekte investimi në shkallë të gjerë.</w:t>
      </w:r>
    </w:p>
    <w:p w14:paraId="6EDD1748" w14:textId="77777777" w:rsidR="002F4BDF" w:rsidRPr="007114AF" w:rsidRDefault="002F4BDF" w:rsidP="002F4BDF">
      <w:pPr>
        <w:spacing w:after="0" w:line="240" w:lineRule="auto"/>
        <w:ind w:firstLine="284"/>
        <w:rPr>
          <w:rFonts w:ascii="Garamond" w:eastAsiaTheme="minorHAnsi" w:hAnsi="Garamond"/>
          <w:sz w:val="24"/>
          <w:szCs w:val="24"/>
          <w:lang w:eastAsia="en-US"/>
        </w:rPr>
        <w:sectPr w:rsidR="002F4BDF" w:rsidRPr="007114AF" w:rsidSect="003305AE">
          <w:pgSz w:w="16840" w:h="11907" w:orient="landscape" w:code="9"/>
          <w:pgMar w:top="1418" w:right="1418" w:bottom="1418" w:left="1418" w:header="1304" w:footer="1134" w:gutter="0"/>
          <w:cols w:space="720"/>
          <w:docGrid w:linePitch="360"/>
        </w:sectPr>
      </w:pPr>
    </w:p>
    <w:p w14:paraId="6EDD1749" w14:textId="77777777" w:rsidR="002F4BDF" w:rsidRPr="007114AF" w:rsidRDefault="002F4BDF" w:rsidP="002F4BDF">
      <w:pPr>
        <w:spacing w:after="0" w:line="240" w:lineRule="auto"/>
        <w:ind w:firstLine="284"/>
        <w:rPr>
          <w:rFonts w:ascii="Garamond" w:eastAsiaTheme="minorHAnsi" w:hAnsi="Garamond"/>
          <w:b/>
          <w:sz w:val="24"/>
          <w:szCs w:val="24"/>
          <w:lang w:eastAsia="en-US"/>
        </w:rPr>
      </w:pPr>
      <w:bookmarkStart w:id="261" w:name="_Toc479083937"/>
      <w:bookmarkStart w:id="262" w:name="_Toc469479198"/>
      <w:r w:rsidRPr="007114AF">
        <w:rPr>
          <w:rFonts w:ascii="Garamond" w:eastAsiaTheme="minorHAnsi" w:hAnsi="Garamond"/>
          <w:b/>
          <w:sz w:val="24"/>
          <w:szCs w:val="24"/>
          <w:lang w:eastAsia="en-US"/>
        </w:rPr>
        <w:sym w:font="Wingdings 2" w:char="F041"/>
      </w:r>
      <w:r w:rsidRPr="007114AF">
        <w:rPr>
          <w:rFonts w:ascii="Garamond" w:eastAsiaTheme="minorHAnsi" w:hAnsi="Garamond"/>
          <w:b/>
          <w:sz w:val="24"/>
          <w:szCs w:val="24"/>
          <w:lang w:eastAsia="en-US"/>
        </w:rPr>
        <w:t xml:space="preserve">Situata duke pasur parasysh Burime Specifike me Potencial të Lartë Financimi </w:t>
      </w:r>
      <w:bookmarkEnd w:id="261"/>
      <w:bookmarkEnd w:id="262"/>
    </w:p>
    <w:p w14:paraId="6EDD174A" w14:textId="77777777" w:rsidR="002F4BDF" w:rsidRPr="007114AF" w:rsidRDefault="002F4BDF" w:rsidP="002F4BDF">
      <w:pPr>
        <w:spacing w:after="0" w:line="240" w:lineRule="auto"/>
        <w:ind w:firstLine="284"/>
        <w:rPr>
          <w:rFonts w:ascii="Garamond" w:eastAsiaTheme="minorHAnsi" w:hAnsi="Garamond" w:cs="Arial"/>
          <w:iCs/>
          <w:sz w:val="24"/>
          <w:szCs w:val="24"/>
          <w:lang w:eastAsia="en-US"/>
        </w:rPr>
      </w:pPr>
      <w:bookmarkStart w:id="263" w:name="_Toc472434157"/>
      <w:bookmarkStart w:id="264" w:name="_Toc469479199"/>
    </w:p>
    <w:p w14:paraId="6EDD174B" w14:textId="77777777" w:rsidR="002F4BDF" w:rsidRPr="007114AF" w:rsidRDefault="002F4BDF" w:rsidP="002F4BDF">
      <w:pPr>
        <w:spacing w:after="0" w:line="240" w:lineRule="auto"/>
        <w:ind w:firstLine="284"/>
        <w:rPr>
          <w:rFonts w:ascii="Garamond" w:eastAsiaTheme="minorHAnsi" w:hAnsi="Garamond" w:cs="Arial"/>
          <w:i/>
          <w:iCs/>
          <w:sz w:val="24"/>
          <w:szCs w:val="24"/>
          <w:lang w:eastAsia="en-US"/>
        </w:rPr>
      </w:pPr>
      <w:r w:rsidRPr="007114AF">
        <w:rPr>
          <w:rFonts w:ascii="Garamond" w:eastAsiaTheme="minorHAnsi" w:hAnsi="Garamond" w:cs="Arial"/>
          <w:i/>
          <w:iCs/>
          <w:sz w:val="24"/>
          <w:szCs w:val="24"/>
          <w:lang w:eastAsia="en-US"/>
        </w:rPr>
        <w:t>Fondi i Gjelbër i Klimës (FGJK (GCF))</w:t>
      </w:r>
      <w:bookmarkEnd w:id="263"/>
    </w:p>
    <w:p w14:paraId="6EDD174C" w14:textId="36F7CBEF"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Në bashkëpunim të ngushtë me Autoritetin Kombëtar të Caktuar (NDA), UNEP-i përgatiti dhe i paraqet një propozim Shërbimit Mbështetës ndaj Gatishmërisë të FGJK-ës (GCF) që arrin shumën 300.000 USD (duke përfshirë bashkëfinancim 10% nga QSH-ja). Aktivitetet e propozuara mbulojnë </w:t>
      </w:r>
      <w:r w:rsidR="00D10DAB" w:rsidRPr="007114AF">
        <w:rPr>
          <w:rFonts w:ascii="Garamond" w:eastAsiaTheme="minorHAnsi" w:hAnsi="Garamond" w:cs="Arial"/>
          <w:sz w:val="24"/>
          <w:szCs w:val="24"/>
          <w:lang w:eastAsia="en-US"/>
        </w:rPr>
        <w:t>‘</w:t>
      </w:r>
      <w:r w:rsidRPr="007114AF">
        <w:rPr>
          <w:rFonts w:ascii="Garamond" w:eastAsiaTheme="minorHAnsi" w:hAnsi="Garamond" w:cs="Arial"/>
          <w:sz w:val="24"/>
          <w:szCs w:val="24"/>
          <w:lang w:eastAsia="en-US"/>
        </w:rPr>
        <w:t>forcimin e kapaciteteve institucionale të NFP-ës për të përmbushur me efikasitet rolet dhe përgjegjësitë e saj të lidhura me Fondin, si dhe zhvillimin, nëpërmjet një procesi të angazhimit të shumë aktorëve të konsultuar gjerësisht, t</w:t>
      </w:r>
      <w:r w:rsidRPr="007114AF">
        <w:rPr>
          <w:rFonts w:ascii="Garamond" w:eastAsiaTheme="minorHAnsi" w:hAnsi="Garamond" w:cs="Times New Roman"/>
          <w:sz w:val="24"/>
          <w:szCs w:val="24"/>
          <w:lang w:eastAsia="en-US"/>
        </w:rPr>
        <w:t>ë</w:t>
      </w:r>
      <w:r w:rsidRPr="007114AF">
        <w:rPr>
          <w:rFonts w:ascii="Garamond" w:eastAsiaTheme="minorHAnsi" w:hAnsi="Garamond" w:cs="Arial"/>
          <w:sz w:val="24"/>
          <w:szCs w:val="24"/>
          <w:lang w:eastAsia="en-US"/>
        </w:rPr>
        <w:t xml:space="preserve">një programi vendor, duke përfshirë prioritetet e programimit, dhënien e prioritetit të qartë të programeve/projekteve dhe një grup të caktuar aktivitetesh që do të bazohen në paraqitjen e një projektpropozimi pranë FGJK-ës (GCF) </w:t>
      </w:r>
      <w:r w:rsidR="00D10DAB" w:rsidRPr="007114AF">
        <w:rPr>
          <w:rFonts w:ascii="Garamond" w:eastAsiaTheme="minorHAnsi" w:hAnsi="Garamond" w:cs="Arial"/>
          <w:sz w:val="24"/>
          <w:szCs w:val="24"/>
          <w:lang w:eastAsia="en-US"/>
        </w:rPr>
        <w:t>‘</w:t>
      </w:r>
      <w:r w:rsidRPr="007114AF">
        <w:rPr>
          <w:rFonts w:ascii="Garamond" w:eastAsiaTheme="minorHAnsi" w:hAnsi="Garamond" w:cs="Arial"/>
          <w:sz w:val="24"/>
          <w:szCs w:val="24"/>
          <w:lang w:eastAsia="en-US"/>
        </w:rPr>
        <w:t>.</w:t>
      </w:r>
    </w:p>
    <w:p w14:paraId="6EDD174D"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Përveç kësaj, PNUD-i aktualisht po përgatit një propozim për qytetet bregdetare me aftësi ripërtëritëse ndaj ndryshimeve klimatike për paraqitje te fondi i përshtatjes së FGJK-ës (GCF).</w:t>
      </w:r>
    </w:p>
    <w:p w14:paraId="6EDD174E" w14:textId="511BEBF9"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Në të ardhmen afatmesme, FGJK-ja (GCF) është ofruesi më i mundshëm i një granti të shkallës së gjerë për përshtatje ndaj ndryshimeve klimatike</w:t>
      </w:r>
      <w:r w:rsidR="000A2A01" w:rsidRPr="007114AF">
        <w:rPr>
          <w:rFonts w:ascii="Garamond" w:eastAsiaTheme="minorHAnsi" w:hAnsi="Garamond" w:cs="Arial"/>
          <w:sz w:val="24"/>
          <w:szCs w:val="24"/>
          <w:lang w:eastAsia="en-US"/>
        </w:rPr>
        <w:t xml:space="preserve"> </w:t>
      </w:r>
      <w:r w:rsidRPr="007114AF">
        <w:rPr>
          <w:rFonts w:ascii="Garamond" w:eastAsiaTheme="minorHAnsi" w:hAnsi="Garamond" w:cs="Arial"/>
          <w:sz w:val="24"/>
          <w:szCs w:val="24"/>
          <w:lang w:eastAsia="en-US"/>
        </w:rPr>
        <w:t>për Shqipërinë. Përveç granteve dhe huave koncesionare, FGJK-ja (GCF) ofron shumë modalitete të tjera financimi</w:t>
      </w:r>
      <w:r w:rsidRPr="007114AF">
        <w:rPr>
          <w:rFonts w:ascii="Garamond" w:eastAsiaTheme="minorHAnsi" w:hAnsi="Garamond" w:cs="Arial"/>
          <w:sz w:val="24"/>
          <w:szCs w:val="24"/>
          <w:vertAlign w:val="superscript"/>
          <w:lang w:eastAsia="en-US"/>
        </w:rPr>
        <w:footnoteReference w:id="89"/>
      </w:r>
      <w:r w:rsidRPr="007114AF">
        <w:rPr>
          <w:rFonts w:ascii="Garamond" w:eastAsiaTheme="minorHAnsi" w:hAnsi="Garamond" w:cs="Arial"/>
          <w:sz w:val="24"/>
          <w:szCs w:val="24"/>
          <w:lang w:eastAsia="en-US"/>
        </w:rPr>
        <w:t>. Aplikimi i ardhshëm te FGJK-ja (GCF) duhet të shqyrtojë ato përveç huave dhe granteve.</w:t>
      </w:r>
    </w:p>
    <w:p w14:paraId="6EDD174F" w14:textId="77777777" w:rsidR="002F4BDF" w:rsidRPr="007114AF" w:rsidRDefault="002F4BDF" w:rsidP="002F4BDF">
      <w:pPr>
        <w:spacing w:after="0" w:line="240" w:lineRule="auto"/>
        <w:ind w:firstLine="284"/>
        <w:rPr>
          <w:rFonts w:ascii="Garamond" w:eastAsiaTheme="minorHAnsi" w:hAnsi="Garamond" w:cs="Arial"/>
          <w:i/>
          <w:iCs/>
          <w:sz w:val="24"/>
          <w:szCs w:val="24"/>
          <w:lang w:eastAsia="en-US"/>
        </w:rPr>
      </w:pPr>
      <w:bookmarkStart w:id="265" w:name="_Toc472434158"/>
      <w:r w:rsidRPr="007114AF">
        <w:rPr>
          <w:rFonts w:ascii="Garamond" w:eastAsiaTheme="minorHAnsi" w:hAnsi="Garamond" w:cs="Arial"/>
          <w:i/>
          <w:iCs/>
          <w:sz w:val="24"/>
          <w:szCs w:val="24"/>
          <w:lang w:eastAsia="en-US"/>
        </w:rPr>
        <w:t>Fondi i Përshtatjes (FP)</w:t>
      </w:r>
      <w:bookmarkEnd w:id="265"/>
    </w:p>
    <w:p w14:paraId="6EDD1750"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Meqë propozimi i udhëhequr nga Banka Botërore nuk u miratua në mars 2016, është e rëndësishme të shpjegohen zhvillimet më të fundit, duke pasur parasysh një riparaqitje (pra, një paraqitje të tretë). </w:t>
      </w:r>
    </w:p>
    <w:p w14:paraId="6EDD1751" w14:textId="2035A91A"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Nga pikëpamja teorike, Shqipëria mund të marrë 10 </w:t>
      </w:r>
      <w:r w:rsidR="001C47F0" w:rsidRPr="007114AF">
        <w:rPr>
          <w:rFonts w:ascii="Garamond" w:eastAsiaTheme="minorHAnsi" w:hAnsi="Garamond" w:cs="Arial"/>
          <w:sz w:val="24"/>
          <w:szCs w:val="24"/>
          <w:lang w:eastAsia="en-US"/>
        </w:rPr>
        <w:t xml:space="preserve">milionë </w:t>
      </w:r>
      <w:r w:rsidRPr="007114AF">
        <w:rPr>
          <w:rFonts w:ascii="Garamond" w:eastAsiaTheme="minorHAnsi" w:hAnsi="Garamond" w:cs="Arial"/>
          <w:sz w:val="24"/>
          <w:szCs w:val="24"/>
          <w:lang w:eastAsia="en-US"/>
        </w:rPr>
        <w:t>USD nga AF-ja, por nuk ka shfrytëzuar ende këtë burim financimi. Megjithatë, AF-ja aktualisht shqyrton një ndryshim të metodës/procedurës mbi shumën e përcaktuar në vend</w:t>
      </w:r>
      <w:r w:rsidRPr="007114AF">
        <w:rPr>
          <w:rFonts w:ascii="Garamond" w:eastAsiaTheme="minorHAnsi" w:hAnsi="Garamond" w:cs="Arial"/>
          <w:sz w:val="24"/>
          <w:szCs w:val="24"/>
          <w:vertAlign w:val="superscript"/>
          <w:lang w:eastAsia="en-US"/>
        </w:rPr>
        <w:footnoteReference w:id="90"/>
      </w:r>
      <w:r w:rsidRPr="007114AF">
        <w:rPr>
          <w:rFonts w:ascii="Garamond" w:eastAsiaTheme="minorHAnsi" w:hAnsi="Garamond" w:cs="Arial"/>
          <w:sz w:val="24"/>
          <w:szCs w:val="24"/>
          <w:lang w:eastAsia="en-US"/>
        </w:rPr>
        <w:t>.</w:t>
      </w:r>
      <w:r w:rsidR="000A2A01" w:rsidRPr="007114AF">
        <w:rPr>
          <w:rFonts w:ascii="Garamond" w:eastAsiaTheme="minorHAnsi" w:hAnsi="Garamond" w:cs="Arial"/>
          <w:sz w:val="24"/>
          <w:szCs w:val="24"/>
          <w:lang w:eastAsia="en-US"/>
        </w:rPr>
        <w:t xml:space="preserve"> </w:t>
      </w:r>
    </w:p>
    <w:p w14:paraId="6EDD1752" w14:textId="77777777" w:rsidR="002F4BDF" w:rsidRPr="007114AF" w:rsidRDefault="002F4BDF" w:rsidP="002F4BDF">
      <w:pPr>
        <w:spacing w:after="0" w:line="240" w:lineRule="auto"/>
        <w:ind w:firstLine="284"/>
        <w:rPr>
          <w:rFonts w:ascii="Garamond" w:eastAsiaTheme="minorHAnsi" w:hAnsi="Garamond" w:cs="Arial"/>
          <w:i/>
          <w:iCs/>
          <w:sz w:val="24"/>
          <w:szCs w:val="24"/>
          <w:lang w:eastAsia="en-US"/>
        </w:rPr>
      </w:pPr>
      <w:bookmarkStart w:id="266" w:name="_Toc472434159"/>
      <w:r w:rsidRPr="007114AF">
        <w:rPr>
          <w:rFonts w:ascii="Garamond" w:eastAsiaTheme="minorHAnsi" w:hAnsi="Garamond" w:cs="Arial"/>
          <w:i/>
          <w:iCs/>
          <w:sz w:val="24"/>
          <w:szCs w:val="24"/>
          <w:lang w:eastAsia="en-US"/>
        </w:rPr>
        <w:t xml:space="preserve">Fondi i Zhvillimit </w:t>
      </w:r>
      <w:bookmarkEnd w:id="266"/>
      <w:r w:rsidRPr="007114AF">
        <w:rPr>
          <w:rFonts w:ascii="Garamond" w:eastAsiaTheme="minorHAnsi" w:hAnsi="Garamond" w:cs="Arial"/>
          <w:i/>
          <w:iCs/>
          <w:sz w:val="24"/>
          <w:szCs w:val="24"/>
          <w:lang w:eastAsia="en-US"/>
        </w:rPr>
        <w:t>të Rajoneve</w:t>
      </w:r>
    </w:p>
    <w:p w14:paraId="6EDD1753" w14:textId="2E6B73C6"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Fondi i Zhvillimit të Rajoneve (FZHR) (RDF) luan rol kryesor në mbështetjen ndaj investimeve për autoritetet rajonale dhe vendore. FZHR-ja (RDF) u krijua në nëntor 2009 në bazë të Ligjit</w:t>
      </w:r>
      <w:r w:rsidR="00242009" w:rsidRPr="007114AF">
        <w:rPr>
          <w:rFonts w:ascii="Garamond" w:eastAsiaTheme="minorHAnsi" w:hAnsi="Garamond" w:cs="Arial"/>
          <w:sz w:val="24"/>
          <w:szCs w:val="24"/>
          <w:lang w:eastAsia="en-US"/>
        </w:rPr>
        <w:t xml:space="preserve"> nr. </w:t>
      </w:r>
      <w:r w:rsidRPr="007114AF">
        <w:rPr>
          <w:rFonts w:ascii="Garamond" w:eastAsiaTheme="minorHAnsi" w:hAnsi="Garamond" w:cs="Arial"/>
          <w:sz w:val="24"/>
          <w:szCs w:val="24"/>
          <w:lang w:eastAsia="en-US"/>
        </w:rPr>
        <w:t>10190, dhe përdoret për mbështetjen e investimeve në nivele rajonale dhe vendore nëpërmjet një sistemi konkurrues grantesh në disa fusha politikash. FZHR-ja (RDF) ka karakteristikat e mëposhtme:</w:t>
      </w:r>
      <w:r w:rsidR="000A2A01" w:rsidRPr="007114AF">
        <w:rPr>
          <w:rFonts w:ascii="Garamond" w:eastAsiaTheme="minorHAnsi" w:hAnsi="Garamond" w:cs="Arial"/>
          <w:sz w:val="24"/>
          <w:szCs w:val="24"/>
          <w:lang w:eastAsia="en-US"/>
        </w:rPr>
        <w:t xml:space="preserve"> </w:t>
      </w:r>
    </w:p>
    <w:p w14:paraId="6EDD1754"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 Ministritë e linjës janë përgjegjëse për përzgjedhjen dhe zbatimin e projekteve, ndërsa koordinimi i përgjithshëm kryhet nga DSDC-ja me konsulencën e Ministrisë së Financave dhe Ekonomisë dhe Fondit Shqiptar të Zhvillimit; </w:t>
      </w:r>
    </w:p>
    <w:p w14:paraId="6EDD1755"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 Çdo sferë politike ka alokimin e vet financiar dhe linjën e buxhetit për zhvillim rajonal; </w:t>
      </w:r>
    </w:p>
    <w:p w14:paraId="6EDD1756"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 Këto fonde të ndara sipas sferës së politikave shpërndahen në qarqe mbi bazën e disa kritereve; </w:t>
      </w:r>
    </w:p>
    <w:p w14:paraId="6EDD1757" w14:textId="397B7CF6"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Buxheti për projekt alokohet</w:t>
      </w:r>
      <w:r w:rsidR="000A2A01" w:rsidRPr="007114AF">
        <w:rPr>
          <w:rFonts w:ascii="Garamond" w:eastAsiaTheme="minorHAnsi" w:hAnsi="Garamond" w:cs="Arial"/>
          <w:sz w:val="24"/>
          <w:szCs w:val="24"/>
          <w:lang w:eastAsia="en-US"/>
        </w:rPr>
        <w:t xml:space="preserve"> </w:t>
      </w:r>
      <w:r w:rsidRPr="007114AF">
        <w:rPr>
          <w:rFonts w:ascii="Garamond" w:eastAsiaTheme="minorHAnsi" w:hAnsi="Garamond" w:cs="Arial"/>
          <w:sz w:val="24"/>
          <w:szCs w:val="24"/>
          <w:lang w:eastAsia="en-US"/>
        </w:rPr>
        <w:t xml:space="preserve">mbi bazën e një sistemi konkurrues granti; </w:t>
      </w:r>
    </w:p>
    <w:p w14:paraId="6EDD1758"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 Projektet vlerësohen mbi bazën e një rrjeti vlerësimi, duke përdorur disa tregues dhe rezultate përkatëse, përfshirë rëndësinë e tyre ndaj një prioriteti të caktuar politike sektoriale. </w:t>
      </w:r>
    </w:p>
    <w:p w14:paraId="6EDD1759" w14:textId="6A908026"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Volumi financiar i granteve të dhëna nga FZHR-ja (RDF) arrin shumën deri 72.8 </w:t>
      </w:r>
      <w:r w:rsidR="001C47F0" w:rsidRPr="007114AF">
        <w:rPr>
          <w:rFonts w:ascii="Garamond" w:eastAsiaTheme="minorHAnsi" w:hAnsi="Garamond" w:cs="Arial"/>
          <w:sz w:val="24"/>
          <w:szCs w:val="24"/>
          <w:lang w:eastAsia="en-US"/>
        </w:rPr>
        <w:t xml:space="preserve">milionë </w:t>
      </w:r>
      <w:r w:rsidRPr="007114AF">
        <w:rPr>
          <w:rFonts w:ascii="Garamond" w:eastAsiaTheme="minorHAnsi" w:hAnsi="Garamond" w:cs="Arial"/>
          <w:sz w:val="24"/>
          <w:szCs w:val="24"/>
          <w:lang w:eastAsia="en-US"/>
        </w:rPr>
        <w:t>Euro në vit. FZHR-ja (RDF) bashkëpunon me ministritë për caktimin e prioriteteve sektoriale të qeverisë qendrore në nivel rajonal mbi bazë vjetore. Programi për vitin 2019 përgatitet deri në fund të vitit 2018.</w:t>
      </w:r>
      <w:r w:rsidR="000A2A01" w:rsidRPr="007114AF">
        <w:rPr>
          <w:rFonts w:ascii="Garamond" w:eastAsiaTheme="minorHAnsi" w:hAnsi="Garamond" w:cs="Arial"/>
          <w:sz w:val="24"/>
          <w:szCs w:val="24"/>
          <w:lang w:eastAsia="en-US"/>
        </w:rPr>
        <w:t xml:space="preserve"> </w:t>
      </w:r>
      <w:r w:rsidRPr="007114AF">
        <w:rPr>
          <w:rFonts w:ascii="Garamond" w:eastAsiaTheme="minorHAnsi" w:hAnsi="Garamond" w:cs="Arial"/>
          <w:sz w:val="24"/>
          <w:szCs w:val="24"/>
          <w:lang w:eastAsia="en-US"/>
        </w:rPr>
        <w:t>Para muajit dhjetor 2018, çdo ministri duhet të ketë dërguar prioritetet e tyre për vitin e ardhshëm. Atëherë, bashkitë aplikojnë për projekte për fushat e përzgjedhura.</w:t>
      </w:r>
    </w:p>
    <w:p w14:paraId="6EDD175A" w14:textId="5C162458"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Planifikohet që FZHR-ja (RDF)</w:t>
      </w:r>
      <w:r w:rsidR="000A2A01" w:rsidRPr="007114AF">
        <w:rPr>
          <w:rFonts w:ascii="Garamond" w:eastAsiaTheme="minorHAnsi" w:hAnsi="Garamond" w:cs="Arial"/>
          <w:sz w:val="24"/>
          <w:szCs w:val="24"/>
          <w:lang w:eastAsia="en-US"/>
        </w:rPr>
        <w:t xml:space="preserve"> </w:t>
      </w:r>
      <w:r w:rsidRPr="007114AF">
        <w:rPr>
          <w:rFonts w:ascii="Garamond" w:eastAsiaTheme="minorHAnsi" w:hAnsi="Garamond" w:cs="Arial"/>
          <w:sz w:val="24"/>
          <w:szCs w:val="24"/>
          <w:lang w:eastAsia="en-US"/>
        </w:rPr>
        <w:t>do të integrojë kriteret e lidhura me përshtatjen në udhëzimet e saj për planifikimin e buxhetit, si dhe procesin e përzgjedhjes dhe verifikimit të projektit</w:t>
      </w:r>
      <w:r w:rsidRPr="007114AF">
        <w:rPr>
          <w:rFonts w:ascii="Garamond" w:eastAsiaTheme="minorHAnsi" w:hAnsi="Garamond" w:cs="Arial"/>
          <w:sz w:val="24"/>
          <w:szCs w:val="24"/>
          <w:vertAlign w:val="superscript"/>
          <w:lang w:eastAsia="en-US"/>
        </w:rPr>
        <w:footnoteReference w:id="91"/>
      </w:r>
      <w:r w:rsidRPr="007114AF">
        <w:rPr>
          <w:rFonts w:ascii="Garamond" w:eastAsiaTheme="minorHAnsi" w:hAnsi="Garamond" w:cs="Arial"/>
          <w:sz w:val="24"/>
          <w:szCs w:val="24"/>
          <w:lang w:eastAsia="en-US"/>
        </w:rPr>
        <w:t>. Këto udhëzime do të miratohen nga Komiteti i FZHR-ës (RDF), i cili përbëhet nga Kryeministri dhe 85% e kabinetit të ministrave dhe përfaqësues nga bashki dhe shoqata rajonale. Komiteti miraton dokumente strategjike, programim, rregulla dhe rregullore të harmonizuara për zbatim, kritere verifikimi për aplikime, vlerësimin deri tek autoriteti kontraktues për projektin e miratuar.</w:t>
      </w:r>
      <w:r w:rsidR="000A2A01" w:rsidRPr="007114AF">
        <w:rPr>
          <w:rFonts w:ascii="Garamond" w:eastAsiaTheme="minorHAnsi" w:hAnsi="Garamond" w:cs="Arial"/>
          <w:sz w:val="24"/>
          <w:szCs w:val="24"/>
          <w:lang w:eastAsia="en-US"/>
        </w:rPr>
        <w:t xml:space="preserve"> </w:t>
      </w:r>
    </w:p>
    <w:p w14:paraId="6EDD175B" w14:textId="77777777" w:rsidR="002F4BDF" w:rsidRPr="007114AF" w:rsidRDefault="002F4BDF" w:rsidP="002F4BDF">
      <w:pPr>
        <w:spacing w:after="0" w:line="240" w:lineRule="auto"/>
        <w:ind w:firstLine="284"/>
        <w:rPr>
          <w:rFonts w:ascii="Garamond" w:eastAsiaTheme="minorHAnsi" w:hAnsi="Garamond" w:cs="Arial"/>
          <w:i/>
          <w:iCs/>
          <w:sz w:val="24"/>
          <w:szCs w:val="24"/>
          <w:lang w:eastAsia="en-US"/>
        </w:rPr>
      </w:pPr>
      <w:bookmarkStart w:id="267" w:name="_Toc472434160"/>
      <w:r w:rsidRPr="007114AF">
        <w:rPr>
          <w:rFonts w:ascii="Garamond" w:eastAsiaTheme="minorHAnsi" w:hAnsi="Garamond" w:cs="Arial"/>
          <w:i/>
          <w:iCs/>
          <w:sz w:val="24"/>
          <w:szCs w:val="24"/>
          <w:lang w:eastAsia="en-US"/>
        </w:rPr>
        <w:t>Instrumenti II i BE-së për Paraaderimin</w:t>
      </w:r>
      <w:bookmarkEnd w:id="267"/>
    </w:p>
    <w:p w14:paraId="6EDD175C" w14:textId="0CF6D96B"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BE IPA II ka një fond të mjedisit dhe klimës që arrin shumën 68 </w:t>
      </w:r>
      <w:r w:rsidR="001C47F0" w:rsidRPr="007114AF">
        <w:rPr>
          <w:rFonts w:ascii="Garamond" w:eastAsiaTheme="minorHAnsi" w:hAnsi="Garamond" w:cs="Arial"/>
          <w:sz w:val="24"/>
          <w:szCs w:val="24"/>
          <w:lang w:eastAsia="en-US"/>
        </w:rPr>
        <w:t xml:space="preserve">milionë </w:t>
      </w:r>
      <w:r w:rsidRPr="007114AF">
        <w:rPr>
          <w:rFonts w:ascii="Garamond" w:eastAsiaTheme="minorHAnsi" w:hAnsi="Garamond" w:cs="Arial"/>
          <w:sz w:val="24"/>
          <w:szCs w:val="24"/>
          <w:lang w:eastAsia="en-US"/>
        </w:rPr>
        <w:t>Euro për periudhën 2014 deri 2020. Strategjia fillestare vendore IPA II e shqyrton përshtatjen ndaj ndryshimeve klimatike vetëm në mënyrë sipërfaqësore dhe nuk ka asnjë alokim të drejtpërdrejtë buxheti për masat e përshtatëse ndaj ndryshimeve klimatike. Në tetor 2016 ka pasur një kërkesë për përmirësimin e aspekteve të ndryshimeve klimatike për strategjinë. Ministria përgjegjëse, ish Ministria e Mjedisit, propozoi të përfshinte disa masa në përgjigje të saj (shihni për detaje shtojcën 1).</w:t>
      </w:r>
    </w:p>
    <w:p w14:paraId="6EDD175D"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Procesi për miratimin e projekteve të financuara nga IPA II:</w:t>
      </w:r>
    </w:p>
    <w:p w14:paraId="6EDD175E"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Procesi i përgjithshëm mund të kërkojë deri 3 vjet.</w:t>
      </w:r>
    </w:p>
    <w:p w14:paraId="6EDD175F"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Ministria për Evropën dhe Punët e Jashtme i dërgon një kërkesë zyrtare të gjitha ministrive të linjës për paraqitjen e projektideve çdo vit.</w:t>
      </w:r>
    </w:p>
    <w:p w14:paraId="6EDD1760" w14:textId="57AA74C2"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Ministritë e linjës supozohen të paraqesin një projektpropozim të përmbledhur të 4 faqeve, që përfshijnë detajet e mëposhtme: i) titullin e projektit dhe pikën e kontaktit; ii) sektorin/nënsektorin sipas Planit të Veprimit për Zbatimin e MSA-së, nëse projekti propozohet të përfshihet; iii) lidhjen me dokumente strategjike; iv) objektivin/qëllimin e përgjithshëm të projektit; v) përshkrimin e projektpropozimit; vi) kohëzgjatjen e projektit; vii) vlerësimin e kapaciteteve aktuale</w:t>
      </w:r>
      <w:r w:rsidR="000A2A01" w:rsidRPr="007114AF">
        <w:rPr>
          <w:rFonts w:ascii="Garamond" w:eastAsiaTheme="minorHAnsi" w:hAnsi="Garamond" w:cs="Arial"/>
          <w:sz w:val="24"/>
          <w:szCs w:val="24"/>
          <w:lang w:eastAsia="en-US"/>
        </w:rPr>
        <w:t xml:space="preserve"> </w:t>
      </w:r>
      <w:r w:rsidRPr="007114AF">
        <w:rPr>
          <w:rFonts w:ascii="Garamond" w:eastAsiaTheme="minorHAnsi" w:hAnsi="Garamond" w:cs="Arial"/>
          <w:sz w:val="24"/>
          <w:szCs w:val="24"/>
          <w:lang w:eastAsia="en-US"/>
        </w:rPr>
        <w:t>administrative të ministrisë/institucionit për menaxhimin e zbatimit të projekteve; viii) lidhjen e projektpropozimit aktual me asistencën e mëparshme në këtë fushë; ix) institucionin përfitues / institucionet e përfshira në zbatimin e projektit; x) koston treguese për projektin.</w:t>
      </w:r>
    </w:p>
    <w:p w14:paraId="6EDD1761"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Miratim nga EUD-ja pas 2 seancave (me përfaqësues nga KE-ja, Bruksel).</w:t>
      </w:r>
    </w:p>
    <w:p w14:paraId="6EDD1762"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Tavanet e projektit zakonisht miratohen për tre vite.</w:t>
      </w:r>
    </w:p>
    <w:p w14:paraId="6EDD1763"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Përgatitja dhe miratimi i Fishës Standarde të Projektit (rreth 30 faqe).</w:t>
      </w:r>
    </w:p>
    <w:p w14:paraId="6EDD1764"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Procesi i tenderimit.</w:t>
      </w:r>
    </w:p>
    <w:p w14:paraId="6EDD1765"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Nënshkrimi i kontratës.</w:t>
      </w:r>
    </w:p>
    <w:p w14:paraId="6EDD1766"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Fillimi i fazës së zbatimit.</w:t>
      </w:r>
    </w:p>
    <w:p w14:paraId="6EDD1767"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p>
    <w:p w14:paraId="6EDD1768"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Rekomandime:</w:t>
      </w:r>
    </w:p>
    <w:p w14:paraId="6EDD1769"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 Ndjekja e parashtrimit në përgjigje të kontributit ndaj rishikimit afatmesëm të CSP/ IPA II </w:t>
      </w:r>
    </w:p>
    <w:p w14:paraId="6EDD176A" w14:textId="77777777" w:rsidR="002F4BDF" w:rsidRPr="007114AF" w:rsidRDefault="002F4BDF" w:rsidP="002F4BDF">
      <w:pPr>
        <w:spacing w:after="0" w:line="240" w:lineRule="auto"/>
        <w:ind w:firstLine="284"/>
        <w:rPr>
          <w:rFonts w:ascii="Garamond" w:eastAsiaTheme="minorHAnsi" w:hAnsi="Garamond" w:cs="Arial"/>
          <w:sz w:val="24"/>
          <w:szCs w:val="24"/>
          <w:lang w:eastAsia="en-US"/>
        </w:rPr>
      </w:pPr>
      <w:r w:rsidRPr="007114AF">
        <w:rPr>
          <w:rFonts w:ascii="Garamond" w:eastAsiaTheme="minorHAnsi" w:hAnsi="Garamond" w:cs="Arial"/>
          <w:sz w:val="24"/>
          <w:szCs w:val="24"/>
          <w:lang w:eastAsia="en-US"/>
        </w:rPr>
        <w:t xml:space="preserve">- Gjithashtu, duhet të merret parasysh mbrojtja klimatike e aktiviteteve të tjera të financuara nga IPA II, në fusha të tjera të financimit/sektorëve të tillë si transporti, bujqësia etj. </w:t>
      </w:r>
    </w:p>
    <w:bookmarkEnd w:id="264"/>
    <w:p w14:paraId="6EDD176B"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6C"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6D"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6E"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6F"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70"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71"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72"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73"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74"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75"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76"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77"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78" w14:textId="77777777" w:rsidR="002F4BDF" w:rsidRPr="007114AF" w:rsidRDefault="002F4BDF" w:rsidP="002F4BDF">
      <w:pPr>
        <w:spacing w:after="0" w:line="240" w:lineRule="auto"/>
        <w:jc w:val="center"/>
        <w:rPr>
          <w:rFonts w:ascii="Garamond" w:eastAsiaTheme="minorHAnsi" w:hAnsi="Garamond"/>
          <w:sz w:val="24"/>
          <w:szCs w:val="24"/>
          <w:lang w:eastAsia="en-US"/>
        </w:rPr>
      </w:pPr>
      <w:r w:rsidRPr="007114AF">
        <w:rPr>
          <w:rFonts w:ascii="Garamond" w:eastAsiaTheme="minorHAnsi" w:hAnsi="Garamond"/>
          <w:b/>
          <w:i/>
          <w:noProof/>
          <w:sz w:val="24"/>
          <w:szCs w:val="24"/>
          <w:lang w:val="en-US" w:eastAsia="en-US"/>
        </w:rPr>
        <w:drawing>
          <wp:inline distT="0" distB="0" distL="0" distR="0" wp14:anchorId="6EDD17DD" wp14:editId="6EDD17DE">
            <wp:extent cx="5760085" cy="482704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085" cy="4827046"/>
                    </a:xfrm>
                    <a:prstGeom prst="rect">
                      <a:avLst/>
                    </a:prstGeom>
                    <a:noFill/>
                    <a:ln>
                      <a:noFill/>
                    </a:ln>
                  </pic:spPr>
                </pic:pic>
              </a:graphicData>
            </a:graphic>
          </wp:inline>
        </w:drawing>
      </w:r>
    </w:p>
    <w:p w14:paraId="6EDD1779" w14:textId="77777777" w:rsidR="002F4BDF" w:rsidRPr="007114AF" w:rsidRDefault="002F4BDF" w:rsidP="002F4BDF">
      <w:pPr>
        <w:spacing w:after="0" w:line="240" w:lineRule="auto"/>
        <w:ind w:firstLine="284"/>
        <w:rPr>
          <w:rFonts w:ascii="Garamond" w:eastAsiaTheme="minorHAnsi" w:hAnsi="Garamond"/>
          <w:sz w:val="24"/>
          <w:szCs w:val="24"/>
          <w:lang w:eastAsia="en-US"/>
        </w:rPr>
      </w:pPr>
    </w:p>
    <w:p w14:paraId="6EDD177A" w14:textId="6D67077B" w:rsidR="002F4BDF" w:rsidRPr="007114AF" w:rsidRDefault="002F4BDF" w:rsidP="002F4BDF">
      <w:pPr>
        <w:spacing w:after="0" w:line="240" w:lineRule="auto"/>
        <w:ind w:firstLine="284"/>
        <w:rPr>
          <w:rFonts w:ascii="Garamond" w:eastAsiaTheme="minorHAnsi" w:hAnsi="Garamond"/>
          <w:spacing w:val="-4"/>
          <w:sz w:val="24"/>
          <w:szCs w:val="24"/>
          <w:lang w:eastAsia="en-US"/>
        </w:rPr>
      </w:pPr>
      <w:r w:rsidRPr="007114AF">
        <w:rPr>
          <w:rFonts w:ascii="Garamond" w:eastAsiaTheme="minorHAnsi" w:hAnsi="Garamond"/>
          <w:spacing w:val="-4"/>
          <w:sz w:val="24"/>
          <w:szCs w:val="24"/>
          <w:lang w:eastAsia="en-US"/>
        </w:rPr>
        <w:t>Burimi: USAID (2016): Profili I rrezikut nga ndryshimet klimatike-Shqipëria</w:t>
      </w:r>
      <w:r w:rsidR="000A2A01" w:rsidRPr="007114AF">
        <w:rPr>
          <w:rFonts w:ascii="Garamond" w:eastAsiaTheme="minorHAnsi" w:hAnsi="Garamond"/>
          <w:spacing w:val="-4"/>
          <w:sz w:val="24"/>
          <w:szCs w:val="24"/>
          <w:lang w:eastAsia="en-US"/>
        </w:rPr>
        <w:t xml:space="preserve"> </w:t>
      </w:r>
      <w:r w:rsidRPr="007114AF">
        <w:rPr>
          <w:rFonts w:ascii="Garamond" w:eastAsiaTheme="minorHAnsi" w:hAnsi="Garamond"/>
          <w:spacing w:val="-4"/>
          <w:sz w:val="24"/>
          <w:szCs w:val="24"/>
          <w:lang w:eastAsia="en-US"/>
        </w:rPr>
        <w:t>– Fletë infromative</w:t>
      </w:r>
    </w:p>
    <w:sectPr w:rsidR="002F4BDF" w:rsidRPr="007114AF" w:rsidSect="00203893">
      <w:pgSz w:w="11907" w:h="16840" w:code="9"/>
      <w:pgMar w:top="1418" w:right="1418" w:bottom="1418" w:left="1418" w:header="1304" w:footer="1134"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B2E13" w14:textId="77777777" w:rsidR="00527EF5" w:rsidRDefault="00527EF5" w:rsidP="001C6C5A">
      <w:pPr>
        <w:spacing w:after="0" w:line="240" w:lineRule="auto"/>
      </w:pPr>
      <w:r>
        <w:separator/>
      </w:r>
    </w:p>
  </w:endnote>
  <w:endnote w:type="continuationSeparator" w:id="0">
    <w:p w14:paraId="3EFC9FAF" w14:textId="77777777" w:rsidR="00527EF5" w:rsidRDefault="00527EF5" w:rsidP="001C6C5A">
      <w:pPr>
        <w:spacing w:after="0" w:line="240" w:lineRule="auto"/>
      </w:pPr>
      <w:r>
        <w:continuationSeparator/>
      </w:r>
    </w:p>
  </w:endnote>
  <w:endnote w:type="continuationNotice" w:id="1">
    <w:p w14:paraId="5CFEC51E" w14:textId="77777777" w:rsidR="00527EF5" w:rsidRDefault="00527E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onotype Sorts">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Futura Md BT">
    <w:altName w:val="Lucida Sans Unicode"/>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Frutiger 55 Roman">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TE21F03E8t00">
    <w:altName w:val="MS Mincho"/>
    <w:panose1 w:val="00000000000000000000"/>
    <w:charset w:val="80"/>
    <w:family w:val="auto"/>
    <w:notTrueType/>
    <w:pitch w:val="default"/>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D17E5" w14:textId="77777777" w:rsidR="00527EF5" w:rsidRPr="005D2838" w:rsidRDefault="00527EF5" w:rsidP="00574660">
    <w:pPr>
      <w:pStyle w:val="Footer"/>
    </w:pPr>
    <w:r>
      <w:rPr>
        <w:noProof/>
        <w:lang w:val="en-US" w:eastAsia="en-US"/>
      </w:rPr>
      <mc:AlternateContent>
        <mc:Choice Requires="wpg">
          <w:drawing>
            <wp:anchor distT="0" distB="0" distL="114300" distR="114300" simplePos="0" relativeHeight="251658249" behindDoc="0" locked="0" layoutInCell="1" allowOverlap="1" wp14:anchorId="6EDD17E8" wp14:editId="6EDD17E9">
              <wp:simplePos x="0" y="0"/>
              <wp:positionH relativeFrom="page">
                <wp:posOffset>124460</wp:posOffset>
              </wp:positionH>
              <wp:positionV relativeFrom="bottomMargin">
                <wp:posOffset>201930</wp:posOffset>
              </wp:positionV>
              <wp:extent cx="7527925" cy="190500"/>
              <wp:effectExtent l="0" t="0" r="6350" b="0"/>
              <wp:wrapNone/>
              <wp:docPr id="66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7925" cy="190500"/>
                        <a:chOff x="0" y="14970"/>
                        <a:chExt cx="12255" cy="300"/>
                      </a:xfrm>
                    </wpg:grpSpPr>
                    <wps:wsp>
                      <wps:cNvPr id="66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1860" w14:textId="77777777" w:rsidR="00527EF5" w:rsidRDefault="00527EF5" w:rsidP="00574660">
                            <w:pPr>
                              <w:jc w:val="center"/>
                            </w:pPr>
                          </w:p>
                        </w:txbxContent>
                      </wps:txbx>
                      <wps:bodyPr rot="0" vert="horz" wrap="square" lIns="0" tIns="0" rIns="0" bIns="0" anchor="t" anchorCtr="0" upright="1">
                        <a:noAutofit/>
                      </wps:bodyPr>
                    </wps:wsp>
                    <wpg:grpSp>
                      <wpg:cNvPr id="664" name="Group 31"/>
                      <wpg:cNvGrpSpPr>
                        <a:grpSpLocks/>
                      </wpg:cNvGrpSpPr>
                      <wpg:grpSpPr bwMode="auto">
                        <a:xfrm flipH="1">
                          <a:off x="0" y="14970"/>
                          <a:ext cx="12255" cy="230"/>
                          <a:chOff x="-8" y="14978"/>
                          <a:chExt cx="12255" cy="230"/>
                        </a:xfrm>
                      </wpg:grpSpPr>
                      <wps:wsp>
                        <wps:cNvPr id="665" name="AutoShape 27"/>
                        <wps:cNvCnPr>
                          <a:cxnSpLocks noChangeShapeType="1"/>
                        </wps:cNvCnPr>
                        <wps:spPr bwMode="auto">
                          <a:xfrm flipV="1">
                            <a:off x="-8" y="14978"/>
                            <a:ext cx="1260" cy="230"/>
                          </a:xfrm>
                          <a:prstGeom prst="bentConnector3">
                            <a:avLst>
                              <a:gd name="adj1" fmla="val 50000"/>
                            </a:avLst>
                          </a:prstGeom>
                          <a:noFill/>
                          <a:ln w="19050">
                            <a:solidFill>
                              <a:srgbClr val="A5A5A5"/>
                            </a:solidFill>
                            <a:miter lim="800000"/>
                            <a:headEnd/>
                            <a:tailEnd/>
                          </a:ln>
                          <a:extLst>
                            <a:ext uri="{909E8E84-426E-40DD-AFC4-6F175D3DCCD1}">
                              <a14:hiddenFill xmlns:a14="http://schemas.microsoft.com/office/drawing/2010/main">
                                <a:noFill/>
                              </a14:hiddenFill>
                            </a:ext>
                          </a:extLst>
                        </wps:spPr>
                        <wps:bodyPr/>
                      </wps:wsp>
                      <wps:wsp>
                        <wps:cNvPr id="666" name="AutoShape 28"/>
                        <wps:cNvCnPr>
                          <a:cxnSpLocks noChangeShapeType="1"/>
                        </wps:cNvCnPr>
                        <wps:spPr bwMode="auto">
                          <a:xfrm rot="10800000">
                            <a:off x="1252" y="14978"/>
                            <a:ext cx="10995" cy="230"/>
                          </a:xfrm>
                          <a:prstGeom prst="bentConnector3">
                            <a:avLst>
                              <a:gd name="adj1" fmla="val 96778"/>
                            </a:avLst>
                          </a:prstGeom>
                          <a:noFill/>
                          <a:ln w="19050">
                            <a:solidFill>
                              <a:schemeClr val="accent5">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DD17E8" id="Group 33" o:spid="_x0000_s1028" style="position:absolute;left:0;text-align:left;margin-left:9.8pt;margin-top:15.9pt;width:592.75pt;height:15pt;z-index:251658249;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nXcQA&#10;AADcAAAADwAAAGRycy9kb3ducmV2LnhtbESPQWvCQBSE70L/w/IK3nRThaCpq0hRKAjSmB56fM0+&#10;k8Xs25jdavz3bkHwOMzMN8xi1dtGXKjzxrGCt3ECgrh02nCl4LvYjmYgfEDW2DgmBTfysFq+DBaY&#10;aXflnC6HUIkIYZ+hgjqENpPSlzVZ9GPXEkfv6DqLIcqukrrDa4TbRk6SJJUWDceFGlv6qKk8Hf6s&#10;gvUP5xtz3v9+5cfcFMU84V16Umr42q/fQQTqwzP8aH9qBWk6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5513EAAAA3AAAAA8AAAAAAAAAAAAAAAAAmAIAAGRycy9k&#10;b3ducmV2LnhtbFBLBQYAAAAABAAEAPUAAACJAwAAAAA=&#10;" filled="f" stroked="f">
                <v:textbox inset="0,0,0,0">
                  <w:txbxContent>
                    <w:p w14:paraId="6EDD1860" w14:textId="77777777" w:rsidR="00527EF5" w:rsidRDefault="00527EF5" w:rsidP="00574660">
                      <w:pPr>
                        <w:jc w:val="center"/>
                      </w:pPr>
                    </w:p>
                  </w:txbxContent>
                </v:textbox>
              </v:shape>
              <v:group id="Group 31" o:spid="_x0000_s103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osRqLCAAAA3A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L3cYAAADcAAAADwAAAGRycy9kb3ducmV2LnhtbESPW2vCQBSE34X+h+UU+qabSg0luhEJ&#10;FFqfvJTWx0P25NJmz8bsGtP+elcQfBxm5htmsRxMI3rqXG1ZwfMkAkGcW11zqeBz/zZ+BeE8ssbG&#10;Min4IwfL9GG0wETbM2+p3/lSBAi7BBVU3reJlC6vyKCb2JY4eIXtDPogu1LqDs8Bbho5jaJYGqw5&#10;LFTYUlZR/rs7GQVfZv3/jS+ro8k2P/0HHbJiLzOlnh6H1RyEp8Hfw7f2u1YQxzO4nglHQKY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0y93GAAAA3AAAAA8AAAAAAAAA&#10;AAAAAAAAoQIAAGRycy9kb3ducmV2LnhtbFBLBQYAAAAABAAEAPkAAACUAwAAAAA=&#10;" strokecolor="#a5a5a5" strokeweight="1.5pt"/>
                <v:shape id="AutoShape 28" o:spid="_x0000_s1032"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FAmcMAAADcAAAADwAAAGRycy9kb3ducmV2LnhtbESPQWuDQBSE74X8h+UFcqurgUhiXUMJ&#10;BNpLShLJ+eG+qtR9K+5G7b/vFgI5DjPzDZPvZ9OJkQbXWlaQRDEI4srqlmsF5fX4ugXhPLLGzjIp&#10;+CUH+2LxkmOm7cRnGi++FgHCLkMFjfd9JqWrGjLoItsTB+/bDgZ9kEMt9YBTgJtOruM4lQZbDgsN&#10;9nRoqPq53I0CPCTtCbvdVFef91u5wS+ZnEalVsv5/Q2Ep9k/w4/2h1aQpin8nwlHQB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hQJnDAAAA3AAAAA8AAAAAAAAAAAAA&#10;AAAAoQIAAGRycy9kb3ducmV2LnhtbFBLBQYAAAAABAAEAPkAAACRAwAAAAA=&#10;" adj="20904" strokecolor="#92cddc [1944]" strokeweight="1.5pt"/>
              </v:group>
              <w10:wrap anchorx="page" anchory="margin"/>
            </v:group>
          </w:pict>
        </mc:Fallback>
      </mc:AlternateContent>
    </w:r>
  </w:p>
  <w:p w14:paraId="6EDD17E6" w14:textId="77777777" w:rsidR="00527EF5" w:rsidRPr="00533029" w:rsidRDefault="00527EF5" w:rsidP="00574660">
    <w:pPr>
      <w:pStyle w:val="Footer"/>
      <w:tabs>
        <w:tab w:val="clear" w:pos="4680"/>
        <w:tab w:val="clear" w:pos="9360"/>
        <w:tab w:val="center" w:pos="0"/>
      </w:tabs>
    </w:pPr>
    <w:r>
      <w:rPr>
        <w:noProof/>
        <w:lang w:val="en-US" w:eastAsia="en-US"/>
      </w:rPr>
      <mc:AlternateContent>
        <mc:Choice Requires="wpg">
          <w:drawing>
            <wp:anchor distT="0" distB="0" distL="114300" distR="114300" simplePos="0" relativeHeight="251658248" behindDoc="0" locked="0" layoutInCell="1" allowOverlap="1" wp14:anchorId="6EDD17EA" wp14:editId="6EDD17EB">
              <wp:simplePos x="0" y="0"/>
              <wp:positionH relativeFrom="page">
                <wp:posOffset>152400</wp:posOffset>
              </wp:positionH>
              <wp:positionV relativeFrom="bottomMargin">
                <wp:posOffset>2800350</wp:posOffset>
              </wp:positionV>
              <wp:extent cx="7537450" cy="190500"/>
              <wp:effectExtent l="0" t="0" r="6350" b="0"/>
              <wp:wrapNone/>
              <wp:docPr id="31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31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1861"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wps:txbx>
                      <wps:bodyPr rot="0" vert="horz" wrap="square" lIns="0" tIns="0" rIns="0" bIns="0" anchor="t" anchorCtr="0" upright="1">
                        <a:noAutofit/>
                      </wps:bodyPr>
                    </wps:wsp>
                    <wpg:grpSp>
                      <wpg:cNvPr id="314" name="Group 31"/>
                      <wpg:cNvGrpSpPr>
                        <a:grpSpLocks/>
                      </wpg:cNvGrpSpPr>
                      <wpg:grpSpPr bwMode="auto">
                        <a:xfrm flipH="1">
                          <a:off x="0" y="14970"/>
                          <a:ext cx="12255" cy="230"/>
                          <a:chOff x="-8" y="14978"/>
                          <a:chExt cx="12255" cy="230"/>
                        </a:xfrm>
                      </wpg:grpSpPr>
                      <wps:wsp>
                        <wps:cNvPr id="315" name="AutoShape 27"/>
                        <wps:cNvCnPr>
                          <a:cxnSpLocks noChangeShapeType="1"/>
                        </wps:cNvCnPr>
                        <wps:spPr bwMode="auto">
                          <a:xfrm flipV="1">
                            <a:off x="-8" y="14978"/>
                            <a:ext cx="1260" cy="230"/>
                          </a:xfrm>
                          <a:prstGeom prst="bentConnector3">
                            <a:avLst>
                              <a:gd name="adj1" fmla="val 50000"/>
                            </a:avLst>
                          </a:prstGeom>
                          <a:noFill/>
                          <a:ln w="19050">
                            <a:solidFill>
                              <a:srgbClr val="A5A5A5"/>
                            </a:solidFill>
                            <a:miter lim="800000"/>
                            <a:headEnd/>
                            <a:tailEnd/>
                          </a:ln>
                          <a:extLst>
                            <a:ext uri="{909E8E84-426E-40DD-AFC4-6F175D3DCCD1}">
                              <a14:hiddenFill xmlns:a14="http://schemas.microsoft.com/office/drawing/2010/main">
                                <a:noFill/>
                              </a14:hiddenFill>
                            </a:ext>
                          </a:extLst>
                        </wps:spPr>
                        <wps:bodyPr/>
                      </wps:wsp>
                      <wps:wsp>
                        <wps:cNvPr id="641" name="AutoShape 28"/>
                        <wps:cNvCnPr>
                          <a:cxnSpLocks noChangeShapeType="1"/>
                        </wps:cNvCnPr>
                        <wps:spPr bwMode="auto">
                          <a:xfrm rot="10800000">
                            <a:off x="1252" y="14978"/>
                            <a:ext cx="10995" cy="230"/>
                          </a:xfrm>
                          <a:prstGeom prst="bentConnector3">
                            <a:avLst>
                              <a:gd name="adj1" fmla="val 96778"/>
                            </a:avLst>
                          </a:prstGeom>
                          <a:noFill/>
                          <a:ln w="19050">
                            <a:solidFill>
                              <a:schemeClr val="accent5">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DD17EA" id="_x0000_s1033" style="position:absolute;left:0;text-align:left;margin-left:12pt;margin-top:220.5pt;width:593.5pt;height:15pt;z-index:251658248;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">
              <v:shape id="Text Box 25" o:spid="_x0000_s1034"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3pMQA&#10;AADcAAAADwAAAGRycy9kb3ducmV2LnhtbESPQWvCQBSE7wX/w/IEb3VjB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RN6TEAAAA3AAAAA8AAAAAAAAAAAAAAAAAmAIAAGRycy9k&#10;b3ducmV2LnhtbFBLBQYAAAAABAAEAPUAAACJAwAAAAA=&#10;" filled="f" stroked="f">
                <v:textbox inset="0,0,0,0">
                  <w:txbxContent>
                    <w:p w14:paraId="6EDD1861"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v:textbox>
              </v:shape>
              <v:group id="Group 31" o:spid="_x0000_s103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0SWW8QAAADcAAAA&#10;DwAAAAAAAAAAAAAAAACqAgAAZHJzL2Rvd25yZXYueG1sUEsFBgAAAAAEAAQA+gAAAJsDAAAAAA==&#10;">
                <v:shape id="AutoShape 27" o:spid="_x0000_s1036"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wbJMYAAADcAAAADwAAAGRycy9kb3ducmV2LnhtbESPT2vCQBTE70K/w/IEb7qxtVJSNyKB&#10;QvVkVdoeH9mXPzX7Ns2uMfrpu0LB4zAzv2EWy97UoqPWVZYVTCcRCOLM6ooLBYf92/gFhPPIGmvL&#10;pOBCDpbJw2CBsbZn/qBu5wsRIOxiVFB638RSuqwkg25iG+Lg5bY16INsC6lbPAe4qeVjFM2lwYrD&#10;QokNpSVlx93JKPg0m+sXzla/Jt3+dGv6TvO9TJUaDfvVKwhPvb+H/9vvWsHT9BluZ8IRk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cGyTGAAAA3AAAAA8AAAAAAAAA&#10;AAAAAAAAoQIAAGRycy9kb3ducmV2LnhtbFBLBQYAAAAABAAEAPkAAACUAwAAAAA=&#10;" strokecolor="#a5a5a5" strokeweight="1.5pt"/>
                <v:shape id="AutoShape 28" o:spid="_x0000_s1037"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2EjcMAAADcAAAADwAAAGRycy9kb3ducmV2LnhtbESPQWvCQBSE7wX/w/IKvdVNigYbXUWE&#10;gr1EjKHnR/aZhGbfhuyapP++Kwgeh5n5htnsJtOKgXrXWFYQzyMQxKXVDVcKisvX+wqE88gaW8uk&#10;4I8c7Lazlw2m2o58piH3lQgQdikqqL3vUildWZNBN7cdcfCutjfog+wrqXscA9y08iOKEmmw4bBQ&#10;Y0eHmsrf/GYU4CFuMmw/x6r8vv0USzzJOBuUenud9msQnib/DD/aR60gWcRwPxOOgN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9hI3DAAAA3AAAAA8AAAAAAAAAAAAA&#10;AAAAoQIAAGRycy9kb3ducmV2LnhtbFBLBQYAAAAABAAEAPkAAACRAwAAAAA=&#10;" adj="20904" strokecolor="#92cddc [1944]" strokeweight="1.5pt"/>
              </v:group>
              <w10:wrap anchorx="page" anchory="margin"/>
            </v:group>
          </w:pict>
        </mc:Fallback>
      </mc:AlternateContent>
    </w:r>
    <w:r>
      <w:rPr>
        <w:noProof/>
        <w:lang w:val="en-US" w:eastAsia="en-US"/>
      </w:rPr>
      <mc:AlternateContent>
        <mc:Choice Requires="wpg">
          <w:drawing>
            <wp:anchor distT="0" distB="0" distL="114300" distR="114300" simplePos="0" relativeHeight="251658247" behindDoc="0" locked="0" layoutInCell="1" allowOverlap="1" wp14:anchorId="6EDD17EC" wp14:editId="6EDD17ED">
              <wp:simplePos x="0" y="0"/>
              <wp:positionH relativeFrom="page">
                <wp:posOffset>152400</wp:posOffset>
              </wp:positionH>
              <wp:positionV relativeFrom="bottomMargin">
                <wp:posOffset>2800350</wp:posOffset>
              </wp:positionV>
              <wp:extent cx="7537450" cy="190500"/>
              <wp:effectExtent l="0" t="0" r="6350" b="0"/>
              <wp:wrapNone/>
              <wp:docPr id="31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317"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1862"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wps:txbx>
                      <wps:bodyPr rot="0" vert="horz" wrap="square" lIns="0" tIns="0" rIns="0" bIns="0" anchor="t" anchorCtr="0" upright="1">
                        <a:noAutofit/>
                      </wps:bodyPr>
                    </wps:wsp>
                    <wpg:grpSp>
                      <wpg:cNvPr id="318" name="Group 31"/>
                      <wpg:cNvGrpSpPr>
                        <a:grpSpLocks/>
                      </wpg:cNvGrpSpPr>
                      <wpg:grpSpPr bwMode="auto">
                        <a:xfrm flipH="1">
                          <a:off x="0" y="14970"/>
                          <a:ext cx="12255" cy="230"/>
                          <a:chOff x="-8" y="14978"/>
                          <a:chExt cx="12255" cy="230"/>
                        </a:xfrm>
                      </wpg:grpSpPr>
                      <wps:wsp>
                        <wps:cNvPr id="319" name="AutoShape 27"/>
                        <wps:cNvCnPr>
                          <a:cxnSpLocks noChangeShapeType="1"/>
                        </wps:cNvCnPr>
                        <wps:spPr bwMode="auto">
                          <a:xfrm flipV="1">
                            <a:off x="-8" y="14978"/>
                            <a:ext cx="1260" cy="230"/>
                          </a:xfrm>
                          <a:prstGeom prst="bentConnector3">
                            <a:avLst>
                              <a:gd name="adj1" fmla="val 50000"/>
                            </a:avLst>
                          </a:prstGeom>
                          <a:noFill/>
                          <a:ln w="19050">
                            <a:solidFill>
                              <a:srgbClr val="A5A5A5"/>
                            </a:solidFill>
                            <a:miter lim="800000"/>
                            <a:headEnd/>
                            <a:tailEnd/>
                          </a:ln>
                          <a:extLst>
                            <a:ext uri="{909E8E84-426E-40DD-AFC4-6F175D3DCCD1}">
                              <a14:hiddenFill xmlns:a14="http://schemas.microsoft.com/office/drawing/2010/main">
                                <a:noFill/>
                              </a14:hiddenFill>
                            </a:ext>
                          </a:extLst>
                        </wps:spPr>
                        <wps:bodyPr/>
                      </wps:wsp>
                      <wps:wsp>
                        <wps:cNvPr id="640" name="AutoShape 28"/>
                        <wps:cNvCnPr>
                          <a:cxnSpLocks noChangeShapeType="1"/>
                        </wps:cNvCnPr>
                        <wps:spPr bwMode="auto">
                          <a:xfrm rot="10800000">
                            <a:off x="1252" y="14978"/>
                            <a:ext cx="10995" cy="230"/>
                          </a:xfrm>
                          <a:prstGeom prst="bentConnector3">
                            <a:avLst>
                              <a:gd name="adj1" fmla="val 96778"/>
                            </a:avLst>
                          </a:prstGeom>
                          <a:noFill/>
                          <a:ln w="19050">
                            <a:solidFill>
                              <a:schemeClr val="accent5">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DD17EC" id="_x0000_s1038" style="position:absolute;left:0;text-align:left;margin-left:12pt;margin-top:220.5pt;width:593.5pt;height:15pt;z-index:251658247;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">
              <v:shape id="Text Box 25" o:spid="_x0000_s1039"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xp8YA&#10;AADcAAAADwAAAGRycy9kb3ducmV2LnhtbESPQWvCQBSE7wX/w/KE3urGFmy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oxp8YAAADcAAAADwAAAAAAAAAAAAAAAACYAgAAZHJz&#10;L2Rvd25yZXYueG1sUEsFBgAAAAAEAAQA9QAAAIsDAAAAAA==&#10;" filled="f" stroked="f">
                <v:textbox inset="0,0,0,0">
                  <w:txbxContent>
                    <w:p w14:paraId="6EDD1862"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v:textbox>
              </v:shape>
              <v:group id="Group 31" o:spid="_x0000_s104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jgmcXsEAAADcAAAADwAA&#10;AAAAAAAAAAAAAACqAgAAZHJzL2Rvd25yZXYueG1sUEsFBgAAAAAEAAQA+gAAAJgDAAAAAA==&#10;">
                <v:shape id="AutoShape 27" o:spid="_x0000_s1041"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RIcYAAADcAAAADwAAAGRycy9kb3ducmV2LnhtbESPT2vCQBTE70K/w/IEb7qxlWJTNyKB&#10;QvVkVdoeH9mXPzX7Ns2uMfrpu0LB4zAzv2EWy97UoqPWVZYVTCcRCOLM6ooLBYf923gOwnlkjbVl&#10;UnAhB8vkYbDAWNszf1C384UIEHYxKii9b2IpXVaSQTexDXHwctsa9EG2hdQtngPc1PIxip6lwYrD&#10;QokNpSVlx93JKPg0m+sXzla/Jt3+dGv6TvO9TJUaDfvVKwhPvb+H/9vvWsHT9AVuZ8IRk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RESHGAAAA3AAAAA8AAAAAAAAA&#10;AAAAAAAAoQIAAGRycy9kb3ducmV2LnhtbFBLBQYAAAAABAAEAPkAAACUAwAAAAA=&#10;" strokecolor="#a5a5a5" strokeweight="1.5pt"/>
                <v:shape id="AutoShape 28" o:spid="_x0000_s1042"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EhFsEAAADcAAAADwAAAGRycy9kb3ducmV2LnhtbERPyWrDMBC9F/oPYgq9NbJDE1LXcgiB&#10;QntxqRNyHqyJbSKNjCUv/fvoUOjx8fZ8v1gjJhp851hBukpAENdOd9woOJ8+XnYgfEDWaByTgl/y&#10;sC8eH3LMtJv5h6YqNCKGsM9QQRtCn0np65Ys+pXriSN3dYPFEOHQSD3gHMOtkesk2UqLHceGFns6&#10;tlTfqtEqwGPalWje5qb+Gi/nDX7LtJyUen5aDu8gAi3hX/zn/tQKtq9xfjwTj4As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cSEWwQAAANwAAAAPAAAAAAAAAAAAAAAA&#10;AKECAABkcnMvZG93bnJldi54bWxQSwUGAAAAAAQABAD5AAAAjwMAAAAA&#10;" adj="20904" strokecolor="#92cddc [1944]" strokeweight="1.5pt"/>
              </v:group>
              <w10:wrap anchorx="page" anchory="margin"/>
            </v:group>
          </w:pict>
        </mc:Fallback>
      </mc:AlternateContent>
    </w:r>
    <w:r>
      <w:rPr>
        <w:noProof/>
        <w:lang w:val="en-US" w:eastAsia="en-US"/>
      </w:rPr>
      <mc:AlternateContent>
        <mc:Choice Requires="wpg">
          <w:drawing>
            <wp:anchor distT="0" distB="0" distL="114300" distR="114300" simplePos="0" relativeHeight="251658246" behindDoc="0" locked="0" layoutInCell="1" allowOverlap="1" wp14:anchorId="6EDD17EE" wp14:editId="6EDD17EF">
              <wp:simplePos x="0" y="0"/>
              <wp:positionH relativeFrom="page">
                <wp:posOffset>276860</wp:posOffset>
              </wp:positionH>
              <wp:positionV relativeFrom="bottomMargin">
                <wp:posOffset>3468370</wp:posOffset>
              </wp:positionV>
              <wp:extent cx="7527925" cy="190500"/>
              <wp:effectExtent l="0" t="0" r="6350" b="0"/>
              <wp:wrapNone/>
              <wp:docPr id="30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7925" cy="190500"/>
                        <a:chOff x="0" y="14970"/>
                        <a:chExt cx="12255" cy="300"/>
                      </a:xfrm>
                    </wpg:grpSpPr>
                    <wps:wsp>
                      <wps:cNvPr id="308"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1863"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wps:txbx>
                      <wps:bodyPr rot="0" vert="horz" wrap="square" lIns="0" tIns="0" rIns="0" bIns="0" anchor="t" anchorCtr="0" upright="1">
                        <a:noAutofit/>
                      </wps:bodyPr>
                    </wps:wsp>
                    <wpg:grpSp>
                      <wpg:cNvPr id="309" name="Group 31"/>
                      <wpg:cNvGrpSpPr>
                        <a:grpSpLocks/>
                      </wpg:cNvGrpSpPr>
                      <wpg:grpSpPr bwMode="auto">
                        <a:xfrm flipH="1">
                          <a:off x="0" y="14970"/>
                          <a:ext cx="12255" cy="230"/>
                          <a:chOff x="-8" y="14978"/>
                          <a:chExt cx="12255" cy="230"/>
                        </a:xfrm>
                      </wpg:grpSpPr>
                      <wps:wsp>
                        <wps:cNvPr id="310" name="AutoShape 27"/>
                        <wps:cNvCnPr>
                          <a:cxnSpLocks noChangeShapeType="1"/>
                        </wps:cNvCnPr>
                        <wps:spPr bwMode="auto">
                          <a:xfrm flipV="1">
                            <a:off x="-8" y="14978"/>
                            <a:ext cx="1260" cy="230"/>
                          </a:xfrm>
                          <a:prstGeom prst="bentConnector3">
                            <a:avLst>
                              <a:gd name="adj1" fmla="val 50000"/>
                            </a:avLst>
                          </a:prstGeom>
                          <a:noFill/>
                          <a:ln w="19050">
                            <a:solidFill>
                              <a:srgbClr val="A5A5A5"/>
                            </a:solidFill>
                            <a:miter lim="800000"/>
                            <a:headEnd/>
                            <a:tailEnd/>
                          </a:ln>
                          <a:extLst>
                            <a:ext uri="{909E8E84-426E-40DD-AFC4-6F175D3DCCD1}">
                              <a14:hiddenFill xmlns:a14="http://schemas.microsoft.com/office/drawing/2010/main">
                                <a:noFill/>
                              </a14:hiddenFill>
                            </a:ext>
                          </a:extLst>
                        </wps:spPr>
                        <wps:bodyPr/>
                      </wps:wsp>
                      <wps:wsp>
                        <wps:cNvPr id="311" name="AutoShape 28"/>
                        <wps:cNvCnPr>
                          <a:cxnSpLocks noChangeShapeType="1"/>
                        </wps:cNvCnPr>
                        <wps:spPr bwMode="auto">
                          <a:xfrm rot="10800000">
                            <a:off x="1252" y="14978"/>
                            <a:ext cx="10995" cy="230"/>
                          </a:xfrm>
                          <a:prstGeom prst="bentConnector3">
                            <a:avLst>
                              <a:gd name="adj1" fmla="val 96778"/>
                            </a:avLst>
                          </a:prstGeom>
                          <a:noFill/>
                          <a:ln w="19050">
                            <a:solidFill>
                              <a:schemeClr val="accent5">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DD17EE" id="_x0000_s1043" style="position:absolute;left:0;text-align:left;margin-left:21.8pt;margin-top:273.1pt;width:592.75pt;height:15pt;z-index:251658246;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">
              <v:shape id="Text Box 25" o:spid="_x0000_s1044"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zCMEA&#10;AADcAAAADwAAAGRycy9kb3ducmV2LnhtbERPz2vCMBS+D/wfwhN2m4kbyKxGEdlAGIi1Hjw+m2cb&#10;bF66Jmr335uDsOPH93u+7F0jbtQF61nDeKRAEJfeWK40HIrvt08QISIbbDyThj8KsFwMXuaYGX/n&#10;nG77WIkUwiFDDXWMbSZlKGtyGEa+JU7c2XcOY4JdJU2H9xTuGvmu1EQ6tJwaamxpXVN52V+dhtWR&#10;8y/7uz3t8nNui2Kq+Gdy0fp12K9mICL18V/8dG+Mhg+V1qY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sMwjBAAAA3AAAAA8AAAAAAAAAAAAAAAAAmAIAAGRycy9kb3du&#10;cmV2LnhtbFBLBQYAAAAABAAEAPUAAACGAwAAAAA=&#10;" filled="f" stroked="f">
                <v:textbox inset="0,0,0,0">
                  <w:txbxContent>
                    <w:p w14:paraId="6EDD1863"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v:textbox>
              </v:shape>
              <v:group id="Group 31" o:spid="_x0000_s104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knK8YwwAAANwAAAAP&#10;AAAAAAAAAAAAAAAAAKoCAABkcnMvZG93bnJldi54bWxQSwUGAAAAAAQABAD6AAAAmgMAAAAA&#10;">
                <v:shape id="AutoShape 27" o:spid="_x0000_s1046"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u4vMEAAADcAAAADwAAAGRycy9kb3ducmV2LnhtbERPy4rCMBTdD/gP4QruxtRxEKlGkYKg&#10;sxofqMtLc22rzU2nydTq15uF4PJw3tN5a0rRUO0KywoG/QgEcWp1wZmC/W75OQbhPLLG0jIpuJOD&#10;+azzMcVY2xtvqNn6TIQQdjEqyL2vYildmpNB17cVceDOtjboA6wzqWu8hXBTyq8oGkmDBYeGHCtK&#10;ckqv23+j4GB+Hkf8XvyZ5PfSrOmUnHcyUarXbRcTEJ5a/xa/3CutYDgI88OZcATk7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K7i8wQAAANwAAAAPAAAAAAAAAAAAAAAA&#10;AKECAABkcnMvZG93bnJldi54bWxQSwUGAAAAAAQABAD5AAAAjwMAAAAA&#10;" strokecolor="#a5a5a5" strokeweight="1.5pt"/>
                <v:shape id="AutoShape 28" o:spid="_x0000_s1047"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AIFMIAAADcAAAADwAAAGRycy9kb3ducmV2LnhtbESPT4vCMBTE78J+h/AWvGmaFWW3a5RF&#10;EPSi+Ic9P5pnW2xeShPb+u2NIHgcZuY3zHzZ20q01PjSsQY1TkAQZ86UnGs4n9ajbxA+IBusHJOG&#10;O3lYLj4Gc0yN6/hA7THkIkLYp6ihCKFOpfRZQRb92NXE0bu4xmKIssmlabCLcFvJrySZSYslx4UC&#10;a1oVlF2PN6sBV6rcYfXT5dn29n+e4l6qXav18LP/+wURqA/v8Ku9MRomSsHzTDwC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AIFMIAAADcAAAADwAAAAAAAAAAAAAA&#10;AAChAgAAZHJzL2Rvd25yZXYueG1sUEsFBgAAAAAEAAQA+QAAAJADAAAAAA==&#10;" adj="20904" strokecolor="#92cddc [1944]" strokeweight="1.5pt"/>
              </v:group>
              <w10:wrap anchorx="page" anchory="margin"/>
            </v:group>
          </w:pict>
        </mc:Fallback>
      </mc:AlternateContent>
    </w:r>
    <w:r>
      <w:rPr>
        <w:noProof/>
        <w:lang w:val="en-US" w:eastAsia="en-US"/>
      </w:rPr>
      <mc:AlternateContent>
        <mc:Choice Requires="wpg">
          <w:drawing>
            <wp:anchor distT="0" distB="0" distL="114300" distR="114300" simplePos="0" relativeHeight="251658245" behindDoc="0" locked="0" layoutInCell="1" allowOverlap="1" wp14:anchorId="6EDD17F0" wp14:editId="6EDD17F1">
              <wp:simplePos x="0" y="0"/>
              <wp:positionH relativeFrom="page">
                <wp:posOffset>276860</wp:posOffset>
              </wp:positionH>
              <wp:positionV relativeFrom="bottomMargin">
                <wp:posOffset>3468370</wp:posOffset>
              </wp:positionV>
              <wp:extent cx="7527925" cy="190500"/>
              <wp:effectExtent l="0" t="0" r="6350" b="0"/>
              <wp:wrapNone/>
              <wp:docPr id="30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7925" cy="190500"/>
                        <a:chOff x="0" y="14970"/>
                        <a:chExt cx="12255" cy="300"/>
                      </a:xfrm>
                    </wpg:grpSpPr>
                    <wps:wsp>
                      <wps:cNvPr id="302"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1864"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wps:txbx>
                      <wps:bodyPr rot="0" vert="horz" wrap="square" lIns="0" tIns="0" rIns="0" bIns="0" anchor="t" anchorCtr="0" upright="1">
                        <a:noAutofit/>
                      </wps:bodyPr>
                    </wps:wsp>
                    <wpg:grpSp>
                      <wpg:cNvPr id="303" name="Group 31"/>
                      <wpg:cNvGrpSpPr>
                        <a:grpSpLocks/>
                      </wpg:cNvGrpSpPr>
                      <wpg:grpSpPr bwMode="auto">
                        <a:xfrm flipH="1">
                          <a:off x="0" y="14970"/>
                          <a:ext cx="12255" cy="230"/>
                          <a:chOff x="-8" y="14978"/>
                          <a:chExt cx="12255" cy="230"/>
                        </a:xfrm>
                      </wpg:grpSpPr>
                      <wps:wsp>
                        <wps:cNvPr id="304" name="AutoShape 27"/>
                        <wps:cNvCnPr>
                          <a:cxnSpLocks noChangeShapeType="1"/>
                        </wps:cNvCnPr>
                        <wps:spPr bwMode="auto">
                          <a:xfrm flipV="1">
                            <a:off x="-8" y="14978"/>
                            <a:ext cx="1260" cy="230"/>
                          </a:xfrm>
                          <a:prstGeom prst="bentConnector3">
                            <a:avLst>
                              <a:gd name="adj1" fmla="val 50000"/>
                            </a:avLst>
                          </a:prstGeom>
                          <a:noFill/>
                          <a:ln w="19050">
                            <a:solidFill>
                              <a:srgbClr val="A5A5A5"/>
                            </a:solidFill>
                            <a:miter lim="800000"/>
                            <a:headEnd/>
                            <a:tailEnd/>
                          </a:ln>
                          <a:extLst>
                            <a:ext uri="{909E8E84-426E-40DD-AFC4-6F175D3DCCD1}">
                              <a14:hiddenFill xmlns:a14="http://schemas.microsoft.com/office/drawing/2010/main">
                                <a:noFill/>
                              </a14:hiddenFill>
                            </a:ext>
                          </a:extLst>
                        </wps:spPr>
                        <wps:bodyPr/>
                      </wps:wsp>
                      <wps:wsp>
                        <wps:cNvPr id="305" name="AutoShape 28"/>
                        <wps:cNvCnPr>
                          <a:cxnSpLocks noChangeShapeType="1"/>
                        </wps:cNvCnPr>
                        <wps:spPr bwMode="auto">
                          <a:xfrm rot="10800000">
                            <a:off x="1252" y="14978"/>
                            <a:ext cx="10995" cy="230"/>
                          </a:xfrm>
                          <a:prstGeom prst="bentConnector3">
                            <a:avLst>
                              <a:gd name="adj1" fmla="val 96778"/>
                            </a:avLst>
                          </a:prstGeom>
                          <a:noFill/>
                          <a:ln w="19050">
                            <a:solidFill>
                              <a:schemeClr val="accent5">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DD17F0" id="_x0000_s1048" style="position:absolute;left:0;text-align:left;margin-left:21.8pt;margin-top:273.1pt;width:592.75pt;height:15pt;z-index:251658245;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">
              <v:shape id="Text Box 25" o:spid="_x0000_s1049"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QE4sUA&#10;AADcAAAADwAAAGRycy9kb3ducmV2LnhtbESPQWsCMRSE7wX/Q3iCt5pUQerWKCItCELpuh56fN08&#10;d4Obl3UTdf33TaHgcZiZb5jFqneNuFIXrGcNL2MFgrj0xnKl4VB8PL+CCBHZYOOZNNwpwGo5eFpg&#10;ZvyNc7ruYyUShEOGGuoY20zKUNbkMIx9S5y8o+8cxiS7SpoObwnuGjlRaiYdWk4LNba0qak87S9O&#10;w/qb83d7/vz5yo+5LYq54t3spPVo2K/fQETq4yP8394aDVM1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ATixQAAANwAAAAPAAAAAAAAAAAAAAAAAJgCAABkcnMv&#10;ZG93bnJldi54bWxQSwUGAAAAAAQABAD1AAAAigMAAAAA&#10;" filled="f" stroked="f">
                <v:textbox inset="0,0,0,0">
                  <w:txbxContent>
                    <w:p w14:paraId="6EDD1864"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v:textbox>
              </v:shape>
              <v:group id="Group 31" o:spid="_x0000_s105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XSY8sQAAADcAAAA&#10;DwAAAAAAAAAAAAAAAACqAgAAZHJzL2Rvd25yZXYueG1sUEsFBgAAAAAEAAQA+gAAAJsDAAAAAA==&#10;">
                <v:shape id="AutoShape 27" o:spid="_x0000_s1051"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oYsQAAADcAAAADwAAAGRycy9kb3ducmV2LnhtbESPT2vCQBTE7wW/w/IEb3VjlSKpq0hA&#10;UE/+Q3t8ZJ9J2uzbNLvG6Kd3BaHHYWZ+w0xmrSlFQ7UrLCsY9CMQxKnVBWcKDvvF+xiE88gaS8uk&#10;4EYOZtPO2wRjba+8pWbnMxEg7GJUkHtfxVK6NCeDrm8r4uCdbW3QB1lnUtd4DXBTyo8o+pQGCw4L&#10;OVaU5JT+7i5GwdGs7ycczf9MsvlpVvSdnPcyUarXbedfIDy1/j/8ai+1gmE0gueZcATk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yShixAAAANwAAAAPAAAAAAAAAAAA&#10;AAAAAKECAABkcnMvZG93bnJldi54bWxQSwUGAAAAAAQABAD5AAAAkgMAAAAA&#10;" strokecolor="#a5a5a5" strokeweight="1.5pt"/>
                <v:shape id="AutoShape 28" o:spid="_x0000_s1052"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KYysMAAADcAAAADwAAAGRycy9kb3ducmV2LnhtbESPQWuDQBSE74X8h+UVequrCYbWuEoI&#10;BNKLJWno+eG+qNR9K+5G7b/vFgo9DjPzDZOXi+nFRKPrLCtIohgEcW11x42C68fx+QWE88gae8uk&#10;4JsclMXqIcdM25nPNF18IwKEXYYKWu+HTEpXt2TQRXYgDt7NjgZ9kGMj9YhzgJteruN4Kw12HBZa&#10;HOjQUv11uRsFeEi6CvvXuanf7p/XFN9lUk1KPT0u+x0IT4v/D/+1T1rBJk7h90w4Ar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CmMrDAAAA3AAAAA8AAAAAAAAAAAAA&#10;AAAAoQIAAGRycy9kb3ducmV2LnhtbFBLBQYAAAAABAAEAPkAAACRAwAAAAA=&#10;" adj="20904" strokecolor="#92cddc [1944]" strokeweight="1.5pt"/>
              </v:group>
              <w10:wrap anchorx="page" anchory="margin"/>
            </v:group>
          </w:pict>
        </mc:Fallback>
      </mc:AlternateContent>
    </w:r>
    <w:r>
      <w:rPr>
        <w:noProof/>
        <w:lang w:val="en-US" w:eastAsia="en-US"/>
      </w:rPr>
      <mc:AlternateContent>
        <mc:Choice Requires="wpg">
          <w:drawing>
            <wp:anchor distT="0" distB="0" distL="114300" distR="114300" simplePos="0" relativeHeight="251658244" behindDoc="0" locked="0" layoutInCell="1" allowOverlap="1" wp14:anchorId="6EDD17F2" wp14:editId="6EDD17F3">
              <wp:simplePos x="0" y="0"/>
              <wp:positionH relativeFrom="page">
                <wp:posOffset>276860</wp:posOffset>
              </wp:positionH>
              <wp:positionV relativeFrom="bottomMargin">
                <wp:posOffset>3468370</wp:posOffset>
              </wp:positionV>
              <wp:extent cx="7527925" cy="190500"/>
              <wp:effectExtent l="0" t="0" r="6350" b="0"/>
              <wp:wrapNone/>
              <wp:docPr id="60"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7925" cy="190500"/>
                        <a:chOff x="0" y="14970"/>
                        <a:chExt cx="12255" cy="300"/>
                      </a:xfrm>
                    </wpg:grpSpPr>
                    <wps:wsp>
                      <wps:cNvPr id="61"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1865"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wps:txbx>
                      <wps:bodyPr rot="0" vert="horz" wrap="square" lIns="0" tIns="0" rIns="0" bIns="0" anchor="t" anchorCtr="0" upright="1">
                        <a:noAutofit/>
                      </wps:bodyPr>
                    </wps:wsp>
                    <wpg:grpSp>
                      <wpg:cNvPr id="62" name="Group 31"/>
                      <wpg:cNvGrpSpPr>
                        <a:grpSpLocks/>
                      </wpg:cNvGrpSpPr>
                      <wpg:grpSpPr bwMode="auto">
                        <a:xfrm flipH="1">
                          <a:off x="0" y="14970"/>
                          <a:ext cx="12255" cy="230"/>
                          <a:chOff x="-8" y="14978"/>
                          <a:chExt cx="12255" cy="230"/>
                        </a:xfrm>
                      </wpg:grpSpPr>
                      <wps:wsp>
                        <wps:cNvPr id="294" name="AutoShape 27"/>
                        <wps:cNvCnPr>
                          <a:cxnSpLocks noChangeShapeType="1"/>
                        </wps:cNvCnPr>
                        <wps:spPr bwMode="auto">
                          <a:xfrm flipV="1">
                            <a:off x="-8" y="14978"/>
                            <a:ext cx="1260" cy="230"/>
                          </a:xfrm>
                          <a:prstGeom prst="bentConnector3">
                            <a:avLst>
                              <a:gd name="adj1" fmla="val 50000"/>
                            </a:avLst>
                          </a:prstGeom>
                          <a:noFill/>
                          <a:ln w="19050">
                            <a:solidFill>
                              <a:srgbClr val="A5A5A5"/>
                            </a:solidFill>
                            <a:miter lim="800000"/>
                            <a:headEnd/>
                            <a:tailEnd/>
                          </a:ln>
                          <a:extLst>
                            <a:ext uri="{909E8E84-426E-40DD-AFC4-6F175D3DCCD1}">
                              <a14:hiddenFill xmlns:a14="http://schemas.microsoft.com/office/drawing/2010/main">
                                <a:noFill/>
                              </a14:hiddenFill>
                            </a:ext>
                          </a:extLst>
                        </wps:spPr>
                        <wps:bodyPr/>
                      </wps:wsp>
                      <wps:wsp>
                        <wps:cNvPr id="300" name="AutoShape 28"/>
                        <wps:cNvCnPr>
                          <a:cxnSpLocks noChangeShapeType="1"/>
                        </wps:cNvCnPr>
                        <wps:spPr bwMode="auto">
                          <a:xfrm rot="10800000">
                            <a:off x="1252" y="14978"/>
                            <a:ext cx="10995" cy="230"/>
                          </a:xfrm>
                          <a:prstGeom prst="bentConnector3">
                            <a:avLst>
                              <a:gd name="adj1" fmla="val 96778"/>
                            </a:avLst>
                          </a:prstGeom>
                          <a:noFill/>
                          <a:ln w="19050">
                            <a:solidFill>
                              <a:schemeClr val="accent5">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DD17F2" id="_x0000_s1053" style="position:absolute;left:0;text-align:left;margin-left:21.8pt;margin-top:273.1pt;width:592.75pt;height:15pt;z-index:251658244;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">
              <v:shape id="Text Box 25" o:spid="_x0000_s1054"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14:paraId="6EDD1865"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v:textbox>
              </v:shape>
              <v:group id="Group 31" o:spid="_x0000_s105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Icu6hwwAAANsAAAAP&#10;AAAAAAAAAAAAAAAAAKoCAABkcnMvZG93bnJldi54bWxQSwUGAAAAAAQABAD6AAAAmgMAAAAA&#10;">
                <v:shape id="AutoShape 27" o:spid="_x0000_s1056"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KyeMUAAADcAAAADwAAAGRycy9kb3ducmV2LnhtbESPQWvCQBSE7wX/w/IEb7pRpGjqJkhA&#10;UE9Wi+3xkX0mqdm3MbvGtL++Wyj0OMzMN8wq7U0tOmpdZVnBdBKBIM6trrhQ8HbajBcgnEfWWFsm&#10;BV/kIE0GTyuMtX3wK3VHX4gAYRejgtL7JpbS5SUZdBPbEAfvYluDPsi2kLrFR4CbWs6i6FkarDgs&#10;lNhQVlJ+Pd6NgrPZf7/jfH0z2eGz29FHdjnJTKnRsF+/gPDU+//wX3urFcyWc/g9E46AT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KyeMUAAADcAAAADwAAAAAAAAAA&#10;AAAAAAChAgAAZHJzL2Rvd25yZXYueG1sUEsFBgAAAAAEAAQA+QAAAJMDAAAAAA==&#10;" strokecolor="#a5a5a5" strokeweight="1.5pt"/>
                <v:shape id="AutoShape 28" o:spid="_x0000_s1057"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7UsAAAADcAAAADwAAAGRycy9kb3ducmV2LnhtbERPTWuDQBC9F/IflinkVlcTWhKbjQQh&#10;kFxSaiTnwZ2q1J0Vd6Pm32cPhR4f73uXzaYTIw2utawgiWIQxJXVLdcKyuvxbQPCeWSNnWVS8CAH&#10;2X7xssNU24m/aSx8LUIIuxQVNN73qZSuasigi2xPHLgfOxj0AQ611ANOIdx0chXHH9Jgy6GhwZ7y&#10;hqrf4m4UYJ60F+y2U12d77fyHb9kchmVWr7Oh08Qnmb/L/5zn7SCdRzmhzPhCMj9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t1O1LAAAAA3AAAAA8AAAAAAAAAAAAAAAAA&#10;oQIAAGRycy9kb3ducmV2LnhtbFBLBQYAAAAABAAEAPkAAACOAwAAAAA=&#10;" adj="20904" strokecolor="#92cddc [1944]" strokeweight="1.5pt"/>
              </v:group>
              <w10:wrap anchorx="page" anchory="margin"/>
            </v:group>
          </w:pict>
        </mc:Fallback>
      </mc:AlternateContent>
    </w:r>
    <w:r>
      <w:rPr>
        <w:noProof/>
        <w:lang w:val="en-US" w:eastAsia="en-US"/>
      </w:rPr>
      <mc:AlternateContent>
        <mc:Choice Requires="wpg">
          <w:drawing>
            <wp:anchor distT="0" distB="0" distL="114300" distR="114300" simplePos="0" relativeHeight="251658243" behindDoc="0" locked="0" layoutInCell="1" allowOverlap="1" wp14:anchorId="6EDD17F4" wp14:editId="6EDD17F5">
              <wp:simplePos x="0" y="0"/>
              <wp:positionH relativeFrom="page">
                <wp:posOffset>152400</wp:posOffset>
              </wp:positionH>
              <wp:positionV relativeFrom="bottomMargin">
                <wp:posOffset>3531235</wp:posOffset>
              </wp:positionV>
              <wp:extent cx="7537450" cy="190500"/>
              <wp:effectExtent l="0" t="0" r="6350" b="0"/>
              <wp:wrapNone/>
              <wp:docPr id="4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50"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1866"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wps:txbx>
                      <wps:bodyPr rot="0" vert="horz" wrap="square" lIns="0" tIns="0" rIns="0" bIns="0" anchor="t" anchorCtr="0" upright="1">
                        <a:noAutofit/>
                      </wps:bodyPr>
                    </wps:wsp>
                    <wpg:grpSp>
                      <wpg:cNvPr id="51" name="Group 31"/>
                      <wpg:cNvGrpSpPr>
                        <a:grpSpLocks/>
                      </wpg:cNvGrpSpPr>
                      <wpg:grpSpPr bwMode="auto">
                        <a:xfrm flipH="1">
                          <a:off x="0" y="14970"/>
                          <a:ext cx="12255" cy="230"/>
                          <a:chOff x="-8" y="14978"/>
                          <a:chExt cx="12255" cy="230"/>
                        </a:xfrm>
                      </wpg:grpSpPr>
                      <wps:wsp>
                        <wps:cNvPr id="52" name="AutoShape 27"/>
                        <wps:cNvCnPr>
                          <a:cxnSpLocks noChangeShapeType="1"/>
                        </wps:cNvCnPr>
                        <wps:spPr bwMode="auto">
                          <a:xfrm flipV="1">
                            <a:off x="-8" y="14978"/>
                            <a:ext cx="1260" cy="230"/>
                          </a:xfrm>
                          <a:prstGeom prst="bentConnector3">
                            <a:avLst>
                              <a:gd name="adj1" fmla="val 50000"/>
                            </a:avLst>
                          </a:prstGeom>
                          <a:noFill/>
                          <a:ln w="19050">
                            <a:solidFill>
                              <a:srgbClr val="A5A5A5"/>
                            </a:solidFill>
                            <a:miter lim="800000"/>
                            <a:headEnd/>
                            <a:tailEnd/>
                          </a:ln>
                          <a:extLst>
                            <a:ext uri="{909E8E84-426E-40DD-AFC4-6F175D3DCCD1}">
                              <a14:hiddenFill xmlns:a14="http://schemas.microsoft.com/office/drawing/2010/main">
                                <a:noFill/>
                              </a14:hiddenFill>
                            </a:ext>
                          </a:extLst>
                        </wps:spPr>
                        <wps:bodyPr/>
                      </wps:wsp>
                      <wps:wsp>
                        <wps:cNvPr id="56" name="AutoShape 28"/>
                        <wps:cNvCnPr>
                          <a:cxnSpLocks noChangeShapeType="1"/>
                        </wps:cNvCnPr>
                        <wps:spPr bwMode="auto">
                          <a:xfrm rot="10800000">
                            <a:off x="1252" y="14978"/>
                            <a:ext cx="10995" cy="230"/>
                          </a:xfrm>
                          <a:prstGeom prst="bentConnector3">
                            <a:avLst>
                              <a:gd name="adj1" fmla="val 96778"/>
                            </a:avLst>
                          </a:prstGeom>
                          <a:noFill/>
                          <a:ln w="19050">
                            <a:solidFill>
                              <a:schemeClr val="accent5">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DD17F4" id="_x0000_s1058" style="position:absolute;left:0;text-align:left;margin-left:12pt;margin-top:278.05pt;width:593.5pt;height:15pt;z-index:251658243;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">
              <v:shape id="Text Box 25" o:spid="_x0000_s1059"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14:paraId="6EDD1866"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v:textbox>
              </v:shape>
              <v:group id="Group 31" o:spid="_x0000_s106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zLprwwAAANsAAAAP&#10;AAAAAAAAAAAAAAAAAKoCAABkcnMvZG93bnJldi54bWxQSwUGAAAAAAQABAD6AAAAmgMAAAAA&#10;">
                <v:shape id="AutoShape 27" o:spid="_x0000_s1061"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q/OsQAAADbAAAADwAAAGRycy9kb3ducmV2LnhtbESPT2vCQBTE7wW/w/IEb81GqaVEV5GA&#10;YD35p7QeH9lnEs2+jdk1Rj99tyD0OMzMb5jpvDOVaKlxpWUFwygGQZxZXXKu4Gu/fP0A4Tyyxsoy&#10;KbiTg/ms9zLFRNsbb6nd+VwECLsEFRTe14mULivIoItsTRy8o20M+iCbXOoGbwFuKjmK43dpsOSw&#10;UGBNaUHZeXc1Cr7N+vGDb4uLSTen9pMO6XEvU6UG/W4xAeGp8//hZ3ulFYxH8Pcl/AA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ur86xAAAANsAAAAPAAAAAAAAAAAA&#10;AAAAAKECAABkcnMvZG93bnJldi54bWxQSwUGAAAAAAQABAD5AAAAkgMAAAAA&#10;" strokecolor="#a5a5a5" strokeweight="1.5pt"/>
                <v:shape id="AutoShape 28" o:spid="_x0000_s1062"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UjL8IAAADbAAAADwAAAGRycy9kb3ducmV2LnhtbESPQWvCQBSE74L/YXkFb7pJIUFTVymC&#10;UC8pRun5kX0mwezbkF2T9N93C4LHYWa+Ybb7ybRioN41lhXEqwgEcWl1w5WC6+W4XINwHllja5kU&#10;/JKD/W4+22Km7chnGgpfiQBhl6GC2vsuk9KVNRl0K9sRB+9me4M+yL6SuscxwE0r36MolQYbDgs1&#10;dnSoqbwXD6MAD3GTY7sZq/L0+Lkm+C3jfFBq8TZ9foDwNPlX+Nn+0gqSFP6/hB8gd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UjL8IAAADbAAAADwAAAAAAAAAAAAAA&#10;AAChAgAAZHJzL2Rvd25yZXYueG1sUEsFBgAAAAAEAAQA+QAAAJADAAAAAA==&#10;" adj="20904" strokecolor="#92cddc [1944]" strokeweight="1.5pt"/>
              </v:group>
              <w10:wrap anchorx="page" anchory="margin"/>
            </v:group>
          </w:pict>
        </mc:Fallback>
      </mc:AlternateContent>
    </w:r>
    <w:r>
      <w:rPr>
        <w:noProof/>
        <w:lang w:val="en-US" w:eastAsia="en-US"/>
      </w:rPr>
      <mc:AlternateContent>
        <mc:Choice Requires="wpg">
          <w:drawing>
            <wp:anchor distT="0" distB="0" distL="114300" distR="114300" simplePos="0" relativeHeight="251658242" behindDoc="0" locked="0" layoutInCell="1" allowOverlap="1" wp14:anchorId="6EDD17F6" wp14:editId="6EDD17F7">
              <wp:simplePos x="0" y="0"/>
              <wp:positionH relativeFrom="page">
                <wp:posOffset>152400</wp:posOffset>
              </wp:positionH>
              <wp:positionV relativeFrom="bottomMargin">
                <wp:posOffset>3531235</wp:posOffset>
              </wp:positionV>
              <wp:extent cx="7537450" cy="190500"/>
              <wp:effectExtent l="0" t="0" r="6350" b="0"/>
              <wp:wrapNone/>
              <wp:docPr id="40"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41"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1867"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wps:txbx>
                      <wps:bodyPr rot="0" vert="horz" wrap="square" lIns="0" tIns="0" rIns="0" bIns="0" anchor="t" anchorCtr="0" upright="1">
                        <a:noAutofit/>
                      </wps:bodyPr>
                    </wps:wsp>
                    <wpg:grpSp>
                      <wpg:cNvPr id="42" name="Group 31"/>
                      <wpg:cNvGrpSpPr>
                        <a:grpSpLocks/>
                      </wpg:cNvGrpSpPr>
                      <wpg:grpSpPr bwMode="auto">
                        <a:xfrm flipH="1">
                          <a:off x="0" y="14970"/>
                          <a:ext cx="12255" cy="230"/>
                          <a:chOff x="-8" y="14978"/>
                          <a:chExt cx="12255" cy="230"/>
                        </a:xfrm>
                      </wpg:grpSpPr>
                      <wps:wsp>
                        <wps:cNvPr id="44" name="AutoShape 27"/>
                        <wps:cNvCnPr>
                          <a:cxnSpLocks noChangeShapeType="1"/>
                        </wps:cNvCnPr>
                        <wps:spPr bwMode="auto">
                          <a:xfrm flipV="1">
                            <a:off x="-8" y="14978"/>
                            <a:ext cx="1260" cy="230"/>
                          </a:xfrm>
                          <a:prstGeom prst="bentConnector3">
                            <a:avLst>
                              <a:gd name="adj1" fmla="val 50000"/>
                            </a:avLst>
                          </a:prstGeom>
                          <a:noFill/>
                          <a:ln w="19050">
                            <a:solidFill>
                              <a:srgbClr val="A5A5A5"/>
                            </a:solidFill>
                            <a:miter lim="800000"/>
                            <a:headEnd/>
                            <a:tailEnd/>
                          </a:ln>
                          <a:extLst>
                            <a:ext uri="{909E8E84-426E-40DD-AFC4-6F175D3DCCD1}">
                              <a14:hiddenFill xmlns:a14="http://schemas.microsoft.com/office/drawing/2010/main">
                                <a:noFill/>
                              </a14:hiddenFill>
                            </a:ext>
                          </a:extLst>
                        </wps:spPr>
                        <wps:bodyPr/>
                      </wps:wsp>
                      <wps:wsp>
                        <wps:cNvPr id="48" name="AutoShape 28"/>
                        <wps:cNvCnPr>
                          <a:cxnSpLocks noChangeShapeType="1"/>
                        </wps:cNvCnPr>
                        <wps:spPr bwMode="auto">
                          <a:xfrm rot="10800000">
                            <a:off x="1252" y="14978"/>
                            <a:ext cx="10995" cy="230"/>
                          </a:xfrm>
                          <a:prstGeom prst="bentConnector3">
                            <a:avLst>
                              <a:gd name="adj1" fmla="val 96778"/>
                            </a:avLst>
                          </a:prstGeom>
                          <a:noFill/>
                          <a:ln w="19050">
                            <a:solidFill>
                              <a:schemeClr val="accent5">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DD17F6" id="_x0000_s1063" style="position:absolute;left:0;text-align:left;margin-left:12pt;margin-top:278.05pt;width:593.5pt;height:15pt;z-index:251658242;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">
              <v:shape id="Text Box 25" o:spid="_x0000_s1064"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14:paraId="6EDD1867"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v:textbox>
              </v:shape>
              <v:group id="Group 31" o:spid="_x0000_s106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HssHCAAAA2wAAAA8A&#10;AAAAAAAAAAAAAAAAqgIAAGRycy9kb3ducmV2LnhtbFBLBQYAAAAABAAEAPoAAACZAwAAAAA=&#10;">
                <v:shape id="AutoShape 27" o:spid="_x0000_s1066"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YUCMQAAADbAAAADwAAAGRycy9kb3ducmV2LnhtbESPT2vCQBTE74LfYXlCb83GEqREV5GA&#10;UHvyT6keH9lnEs2+jdk1xn76bqHgcZiZ3zCzRW9q0VHrKssKxlEMgji3uuJCwdd+9foOwnlkjbVl&#10;UvAgB4v5cDDDVNs7b6nb+UIECLsUFZTeN6mULi/JoItsQxy8k20N+iDbQuoW7wFuavkWxxNpsOKw&#10;UGJDWUn5ZXczCr7N588Bk+XVZJtzt6ZjdtrLTKmXUb+cgvDU+2f4v/2hFSQJ/H0JP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xhQIxAAAANsAAAAPAAAAAAAAAAAA&#10;AAAAAKECAABkcnMvZG93bnJldi54bWxQSwUGAAAAAAQABAD5AAAAkgMAAAAA&#10;" strokecolor="#a5a5a5" strokeweight="1.5pt"/>
                <v:shape id="AutoShape 28" o:spid="_x0000_s1067"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EG74AAADbAAAADwAAAGRycy9kb3ducmV2LnhtbERPy4rCMBTdC/5DuAPuNO2gop2mIsKA&#10;bhQfuL40d9oyzU1pYlv/3iwEl4fzTjeDqUVHrassK4hnEQji3OqKCwW36+90BcJ5ZI21ZVLwJAeb&#10;bDxKMdG25zN1F1+IEMIuQQWl900ipctLMuhmtiEO3J9tDfoA20LqFvsQbmr5HUVLabDi0FBiQ7uS&#10;8v/LwyjAXVwdsV73RX543G8LPMn42Ck1+Rq2PyA8Df4jfrv3WsE8jA1fwg+Q2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Dz4QbvgAAANsAAAAPAAAAAAAAAAAAAAAAAKEC&#10;AABkcnMvZG93bnJldi54bWxQSwUGAAAAAAQABAD5AAAAjAMAAAAA&#10;" adj="20904" strokecolor="#92cddc [1944]" strokeweight="1.5pt"/>
              </v:group>
              <w10:wrap anchorx="page" anchory="margin"/>
            </v:group>
          </w:pict>
        </mc:Fallback>
      </mc:AlternateContent>
    </w:r>
    <w:r>
      <w:rPr>
        <w:noProof/>
        <w:lang w:val="en-US" w:eastAsia="en-US"/>
      </w:rPr>
      <mc:AlternateContent>
        <mc:Choice Requires="wpg">
          <w:drawing>
            <wp:anchor distT="0" distB="0" distL="114300" distR="114300" simplePos="0" relativeHeight="251658241" behindDoc="0" locked="0" layoutInCell="1" allowOverlap="1" wp14:anchorId="6EDD17F8" wp14:editId="6EDD17F9">
              <wp:simplePos x="0" y="0"/>
              <wp:positionH relativeFrom="page">
                <wp:posOffset>152400</wp:posOffset>
              </wp:positionH>
              <wp:positionV relativeFrom="bottomMargin">
                <wp:posOffset>3531235</wp:posOffset>
              </wp:positionV>
              <wp:extent cx="7537450" cy="190500"/>
              <wp:effectExtent l="0" t="0" r="6350" b="0"/>
              <wp:wrapNone/>
              <wp:docPr id="24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50"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1868"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wps:txbx>
                      <wps:bodyPr rot="0" vert="horz" wrap="square" lIns="0" tIns="0" rIns="0" bIns="0" anchor="t" anchorCtr="0" upright="1">
                        <a:noAutofit/>
                      </wps:bodyPr>
                    </wps:wsp>
                    <wpg:grpSp>
                      <wpg:cNvPr id="253" name="Group 31"/>
                      <wpg:cNvGrpSpPr>
                        <a:grpSpLocks/>
                      </wpg:cNvGrpSpPr>
                      <wpg:grpSpPr bwMode="auto">
                        <a:xfrm flipH="1">
                          <a:off x="0" y="14970"/>
                          <a:ext cx="12255" cy="230"/>
                          <a:chOff x="-8" y="14978"/>
                          <a:chExt cx="12255" cy="230"/>
                        </a:xfrm>
                      </wpg:grpSpPr>
                      <wps:wsp>
                        <wps:cNvPr id="254" name="AutoShape 27"/>
                        <wps:cNvCnPr>
                          <a:cxnSpLocks noChangeShapeType="1"/>
                        </wps:cNvCnPr>
                        <wps:spPr bwMode="auto">
                          <a:xfrm flipV="1">
                            <a:off x="-8" y="14978"/>
                            <a:ext cx="1260" cy="230"/>
                          </a:xfrm>
                          <a:prstGeom prst="bentConnector3">
                            <a:avLst>
                              <a:gd name="adj1" fmla="val 50000"/>
                            </a:avLst>
                          </a:prstGeom>
                          <a:noFill/>
                          <a:ln w="19050">
                            <a:solidFill>
                              <a:srgbClr val="A5A5A5"/>
                            </a:solidFill>
                            <a:miter lim="800000"/>
                            <a:headEnd/>
                            <a:tailEnd/>
                          </a:ln>
                          <a:extLst>
                            <a:ext uri="{909E8E84-426E-40DD-AFC4-6F175D3DCCD1}">
                              <a14:hiddenFill xmlns:a14="http://schemas.microsoft.com/office/drawing/2010/main">
                                <a:noFill/>
                              </a14:hiddenFill>
                            </a:ext>
                          </a:extLst>
                        </wps:spPr>
                        <wps:bodyPr/>
                      </wps:wsp>
                      <wps:wsp>
                        <wps:cNvPr id="36" name="AutoShape 28"/>
                        <wps:cNvCnPr>
                          <a:cxnSpLocks noChangeShapeType="1"/>
                        </wps:cNvCnPr>
                        <wps:spPr bwMode="auto">
                          <a:xfrm rot="10800000">
                            <a:off x="1252" y="14978"/>
                            <a:ext cx="10995" cy="230"/>
                          </a:xfrm>
                          <a:prstGeom prst="bentConnector3">
                            <a:avLst>
                              <a:gd name="adj1" fmla="val 96778"/>
                            </a:avLst>
                          </a:prstGeom>
                          <a:noFill/>
                          <a:ln w="19050">
                            <a:solidFill>
                              <a:schemeClr val="accent5">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DD17F8" id="_x0000_s1068" style="position:absolute;left:0;text-align:left;margin-left:12pt;margin-top:278.05pt;width:593.5pt;height:15pt;z-index:251658241;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">
              <v:shape id="Text Box 25" o:spid="_x0000_s1069"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fjsEA&#10;AADcAAAADwAAAGRycy9kb3ducmV2LnhtbERPTYvCMBC9L/gfwgje1lRB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IH47BAAAA3AAAAA8AAAAAAAAAAAAAAAAAmAIAAGRycy9kb3du&#10;cmV2LnhtbFBLBQYAAAAABAAEAPUAAACGAwAAAAA=&#10;" filled="f" stroked="f">
                <v:textbox inset="0,0,0,0">
                  <w:txbxContent>
                    <w:p w14:paraId="6EDD1868"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v:textbox>
              </v:shape>
              <v:group id="Group 31" o:spid="_x0000_s107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Ca4csQAAADcAAAA&#10;DwAAAAAAAAAAAAAAAACqAgAAZHJzL2Rvd25yZXYueG1sUEsFBgAAAAAEAAQA+gAAAJsDAAAAAA==&#10;">
                <v:shape id="AutoShape 27" o:spid="_x0000_s1071"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sI4sUAAADcAAAADwAAAGRycy9kb3ducmV2LnhtbESPQWvCQBSE7wX/w/IEb7pRrEjqJkhA&#10;UE9Wi+3xkX0mqdm3MbvGtL++Wyj0OMzMN8wq7U0tOmpdZVnBdBKBIM6trrhQ8HbajJcgnEfWWFsm&#10;BV/kIE0GTyuMtX3wK3VHX4gAYRejgtL7JpbS5SUZdBPbEAfvYluDPsi2kLrFR4CbWs6iaCENVhwW&#10;SmwoKym/Hu9Gwdnsv99xvr6Z7PDZ7egju5xkptRo2K9fQHjq/X/4r73VCmbPc/g9E46AT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sI4sUAAADcAAAADwAAAAAAAAAA&#10;AAAAAAChAgAAZHJzL2Rvd25yZXYueG1sUEsFBgAAAAAEAAQA+QAAAJMDAAAAAA==&#10;" strokecolor="#a5a5a5" strokeweight="1.5pt"/>
                <v:shape id="AutoShape 28" o:spid="_x0000_s1072"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rGj8IAAADbAAAADwAAAGRycy9kb3ducmV2LnhtbESPQWuDQBSE74H8h+UVektWEyqtySoh&#10;EEgvllrp+eG+qNR9K+5G7b/vFgo9DjPzDXPMF9OLiUbXWVYQbyMQxLXVHTcKqo/L5hmE88gae8uk&#10;4Jsc5Nl6dcRU25nfaSp9IwKEXYoKWu+HVEpXt2TQbe1AHLybHQ36IMdG6hHnADe93EVRIg12HBZa&#10;HOjcUv1V3o0CPMddgf3L3NSv98/qCd9kXExKPT4spwMIT4v/D/+1r1rBPoHfL+EH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rGj8IAAADbAAAADwAAAAAAAAAAAAAA&#10;AAChAgAAZHJzL2Rvd25yZXYueG1sUEsFBgAAAAAEAAQA+QAAAJADAAAAAA==&#10;" adj="20904" strokecolor="#92cddc [1944]" strokeweight="1.5pt"/>
              </v:group>
              <w10:wrap anchorx="page" anchory="margin"/>
            </v:group>
          </w:pict>
        </mc:Fallback>
      </mc:AlternateContent>
    </w:r>
    <w:r>
      <w:rPr>
        <w:noProof/>
        <w:lang w:val="en-US" w:eastAsia="en-US"/>
      </w:rPr>
      <mc:AlternateContent>
        <mc:Choice Requires="wpg">
          <w:drawing>
            <wp:anchor distT="0" distB="0" distL="114300" distR="114300" simplePos="0" relativeHeight="251658240" behindDoc="0" locked="0" layoutInCell="1" allowOverlap="1" wp14:anchorId="6EDD17FA" wp14:editId="6EDD17FB">
              <wp:simplePos x="0" y="0"/>
              <wp:positionH relativeFrom="page">
                <wp:posOffset>152400</wp:posOffset>
              </wp:positionH>
              <wp:positionV relativeFrom="bottomMargin">
                <wp:posOffset>3531235</wp:posOffset>
              </wp:positionV>
              <wp:extent cx="7537450" cy="190500"/>
              <wp:effectExtent l="0" t="0" r="6350" b="0"/>
              <wp:wrapNone/>
              <wp:docPr id="2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1869"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wps:txbx>
                      <wps:bodyPr rot="0" vert="horz" wrap="square" lIns="0" tIns="0" rIns="0" bIns="0" anchor="t" anchorCtr="0" upright="1">
                        <a:noAutofit/>
                      </wps:bodyPr>
                    </wps:wsp>
                    <wpg:grpSp>
                      <wpg:cNvPr id="246" name="Group 31"/>
                      <wpg:cNvGrpSpPr>
                        <a:grpSpLocks/>
                      </wpg:cNvGrpSpPr>
                      <wpg:grpSpPr bwMode="auto">
                        <a:xfrm flipH="1">
                          <a:off x="0" y="14970"/>
                          <a:ext cx="12255" cy="230"/>
                          <a:chOff x="-8" y="14978"/>
                          <a:chExt cx="12255" cy="230"/>
                        </a:xfrm>
                      </wpg:grpSpPr>
                      <wps:wsp>
                        <wps:cNvPr id="247" name="AutoShape 27"/>
                        <wps:cNvCnPr>
                          <a:cxnSpLocks noChangeShapeType="1"/>
                        </wps:cNvCnPr>
                        <wps:spPr bwMode="auto">
                          <a:xfrm flipV="1">
                            <a:off x="-8" y="14978"/>
                            <a:ext cx="1260" cy="230"/>
                          </a:xfrm>
                          <a:prstGeom prst="bentConnector3">
                            <a:avLst>
                              <a:gd name="adj1" fmla="val 50000"/>
                            </a:avLst>
                          </a:prstGeom>
                          <a:noFill/>
                          <a:ln w="19050">
                            <a:solidFill>
                              <a:srgbClr val="A5A5A5"/>
                            </a:solidFill>
                            <a:miter lim="800000"/>
                            <a:headEnd/>
                            <a:tailEnd/>
                          </a:ln>
                          <a:extLst>
                            <a:ext uri="{909E8E84-426E-40DD-AFC4-6F175D3DCCD1}">
                              <a14:hiddenFill xmlns:a14="http://schemas.microsoft.com/office/drawing/2010/main">
                                <a:noFill/>
                              </a14:hiddenFill>
                            </a:ext>
                          </a:extLst>
                        </wps:spPr>
                        <wps:bodyPr/>
                      </wps:wsp>
                      <wps:wsp>
                        <wps:cNvPr id="248" name="AutoShape 28"/>
                        <wps:cNvCnPr>
                          <a:cxnSpLocks noChangeShapeType="1"/>
                        </wps:cNvCnPr>
                        <wps:spPr bwMode="auto">
                          <a:xfrm rot="10800000">
                            <a:off x="1252" y="14978"/>
                            <a:ext cx="10995" cy="230"/>
                          </a:xfrm>
                          <a:prstGeom prst="bentConnector3">
                            <a:avLst>
                              <a:gd name="adj1" fmla="val 96778"/>
                            </a:avLst>
                          </a:prstGeom>
                          <a:noFill/>
                          <a:ln w="19050">
                            <a:solidFill>
                              <a:schemeClr val="accent5">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DD17FA" id="_x0000_s1073" style="position:absolute;left:0;text-align:left;margin-left:12pt;margin-top:278.05pt;width:593.5pt;height:15pt;z-index:251658240;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">
              <v:shape id="Text Box 25" o:spid="_x0000_s1074"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14:paraId="6EDD1869" w14:textId="77777777" w:rsidR="00527EF5" w:rsidRDefault="00527EF5" w:rsidP="00574660">
                      <w:pPr>
                        <w:jc w:val="center"/>
                      </w:pPr>
                      <w:r>
                        <w:fldChar w:fldCharType="begin"/>
                      </w:r>
                      <w:r>
                        <w:instrText xml:space="preserve"> PAGE    \* MERGEFORMAT </w:instrText>
                      </w:r>
                      <w:r>
                        <w:fldChar w:fldCharType="separate"/>
                      </w:r>
                      <w:r w:rsidR="00B05BFA" w:rsidRPr="00B05BFA">
                        <w:rPr>
                          <w:noProof/>
                          <w:color w:val="8C8C8C" w:themeColor="background1" w:themeShade="8C"/>
                        </w:rPr>
                        <w:t>210</w:t>
                      </w:r>
                      <w:r>
                        <w:rPr>
                          <w:noProof/>
                          <w:color w:val="8C8C8C" w:themeColor="background1" w:themeShade="8C"/>
                        </w:rPr>
                        <w:fldChar w:fldCharType="end"/>
                      </w:r>
                    </w:p>
                  </w:txbxContent>
                </v:textbox>
              </v:shape>
              <v:group id="Group 31" o:spid="_x0000_s107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YiNN8QAAADcAAAA&#10;DwAAAAAAAAAAAAAAAACqAgAAZHJzL2Rvd25yZXYueG1sUEsFBgAAAAAEAAQA+gAAAJsDAAAAAA==&#10;">
                <v:shape id="AutoShape 27" o:spid="_x0000_s1076"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AASMUAAADcAAAADwAAAGRycy9kb3ducmV2LnhtbESPQWvCQBSE7wX/w/IEb7pRpErqJkhA&#10;UE9Wi+3xkX0mqdm3MbvGtL++Wyj0OMzMN8wq7U0tOmpdZVnBdBKBIM6trrhQ8HbajJcgnEfWWFsm&#10;BV/kIE0GTyuMtX3wK3VHX4gAYRejgtL7JpbS5SUZdBPbEAfvYluDPsi2kLrFR4CbWs6i6FkarDgs&#10;lNhQVlJ+Pd6NgrPZf7/jfH0z2eGz29FHdjnJTKnRsF+/gPDU+//wX3urFczmC/g9E46AT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AASMUAAADcAAAADwAAAAAAAAAA&#10;AAAAAAChAgAAZHJzL2Rvd25yZXYueG1sUEsFBgAAAAAEAAQA+QAAAJMDAAAAAA==&#10;" strokecolor="#a5a5a5" strokeweight="1.5pt"/>
                <v:shape id="AutoShape 28" o:spid="_x0000_s1077"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iBCcAAAADcAAAADwAAAGRycy9kb3ducmV2LnhtbERPTYvCMBC9L/gfwgjeNK24stamsggL&#10;elGssuehGdtiMylNbOu/N4eFPT7ed7obTSN66lxtWUG8iEAQF1bXXCq4XX/mXyCcR9bYWCYFL3Kw&#10;yyYfKSbaDnyhPvelCCHsElRQed8mUrqiIoNuYVviwN1tZ9AH2JVSdziEcNPIZRStpcGaQ0OFLe0r&#10;Kh750yjAfVyfsNkMZXF8/t4+8SzjU6/UbDp+b0F4Gv2/+M990AqWq7A2nAlHQGZ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IgQnAAAAA3AAAAA8AAAAAAAAAAAAAAAAA&#10;oQIAAGRycy9kb3ducmV2LnhtbFBLBQYAAAAABAAEAPkAAACOAwAAAAA=&#10;" adj="20904" strokecolor="#92cddc [1944]" strokeweight="1.5pt"/>
              </v:group>
              <w10:wrap anchorx="page"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A2049" w14:textId="77777777" w:rsidR="00527EF5" w:rsidRDefault="00527EF5" w:rsidP="001C6C5A">
      <w:pPr>
        <w:spacing w:after="0" w:line="240" w:lineRule="auto"/>
      </w:pPr>
      <w:r>
        <w:separator/>
      </w:r>
    </w:p>
  </w:footnote>
  <w:footnote w:type="continuationSeparator" w:id="0">
    <w:p w14:paraId="721C5716" w14:textId="77777777" w:rsidR="00527EF5" w:rsidRDefault="00527EF5" w:rsidP="001C6C5A">
      <w:pPr>
        <w:spacing w:after="0" w:line="240" w:lineRule="auto"/>
      </w:pPr>
      <w:r>
        <w:continuationSeparator/>
      </w:r>
    </w:p>
  </w:footnote>
  <w:footnote w:type="continuationNotice" w:id="1">
    <w:p w14:paraId="465C1696" w14:textId="77777777" w:rsidR="00527EF5" w:rsidRDefault="00527EF5">
      <w:pPr>
        <w:spacing w:after="0" w:line="240" w:lineRule="auto"/>
      </w:pPr>
    </w:p>
  </w:footnote>
  <w:footnote w:id="2">
    <w:p w14:paraId="6EDD17FC" w14:textId="743071FC" w:rsidR="00527EF5" w:rsidRPr="00587E94" w:rsidRDefault="00527EF5" w:rsidP="00A816F3">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Grupi i Ekspertëve UNFCCC / LDC: Planet Kombëtare të Përshtatjes – udhëzime teknike për procesin kombëtar të planit të përshtatjes. Dhjetor 2012.</w:t>
      </w:r>
    </w:p>
  </w:footnote>
  <w:footnote w:id="3">
    <w:p w14:paraId="6EDD17FD" w14:textId="504D3B27" w:rsidR="00527EF5" w:rsidRPr="00587E94" w:rsidRDefault="00527EF5" w:rsidP="00A816F3">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https://ec.europa.eu/clima/sites/clima/files/docs/eu_strategy_en.pdf</w:t>
      </w:r>
    </w:p>
  </w:footnote>
  <w:footnote w:id="4">
    <w:p w14:paraId="6EDD17FE" w14:textId="0DB35C93" w:rsidR="00527EF5" w:rsidRPr="00587E94" w:rsidRDefault="00527EF5" w:rsidP="001C6C5A">
      <w:pPr>
        <w:pStyle w:val="FootnoteText"/>
        <w:tabs>
          <w:tab w:val="left" w:pos="142"/>
        </w:tabs>
        <w:spacing w:before="0" w:after="0"/>
        <w:rPr>
          <w:rFonts w:ascii="Garamond" w:hAnsi="Garamond"/>
        </w:rPr>
      </w:pPr>
      <w:r w:rsidRPr="00587E94">
        <w:rPr>
          <w:rStyle w:val="FootnoteReference"/>
          <w:rFonts w:ascii="Garamond" w:hAnsi="Garamond"/>
        </w:rPr>
        <w:footnoteRef/>
      </w:r>
      <w:r w:rsidRPr="00587E94">
        <w:rPr>
          <w:rFonts w:ascii="Garamond" w:hAnsi="Garamond"/>
        </w:rPr>
        <w:tab/>
        <w:t>Komisioni Evropian –Të dhëna. Gjetje kyçe të raportit 2015 për Shqipërinë. Bruksel, 10 nëntor 2015. http://europa.eu/rapid/press-release_MEMO-15-6035_en.htm</w:t>
      </w:r>
    </w:p>
  </w:footnote>
  <w:footnote w:id="5">
    <w:p w14:paraId="6EDD17FF" w14:textId="1054DC95" w:rsidR="00527EF5" w:rsidRPr="00587E94" w:rsidRDefault="00527EF5" w:rsidP="001C6C5A">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Raportimi i GES-IT në Shqipëri bazohet në Udhëzuesin e Rishikuar të Praktikave të Mira të IPCC-ittë vitit 1996, ku kategoritë raportuese të burimit/ përthithësve GES grupohen në sektorë si vijon: • Energjia • Proceset Industriale • Tretës dhe Përdorime të Tjera të Produkteve • Bujqësia • Ndryshimi i Përdorimit të Tokës dhe Pylltaria • Mbetjet</w:t>
      </w:r>
    </w:p>
  </w:footnote>
  <w:footnote w:id="6">
    <w:p w14:paraId="6EDD1800" w14:textId="2414B337" w:rsidR="00527EF5" w:rsidRPr="00587E94" w:rsidRDefault="00527EF5" w:rsidP="003A6446">
      <w:pPr>
        <w:pStyle w:val="Default"/>
        <w:rPr>
          <w:rFonts w:ascii="Garamond" w:hAnsi="Garamond"/>
          <w:sz w:val="20"/>
          <w:szCs w:val="20"/>
          <w:lang w:val="sq-AL"/>
        </w:rPr>
      </w:pPr>
      <w:r w:rsidRPr="00587E94">
        <w:rPr>
          <w:rStyle w:val="FootnoteReference"/>
          <w:rFonts w:ascii="Garamond" w:hAnsi="Garamond"/>
          <w:sz w:val="20"/>
          <w:szCs w:val="20"/>
          <w:lang w:val="sq-AL"/>
        </w:rPr>
        <w:footnoteRef/>
      </w:r>
      <w:r w:rsidRPr="00587E94">
        <w:rPr>
          <w:rFonts w:ascii="Garamond" w:hAnsi="Garamond"/>
          <w:color w:val="auto"/>
          <w:sz w:val="20"/>
          <w:szCs w:val="20"/>
          <w:lang w:val="sq-AL"/>
        </w:rPr>
        <w:t xml:space="preserve"> DCM No. 881, datë 14.12.2016Për miratimin e planit të përgjithshëm kombëtar të territorit. </w:t>
      </w:r>
    </w:p>
  </w:footnote>
  <w:footnote w:id="7">
    <w:p w14:paraId="6EDD1801" w14:textId="7E40009F" w:rsidR="00527EF5" w:rsidRPr="00587E94" w:rsidRDefault="00527EF5" w:rsidP="003A6446">
      <w:pPr>
        <w:pStyle w:val="FootnoteText"/>
        <w:spacing w:before="0" w:after="0"/>
        <w:rPr>
          <w:rStyle w:val="FunoteZchn"/>
          <w:rFonts w:ascii="Garamond" w:hAnsi="Garamond"/>
          <w:sz w:val="20"/>
          <w:szCs w:val="20"/>
          <w:lang w:val="sq-AL"/>
        </w:rPr>
      </w:pPr>
      <w:r w:rsidRPr="00587E94">
        <w:rPr>
          <w:rStyle w:val="FootnoteReference"/>
          <w:rFonts w:ascii="Garamond" w:hAnsi="Garamond"/>
        </w:rPr>
        <w:footnoteRef/>
      </w:r>
      <w:r w:rsidRPr="00587E94">
        <w:rPr>
          <w:rStyle w:val="FunoteZchn"/>
          <w:rFonts w:ascii="Garamond" w:hAnsi="Garamond"/>
          <w:sz w:val="20"/>
          <w:szCs w:val="20"/>
          <w:lang w:val="sq-AL"/>
        </w:rPr>
        <w:t xml:space="preserve"> Grupi i Ekspertëve UNFCCC / LDC: Planet Kombëtare të Përshtatjes – udhëzime teknike për procesin kombëtar të planit të përshtatjes. dhjetor 2012.</w:t>
      </w:r>
    </w:p>
  </w:footnote>
  <w:footnote w:id="8">
    <w:p w14:paraId="6EDD1802" w14:textId="08F779D8" w:rsidR="00527EF5" w:rsidRPr="00587E94" w:rsidRDefault="00527EF5" w:rsidP="003A6446">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ab/>
        <w:t>Ulbrich, U., P. Lionello, D. Belušic, J. Jacobeit, P. Knippertz, F.G. Kuglitsch, G.C. Leckebusch, J. Luterbacher, M. Maugeri, P. Maheras, K.M. Nissen, V. Pavan, J.G. Pinto, H. Saaroni, S. Seubert, A. Toreti, E. Xoplaki, dhe B. Ziv, 2012: Klima i Mesheur: modelet sinoptike, temperatura, precipitimi, erërat dhe ekstrshkark e tyre. Në: Klima e Rajonit Mesdhetar: Nga e kaluara në të Ardhmen [Lionello, P. (ed.)]. Elsevier, London, UK dhe Waltham, MA, USA, f. 301–346.</w:t>
      </w:r>
    </w:p>
  </w:footnote>
  <w:footnote w:id="9">
    <w:p w14:paraId="6EDD1803" w14:textId="77777777" w:rsidR="00527EF5" w:rsidRPr="00587E94" w:rsidRDefault="00527EF5" w:rsidP="003A6446">
      <w:pPr>
        <w:pStyle w:val="FootnoteText"/>
        <w:tabs>
          <w:tab w:val="left" w:pos="142"/>
        </w:tabs>
        <w:spacing w:before="0" w:after="0"/>
        <w:jc w:val="left"/>
        <w:rPr>
          <w:rFonts w:ascii="Garamond" w:hAnsi="Garamond"/>
        </w:rPr>
      </w:pPr>
      <w:r w:rsidRPr="00587E94">
        <w:rPr>
          <w:rStyle w:val="FootnoteReference"/>
          <w:rFonts w:ascii="Garamond" w:hAnsi="Garamond"/>
        </w:rPr>
        <w:footnoteRef/>
      </w:r>
      <w:r w:rsidRPr="00587E94">
        <w:rPr>
          <w:rFonts w:ascii="Garamond" w:hAnsi="Garamond"/>
        </w:rPr>
        <w:tab/>
        <w:t>Ministria e Mjedisit, Pyjeve dhe Administrimit të Ujërave; Raport për kapacitetin kombëtar të Shqipërisë për vetëvlerësim për menaxhimin mjedisor global, 2007</w:t>
      </w:r>
    </w:p>
  </w:footnote>
  <w:footnote w:id="10">
    <w:p w14:paraId="6EDD1804" w14:textId="06778100" w:rsidR="00527EF5" w:rsidRPr="00587E94" w:rsidRDefault="00527EF5" w:rsidP="003A6446">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ab/>
        <w:t xml:space="preserve"> IPCC, 2014: Ndryshimi Klimatik 2014: Raport Sintezë. Kontribut i Grupeve të Punës I, II dhe III në Raportin e Pestë Vlerësues të Panelit Ndërqeveritar për Ndryshimin Klimatik [Ekipi Hartues, R.K. Pachauri dhe L.A. Meyer (eds.)]. IPCC, Gjenevë, Zvicër, 151 f.</w:t>
      </w:r>
    </w:p>
    <w:p w14:paraId="6EDD1805" w14:textId="77777777" w:rsidR="00527EF5" w:rsidRPr="00587E94" w:rsidRDefault="00527EF5" w:rsidP="003A6446">
      <w:pPr>
        <w:pStyle w:val="FootnoteText"/>
        <w:rPr>
          <w:rFonts w:ascii="Garamond" w:hAnsi="Garamond"/>
        </w:rPr>
      </w:pPr>
    </w:p>
  </w:footnote>
  <w:footnote w:id="11">
    <w:p w14:paraId="6EDD1806" w14:textId="77777777" w:rsidR="00527EF5" w:rsidRPr="00587E94" w:rsidRDefault="00527EF5" w:rsidP="00D86DD8">
      <w:pPr>
        <w:pStyle w:val="NormalWeb"/>
        <w:spacing w:before="0" w:beforeAutospacing="0" w:after="0" w:afterAutospacing="0"/>
        <w:jc w:val="left"/>
        <w:rPr>
          <w:rFonts w:ascii="Garamond" w:hAnsi="Garamond" w:cs="Calibri"/>
          <w:sz w:val="20"/>
          <w:szCs w:val="20"/>
        </w:rPr>
      </w:pPr>
      <w:r w:rsidRPr="00587E94">
        <w:rPr>
          <w:rStyle w:val="Caratteredellanota"/>
          <w:rFonts w:ascii="Garamond" w:hAnsi="Garamond" w:cs="Calibri"/>
          <w:sz w:val="20"/>
          <w:szCs w:val="20"/>
        </w:rPr>
        <w:footnoteRef/>
      </w:r>
      <w:r w:rsidRPr="00587E94">
        <w:rPr>
          <w:rFonts w:ascii="Garamond" w:hAnsi="Garamond" w:cs="Calibri"/>
          <w:sz w:val="20"/>
          <w:szCs w:val="20"/>
        </w:rPr>
        <w:t xml:space="preserve"> COM(2011) 112 final/2. Gjendet në: </w:t>
      </w:r>
      <w:hyperlink r:id="rId1" w:history="1">
        <w:r w:rsidRPr="00587E94">
          <w:rPr>
            <w:rStyle w:val="Hyperlink"/>
            <w:rFonts w:ascii="Garamond" w:hAnsi="Garamond" w:cs="Calibri"/>
            <w:sz w:val="20"/>
            <w:szCs w:val="20"/>
          </w:rPr>
          <w:t>http://eur-lex.europa.eu/resource.html?uri=cellar:5db26ecc-ba4e-4de2-ae08-dba649109d18.0002.03/DOC_2&amp;format=PDF</w:t>
        </w:r>
      </w:hyperlink>
    </w:p>
  </w:footnote>
  <w:footnote w:id="12">
    <w:p w14:paraId="6EDD1807" w14:textId="77777777" w:rsidR="00527EF5" w:rsidRPr="00587E94" w:rsidRDefault="00527EF5" w:rsidP="00E20D71">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ab/>
        <w:t xml:space="preserve"> Burimi: http://ec.europa.eu/clima/policies/strategies/2050/index_it.htm</w:t>
      </w:r>
    </w:p>
  </w:footnote>
  <w:footnote w:id="13">
    <w:p w14:paraId="6EDD1808" w14:textId="5BDA1EEF" w:rsidR="00527EF5" w:rsidRPr="00587E94" w:rsidRDefault="00527EF5" w:rsidP="00E20D71">
      <w:pPr>
        <w:pStyle w:val="FootnoteText"/>
        <w:tabs>
          <w:tab w:val="left" w:pos="142"/>
          <w:tab w:val="left" w:pos="6030"/>
        </w:tabs>
        <w:spacing w:before="0" w:after="0"/>
        <w:rPr>
          <w:rFonts w:ascii="Garamond" w:hAnsi="Garamond"/>
        </w:rPr>
      </w:pPr>
      <w:r w:rsidRPr="00587E94">
        <w:rPr>
          <w:rStyle w:val="Caratteredellanota"/>
          <w:rFonts w:ascii="Garamond" w:hAnsi="Garamond"/>
        </w:rPr>
        <w:footnoteRef/>
      </w:r>
      <w:r w:rsidRPr="00587E94">
        <w:rPr>
          <w:rFonts w:ascii="Garamond" w:hAnsi="Garamond"/>
        </w:rPr>
        <w:tab/>
        <w:t xml:space="preserve"> 28 shtetet anëtare të BE-së dhe tre shtete nga Zona Ekonomike Europiane (EEA), Lihtenshtejni, Norvegjia dhe Islanda, si dhe Shoqata Evropiane e Tregtisë së Lirë (EFTA)</w:t>
      </w:r>
    </w:p>
  </w:footnote>
  <w:footnote w:id="14">
    <w:p w14:paraId="6EDD1809" w14:textId="77777777" w:rsidR="00527EF5" w:rsidRPr="00587E94" w:rsidRDefault="00527EF5" w:rsidP="001259F3">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ab/>
        <w:t xml:space="preserve"> http://www.eea.europa.eu/media/newsreleases/policies-put-the-eu-on</w:t>
      </w:r>
    </w:p>
  </w:footnote>
  <w:footnote w:id="15">
    <w:p w14:paraId="6EDD180A" w14:textId="77777777" w:rsidR="00527EF5" w:rsidRPr="00587E94" w:rsidRDefault="00527EF5" w:rsidP="001259F3">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ab/>
      </w:r>
      <w:hyperlink r:id="rId2" w:history="1">
        <w:r w:rsidRPr="00587E94">
          <w:rPr>
            <w:rStyle w:val="Hyperlink"/>
            <w:rFonts w:ascii="Garamond" w:hAnsi="Garamond"/>
          </w:rPr>
          <w:t>http://ec.europa.eu/clima/news/docs/2015030601_eu_indc_en.pdf</w:t>
        </w:r>
      </w:hyperlink>
    </w:p>
  </w:footnote>
  <w:footnote w:id="16">
    <w:p w14:paraId="6EDD180B" w14:textId="77777777" w:rsidR="00527EF5" w:rsidRPr="00587E94" w:rsidRDefault="00527EF5" w:rsidP="001259F3">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ab/>
      </w:r>
      <w:hyperlink r:id="rId3" w:history="1">
        <w:r w:rsidRPr="00587E94">
          <w:rPr>
            <w:rStyle w:val="Hyperlink"/>
            <w:rFonts w:ascii="Garamond" w:hAnsi="Garamond"/>
          </w:rPr>
          <w:t>http://ec.europa.eu/energy/en/topics/energy-strategy/2030-energy-strategy</w:t>
        </w:r>
      </w:hyperlink>
    </w:p>
  </w:footnote>
  <w:footnote w:id="17">
    <w:p w14:paraId="6EDD180C" w14:textId="6DE63420" w:rsidR="00527EF5" w:rsidRPr="00587E94" w:rsidRDefault="00527EF5" w:rsidP="001259F3">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ab/>
        <w:t xml:space="preserve"> Duke pasur parasysh objektivin e eficiencës së energjisë prej 27% deri në vitin 2030 të miratuar nga vendet e BE-së në tetor 2014 dhe (propozimin e Komisionit për rritjen e tij deri në 30%), Bashkimi Evropian ka hapur konsultime për rishikimin e Direktivës së Eficiencës së Energjisë (EED 2012/27/EU), duke kërkuar kontribute dhe komente nga palët e interesuara, përfshirë autoritetet publike, qytetarët, industrinë, ndërmarrjet e vogla dhe të mesme. Një raport mbi këtë kërkesë pritet të nxirret në fund të vitit 2016.</w:t>
      </w:r>
    </w:p>
  </w:footnote>
  <w:footnote w:id="18">
    <w:p w14:paraId="6EDD180D" w14:textId="77777777" w:rsidR="00527EF5" w:rsidRPr="00587E94" w:rsidRDefault="00527EF5" w:rsidP="001259F3">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ab/>
        <w:t xml:space="preserve"> Një skemë detyrimi, siç parashikohet në EED, vendos një detyrim për kompanitë e energjisë dhe u kërkon atyre të arrijnë kursime vjetore të energjisë prej 1.5% të shitjeve vjetore te konsumatorët fundorë. Me qëllim që të arrihet ky objektiv, kompanitë duhet të marrin masa që t’i ndihmojnë konsumatorët fundorë të përmirësojnë eficiencën e energjisë.</w:t>
      </w:r>
    </w:p>
  </w:footnote>
  <w:footnote w:id="19">
    <w:p w14:paraId="6EDD180E" w14:textId="77777777" w:rsidR="00527EF5" w:rsidRPr="00587E94" w:rsidRDefault="00527EF5" w:rsidP="00220111">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ab/>
        <w:t xml:space="preserve"> http://carbonmarketwatch.org/eu-ets-reform-must-tighten-screws-on-the-number-of-pollution-permits/</w:t>
      </w:r>
    </w:p>
  </w:footnote>
  <w:footnote w:id="20">
    <w:p w14:paraId="6EDD180F" w14:textId="7470B7B6" w:rsidR="00527EF5" w:rsidRPr="00587E94" w:rsidRDefault="00527EF5" w:rsidP="00220111">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 xml:space="preserve"> Dokumenti i Bardhë – Plani për një Zonë Unike Evropiane Transporti – Drejt një sistemi transporti konkurrues dhe efikas nga ana e burimeve – COM(2011) 144 final (Bruksel, 28.3.2011). URL: http://eur-lex.europa.eu/LexUriServ/LexUriServ.do?uri=COM:2011:0144:FIN:en:PDF</w:t>
      </w:r>
    </w:p>
  </w:footnote>
  <w:footnote w:id="21">
    <w:p w14:paraId="6EDD1810" w14:textId="4BF0129A" w:rsidR="00527EF5" w:rsidRPr="00587E94" w:rsidRDefault="00527EF5" w:rsidP="001259F3">
      <w:pPr>
        <w:pStyle w:val="FootnoteText"/>
        <w:tabs>
          <w:tab w:val="left" w:pos="142"/>
        </w:tabs>
        <w:spacing w:before="0" w:after="0"/>
        <w:rPr>
          <w:rFonts w:ascii="Garamond" w:hAnsi="Garamond"/>
        </w:rPr>
      </w:pPr>
      <w:r w:rsidRPr="00587E94">
        <w:rPr>
          <w:rStyle w:val="Caratteredellanota"/>
          <w:rFonts w:ascii="Garamond" w:hAnsi="Garamond"/>
        </w:rPr>
        <w:footnoteRef/>
      </w:r>
      <w:r w:rsidRPr="00587E94">
        <w:rPr>
          <w:rFonts w:ascii="Garamond" w:hAnsi="Garamond"/>
        </w:rPr>
        <w:tab/>
        <w:t xml:space="preserve"> COM(2013) 913 final – aneks: një koncept për planet e zhvillimit të qëndrueshëm urban – Së bashku drejt një lëvizje urbane konkurruese dhe efikase në lidhje me burimet)</w:t>
      </w:r>
    </w:p>
  </w:footnote>
  <w:footnote w:id="22">
    <w:p w14:paraId="6EDD1811" w14:textId="77777777" w:rsidR="00527EF5" w:rsidRPr="00587E94" w:rsidRDefault="00527EF5" w:rsidP="00E20D71">
      <w:pPr>
        <w:pStyle w:val="FootnoteText"/>
        <w:tabs>
          <w:tab w:val="left" w:pos="142"/>
          <w:tab w:val="left" w:pos="284"/>
        </w:tabs>
        <w:rPr>
          <w:rFonts w:ascii="Garamond" w:hAnsi="Garamond"/>
        </w:rPr>
      </w:pPr>
      <w:r w:rsidRPr="00587E94">
        <w:rPr>
          <w:rStyle w:val="FootnoteReference"/>
          <w:rFonts w:ascii="Garamond" w:hAnsi="Garamond"/>
        </w:rPr>
        <w:footnoteRef/>
      </w:r>
      <w:r w:rsidRPr="00587E94">
        <w:rPr>
          <w:rFonts w:ascii="Garamond" w:hAnsi="Garamond"/>
        </w:rPr>
        <w:tab/>
        <w:t>Neni 2 dhe 4.4 i UNFCCC</w:t>
      </w:r>
    </w:p>
  </w:footnote>
  <w:footnote w:id="23">
    <w:p w14:paraId="6EDD1812" w14:textId="52A95360" w:rsidR="00527EF5" w:rsidRPr="00587E94" w:rsidRDefault="00527EF5" w:rsidP="001259F3">
      <w:pPr>
        <w:pStyle w:val="FootnoteText"/>
        <w:tabs>
          <w:tab w:val="left" w:pos="142"/>
          <w:tab w:val="left" w:pos="284"/>
        </w:tabs>
        <w:spacing w:before="0" w:after="0"/>
        <w:rPr>
          <w:rFonts w:ascii="Garamond" w:hAnsi="Garamond"/>
        </w:rPr>
      </w:pPr>
      <w:r w:rsidRPr="00587E94">
        <w:rPr>
          <w:rFonts w:ascii="Garamond" w:hAnsi="Garamond"/>
          <w:vertAlign w:val="superscript"/>
        </w:rPr>
        <w:footnoteRef/>
      </w:r>
      <w:r w:rsidRPr="00587E94">
        <w:rPr>
          <w:rFonts w:ascii="Garamond" w:hAnsi="Garamond"/>
        </w:rPr>
        <w:tab/>
        <w:t>FMN, Raporti Vjetor 2014</w:t>
      </w:r>
      <w:r>
        <w:rPr>
          <w:rFonts w:ascii="Garamond" w:hAnsi="Garamond"/>
        </w:rPr>
        <w:t xml:space="preserve"> </w:t>
      </w:r>
    </w:p>
  </w:footnote>
  <w:footnote w:id="24">
    <w:p w14:paraId="6EDD1813" w14:textId="77777777" w:rsidR="00527EF5" w:rsidRPr="00587E94" w:rsidRDefault="00527EF5" w:rsidP="001259F3">
      <w:pPr>
        <w:pStyle w:val="CommentText"/>
        <w:spacing w:after="0"/>
        <w:rPr>
          <w:rFonts w:ascii="Garamond" w:hAnsi="Garamond"/>
        </w:rPr>
      </w:pPr>
      <w:r w:rsidRPr="00587E94">
        <w:rPr>
          <w:rStyle w:val="FootnoteReference"/>
          <w:rFonts w:ascii="Garamond" w:hAnsi="Garamond"/>
        </w:rPr>
        <w:footnoteRef/>
      </w:r>
      <w:hyperlink r:id="rId4" w:history="1">
        <w:r w:rsidRPr="00587E94">
          <w:rPr>
            <w:rStyle w:val="Hyperlink"/>
            <w:rFonts w:ascii="Garamond" w:hAnsi="Garamond"/>
          </w:rPr>
          <w:t>http://www.worldbank.org/en/country/albania/overview</w:t>
        </w:r>
      </w:hyperlink>
    </w:p>
  </w:footnote>
  <w:footnote w:id="25">
    <w:p w14:paraId="6EDD1814" w14:textId="75DE897E" w:rsidR="00527EF5" w:rsidRPr="00587E94" w:rsidRDefault="00527EF5" w:rsidP="008F17E8">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Shih “Asistenca teknike për përgatitjen e Strategjisë së Sektorit të Transportit në Shqipëri” – Strategjia përfundimtare dhe plani i veprimit – Draft 0.1 – 31.1.2016</w:t>
      </w:r>
    </w:p>
  </w:footnote>
  <w:footnote w:id="26">
    <w:p w14:paraId="6EDD1815" w14:textId="57789AC5" w:rsidR="00527EF5" w:rsidRPr="00587E94" w:rsidRDefault="00527EF5" w:rsidP="008F17E8">
      <w:pPr>
        <w:pStyle w:val="FootnoteText"/>
        <w:tabs>
          <w:tab w:val="left" w:pos="142"/>
          <w:tab w:val="left" w:pos="284"/>
        </w:tabs>
        <w:spacing w:before="0" w:after="0"/>
        <w:rPr>
          <w:rFonts w:ascii="Garamond" w:hAnsi="Garamond"/>
        </w:rPr>
      </w:pPr>
      <w:r w:rsidRPr="00587E94">
        <w:rPr>
          <w:rStyle w:val="FootnoteReference"/>
          <w:rFonts w:ascii="Garamond" w:hAnsi="Garamond"/>
        </w:rPr>
        <w:footnoteRef/>
      </w:r>
      <w:r>
        <w:rPr>
          <w:rFonts w:ascii="Garamond" w:hAnsi="Garamond"/>
        </w:rPr>
        <w:t xml:space="preserve"> </w:t>
      </w:r>
      <w:r w:rsidRPr="00587E94">
        <w:rPr>
          <w:rFonts w:ascii="Garamond" w:hAnsi="Garamond"/>
        </w:rPr>
        <w:t xml:space="preserve"> http://www.fao.org/ag/agp/agpc/doc/counprof/Albania/albania.htm#landuse</w:t>
      </w:r>
    </w:p>
  </w:footnote>
  <w:footnote w:id="27">
    <w:p w14:paraId="6EDD1816" w14:textId="77777777" w:rsidR="00527EF5" w:rsidRPr="00587E94" w:rsidRDefault="00527EF5" w:rsidP="008F17E8">
      <w:pPr>
        <w:pStyle w:val="FootnoteText"/>
        <w:tabs>
          <w:tab w:val="left" w:pos="142"/>
          <w:tab w:val="left" w:pos="284"/>
        </w:tabs>
        <w:spacing w:before="0" w:after="0"/>
        <w:rPr>
          <w:rFonts w:ascii="Garamond" w:hAnsi="Garamond"/>
        </w:rPr>
      </w:pPr>
      <w:r w:rsidRPr="00587E94">
        <w:rPr>
          <w:rStyle w:val="FootnoteReference"/>
          <w:rFonts w:ascii="Garamond" w:hAnsi="Garamond"/>
        </w:rPr>
        <w:footnoteRef/>
      </w:r>
      <w:r w:rsidRPr="00587E94">
        <w:rPr>
          <w:rFonts w:ascii="Garamond" w:hAnsi="Garamond"/>
        </w:rPr>
        <w:t>http://ec.europa.eu/eurostat/statistics-explained/index.php/Agri-environmental_indicator_-mineral_fertiliser_consumption</w:t>
      </w:r>
    </w:p>
  </w:footnote>
  <w:footnote w:id="28">
    <w:p w14:paraId="6EDD1817" w14:textId="77777777" w:rsidR="00527EF5" w:rsidRPr="00587E94" w:rsidRDefault="00527EF5" w:rsidP="008F17E8">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Eficienca e Energjisë Financa II, DETYRA 1 Potenciali i Eficoencës së Energjisë-Raport për Shqipërinë. Allplan GmbH. 2015</w:t>
      </w:r>
    </w:p>
  </w:footnote>
  <w:footnote w:id="29">
    <w:p w14:paraId="6EDD1818" w14:textId="616B0F89" w:rsidR="00527EF5" w:rsidRPr="00587E94" w:rsidRDefault="00527EF5" w:rsidP="008F17E8">
      <w:pPr>
        <w:spacing w:after="0" w:line="240" w:lineRule="auto"/>
        <w:rPr>
          <w:rFonts w:ascii="Garamond" w:hAnsi="Garamond"/>
          <w:sz w:val="20"/>
          <w:szCs w:val="20"/>
        </w:rPr>
      </w:pPr>
      <w:r w:rsidRPr="00587E94">
        <w:rPr>
          <w:rStyle w:val="FootnoteReference"/>
          <w:rFonts w:ascii="Garamond" w:hAnsi="Garamond"/>
          <w:sz w:val="20"/>
          <w:szCs w:val="20"/>
        </w:rPr>
        <w:footnoteRef/>
      </w:r>
      <w:r>
        <w:rPr>
          <w:rFonts w:ascii="Garamond" w:hAnsi="Garamond"/>
          <w:sz w:val="20"/>
          <w:szCs w:val="20"/>
        </w:rPr>
        <w:t xml:space="preserve"> </w:t>
      </w:r>
      <w:r w:rsidRPr="00587E94">
        <w:rPr>
          <w:rFonts w:ascii="Garamond" w:hAnsi="Garamond"/>
          <w:sz w:val="20"/>
          <w:szCs w:val="20"/>
        </w:rPr>
        <w:t>INSTAT 2015. http://www.instat.gov.al/al/themes/mjedisi.aspx</w:t>
      </w:r>
    </w:p>
    <w:p w14:paraId="6EDD1819" w14:textId="77777777" w:rsidR="00527EF5" w:rsidRPr="00587E94" w:rsidRDefault="00527EF5" w:rsidP="008F17E8">
      <w:pPr>
        <w:pStyle w:val="FootnoteText"/>
        <w:rPr>
          <w:rFonts w:ascii="Garamond" w:hAnsi="Garamond"/>
        </w:rPr>
      </w:pPr>
    </w:p>
  </w:footnote>
  <w:footnote w:id="30">
    <w:p w14:paraId="6EDD181A" w14:textId="6E59F912" w:rsidR="00527EF5" w:rsidRPr="00587E94" w:rsidRDefault="00527EF5" w:rsidP="00860664">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Kadastra pyjore për periudhën 2000</w:t>
      </w:r>
      <w:r>
        <w:t>–</w:t>
      </w:r>
      <w:r w:rsidRPr="00587E94">
        <w:rPr>
          <w:rFonts w:ascii="Garamond" w:hAnsi="Garamond"/>
        </w:rPr>
        <w:t>2009, Ministria e Mjedisit</w:t>
      </w:r>
    </w:p>
  </w:footnote>
  <w:footnote w:id="31">
    <w:p w14:paraId="6EDD181B" w14:textId="004EA1B5" w:rsidR="00527EF5" w:rsidRPr="00587E94" w:rsidRDefault="00527EF5" w:rsidP="00281778">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Ndryshimi i Peizazhit Rural në Shqipëri: Braktisja e tokës bujqësore dhe prerja e pyjeve në tranzicionin postsocialist. Daniel Mueller</w:t>
      </w:r>
      <w:r>
        <w:rPr>
          <w:rFonts w:ascii="Garamond" w:hAnsi="Garamond"/>
        </w:rPr>
        <w:t xml:space="preserve"> </w:t>
      </w:r>
      <w:r w:rsidRPr="00587E94">
        <w:rPr>
          <w:rFonts w:ascii="Garamond" w:hAnsi="Garamond" w:cs="Calibri"/>
        </w:rPr>
        <w:t>dhe Darla K. Munroe. 2007. Analet e Shoqatës së Gjeografëve Amerikanë, 98(4) 2008, f. 1–22. 2008 nga Shoqata e Gjeografëve Amerikanë.</w:t>
      </w:r>
    </w:p>
  </w:footnote>
  <w:footnote w:id="32">
    <w:p w14:paraId="6EDD181C" w14:textId="77777777" w:rsidR="00527EF5" w:rsidRPr="00587E94" w:rsidRDefault="00527EF5" w:rsidP="00782894">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Të dhënat e inventarit të vitit 2009 përdoren si të dhëna të tërthorta për vititn 2010, meqë nuk disponohen të dhëna inventari GES për Shqipërinë për vitin 2010. </w:t>
      </w:r>
    </w:p>
  </w:footnote>
  <w:footnote w:id="33">
    <w:p w14:paraId="6EDD181D" w14:textId="77777777" w:rsidR="00527EF5" w:rsidRPr="00587E94" w:rsidRDefault="00527EF5" w:rsidP="00A9766F">
      <w:pPr>
        <w:pStyle w:val="FootnoteText"/>
        <w:rPr>
          <w:rFonts w:ascii="Garamond" w:hAnsi="Garamond"/>
        </w:rPr>
      </w:pPr>
      <w:r w:rsidRPr="00587E94">
        <w:rPr>
          <w:rStyle w:val="FootnoteReference"/>
          <w:rFonts w:ascii="Garamond" w:hAnsi="Garamond"/>
        </w:rPr>
        <w:footnoteRef/>
      </w:r>
      <w:r w:rsidRPr="00587E94">
        <w:rPr>
          <w:rFonts w:ascii="Garamond" w:hAnsi="Garamond"/>
        </w:rPr>
        <w:t xml:space="preserve"> Vlerësim i kostos së investimit lidhur me çdo masë zbutëse, pra shpenzimi margjinal (capex). Dokumenti teknik INDC-ë paralajmëron se këto kosto investimi nuk përfshijnë kostot e hartimit dhe administrimit të politikave për zbatimin e këtyre masave, që normalisht do të ishin 2-5% të shpenzimeve kapitale.</w:t>
      </w:r>
    </w:p>
  </w:footnote>
  <w:footnote w:id="34">
    <w:p w14:paraId="6EDD181E" w14:textId="3157B8F6" w:rsidR="00527EF5" w:rsidRPr="00587E94" w:rsidRDefault="00527EF5" w:rsidP="00782894">
      <w:pPr>
        <w:pStyle w:val="FootnoteText"/>
        <w:spacing w:before="0" w:after="0"/>
        <w:rPr>
          <w:rFonts w:ascii="Garamond" w:hAnsi="Garamond"/>
        </w:rPr>
      </w:pPr>
      <w:r w:rsidRPr="00587E94">
        <w:rPr>
          <w:rStyle w:val="FootnoteReference"/>
          <w:rFonts w:ascii="Garamond" w:hAnsi="Garamond"/>
        </w:rPr>
        <w:footnoteRef/>
      </w:r>
      <w:r>
        <w:rPr>
          <w:rFonts w:ascii="Garamond" w:hAnsi="Garamond"/>
        </w:rPr>
        <w:t xml:space="preserve"> </w:t>
      </w:r>
      <w:r w:rsidRPr="00587E94">
        <w:rPr>
          <w:rFonts w:ascii="Garamond" w:hAnsi="Garamond"/>
        </w:rPr>
        <w:t>GIZ: Udhëzues për përdorimin e instrumentit të vlerësimit të situatës për planifikimin kombëtar të përshtatjes (SNAP). Eschborn 2014.</w:t>
      </w:r>
    </w:p>
  </w:footnote>
  <w:footnote w:id="35">
    <w:p w14:paraId="6EDD181F" w14:textId="77777777" w:rsidR="00527EF5" w:rsidRPr="00587E94" w:rsidRDefault="00527EF5" w:rsidP="00206985">
      <w:pPr>
        <w:pStyle w:val="FootnoteText"/>
        <w:spacing w:before="0" w:after="0"/>
        <w:rPr>
          <w:rFonts w:ascii="Garamond" w:hAnsi="Garamond" w:cs="Calibri"/>
        </w:rPr>
      </w:pPr>
      <w:r w:rsidRPr="00587E94">
        <w:rPr>
          <w:rStyle w:val="FootnoteReference"/>
          <w:rFonts w:ascii="Garamond" w:hAnsi="Garamond" w:cs="Calibri"/>
        </w:rPr>
        <w:footnoteRef/>
      </w:r>
      <w:bookmarkStart w:id="91" w:name="OLE_LINK22"/>
      <w:r w:rsidRPr="00587E94">
        <w:rPr>
          <w:rFonts w:ascii="Garamond" w:hAnsi="Garamond" w:cs="Calibri"/>
        </w:rPr>
        <w:t xml:space="preserve">Gjendet në adresën </w:t>
      </w:r>
      <w:bookmarkEnd w:id="91"/>
      <w:r w:rsidRPr="00587E94">
        <w:fldChar w:fldCharType="begin"/>
      </w:r>
      <w:r w:rsidRPr="00587E94">
        <w:rPr>
          <w:rFonts w:ascii="Garamond" w:hAnsi="Garamond"/>
        </w:rPr>
        <w:instrText xml:space="preserve"> HYPERLINK "http://www.unepmap.org/index.php?module=library&amp;mode=mts&amp;action=results&amp;_stype=3&amp;s_category=MAP%20Technical%20Reports%20MTS&amp;s_descriptors=Climate%20change" </w:instrText>
      </w:r>
      <w:r w:rsidRPr="00587E94">
        <w:fldChar w:fldCharType="separate"/>
      </w:r>
      <w:r w:rsidRPr="00587E94">
        <w:rPr>
          <w:rStyle w:val="Hyperlink"/>
          <w:rFonts w:ascii="Garamond" w:hAnsi="Garamond" w:cs="Calibri"/>
        </w:rPr>
        <w:t>http://www.unepmap.org/index.php?module=library&amp;mode=mts&amp;action=results&amp;_stype=3&amp;s_category=MAP%20Technical%20Reports%20MTS&amp;s_descriptors=Climate%20change</w:t>
      </w:r>
      <w:r w:rsidRPr="00587E94">
        <w:rPr>
          <w:rStyle w:val="Hyperlink"/>
          <w:rFonts w:ascii="Garamond" w:hAnsi="Garamond" w:cs="Calibri"/>
        </w:rPr>
        <w:fldChar w:fldCharType="end"/>
      </w:r>
    </w:p>
    <w:p w14:paraId="6EDD1820" w14:textId="77777777" w:rsidR="00527EF5" w:rsidRPr="00587E94" w:rsidRDefault="00527EF5" w:rsidP="00A9766F">
      <w:pPr>
        <w:pStyle w:val="FootnoteText"/>
        <w:rPr>
          <w:rFonts w:ascii="Garamond" w:hAnsi="Garamond" w:cs="Calibri"/>
        </w:rPr>
      </w:pPr>
    </w:p>
  </w:footnote>
  <w:footnote w:id="36">
    <w:p w14:paraId="6EDD1821" w14:textId="77777777" w:rsidR="00527EF5" w:rsidRPr="00587E94" w:rsidRDefault="00527EF5" w:rsidP="00782894">
      <w:pPr>
        <w:pStyle w:val="FootnoteText"/>
        <w:spacing w:before="0" w:after="0"/>
        <w:rPr>
          <w:rFonts w:ascii="Garamond" w:hAnsi="Garamond" w:cs="Calibri"/>
        </w:rPr>
      </w:pPr>
      <w:r w:rsidRPr="00587E94">
        <w:rPr>
          <w:rStyle w:val="FootnoteReference"/>
          <w:rFonts w:ascii="Garamond" w:hAnsi="Garamond" w:cs="Calibri"/>
        </w:rPr>
        <w:footnoteRef/>
      </w:r>
      <w:r w:rsidRPr="00587E94">
        <w:rPr>
          <w:rFonts w:ascii="Garamond" w:hAnsi="Garamond" w:cs="Calibri"/>
        </w:rPr>
        <w:t xml:space="preserve">Raportisintezë (2013) gjendet në adresën </w:t>
      </w:r>
      <w:hyperlink r:id="rId5" w:history="1">
        <w:r w:rsidRPr="00587E94">
          <w:rPr>
            <w:rStyle w:val="Hyperlink"/>
            <w:rFonts w:ascii="Garamond" w:hAnsi="Garamond" w:cs="Calibri"/>
          </w:rPr>
          <w:t>http://www.al.undp.org/content/albania/en/home/library/environment_energy/</w:t>
        </w:r>
      </w:hyperlink>
    </w:p>
    <w:p w14:paraId="6EDD1822" w14:textId="77777777" w:rsidR="00527EF5" w:rsidRPr="00587E94" w:rsidRDefault="00527EF5" w:rsidP="00782894">
      <w:pPr>
        <w:pStyle w:val="FootnoteText"/>
        <w:spacing w:before="0" w:after="0"/>
        <w:rPr>
          <w:rFonts w:ascii="Garamond" w:hAnsi="Garamond" w:cs="Calibri"/>
        </w:rPr>
      </w:pPr>
    </w:p>
  </w:footnote>
  <w:footnote w:id="37">
    <w:p w14:paraId="6EDD1823" w14:textId="77777777" w:rsidR="00527EF5" w:rsidRPr="00587E94" w:rsidRDefault="00527EF5" w:rsidP="00782894">
      <w:pPr>
        <w:pStyle w:val="FootnoteText"/>
        <w:spacing w:before="0" w:after="0"/>
        <w:rPr>
          <w:rFonts w:ascii="Garamond" w:hAnsi="Garamond"/>
        </w:rPr>
      </w:pPr>
      <w:r w:rsidRPr="00587E94">
        <w:rPr>
          <w:rStyle w:val="FootnoteReference"/>
          <w:rFonts w:ascii="Garamond" w:hAnsi="Garamond" w:cs="Calibri"/>
        </w:rPr>
        <w:footnoteRef/>
      </w:r>
      <w:r w:rsidRPr="00587E94">
        <w:rPr>
          <w:rFonts w:ascii="Garamond" w:hAnsi="Garamond" w:cs="Calibri"/>
        </w:rPr>
        <w:t xml:space="preserve">Raporti (2013) gjendet në adresën </w:t>
      </w:r>
      <w:hyperlink r:id="rId6" w:history="1">
        <w:r w:rsidRPr="00587E94">
          <w:rPr>
            <w:rStyle w:val="Hyperlink"/>
            <w:rFonts w:ascii="Garamond" w:hAnsi="Garamond" w:cs="Calibri"/>
          </w:rPr>
          <w:t>http://hdl.handle.net/10986/16198</w:t>
        </w:r>
      </w:hyperlink>
    </w:p>
  </w:footnote>
  <w:footnote w:id="38">
    <w:p w14:paraId="6EDD1824" w14:textId="77777777" w:rsidR="00527EF5" w:rsidRPr="00587E94" w:rsidRDefault="00527EF5" w:rsidP="00A9766F">
      <w:pPr>
        <w:pStyle w:val="FootnoteText"/>
        <w:rPr>
          <w:rFonts w:ascii="Garamond" w:hAnsi="Garamond" w:cs="Calibri"/>
        </w:rPr>
      </w:pPr>
      <w:r w:rsidRPr="00587E94">
        <w:rPr>
          <w:rStyle w:val="FootnoteReference"/>
          <w:rFonts w:ascii="Garamond" w:hAnsi="Garamond" w:cs="Calibri"/>
        </w:rPr>
        <w:footnoteRef/>
      </w:r>
      <w:r w:rsidRPr="00587E94">
        <w:rPr>
          <w:rFonts w:ascii="Garamond" w:hAnsi="Garamond" w:cs="Calibri"/>
        </w:rPr>
        <w:t>Parashikimet klimatike llogariten duke përdorur treguesin e skenarëve SRES IPCC AR4 (software MAGGIC/SCENGEN v.5.3, AR4 IPCC) zvogëluar në shkallën 1:1 km.</w:t>
      </w:r>
    </w:p>
  </w:footnote>
  <w:footnote w:id="39">
    <w:p w14:paraId="6EDD1825" w14:textId="77777777" w:rsidR="00527EF5" w:rsidRPr="00587E94" w:rsidRDefault="00527EF5" w:rsidP="00206985">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Komisioni Evropian: Dokumenti Strategjik Orientues për Instrumentin e BE-së për Asistencën Paraaderimit për Shqipërinë (2014-2020), datë 18 gusht 2014.</w:t>
      </w:r>
    </w:p>
  </w:footnote>
  <w:footnote w:id="40">
    <w:p w14:paraId="6EDD1826" w14:textId="77777777" w:rsidR="00527EF5" w:rsidRPr="00587E94" w:rsidRDefault="00527EF5" w:rsidP="00617388">
      <w:pPr>
        <w:spacing w:after="0" w:line="240" w:lineRule="auto"/>
        <w:rPr>
          <w:rFonts w:ascii="Garamond" w:hAnsi="Garamond"/>
          <w:sz w:val="20"/>
          <w:szCs w:val="20"/>
          <w:lang w:eastAsia="en-CA"/>
        </w:rPr>
      </w:pPr>
      <w:r w:rsidRPr="00587E94">
        <w:rPr>
          <w:rStyle w:val="FootnoteReference"/>
          <w:rFonts w:ascii="Garamond" w:hAnsi="Garamond"/>
          <w:sz w:val="20"/>
          <w:szCs w:val="20"/>
        </w:rPr>
        <w:footnoteRef/>
      </w:r>
      <w:r w:rsidRPr="00587E94">
        <w:rPr>
          <w:rFonts w:ascii="Garamond" w:hAnsi="Garamond"/>
          <w:sz w:val="20"/>
          <w:szCs w:val="20"/>
          <w:lang w:eastAsia="en-CA"/>
        </w:rPr>
        <w:t>http://eur-lex.europa.eu/legal-content/EN/TXT/?uri=CELEX:52005DC0218.</w:t>
      </w:r>
    </w:p>
  </w:footnote>
  <w:footnote w:id="41">
    <w:p w14:paraId="6EDD1827" w14:textId="77777777" w:rsidR="00527EF5" w:rsidRPr="00587E94" w:rsidRDefault="00527EF5" w:rsidP="00617388">
      <w:pPr>
        <w:spacing w:after="0" w:line="240" w:lineRule="auto"/>
        <w:rPr>
          <w:rStyle w:val="Strong"/>
          <w:rFonts w:ascii="Garamond" w:hAnsi="Garamond"/>
          <w:sz w:val="20"/>
          <w:szCs w:val="20"/>
          <w:bdr w:val="none" w:sz="0" w:space="0" w:color="auto" w:frame="1"/>
          <w:shd w:val="clear" w:color="auto" w:fill="FFFFFF"/>
        </w:rPr>
      </w:pPr>
      <w:r w:rsidRPr="00587E94">
        <w:rPr>
          <w:rStyle w:val="FootnoteReference"/>
          <w:rFonts w:ascii="Garamond" w:hAnsi="Garamond"/>
          <w:sz w:val="20"/>
          <w:szCs w:val="20"/>
        </w:rPr>
        <w:footnoteRef/>
      </w:r>
      <w:r w:rsidRPr="00587E94">
        <w:rPr>
          <w:rFonts w:ascii="Garamond" w:hAnsi="Garamond"/>
          <w:sz w:val="20"/>
          <w:szCs w:val="20"/>
        </w:rPr>
        <w:t xml:space="preserve"> Çdo p</w:t>
      </w:r>
      <w:r w:rsidRPr="00587E94">
        <w:rPr>
          <w:rStyle w:val="Strong"/>
          <w:rFonts w:ascii="Garamond" w:hAnsi="Garamond"/>
          <w:sz w:val="20"/>
          <w:szCs w:val="20"/>
          <w:bdr w:val="none" w:sz="0" w:space="0" w:color="auto" w:frame="1"/>
          <w:shd w:val="clear" w:color="auto" w:fill="FFFFFF"/>
        </w:rPr>
        <w:t>rojekt, program dhe/ose aktivitet duhet planifikuar dhe zbatuar në një mënyrë që të ketë ndikimin më të vogël të mundshëm negativ mbi mjedisin, ose ta zbusë çdo ndikim të tillë negativ përmes masave korrigjuese dhe/oseparandaluese.</w:t>
      </w:r>
    </w:p>
  </w:footnote>
  <w:footnote w:id="42">
    <w:p w14:paraId="6EDD1828" w14:textId="77777777" w:rsidR="00527EF5" w:rsidRPr="00587E94" w:rsidRDefault="00527EF5" w:rsidP="00617388">
      <w:pPr>
        <w:spacing w:after="0" w:line="240" w:lineRule="auto"/>
        <w:rPr>
          <w:rFonts w:ascii="Garamond" w:hAnsi="Garamond"/>
          <w:bCs/>
          <w:iCs/>
          <w:sz w:val="20"/>
          <w:szCs w:val="20"/>
        </w:rPr>
      </w:pPr>
      <w:r w:rsidRPr="00587E94">
        <w:rPr>
          <w:rStyle w:val="FootnoteReference"/>
          <w:rFonts w:ascii="Garamond" w:hAnsi="Garamond"/>
          <w:sz w:val="20"/>
          <w:szCs w:val="20"/>
        </w:rPr>
        <w:footnoteRef/>
      </w:r>
      <w:r w:rsidRPr="00587E94">
        <w:rPr>
          <w:rStyle w:val="Strong"/>
          <w:rFonts w:ascii="Garamond" w:hAnsi="Garamond"/>
          <w:sz w:val="20"/>
          <w:szCs w:val="20"/>
          <w:bdr w:val="none" w:sz="0" w:space="0" w:color="auto" w:frame="1"/>
          <w:shd w:val="clear" w:color="auto" w:fill="FFFFFF"/>
        </w:rPr>
        <w:t xml:space="preserve">Kjo do të përfshinte zgjatimin tregues të TEN-Tnë Rrjetin Hekurudhor të Ballkanit Perëndimor: Linja 2 - </w:t>
      </w:r>
      <w:r w:rsidRPr="00587E94">
        <w:rPr>
          <w:rFonts w:ascii="Garamond" w:hAnsi="Garamond"/>
          <w:sz w:val="20"/>
          <w:szCs w:val="20"/>
          <w:shd w:val="clear" w:color="auto" w:fill="FFFFFF"/>
        </w:rPr>
        <w:t>Podgoricë (Mali i Zi) – Durrës/Tiranë (Shqipëri).</w:t>
      </w:r>
    </w:p>
  </w:footnote>
  <w:footnote w:id="43">
    <w:p w14:paraId="6EDD1829" w14:textId="77777777" w:rsidR="00527EF5" w:rsidRPr="00587E94" w:rsidRDefault="00527EF5" w:rsidP="00617388">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Parashikimet aktuale të shkarkimeve GES në vitin 2020 tregojnë 18,000 Gg CO</w:t>
      </w:r>
      <w:r w:rsidRPr="00587E94">
        <w:rPr>
          <w:rFonts w:ascii="Garamond" w:hAnsi="Garamond"/>
          <w:vertAlign w:val="subscript"/>
        </w:rPr>
        <w:t>2</w:t>
      </w:r>
      <w:r w:rsidRPr="00587E94">
        <w:rPr>
          <w:rFonts w:ascii="Garamond" w:hAnsi="Garamond"/>
        </w:rPr>
        <w:t xml:space="preserve"> eq. Parashikimi do të rishikohet gjatë periudhës 2014/2015 në kuadrin e Komunikimit të Tretë Kombëtar të UNFCCC-ëS. Në rast financimi ndërkombëtar për NAMA-n (masat përkatëse kombëtare për reduktimin e GES-it) reduktimi i GES-it mund të rritet me 16%, krahasuar me skenarin bazë.</w:t>
      </w:r>
    </w:p>
  </w:footnote>
  <w:footnote w:id="44">
    <w:p w14:paraId="6EDD182A" w14:textId="45553E80" w:rsidR="00527EF5" w:rsidRPr="00587E94" w:rsidRDefault="00527EF5" w:rsidP="008D6C6A">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Projekti LOCSEE-së (Karboni i Ulët i E</w:t>
      </w:r>
      <w:r>
        <w:rPr>
          <w:rFonts w:ascii="Garamond" w:hAnsi="Garamond"/>
        </w:rPr>
        <w:t>v</w:t>
      </w:r>
      <w:r w:rsidRPr="00587E94">
        <w:rPr>
          <w:rFonts w:ascii="Garamond" w:hAnsi="Garamond"/>
        </w:rPr>
        <w:t>ropës Juglindore) është një projekt dyvjeçar (2012-2014)i bashkëfinancuar nga Bashkëpunimi Transnacional i E</w:t>
      </w:r>
      <w:r>
        <w:rPr>
          <w:rFonts w:ascii="Garamond" w:hAnsi="Garamond"/>
        </w:rPr>
        <w:t>v</w:t>
      </w:r>
      <w:r w:rsidRPr="00587E94">
        <w:rPr>
          <w:rFonts w:ascii="Garamond" w:hAnsi="Garamond"/>
        </w:rPr>
        <w:t>ropës Juglindore, i cili ka si qëllim përmirësimin e procesit të integrimit territorial, ekonomik dhe social në SEE, duke përfshirë edhe Shqipërinë.</w:t>
      </w:r>
    </w:p>
    <w:p w14:paraId="6EDD182B" w14:textId="77777777" w:rsidR="00527EF5" w:rsidRPr="00587E94" w:rsidRDefault="00527EF5" w:rsidP="00A9766F">
      <w:pPr>
        <w:pStyle w:val="FootnoteText"/>
        <w:rPr>
          <w:rFonts w:ascii="Garamond" w:hAnsi="Garamond"/>
        </w:rPr>
      </w:pPr>
    </w:p>
  </w:footnote>
  <w:footnote w:id="45">
    <w:p w14:paraId="6EDD182C" w14:textId="2B6BA0BB" w:rsidR="00527EF5" w:rsidRPr="00587E94" w:rsidRDefault="00527EF5" w:rsidP="008D6C6A">
      <w:pPr>
        <w:pStyle w:val="FootnoteText"/>
        <w:spacing w:before="0" w:after="0"/>
        <w:rPr>
          <w:rFonts w:ascii="Garamond" w:hAnsi="Garamond"/>
        </w:rPr>
      </w:pPr>
      <w:r w:rsidRPr="00587E94">
        <w:rPr>
          <w:rStyle w:val="FootnoteReference"/>
          <w:rFonts w:ascii="Garamond" w:hAnsi="Garamond"/>
        </w:rPr>
        <w:footnoteRef/>
      </w:r>
      <w:r>
        <w:rPr>
          <w:rFonts w:ascii="Garamond" w:hAnsi="Garamond"/>
        </w:rPr>
        <w:t xml:space="preserve"> </w:t>
      </w:r>
      <w:r w:rsidRPr="00587E94">
        <w:rPr>
          <w:rFonts w:ascii="Garamond" w:hAnsi="Garamond"/>
        </w:rPr>
        <w:t>Vini re se promovimi i ngrohjes diellore të ujit, të ujërave sanitare është përfshirë</w:t>
      </w:r>
      <w:r>
        <w:rPr>
          <w:rFonts w:ascii="Garamond" w:hAnsi="Garamond"/>
        </w:rPr>
        <w:t xml:space="preserve"> </w:t>
      </w:r>
      <w:r w:rsidRPr="00587E94">
        <w:rPr>
          <w:rFonts w:ascii="Garamond" w:hAnsi="Garamond"/>
        </w:rPr>
        <w:t>përsëri këtu, por aktualisht u përket shtëpive me familje me një person. Ky mund të jetë një gabim në përpilimin e tabelave të dokumentit të PKVEE-së.</w:t>
      </w:r>
    </w:p>
  </w:footnote>
  <w:footnote w:id="46">
    <w:p w14:paraId="6EDD182D" w14:textId="77777777" w:rsidR="00527EF5" w:rsidRPr="00587E94" w:rsidRDefault="00527EF5" w:rsidP="00A9766F">
      <w:pPr>
        <w:pStyle w:val="FootnoteText"/>
        <w:rPr>
          <w:rFonts w:ascii="Garamond" w:hAnsi="Garamond"/>
        </w:rPr>
      </w:pPr>
    </w:p>
  </w:footnote>
  <w:footnote w:id="47">
    <w:p w14:paraId="6EDD182E" w14:textId="77777777" w:rsidR="00527EF5" w:rsidRPr="00587E94" w:rsidRDefault="00527EF5" w:rsidP="008D6C6A">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w:t>
      </w:r>
      <w:hyperlink r:id="rId7" w:history="1">
        <w:r w:rsidRPr="00587E94">
          <w:rPr>
            <w:rStyle w:val="Hyperlink"/>
            <w:rFonts w:ascii="Garamond" w:hAnsi="Garamond"/>
          </w:rPr>
          <w:t>http://sled.rec.org/building.html</w:t>
        </w:r>
      </w:hyperlink>
      <w:r w:rsidRPr="00587E94">
        <w:rPr>
          <w:rFonts w:ascii="Garamond" w:hAnsi="Garamond"/>
        </w:rPr>
        <w:t xml:space="preserve"> </w:t>
      </w:r>
    </w:p>
  </w:footnote>
  <w:footnote w:id="48">
    <w:p w14:paraId="6EDD182F" w14:textId="185E6C1D" w:rsidR="00527EF5" w:rsidRPr="00587E94" w:rsidRDefault="00527EF5" w:rsidP="00D43DF3">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Veprimi Parësor</w:t>
      </w:r>
      <w:r>
        <w:rPr>
          <w:rFonts w:ascii="Garamond" w:hAnsi="Garamond"/>
        </w:rPr>
        <w:t xml:space="preserve"> nr. </w:t>
      </w:r>
      <w:r w:rsidRPr="00587E94">
        <w:rPr>
          <w:rFonts w:ascii="Garamond" w:hAnsi="Garamond"/>
        </w:rPr>
        <w:t>1 i Asistenc</w:t>
      </w:r>
      <w:r w:rsidRPr="00587E94">
        <w:rPr>
          <w:rFonts w:ascii="Garamond" w:hAnsi="Garamond" w:cs="Calibri"/>
        </w:rPr>
        <w:t>ës Teknike për përgatitjen e Strategjisë së Sektorit të</w:t>
      </w:r>
      <w:r w:rsidRPr="00587E94">
        <w:rPr>
          <w:rFonts w:ascii="Garamond" w:hAnsi="Garamond"/>
        </w:rPr>
        <w:t xml:space="preserve"> Transportit n</w:t>
      </w:r>
      <w:r w:rsidRPr="00587E94">
        <w:rPr>
          <w:rFonts w:ascii="Garamond" w:hAnsi="Garamond" w:cs="Calibri"/>
        </w:rPr>
        <w:t>ë Shqipëri</w:t>
      </w:r>
      <w:r w:rsidRPr="00587E94">
        <w:rPr>
          <w:rFonts w:ascii="Garamond" w:hAnsi="Garamond"/>
        </w:rPr>
        <w:t xml:space="preserve"> – Strategjia P</w:t>
      </w:r>
      <w:r w:rsidRPr="00587E94">
        <w:rPr>
          <w:rFonts w:ascii="Garamond" w:hAnsi="Garamond" w:cs="Calibri"/>
        </w:rPr>
        <w:t>ërfundimtare dhe Plani i Veprimit</w:t>
      </w:r>
      <w:r w:rsidRPr="00587E94">
        <w:rPr>
          <w:rFonts w:ascii="Garamond" w:hAnsi="Garamond"/>
        </w:rPr>
        <w:t xml:space="preserve"> – draft 0.1 – 31/01/2016</w:t>
      </w:r>
    </w:p>
  </w:footnote>
  <w:footnote w:id="49">
    <w:p w14:paraId="6EDD1830" w14:textId="633EB443" w:rsidR="00527EF5" w:rsidRPr="00587E94" w:rsidRDefault="00527EF5" w:rsidP="00D43DF3">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rPr>
        <w:t xml:space="preserve"> Veprimi Parësor</w:t>
      </w:r>
      <w:r>
        <w:rPr>
          <w:rFonts w:ascii="Garamond" w:hAnsi="Garamond"/>
        </w:rPr>
        <w:t xml:space="preserve"> nr. </w:t>
      </w:r>
      <w:r w:rsidRPr="00587E94">
        <w:rPr>
          <w:rFonts w:ascii="Garamond" w:hAnsi="Garamond"/>
        </w:rPr>
        <w:t>37 i Asistenc</w:t>
      </w:r>
      <w:r w:rsidRPr="00587E94">
        <w:rPr>
          <w:rFonts w:ascii="Garamond" w:hAnsi="Garamond" w:cs="Calibri"/>
        </w:rPr>
        <w:t>ës Teknike për përgatitjen e Strategjisë së Sektorit të</w:t>
      </w:r>
      <w:r w:rsidRPr="00587E94">
        <w:rPr>
          <w:rFonts w:ascii="Garamond" w:hAnsi="Garamond"/>
        </w:rPr>
        <w:t xml:space="preserve"> Transportit n</w:t>
      </w:r>
      <w:r w:rsidRPr="00587E94">
        <w:rPr>
          <w:rFonts w:ascii="Garamond" w:hAnsi="Garamond" w:cs="Calibri"/>
        </w:rPr>
        <w:t>ë Shqipëri</w:t>
      </w:r>
      <w:r w:rsidRPr="00587E94">
        <w:rPr>
          <w:rFonts w:ascii="Garamond" w:hAnsi="Garamond"/>
        </w:rPr>
        <w:t xml:space="preserve"> –</w:t>
      </w:r>
      <w:r>
        <w:rPr>
          <w:rFonts w:ascii="Garamond" w:hAnsi="Garamond"/>
        </w:rPr>
        <w:t xml:space="preserve"> </w:t>
      </w:r>
      <w:r w:rsidRPr="00587E94">
        <w:rPr>
          <w:rFonts w:ascii="Garamond" w:hAnsi="Garamond"/>
        </w:rPr>
        <w:t>Strategjia P</w:t>
      </w:r>
      <w:r w:rsidRPr="00587E94">
        <w:rPr>
          <w:rFonts w:ascii="Garamond" w:hAnsi="Garamond" w:cs="Calibri"/>
        </w:rPr>
        <w:t>ërfundimtare dhe Plani i Veprimit</w:t>
      </w:r>
      <w:r w:rsidRPr="00587E94">
        <w:rPr>
          <w:rFonts w:ascii="Garamond" w:hAnsi="Garamond"/>
        </w:rPr>
        <w:t xml:space="preserve"> – draft 0.1 – 31/01/2016</w:t>
      </w:r>
    </w:p>
  </w:footnote>
  <w:footnote w:id="50">
    <w:p w14:paraId="6EDD1831" w14:textId="6BE29C7A" w:rsidR="00527EF5" w:rsidRPr="00587E94" w:rsidRDefault="00527EF5" w:rsidP="00D43DF3">
      <w:pPr>
        <w:pStyle w:val="FootnoteText"/>
        <w:spacing w:before="0" w:after="0"/>
        <w:rPr>
          <w:rFonts w:ascii="Garamond" w:hAnsi="Garamond"/>
        </w:rPr>
      </w:pPr>
      <w:r w:rsidRPr="00587E94">
        <w:rPr>
          <w:rStyle w:val="FootnoteReference"/>
          <w:rFonts w:ascii="Garamond" w:hAnsi="Garamond"/>
        </w:rPr>
        <w:footnoteRef/>
      </w:r>
      <w:r>
        <w:rPr>
          <w:rFonts w:ascii="Garamond" w:hAnsi="Garamond"/>
        </w:rPr>
        <w:t xml:space="preserve"> </w:t>
      </w:r>
      <w:r w:rsidRPr="00587E94">
        <w:rPr>
          <w:rFonts w:ascii="Garamond" w:hAnsi="Garamond"/>
        </w:rPr>
        <w:t>Komisioni Europian: Shpjegim mbi Bashkimin Europian: Europ</w:t>
      </w:r>
      <w:r w:rsidRPr="00587E94">
        <w:rPr>
          <w:rFonts w:ascii="Garamond" w:hAnsi="Garamond" w:cs="Calibri"/>
        </w:rPr>
        <w:t>ë</w:t>
      </w:r>
      <w:r w:rsidRPr="00587E94">
        <w:rPr>
          <w:rFonts w:ascii="Garamond" w:hAnsi="Garamond"/>
        </w:rPr>
        <w:t xml:space="preserve"> 2020 – Strategjia e Zhvillimit Europian, Luksemburg, 2013</w:t>
      </w:r>
    </w:p>
  </w:footnote>
  <w:footnote w:id="51">
    <w:p w14:paraId="6EDD1832" w14:textId="77777777" w:rsidR="00527EF5" w:rsidRPr="00587E94" w:rsidRDefault="00527EF5" w:rsidP="00524E98">
      <w:pPr>
        <w:pStyle w:val="FootnoteText"/>
        <w:spacing w:before="0" w:after="0"/>
        <w:rPr>
          <w:rFonts w:ascii="Garamond" w:hAnsi="Garamond"/>
        </w:rPr>
      </w:pPr>
      <w:r w:rsidRPr="00587E94">
        <w:rPr>
          <w:rStyle w:val="FootnoteReference"/>
          <w:rFonts w:ascii="Garamond" w:hAnsi="Garamond"/>
        </w:rPr>
        <w:footnoteRef/>
      </w:r>
      <w:hyperlink r:id="rId8" w:history="1">
        <w:r w:rsidRPr="00587E94">
          <w:rPr>
            <w:rStyle w:val="Hyperlink"/>
            <w:rFonts w:ascii="Garamond" w:hAnsi="Garamond"/>
          </w:rPr>
          <w:t>https://www.cbd.int/sp/targets/</w:t>
        </w:r>
      </w:hyperlink>
    </w:p>
    <w:p w14:paraId="6EDD1833" w14:textId="77777777" w:rsidR="00527EF5" w:rsidRPr="00587E94" w:rsidRDefault="00527EF5" w:rsidP="00A9766F">
      <w:pPr>
        <w:pStyle w:val="FootnoteText"/>
        <w:rPr>
          <w:rFonts w:ascii="Garamond" w:hAnsi="Garamond"/>
        </w:rPr>
      </w:pPr>
    </w:p>
  </w:footnote>
  <w:footnote w:id="52">
    <w:p w14:paraId="6EDD1834" w14:textId="77777777" w:rsidR="00527EF5" w:rsidRPr="00587E94" w:rsidRDefault="00527EF5" w:rsidP="00CF2A42">
      <w:pPr>
        <w:pStyle w:val="FootnoteText"/>
        <w:spacing w:before="0" w:after="0"/>
        <w:rPr>
          <w:rFonts w:ascii="Garamond" w:hAnsi="Garamond"/>
        </w:rPr>
      </w:pPr>
      <w:r w:rsidRPr="00587E94">
        <w:rPr>
          <w:rStyle w:val="FootnoteReference"/>
          <w:rFonts w:ascii="Garamond" w:hAnsi="Garamond"/>
        </w:rPr>
        <w:footnoteRef/>
      </w:r>
      <w:r w:rsidRPr="00587E94">
        <w:rPr>
          <w:rFonts w:ascii="Garamond" w:hAnsi="Garamond" w:cs="Calibri"/>
        </w:rPr>
        <w:t xml:space="preserve">Gjendet në adresën: </w:t>
      </w:r>
      <w:r w:rsidRPr="00587E94">
        <w:rPr>
          <w:rFonts w:ascii="Garamond" w:hAnsi="Garamond"/>
        </w:rPr>
        <w:t>http://www.oecd.org/dac/43652123.pdf</w:t>
      </w:r>
    </w:p>
  </w:footnote>
  <w:footnote w:id="53">
    <w:p w14:paraId="6EDD1835" w14:textId="77777777" w:rsidR="00527EF5" w:rsidRPr="00587E94" w:rsidRDefault="00527EF5" w:rsidP="002C406F">
      <w:pPr>
        <w:pStyle w:val="FootnoteText"/>
        <w:rPr>
          <w:rFonts w:ascii="Garamond" w:hAnsi="Garamond"/>
          <w:sz w:val="16"/>
          <w:szCs w:val="16"/>
        </w:rPr>
      </w:pPr>
      <w:r w:rsidRPr="00587E94">
        <w:rPr>
          <w:rStyle w:val="FootnoteReference"/>
          <w:rFonts w:ascii="Garamond" w:hAnsi="Garamond"/>
          <w:sz w:val="16"/>
          <w:szCs w:val="16"/>
        </w:rPr>
        <w:footnoteRef/>
      </w:r>
      <w:r w:rsidRPr="00587E94">
        <w:rPr>
          <w:rFonts w:ascii="Garamond" w:hAnsi="Garamond"/>
          <w:bCs/>
          <w:iCs/>
          <w:sz w:val="16"/>
          <w:szCs w:val="16"/>
        </w:rPr>
        <w:t xml:space="preserve">Detaje mbi gjetjet e nxjerra nga përdorimi I thjerrës klimatike mund të gjenden në raportin e thjerrës klimatike të datës 19 qershor 2015. </w:t>
      </w:r>
    </w:p>
  </w:footnote>
  <w:footnote w:id="54">
    <w:p w14:paraId="6EDD1836" w14:textId="25062F7D" w:rsidR="00527EF5" w:rsidRPr="00587E94" w:rsidRDefault="00527EF5" w:rsidP="002C406F">
      <w:pPr>
        <w:pStyle w:val="FootnoteText"/>
        <w:spacing w:after="0"/>
        <w:contextualSpacing/>
        <w:rPr>
          <w:rFonts w:ascii="Garamond" w:hAnsi="Garamond" w:cs="Calibri"/>
          <w:sz w:val="16"/>
          <w:szCs w:val="16"/>
        </w:rPr>
      </w:pPr>
      <w:r w:rsidRPr="00587E94">
        <w:rPr>
          <w:rStyle w:val="FootnoteReference"/>
          <w:rFonts w:ascii="Garamond" w:hAnsi="Garamond" w:cs="Calibri"/>
          <w:sz w:val="16"/>
          <w:szCs w:val="16"/>
        </w:rPr>
        <w:footnoteRef/>
      </w:r>
      <w:r w:rsidRPr="00587E94">
        <w:rPr>
          <w:rFonts w:ascii="Garamond" w:hAnsi="Garamond" w:cs="Calibri"/>
          <w:sz w:val="16"/>
          <w:szCs w:val="16"/>
        </w:rPr>
        <w:t xml:space="preserve">Planet e menaxhimit të rrezikut nga përmbytjet janë përgatitur me mbështetjen e Ministrisë për Bashkëpunim dhe Zhvillim Ekonomik së Republikës Federale të Gjermanisë (BMZ) nëpërmjet projektit “Përshtatja ndaj ndryshimeve klimatike në rajonin e Ballkanit Perëndimor.” Dokumentet mund t’i gjeni në </w:t>
      </w:r>
      <w:hyperlink r:id="rId9" w:history="1">
        <w:r w:rsidRPr="00587E94">
          <w:rPr>
            <w:rStyle w:val="Hyperlink"/>
            <w:rFonts w:ascii="Garamond" w:hAnsi="Garamond" w:cs="Calibri"/>
            <w:sz w:val="16"/>
            <w:szCs w:val="16"/>
          </w:rPr>
          <w:t>http://www.qarkushkoder.gov.al/sq</w:t>
        </w:r>
      </w:hyperlink>
    </w:p>
  </w:footnote>
  <w:footnote w:id="55">
    <w:p w14:paraId="6EDD1837" w14:textId="77777777" w:rsidR="00527EF5" w:rsidRPr="00587E94" w:rsidRDefault="00527EF5" w:rsidP="00CF2A42">
      <w:pPr>
        <w:pStyle w:val="FootnoteText"/>
        <w:spacing w:before="0" w:after="0"/>
        <w:rPr>
          <w:rFonts w:ascii="Garamond" w:hAnsi="Garamond" w:cs="Calibri"/>
        </w:rPr>
      </w:pPr>
      <w:r w:rsidRPr="00587E94">
        <w:rPr>
          <w:rStyle w:val="FootnoteReference"/>
          <w:rFonts w:ascii="Garamond" w:hAnsi="Garamond" w:cs="Calibri"/>
        </w:rPr>
        <w:footnoteRef/>
      </w:r>
      <w:r w:rsidRPr="00587E94">
        <w:rPr>
          <w:rFonts w:ascii="Garamond" w:hAnsi="Garamond" w:cs="Calibri"/>
        </w:rPr>
        <w:t>Financuar nga IBRD-ja, BB-ja, Qeveria e Suedisë dhe GEF dhe zbatuar nga Qeveria e Shqipërisë.</w:t>
      </w:r>
    </w:p>
  </w:footnote>
  <w:footnote w:id="56">
    <w:p w14:paraId="6EDD1838" w14:textId="77777777" w:rsidR="00527EF5" w:rsidRPr="00587E94" w:rsidRDefault="00527EF5" w:rsidP="00CF2A42">
      <w:pPr>
        <w:pStyle w:val="FootnoteText"/>
        <w:spacing w:before="0" w:after="0"/>
        <w:rPr>
          <w:rFonts w:ascii="Garamond" w:hAnsi="Garamond" w:cs="Calibri"/>
        </w:rPr>
      </w:pPr>
      <w:r w:rsidRPr="00587E94">
        <w:rPr>
          <w:rStyle w:val="FootnoteReference"/>
          <w:rFonts w:ascii="Garamond" w:hAnsi="Garamond" w:cs="Calibri"/>
        </w:rPr>
        <w:footnoteRef/>
      </w:r>
      <w:r w:rsidRPr="00587E94">
        <w:rPr>
          <w:rFonts w:ascii="Garamond" w:hAnsi="Garamond" w:cs="Calibri"/>
        </w:rPr>
        <w:t>Financuar nga UNDP-ja dhe GEF-i.</w:t>
      </w:r>
    </w:p>
  </w:footnote>
  <w:footnote w:id="57">
    <w:p w14:paraId="6EDD1839" w14:textId="5C9DCFE6" w:rsidR="00527EF5" w:rsidRPr="00587E94" w:rsidRDefault="00527EF5" w:rsidP="001147F6">
      <w:pPr>
        <w:rPr>
          <w:rFonts w:ascii="Garamond" w:hAnsi="Garamond"/>
          <w:sz w:val="16"/>
          <w:szCs w:val="16"/>
        </w:rPr>
      </w:pPr>
      <w:r w:rsidRPr="00587E94">
        <w:rPr>
          <w:rStyle w:val="FootnoteReference"/>
          <w:rFonts w:ascii="Garamond" w:hAnsi="Garamond"/>
          <w:sz w:val="16"/>
          <w:szCs w:val="16"/>
        </w:rPr>
        <w:footnoteRef/>
      </w:r>
      <w:r w:rsidRPr="00587E94">
        <w:rPr>
          <w:rFonts w:ascii="Garamond" w:hAnsi="Garamond"/>
          <w:sz w:val="16"/>
          <w:szCs w:val="16"/>
        </w:rPr>
        <w:t xml:space="preserve"> Urdhëri i Kryeministrit</w:t>
      </w:r>
      <w:r>
        <w:rPr>
          <w:rFonts w:ascii="Garamond" w:hAnsi="Garamond" w:cstheme="minorHAnsi"/>
          <w:sz w:val="16"/>
          <w:szCs w:val="16"/>
        </w:rPr>
        <w:t xml:space="preserve"> nr. </w:t>
      </w:r>
      <w:r w:rsidRPr="00587E94">
        <w:rPr>
          <w:rFonts w:ascii="Garamond" w:hAnsi="Garamond"/>
          <w:sz w:val="16"/>
          <w:szCs w:val="16"/>
        </w:rPr>
        <w:t>155, dat</w:t>
      </w:r>
      <w:r w:rsidRPr="00587E94">
        <w:rPr>
          <w:rFonts w:ascii="Garamond" w:hAnsi="Garamond" w:cstheme="minorHAnsi"/>
          <w:sz w:val="16"/>
          <w:szCs w:val="16"/>
        </w:rPr>
        <w:t>ë</w:t>
      </w:r>
      <w:r w:rsidRPr="00587E94">
        <w:rPr>
          <w:rFonts w:ascii="Garamond" w:hAnsi="Garamond"/>
          <w:sz w:val="16"/>
          <w:szCs w:val="16"/>
        </w:rPr>
        <w:t xml:space="preserve"> 25.04.2014 “Krijimi dhe Funksionimi i Grupit t</w:t>
      </w:r>
      <w:r w:rsidRPr="00587E94">
        <w:rPr>
          <w:rFonts w:ascii="Garamond" w:hAnsi="Garamond" w:cstheme="minorHAnsi"/>
          <w:sz w:val="16"/>
          <w:szCs w:val="16"/>
        </w:rPr>
        <w:t>ë Punës Ndërministror në Fushën e Ndryshimeve Klimatike</w:t>
      </w:r>
      <w:r w:rsidRPr="00587E94">
        <w:rPr>
          <w:rFonts w:ascii="Garamond" w:hAnsi="Garamond"/>
          <w:sz w:val="16"/>
          <w:szCs w:val="16"/>
        </w:rPr>
        <w:t>”</w:t>
      </w:r>
    </w:p>
    <w:p w14:paraId="6EDD183A" w14:textId="77777777" w:rsidR="00527EF5" w:rsidRPr="00587E94" w:rsidRDefault="00527EF5" w:rsidP="001147F6">
      <w:pPr>
        <w:pStyle w:val="FootnoteText"/>
        <w:rPr>
          <w:rFonts w:ascii="Garamond" w:hAnsi="Garamond"/>
        </w:rPr>
      </w:pPr>
    </w:p>
  </w:footnote>
  <w:footnote w:id="58">
    <w:p w14:paraId="6EDD183B" w14:textId="77777777" w:rsidR="00527EF5" w:rsidRPr="00587E94" w:rsidRDefault="00527EF5" w:rsidP="00BC439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https://climate-exchange.org/2014/07/08/using-official-development-assistance-to-complement-adaptation-funding/</w:t>
      </w:r>
    </w:p>
  </w:footnote>
  <w:footnote w:id="59">
    <w:p w14:paraId="6EDD183C" w14:textId="77777777" w:rsidR="00527EF5" w:rsidRPr="00587E94" w:rsidRDefault="00527EF5" w:rsidP="00BC439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https://openknowledge.worldbank.org/bitstream/handle/10986/22787/9781464806735.pdf</w:t>
      </w:r>
    </w:p>
  </w:footnote>
  <w:footnote w:id="60">
    <w:p w14:paraId="6EDD183D" w14:textId="77777777" w:rsidR="00527EF5" w:rsidRPr="00587E94" w:rsidRDefault="00527EF5" w:rsidP="00BC439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https://www.ipcc.ch/report/ar5/</w:t>
      </w:r>
    </w:p>
  </w:footnote>
  <w:footnote w:id="61">
    <w:p w14:paraId="6EDD183E" w14:textId="2BCDAB36" w:rsidR="00527EF5" w:rsidRPr="00587E94" w:rsidRDefault="00527EF5" w:rsidP="00BC439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Urdhri i Kryeministrit</w:t>
      </w:r>
      <w:r>
        <w:rPr>
          <w:rFonts w:ascii="Garamond" w:hAnsi="Garamond"/>
        </w:rPr>
        <w:t xml:space="preserve"> nr. </w:t>
      </w:r>
      <w:r w:rsidRPr="00587E94">
        <w:rPr>
          <w:rFonts w:ascii="Garamond" w:hAnsi="Garamond"/>
        </w:rPr>
        <w:t>155, datë 25.04.2014</w:t>
      </w:r>
    </w:p>
  </w:footnote>
  <w:footnote w:id="62">
    <w:p w14:paraId="6EDD183F" w14:textId="5A7FD51C" w:rsidR="00527EF5" w:rsidRPr="00587E94" w:rsidRDefault="00527EF5" w:rsidP="00BC439D">
      <w:pPr>
        <w:pStyle w:val="FootnoteText"/>
        <w:spacing w:before="0" w:after="0"/>
        <w:rPr>
          <w:rStyle w:val="FootnoteReference"/>
          <w:rFonts w:ascii="Garamond" w:eastAsiaTheme="minorEastAsia" w:hAnsi="Garamond"/>
        </w:rPr>
      </w:pPr>
      <w:r w:rsidRPr="00587E94">
        <w:rPr>
          <w:rStyle w:val="FootnoteReference"/>
          <w:rFonts w:ascii="Garamond" w:eastAsiaTheme="minorEastAsia" w:hAnsi="Garamond"/>
        </w:rPr>
        <w:footnoteRef/>
      </w:r>
      <w:r w:rsidRPr="00587E94">
        <w:rPr>
          <w:rStyle w:val="FootnoteReference"/>
          <w:rFonts w:ascii="Garamond" w:eastAsiaTheme="minorEastAsia" w:hAnsi="Garamond"/>
        </w:rPr>
        <w:t>Referojuni Objektivave 1 deri 4 të PA</w:t>
      </w:r>
      <w:r>
        <w:rPr>
          <w:rStyle w:val="FootnoteReference"/>
          <w:rFonts w:ascii="Garamond" w:eastAsiaTheme="minorEastAsia" w:hAnsi="Garamond"/>
        </w:rPr>
        <w:t xml:space="preserve"> nr. </w:t>
      </w:r>
      <w:r w:rsidRPr="00587E94">
        <w:rPr>
          <w:rStyle w:val="FootnoteReference"/>
          <w:rFonts w:ascii="Garamond" w:eastAsiaTheme="minorEastAsia" w:hAnsi="Garamond"/>
        </w:rPr>
        <w:t>1</w:t>
      </w:r>
    </w:p>
  </w:footnote>
  <w:footnote w:id="63">
    <w:p w14:paraId="6EDD1840" w14:textId="2FF75F9C" w:rsidR="00527EF5" w:rsidRPr="00587E94" w:rsidRDefault="00527EF5" w:rsidP="00BC439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Style w:val="FootnoteReference"/>
          <w:rFonts w:ascii="Garamond" w:eastAsiaTheme="minorEastAsia" w:hAnsi="Garamond"/>
        </w:rPr>
        <w:t>Ligji</w:t>
      </w:r>
      <w:r>
        <w:rPr>
          <w:rStyle w:val="FootnoteReference"/>
          <w:rFonts w:ascii="Garamond" w:eastAsiaTheme="minorEastAsia" w:hAnsi="Garamond"/>
        </w:rPr>
        <w:t xml:space="preserve"> nr. </w:t>
      </w:r>
      <w:r w:rsidRPr="00587E94">
        <w:rPr>
          <w:rStyle w:val="FootnoteReference"/>
          <w:rFonts w:ascii="Garamond" w:eastAsiaTheme="minorEastAsia" w:hAnsi="Garamond"/>
        </w:rPr>
        <w:t xml:space="preserve">9936/2008 (i </w:t>
      </w:r>
      <w:r w:rsidRPr="00587E94">
        <w:rPr>
          <w:rFonts w:ascii="Garamond" w:hAnsi="Garamond"/>
        </w:rPr>
        <w:t>rishikuar në vitin</w:t>
      </w:r>
      <w:r w:rsidRPr="00587E94">
        <w:rPr>
          <w:rStyle w:val="FootnoteReference"/>
          <w:rFonts w:ascii="Garamond" w:eastAsiaTheme="minorEastAsia" w:hAnsi="Garamond"/>
        </w:rPr>
        <w:t xml:space="preserve"> 2016); Ligji</w:t>
      </w:r>
      <w:r>
        <w:rPr>
          <w:rStyle w:val="FootnoteReference"/>
          <w:rFonts w:ascii="Garamond" w:eastAsiaTheme="minorEastAsia" w:hAnsi="Garamond"/>
        </w:rPr>
        <w:t xml:space="preserve"> nr. </w:t>
      </w:r>
      <w:r w:rsidRPr="00587E94">
        <w:rPr>
          <w:rStyle w:val="FootnoteReference"/>
          <w:rFonts w:ascii="Garamond" w:eastAsiaTheme="minorEastAsia" w:hAnsi="Garamond"/>
        </w:rPr>
        <w:t xml:space="preserve">10296/2010 (i rishikuar në vitin 2015); </w:t>
      </w:r>
      <w:r w:rsidRPr="00587E94">
        <w:rPr>
          <w:rFonts w:ascii="Garamond" w:hAnsi="Garamond"/>
        </w:rPr>
        <w:t>Udhëzimi i MF-ës</w:t>
      </w:r>
      <w:r>
        <w:rPr>
          <w:rFonts w:ascii="Garamond" w:hAnsi="Garamond"/>
        </w:rPr>
        <w:t xml:space="preserve"> nr. </w:t>
      </w:r>
      <w:r w:rsidRPr="00587E94">
        <w:rPr>
          <w:rStyle w:val="FootnoteReference"/>
          <w:rFonts w:ascii="Garamond" w:eastAsiaTheme="minorEastAsia" w:hAnsi="Garamond"/>
        </w:rPr>
        <w:t>8/2012</w:t>
      </w:r>
    </w:p>
  </w:footnote>
  <w:footnote w:id="64">
    <w:p w14:paraId="6EDD1841" w14:textId="7709BD8C"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Ky tregues duhet të rishikohet pas përfundimit të shtojcës</w:t>
      </w:r>
      <w:r>
        <w:rPr>
          <w:rFonts w:ascii="Garamond" w:hAnsi="Garamond"/>
        </w:rPr>
        <w:t xml:space="preserve"> </w:t>
      </w:r>
      <w:r w:rsidRPr="00587E94">
        <w:rPr>
          <w:rFonts w:ascii="Garamond" w:hAnsi="Garamond"/>
        </w:rPr>
        <w:t>2.</w:t>
      </w:r>
    </w:p>
  </w:footnote>
  <w:footnote w:id="65">
    <w:p w14:paraId="6EDD1842"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Objektivat 6 deri 11, faqe 29 dhe treguesi 6.2: Të paktën 1 qasje integruese në vit po përfshihet në një strategji përkatëse sektoriale.</w:t>
      </w:r>
    </w:p>
  </w:footnote>
  <w:footnote w:id="66">
    <w:p w14:paraId="6EDD1843"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Duhet të shqyrtohet sipas PA 3 dhe 7</w:t>
      </w:r>
    </w:p>
  </w:footnote>
  <w:footnote w:id="67">
    <w:p w14:paraId="6EDD1844" w14:textId="29FD80D3" w:rsidR="00527EF5" w:rsidRPr="00587E94" w:rsidRDefault="00527EF5" w:rsidP="001206A9">
      <w:pPr>
        <w:pStyle w:val="FootnoteText"/>
        <w:rPr>
          <w:rFonts w:ascii="Garamond" w:hAnsi="Garamond"/>
          <w:sz w:val="16"/>
          <w:szCs w:val="16"/>
        </w:rPr>
      </w:pPr>
      <w:r w:rsidRPr="00587E94">
        <w:rPr>
          <w:rStyle w:val="FootnoteReference"/>
          <w:rFonts w:ascii="Garamond" w:eastAsiaTheme="minorEastAsia" w:hAnsi="Garamond"/>
          <w:sz w:val="16"/>
          <w:szCs w:val="16"/>
        </w:rPr>
        <w:footnoteRef/>
      </w:r>
      <w:r w:rsidRPr="00587E94">
        <w:rPr>
          <w:rFonts w:ascii="Garamond" w:hAnsi="Garamond"/>
          <w:sz w:val="16"/>
          <w:szCs w:val="16"/>
        </w:rPr>
        <w:t xml:space="preserve"> Përzgjedhja duhet të kryhet në përputhje me strategjinë e përzgjedhur sektoriale: shihni treguesin</w:t>
      </w:r>
      <w:r>
        <w:rPr>
          <w:rFonts w:ascii="Garamond" w:hAnsi="Garamond"/>
          <w:sz w:val="16"/>
          <w:szCs w:val="16"/>
        </w:rPr>
        <w:t xml:space="preserve"> </w:t>
      </w:r>
      <w:r w:rsidRPr="00587E94">
        <w:rPr>
          <w:rFonts w:ascii="Garamond" w:hAnsi="Garamond"/>
          <w:sz w:val="16"/>
          <w:szCs w:val="16"/>
        </w:rPr>
        <w:t>6.2: Të paktën 1 qasje integruese në vit është duke u përfshirë në një strategji përkatëse sektoriale.</w:t>
      </w:r>
    </w:p>
  </w:footnote>
  <w:footnote w:id="68">
    <w:p w14:paraId="6EDD1845" w14:textId="77777777" w:rsidR="00527EF5" w:rsidRPr="00587E94" w:rsidRDefault="00527EF5" w:rsidP="00547185">
      <w:pPr>
        <w:pStyle w:val="FootnoteText"/>
        <w:rPr>
          <w:rFonts w:ascii="Garamond" w:hAnsi="Garamond"/>
          <w:sz w:val="16"/>
          <w:szCs w:val="16"/>
        </w:rPr>
      </w:pPr>
      <w:r w:rsidRPr="00587E94">
        <w:rPr>
          <w:rStyle w:val="FootnoteReference"/>
          <w:rFonts w:ascii="Garamond" w:eastAsiaTheme="minorEastAsia" w:hAnsi="Garamond"/>
          <w:sz w:val="16"/>
          <w:szCs w:val="16"/>
        </w:rPr>
        <w:footnoteRef/>
      </w:r>
      <w:r w:rsidRPr="00587E94">
        <w:rPr>
          <w:rFonts w:ascii="Garamond" w:hAnsi="Garamond"/>
          <w:sz w:val="16"/>
          <w:szCs w:val="16"/>
        </w:rPr>
        <w:t xml:space="preserve"> Reeferenca ndaj treguesit</w:t>
      </w:r>
    </w:p>
  </w:footnote>
  <w:footnote w:id="69">
    <w:p w14:paraId="6EDD1846" w14:textId="77777777" w:rsidR="00527EF5" w:rsidRPr="00587E94" w:rsidRDefault="00527EF5" w:rsidP="00547185">
      <w:pPr>
        <w:pStyle w:val="FootnoteText"/>
        <w:rPr>
          <w:rFonts w:ascii="Garamond" w:hAnsi="Garamond"/>
          <w:sz w:val="18"/>
          <w:szCs w:val="18"/>
        </w:rPr>
      </w:pPr>
      <w:r w:rsidRPr="00587E94">
        <w:rPr>
          <w:rStyle w:val="FootnoteReference"/>
          <w:rFonts w:ascii="Garamond" w:eastAsiaTheme="minorEastAsia" w:hAnsi="Garamond"/>
          <w:sz w:val="18"/>
          <w:szCs w:val="18"/>
        </w:rPr>
        <w:footnoteRef/>
      </w:r>
      <w:r w:rsidRPr="00587E94">
        <w:rPr>
          <w:rFonts w:ascii="Garamond" w:hAnsi="Garamond"/>
          <w:sz w:val="18"/>
          <w:szCs w:val="18"/>
        </w:rPr>
        <w:t xml:space="preserve"> http://adaptasiapacific.org/news/attracting-climate-funds-begins-good-project-proposals</w:t>
      </w:r>
    </w:p>
  </w:footnote>
  <w:footnote w:id="70">
    <w:p w14:paraId="6EDD1847" w14:textId="77777777" w:rsidR="00527EF5" w:rsidRPr="00587E94" w:rsidRDefault="00527EF5" w:rsidP="00547185">
      <w:pPr>
        <w:pStyle w:val="FootnoteText"/>
        <w:rPr>
          <w:rFonts w:ascii="Garamond" w:hAnsi="Garamond"/>
          <w:sz w:val="18"/>
          <w:szCs w:val="18"/>
        </w:rPr>
      </w:pPr>
      <w:r w:rsidRPr="00587E94">
        <w:rPr>
          <w:rStyle w:val="FootnoteReference"/>
          <w:rFonts w:ascii="Garamond" w:eastAsiaTheme="minorEastAsia" w:hAnsi="Garamond"/>
          <w:sz w:val="18"/>
          <w:szCs w:val="18"/>
        </w:rPr>
        <w:footnoteRef/>
      </w:r>
      <w:r w:rsidRPr="00587E94">
        <w:rPr>
          <w:rFonts w:ascii="Garamond" w:hAnsi="Garamond"/>
          <w:sz w:val="18"/>
          <w:szCs w:val="18"/>
        </w:rPr>
        <w:t xml:space="preserve"> http://www.adaptation-fund.org/wp-content/uploads/2015/01/Results%20Frameëork%20and%20Baseline%20Guidance%20final%20compressed.pdf</w:t>
      </w:r>
    </w:p>
  </w:footnote>
  <w:footnote w:id="71">
    <w:p w14:paraId="6EDD1848" w14:textId="77777777" w:rsidR="00527EF5" w:rsidRPr="00587E94" w:rsidRDefault="00527EF5" w:rsidP="00547185">
      <w:pPr>
        <w:pStyle w:val="FootnoteText"/>
        <w:rPr>
          <w:rFonts w:ascii="Garamond" w:hAnsi="Garamond"/>
          <w:sz w:val="18"/>
          <w:szCs w:val="18"/>
        </w:rPr>
      </w:pPr>
      <w:r w:rsidRPr="00587E94">
        <w:rPr>
          <w:rStyle w:val="FootnoteReference"/>
          <w:rFonts w:ascii="Garamond" w:eastAsiaTheme="minorEastAsia" w:hAnsi="Garamond"/>
          <w:sz w:val="18"/>
          <w:szCs w:val="18"/>
        </w:rPr>
        <w:footnoteRef/>
      </w:r>
      <w:r w:rsidRPr="00587E94">
        <w:rPr>
          <w:rFonts w:ascii="Garamond" w:hAnsi="Garamond"/>
          <w:sz w:val="18"/>
          <w:szCs w:val="18"/>
        </w:rPr>
        <w:t xml:space="preserve"> https://www-cif.climateinvestmentfunds.org/fund/pilot-program-climate-resilience</w:t>
      </w:r>
    </w:p>
  </w:footnote>
  <w:footnote w:id="72">
    <w:p w14:paraId="6EDD1849" w14:textId="77777777" w:rsidR="00527EF5" w:rsidRPr="00587E94" w:rsidRDefault="00527EF5" w:rsidP="00547185">
      <w:pPr>
        <w:pStyle w:val="FootnoteText"/>
        <w:rPr>
          <w:rFonts w:ascii="Garamond" w:hAnsi="Garamond"/>
          <w:sz w:val="18"/>
          <w:szCs w:val="18"/>
        </w:rPr>
      </w:pPr>
      <w:r w:rsidRPr="00587E94">
        <w:rPr>
          <w:rStyle w:val="FootnoteReference"/>
          <w:rFonts w:ascii="Garamond" w:eastAsiaTheme="minorEastAsia" w:hAnsi="Garamond"/>
          <w:sz w:val="18"/>
          <w:szCs w:val="18"/>
        </w:rPr>
        <w:footnoteRef/>
      </w:r>
      <w:r w:rsidRPr="00587E94">
        <w:rPr>
          <w:rFonts w:ascii="Garamond" w:hAnsi="Garamond"/>
          <w:sz w:val="18"/>
          <w:szCs w:val="18"/>
        </w:rPr>
        <w:t xml:space="preserve"> http://www.greenclimate.fund/documents/20182/239759/GCF_Concept_Note_User_s_Guide.pdf/64866eea-3437-4007-a0e4-01b60e6e463b</w:t>
      </w:r>
    </w:p>
  </w:footnote>
  <w:footnote w:id="73">
    <w:p w14:paraId="6EDD184A"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http://adaptasiapacific.org/library/guidelines-designing-bankable-adaptation-projects</w:t>
      </w:r>
    </w:p>
  </w:footnote>
  <w:footnote w:id="74">
    <w:p w14:paraId="6EDD184B"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http://www.unep.org/provia/Portals/24128/PROVIA_guidance_report_loë_resolution.pdf</w:t>
      </w:r>
    </w:p>
  </w:footnote>
  <w:footnote w:id="75">
    <w:p w14:paraId="6EDD184C"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http://www.ebrd.com/cs/Satellite?c=Content&amp;cid=1395250899650&amp;d=&amp;pagename=EBRD%2FContent%2FDownloadDocument</w:t>
      </w:r>
    </w:p>
  </w:footnote>
  <w:footnote w:id="76">
    <w:p w14:paraId="6EDD184D"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http://www.ecranetwork.org/</w:t>
      </w:r>
    </w:p>
  </w:footnote>
  <w:footnote w:id="77">
    <w:p w14:paraId="6EDD184E"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http://www.adriatic-ionian.eu/about</w:t>
      </w:r>
    </w:p>
  </w:footnote>
  <w:footnote w:id="78">
    <w:p w14:paraId="6EDD184F"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https://www.wbif.eu/about-the-wbif</w:t>
      </w:r>
    </w:p>
  </w:footnote>
  <w:footnote w:id="79">
    <w:p w14:paraId="6EDD1850"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http://www.asiapacificadapt.net/sites/default/files/resource/attach/KP6%20Bankable%20Project_FINAL.pdf</w:t>
      </w:r>
    </w:p>
  </w:footnote>
  <w:footnote w:id="80">
    <w:p w14:paraId="6EDD1851"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https:// www adaptation-fund.org/apply-funding/</w:t>
      </w:r>
    </w:p>
  </w:footnote>
  <w:footnote w:id="81">
    <w:p w14:paraId="6EDD1852" w14:textId="77777777" w:rsidR="00527EF5" w:rsidRPr="00587E94" w:rsidRDefault="00527EF5" w:rsidP="00B976ED">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https://www.adaptation-fund.org/apply-funding/grants/</w:t>
      </w:r>
    </w:p>
  </w:footnote>
  <w:footnote w:id="82">
    <w:p w14:paraId="6EDD1853" w14:textId="77777777" w:rsidR="00527EF5" w:rsidRPr="00587E94" w:rsidRDefault="00527EF5" w:rsidP="002D0A53">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FAF</w:t>
      </w:r>
    </w:p>
  </w:footnote>
  <w:footnote w:id="83">
    <w:p w14:paraId="6EDD1854" w14:textId="77777777" w:rsidR="00527EF5" w:rsidRPr="00587E94" w:rsidRDefault="00527EF5" w:rsidP="002D0A53">
      <w:pPr>
        <w:pStyle w:val="FootnoteText"/>
        <w:spacing w:before="0" w:after="0"/>
        <w:rPr>
          <w:rFonts w:ascii="Garamond" w:hAnsi="Garamond"/>
        </w:rPr>
      </w:pPr>
      <w:r w:rsidRPr="00587E94">
        <w:rPr>
          <w:rStyle w:val="FootnoteReference"/>
          <w:rFonts w:ascii="Garamond" w:eastAsiaTheme="minorEastAsia" w:hAnsi="Garamond"/>
          <w:color w:val="000000"/>
        </w:rPr>
        <w:footnoteRef/>
      </w:r>
      <w:r w:rsidRPr="00587E94">
        <w:rPr>
          <w:rFonts w:ascii="Garamond" w:hAnsi="Garamond"/>
          <w:color w:val="000000"/>
        </w:rPr>
        <w:t xml:space="preserve"> http://</w:t>
      </w:r>
      <w:r w:rsidRPr="00587E94">
        <w:rPr>
          <w:rFonts w:ascii="Garamond" w:hAnsi="Garamond"/>
        </w:rPr>
        <w:t>www</w:t>
      </w:r>
      <w:r w:rsidRPr="00587E94">
        <w:rPr>
          <w:rFonts w:ascii="Garamond" w:hAnsi="Garamond"/>
          <w:color w:val="000000"/>
        </w:rPr>
        <w:t>.aadf.org/project/crimson-finance-fund-albania/</w:t>
      </w:r>
    </w:p>
  </w:footnote>
  <w:footnote w:id="84">
    <w:p w14:paraId="6EDD1855" w14:textId="77777777" w:rsidR="00527EF5" w:rsidRPr="00587E94" w:rsidRDefault="00527EF5" w:rsidP="002D0A53">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http://blogs.worldbank.org/ppps/stories-field-world-bank-ifc-collaboration-new-ppp-legislation-albania</w:t>
      </w:r>
    </w:p>
  </w:footnote>
  <w:footnote w:id="85">
    <w:p w14:paraId="6EDD1856" w14:textId="77777777" w:rsidR="00527EF5" w:rsidRPr="00587E94" w:rsidRDefault="00527EF5" w:rsidP="002D0A53">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http://.atrako.gov.al/wp-content/uploads/2015/06/Albanian-ppp-key-aspects2.pdf</w:t>
      </w:r>
    </w:p>
  </w:footnote>
  <w:footnote w:id="86">
    <w:p w14:paraId="6EDD1857" w14:textId="77777777" w:rsidR="00527EF5" w:rsidRPr="00587E94" w:rsidRDefault="00527EF5" w:rsidP="002D0A53">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Shihni edhe kapitullin 3.1 në këtë raport vlerësimi të ECNC: http://www.ecnc.org/uploads/2015/02/Initiatives-related-to-mapping-and-assessment-of-ecosystems-and-their-services-in-EECCA-and-SEE-countries-scoping-document.pdf</w:t>
      </w:r>
    </w:p>
  </w:footnote>
  <w:footnote w:id="87">
    <w:p w14:paraId="6EDD1858" w14:textId="284A4FBC" w:rsidR="00527EF5" w:rsidRPr="00587E94" w:rsidRDefault="00527EF5" w:rsidP="002F4BDF">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Kostoja treguese është rreth</w:t>
      </w:r>
      <w:r>
        <w:rPr>
          <w:rFonts w:ascii="Garamond" w:hAnsi="Garamond"/>
        </w:rPr>
        <w:t xml:space="preserve"> </w:t>
      </w:r>
      <w:r w:rsidRPr="00587E94">
        <w:rPr>
          <w:rFonts w:ascii="Garamond" w:hAnsi="Garamond"/>
        </w:rPr>
        <w:t xml:space="preserve">6 </w:t>
      </w:r>
      <w:r>
        <w:rPr>
          <w:rFonts w:ascii="Garamond" w:hAnsi="Garamond"/>
        </w:rPr>
        <w:t xml:space="preserve">milionë </w:t>
      </w:r>
      <w:r w:rsidRPr="00587E94">
        <w:rPr>
          <w:rFonts w:ascii="Garamond" w:hAnsi="Garamond"/>
        </w:rPr>
        <w:t xml:space="preserve">LEKË/vit </w:t>
      </w:r>
    </w:p>
  </w:footnote>
  <w:footnote w:id="88">
    <w:p w14:paraId="6EDD1859" w14:textId="7BAB71DF" w:rsidR="00527EF5" w:rsidRPr="00587E94" w:rsidRDefault="00527EF5" w:rsidP="002F4BDF">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Kostoja treguese është rreth 1.35 </w:t>
      </w:r>
      <w:r>
        <w:rPr>
          <w:rFonts w:ascii="Garamond" w:hAnsi="Garamond"/>
        </w:rPr>
        <w:t xml:space="preserve">milionë </w:t>
      </w:r>
      <w:r w:rsidRPr="00587E94">
        <w:rPr>
          <w:rFonts w:ascii="Garamond" w:hAnsi="Garamond"/>
        </w:rPr>
        <w:t>LEKË/vit (15 anëtarë, 4 takime bordi/në vit)</w:t>
      </w:r>
      <w:r>
        <w:rPr>
          <w:rFonts w:ascii="Garamond" w:hAnsi="Garamond"/>
        </w:rPr>
        <w:t xml:space="preserve"> </w:t>
      </w:r>
    </w:p>
  </w:footnote>
  <w:footnote w:id="89">
    <w:p w14:paraId="6EDD185A" w14:textId="77777777" w:rsidR="00527EF5" w:rsidRPr="00587E94" w:rsidRDefault="00527EF5" w:rsidP="002F4BDF">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https://www.greenclimate.fund/documents/20182/24934/GCF_B.04_06_-_Business_Model_Framework__Financial_Instruments.pdf/7b8e96dd-4e06-46fd-b986-1b8743efa15b</w:t>
      </w:r>
    </w:p>
  </w:footnote>
  <w:footnote w:id="90">
    <w:p w14:paraId="6EDD185B" w14:textId="77777777" w:rsidR="00527EF5" w:rsidRPr="00587E94" w:rsidRDefault="00527EF5" w:rsidP="002F4BDF">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https://www.adaptation-fund.org/wp-content/uploads/2016/02/AFB.B.27.8-Analysis-for-the-possible-modification-of-the-country-cap.pdf</w:t>
      </w:r>
    </w:p>
  </w:footnote>
  <w:footnote w:id="91">
    <w:p w14:paraId="6EDD185C" w14:textId="77777777" w:rsidR="00527EF5" w:rsidRPr="00587E94" w:rsidRDefault="00527EF5" w:rsidP="002F4BDF">
      <w:pPr>
        <w:pStyle w:val="FootnoteText"/>
        <w:spacing w:before="0" w:after="0"/>
        <w:rPr>
          <w:rFonts w:ascii="Garamond" w:hAnsi="Garamond"/>
        </w:rPr>
      </w:pPr>
      <w:r w:rsidRPr="00587E94">
        <w:rPr>
          <w:rStyle w:val="FootnoteReference"/>
          <w:rFonts w:ascii="Garamond" w:eastAsiaTheme="minorEastAsia" w:hAnsi="Garamond"/>
        </w:rPr>
        <w:footnoteRef/>
      </w:r>
      <w:r w:rsidRPr="00587E94">
        <w:rPr>
          <w:rFonts w:ascii="Garamond" w:hAnsi="Garamond"/>
        </w:rPr>
        <w:t xml:space="preserve"> Takimet fillestare u zhvilluan në tetor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D17E3" w14:textId="77777777" w:rsidR="00527EF5" w:rsidRDefault="00527EF5" w:rsidP="005746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D17E4" w14:textId="77777777" w:rsidR="00527EF5" w:rsidRPr="005F1B61" w:rsidRDefault="00527EF5" w:rsidP="005746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D17E7" w14:textId="77777777" w:rsidR="00527EF5" w:rsidRDefault="00527EF5" w:rsidP="005746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F1A3D"/>
    <w:multiLevelType w:val="hybridMultilevel"/>
    <w:tmpl w:val="774C1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722C10"/>
    <w:multiLevelType w:val="multilevel"/>
    <w:tmpl w:val="5E1CAB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96D86"/>
    <w:multiLevelType w:val="multilevel"/>
    <w:tmpl w:val="068A2ED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2A63848"/>
    <w:multiLevelType w:val="hybridMultilevel"/>
    <w:tmpl w:val="DA52F99A"/>
    <w:lvl w:ilvl="0" w:tplc="04070001">
      <w:start w:val="1"/>
      <w:numFmt w:val="bullet"/>
      <w:lvlText w:val=""/>
      <w:lvlJc w:val="left"/>
      <w:pPr>
        <w:ind w:left="450" w:hanging="360"/>
      </w:pPr>
      <w:rPr>
        <w:rFonts w:ascii="Symbol" w:hAnsi="Symbol" w:hint="default"/>
      </w:rPr>
    </w:lvl>
    <w:lvl w:ilvl="1" w:tplc="04070003" w:tentative="1">
      <w:start w:val="1"/>
      <w:numFmt w:val="bullet"/>
      <w:lvlText w:val="o"/>
      <w:lvlJc w:val="left"/>
      <w:pPr>
        <w:ind w:left="1170" w:hanging="360"/>
      </w:pPr>
      <w:rPr>
        <w:rFonts w:ascii="Courier New" w:hAnsi="Courier New" w:cs="Courier New" w:hint="default"/>
      </w:rPr>
    </w:lvl>
    <w:lvl w:ilvl="2" w:tplc="04070005" w:tentative="1">
      <w:start w:val="1"/>
      <w:numFmt w:val="bullet"/>
      <w:lvlText w:val=""/>
      <w:lvlJc w:val="left"/>
      <w:pPr>
        <w:ind w:left="1890" w:hanging="360"/>
      </w:pPr>
      <w:rPr>
        <w:rFonts w:ascii="Wingdings" w:hAnsi="Wingdings" w:hint="default"/>
      </w:rPr>
    </w:lvl>
    <w:lvl w:ilvl="3" w:tplc="04070001" w:tentative="1">
      <w:start w:val="1"/>
      <w:numFmt w:val="bullet"/>
      <w:lvlText w:val=""/>
      <w:lvlJc w:val="left"/>
      <w:pPr>
        <w:ind w:left="2610" w:hanging="360"/>
      </w:pPr>
      <w:rPr>
        <w:rFonts w:ascii="Symbol" w:hAnsi="Symbol" w:hint="default"/>
      </w:rPr>
    </w:lvl>
    <w:lvl w:ilvl="4" w:tplc="04070003" w:tentative="1">
      <w:start w:val="1"/>
      <w:numFmt w:val="bullet"/>
      <w:lvlText w:val="o"/>
      <w:lvlJc w:val="left"/>
      <w:pPr>
        <w:ind w:left="3330" w:hanging="360"/>
      </w:pPr>
      <w:rPr>
        <w:rFonts w:ascii="Courier New" w:hAnsi="Courier New" w:cs="Courier New" w:hint="default"/>
      </w:rPr>
    </w:lvl>
    <w:lvl w:ilvl="5" w:tplc="04070005" w:tentative="1">
      <w:start w:val="1"/>
      <w:numFmt w:val="bullet"/>
      <w:lvlText w:val=""/>
      <w:lvlJc w:val="left"/>
      <w:pPr>
        <w:ind w:left="4050" w:hanging="360"/>
      </w:pPr>
      <w:rPr>
        <w:rFonts w:ascii="Wingdings" w:hAnsi="Wingdings" w:hint="default"/>
      </w:rPr>
    </w:lvl>
    <w:lvl w:ilvl="6" w:tplc="04070001" w:tentative="1">
      <w:start w:val="1"/>
      <w:numFmt w:val="bullet"/>
      <w:lvlText w:val=""/>
      <w:lvlJc w:val="left"/>
      <w:pPr>
        <w:ind w:left="4770" w:hanging="360"/>
      </w:pPr>
      <w:rPr>
        <w:rFonts w:ascii="Symbol" w:hAnsi="Symbol" w:hint="default"/>
      </w:rPr>
    </w:lvl>
    <w:lvl w:ilvl="7" w:tplc="04070003" w:tentative="1">
      <w:start w:val="1"/>
      <w:numFmt w:val="bullet"/>
      <w:lvlText w:val="o"/>
      <w:lvlJc w:val="left"/>
      <w:pPr>
        <w:ind w:left="5490" w:hanging="360"/>
      </w:pPr>
      <w:rPr>
        <w:rFonts w:ascii="Courier New" w:hAnsi="Courier New" w:cs="Courier New" w:hint="default"/>
      </w:rPr>
    </w:lvl>
    <w:lvl w:ilvl="8" w:tplc="04070005" w:tentative="1">
      <w:start w:val="1"/>
      <w:numFmt w:val="bullet"/>
      <w:lvlText w:val=""/>
      <w:lvlJc w:val="left"/>
      <w:pPr>
        <w:ind w:left="6210" w:hanging="360"/>
      </w:pPr>
      <w:rPr>
        <w:rFonts w:ascii="Wingdings" w:hAnsi="Wingdings" w:hint="default"/>
      </w:rPr>
    </w:lvl>
  </w:abstractNum>
  <w:abstractNum w:abstractNumId="4" w15:restartNumberingAfterBreak="0">
    <w:nsid w:val="03933F47"/>
    <w:multiLevelType w:val="hybridMultilevel"/>
    <w:tmpl w:val="69CE63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50C46CA"/>
    <w:multiLevelType w:val="hybridMultilevel"/>
    <w:tmpl w:val="A34E9582"/>
    <w:lvl w:ilvl="0" w:tplc="04070001">
      <w:start w:val="1"/>
      <w:numFmt w:val="bullet"/>
      <w:lvlText w:val=""/>
      <w:lvlJc w:val="left"/>
      <w:pPr>
        <w:ind w:left="720" w:hanging="360"/>
      </w:pPr>
      <w:rPr>
        <w:rFonts w:ascii="Symbol" w:hAnsi="Symbo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53C0D84"/>
    <w:multiLevelType w:val="multilevel"/>
    <w:tmpl w:val="5E229F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803AE4"/>
    <w:multiLevelType w:val="hybridMultilevel"/>
    <w:tmpl w:val="1B747D9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07CF52F9"/>
    <w:multiLevelType w:val="hybridMultilevel"/>
    <w:tmpl w:val="F61AD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D06D0A"/>
    <w:multiLevelType w:val="hybridMultilevel"/>
    <w:tmpl w:val="D96EED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71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08C51B5D"/>
    <w:multiLevelType w:val="hybridMultilevel"/>
    <w:tmpl w:val="3894ED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C7590A"/>
    <w:multiLevelType w:val="multilevel"/>
    <w:tmpl w:val="291A50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232194"/>
    <w:multiLevelType w:val="multilevel"/>
    <w:tmpl w:val="072A0F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A5210CD"/>
    <w:multiLevelType w:val="multilevel"/>
    <w:tmpl w:val="C5D64FF0"/>
    <w:styleLink w:val="Style2"/>
    <w:lvl w:ilvl="0">
      <w:start w:val="1"/>
      <w:numFmt w:val="decimal"/>
      <w:lvlText w:val="%1"/>
      <w:lvlJc w:val="left"/>
      <w:pPr>
        <w:ind w:left="432" w:hanging="432"/>
      </w:pPr>
      <w:rPr>
        <w:rFonts w:hint="default"/>
      </w:rPr>
    </w:lvl>
    <w:lvl w:ilvl="1">
      <w:start w:val="1"/>
      <w:numFmt w:val="decimal"/>
      <w:lvlText w:val="%1.%2"/>
      <w:lvlJc w:val="left"/>
      <w:pPr>
        <w:ind w:left="66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B723462"/>
    <w:multiLevelType w:val="hybridMultilevel"/>
    <w:tmpl w:val="240A0012"/>
    <w:lvl w:ilvl="0" w:tplc="D2A811E0">
      <w:numFmt w:val="bullet"/>
      <w:lvlText w:val="-"/>
      <w:lvlJc w:val="left"/>
      <w:pPr>
        <w:ind w:left="1335" w:hanging="360"/>
      </w:pPr>
      <w:rPr>
        <w:rFonts w:ascii="MyriadPro-Bold" w:eastAsia="Calibri" w:hAnsi="MyriadPro-Bold" w:cs="MyriadPro-Bold"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5" w15:restartNumberingAfterBreak="0">
    <w:nsid w:val="0E492DC4"/>
    <w:multiLevelType w:val="hybridMultilevel"/>
    <w:tmpl w:val="1116C1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E895F9A"/>
    <w:multiLevelType w:val="hybridMultilevel"/>
    <w:tmpl w:val="1FDE13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4F949FD"/>
    <w:multiLevelType w:val="hybridMultilevel"/>
    <w:tmpl w:val="48429B5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A1A1B84"/>
    <w:multiLevelType w:val="hybridMultilevel"/>
    <w:tmpl w:val="AFC0EA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1ABB2373"/>
    <w:multiLevelType w:val="hybridMultilevel"/>
    <w:tmpl w:val="8FCE5C1C"/>
    <w:lvl w:ilvl="0" w:tplc="CBD8BF2A">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1BCF138E"/>
    <w:multiLevelType w:val="hybridMultilevel"/>
    <w:tmpl w:val="B32E5AEE"/>
    <w:lvl w:ilvl="0" w:tplc="0C07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CB21961"/>
    <w:multiLevelType w:val="hybridMultilevel"/>
    <w:tmpl w:val="B3E035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5DB0A5E"/>
    <w:multiLevelType w:val="hybridMultilevel"/>
    <w:tmpl w:val="A0E2829C"/>
    <w:lvl w:ilvl="0" w:tplc="0407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561230"/>
    <w:multiLevelType w:val="hybridMultilevel"/>
    <w:tmpl w:val="E81E65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325930EE"/>
    <w:multiLevelType w:val="hybridMultilevel"/>
    <w:tmpl w:val="EEC6E9B0"/>
    <w:lvl w:ilvl="0" w:tplc="0409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4473EAC"/>
    <w:multiLevelType w:val="multilevel"/>
    <w:tmpl w:val="AFA61D5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4F964F0"/>
    <w:multiLevelType w:val="hybridMultilevel"/>
    <w:tmpl w:val="44B6547C"/>
    <w:lvl w:ilvl="0" w:tplc="0C07000F">
      <w:start w:val="1"/>
      <w:numFmt w:val="decimal"/>
      <w:lvlText w:val="%1."/>
      <w:lvlJc w:val="left"/>
      <w:pPr>
        <w:ind w:left="720" w:hanging="360"/>
      </w:pPr>
      <w:rPr>
        <w:rFont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34FB3D25"/>
    <w:multiLevelType w:val="hybridMultilevel"/>
    <w:tmpl w:val="0CBE454A"/>
    <w:lvl w:ilvl="0" w:tplc="D2A811E0">
      <w:numFmt w:val="bullet"/>
      <w:lvlText w:val="-"/>
      <w:lvlJc w:val="left"/>
      <w:pPr>
        <w:ind w:left="360" w:hanging="360"/>
      </w:pPr>
      <w:rPr>
        <w:rFonts w:ascii="MyriadPro-Bold" w:eastAsia="Calibri" w:hAnsi="MyriadPro-Bold" w:cs="MyriadPro-Bol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6B04299"/>
    <w:multiLevelType w:val="hybridMultilevel"/>
    <w:tmpl w:val="87D8C9B0"/>
    <w:lvl w:ilvl="0" w:tplc="04090003">
      <w:start w:val="1"/>
      <w:numFmt w:val="bullet"/>
      <w:lvlText w:val="o"/>
      <w:lvlJc w:val="left"/>
      <w:pPr>
        <w:ind w:left="810" w:hanging="360"/>
      </w:pPr>
      <w:rPr>
        <w:rFonts w:ascii="Courier New" w:hAnsi="Courier New" w:cs="Courier New"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375E4A73"/>
    <w:multiLevelType w:val="hybridMultilevel"/>
    <w:tmpl w:val="519C5252"/>
    <w:lvl w:ilvl="0" w:tplc="0407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38000F76"/>
    <w:multiLevelType w:val="hybridMultilevel"/>
    <w:tmpl w:val="92622A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381B2E78"/>
    <w:multiLevelType w:val="hybridMultilevel"/>
    <w:tmpl w:val="EED4F7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39D67FC7"/>
    <w:multiLevelType w:val="hybridMultilevel"/>
    <w:tmpl w:val="D7C2CBFA"/>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3C000DAF"/>
    <w:multiLevelType w:val="hybridMultilevel"/>
    <w:tmpl w:val="1B060C7A"/>
    <w:lvl w:ilvl="0" w:tplc="15BE8B86">
      <w:start w:val="1"/>
      <w:numFmt w:val="bullet"/>
      <w:pStyle w:val="1stBulletlist"/>
      <w:lvlText w:val=""/>
      <w:lvlJc w:val="left"/>
      <w:pPr>
        <w:tabs>
          <w:tab w:val="num" w:pos="284"/>
        </w:tabs>
        <w:ind w:left="284" w:hanging="284"/>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3C5261F5"/>
    <w:multiLevelType w:val="multilevel"/>
    <w:tmpl w:val="86306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F4922D7"/>
    <w:multiLevelType w:val="hybridMultilevel"/>
    <w:tmpl w:val="D63E8D16"/>
    <w:lvl w:ilvl="0" w:tplc="193C91B4">
      <w:numFmt w:val="bullet"/>
      <w:pStyle w:val="Paragrafoelenco1"/>
      <w:lvlText w:val="-"/>
      <w:lvlJc w:val="left"/>
      <w:pPr>
        <w:ind w:left="1440" w:hanging="360"/>
      </w:pPr>
      <w:rPr>
        <w:rFonts w:ascii="Calibri" w:eastAsia="Calibri" w:hAnsi="Calibri"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3F6F3B61"/>
    <w:multiLevelType w:val="hybridMultilevel"/>
    <w:tmpl w:val="BA0CF266"/>
    <w:lvl w:ilvl="0" w:tplc="04070001">
      <w:start w:val="1"/>
      <w:numFmt w:val="bullet"/>
      <w:lvlText w:val=""/>
      <w:lvlJc w:val="left"/>
      <w:pPr>
        <w:ind w:left="45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90" w:hanging="360"/>
      </w:pPr>
      <w:rPr>
        <w:rFonts w:ascii="Wingdings" w:hAnsi="Wingdings" w:hint="default"/>
      </w:rPr>
    </w:lvl>
    <w:lvl w:ilvl="3" w:tplc="04070001" w:tentative="1">
      <w:start w:val="1"/>
      <w:numFmt w:val="bullet"/>
      <w:lvlText w:val=""/>
      <w:lvlJc w:val="left"/>
      <w:pPr>
        <w:ind w:left="2610" w:hanging="360"/>
      </w:pPr>
      <w:rPr>
        <w:rFonts w:ascii="Symbol" w:hAnsi="Symbol" w:hint="default"/>
      </w:rPr>
    </w:lvl>
    <w:lvl w:ilvl="4" w:tplc="04070003" w:tentative="1">
      <w:start w:val="1"/>
      <w:numFmt w:val="bullet"/>
      <w:lvlText w:val="o"/>
      <w:lvlJc w:val="left"/>
      <w:pPr>
        <w:ind w:left="3330" w:hanging="360"/>
      </w:pPr>
      <w:rPr>
        <w:rFonts w:ascii="Courier New" w:hAnsi="Courier New" w:cs="Courier New" w:hint="default"/>
      </w:rPr>
    </w:lvl>
    <w:lvl w:ilvl="5" w:tplc="04070005" w:tentative="1">
      <w:start w:val="1"/>
      <w:numFmt w:val="bullet"/>
      <w:lvlText w:val=""/>
      <w:lvlJc w:val="left"/>
      <w:pPr>
        <w:ind w:left="4050" w:hanging="360"/>
      </w:pPr>
      <w:rPr>
        <w:rFonts w:ascii="Wingdings" w:hAnsi="Wingdings" w:hint="default"/>
      </w:rPr>
    </w:lvl>
    <w:lvl w:ilvl="6" w:tplc="04070001" w:tentative="1">
      <w:start w:val="1"/>
      <w:numFmt w:val="bullet"/>
      <w:lvlText w:val=""/>
      <w:lvlJc w:val="left"/>
      <w:pPr>
        <w:ind w:left="4770" w:hanging="360"/>
      </w:pPr>
      <w:rPr>
        <w:rFonts w:ascii="Symbol" w:hAnsi="Symbol" w:hint="default"/>
      </w:rPr>
    </w:lvl>
    <w:lvl w:ilvl="7" w:tplc="04070003" w:tentative="1">
      <w:start w:val="1"/>
      <w:numFmt w:val="bullet"/>
      <w:lvlText w:val="o"/>
      <w:lvlJc w:val="left"/>
      <w:pPr>
        <w:ind w:left="5490" w:hanging="360"/>
      </w:pPr>
      <w:rPr>
        <w:rFonts w:ascii="Courier New" w:hAnsi="Courier New" w:cs="Courier New" w:hint="default"/>
      </w:rPr>
    </w:lvl>
    <w:lvl w:ilvl="8" w:tplc="04070005" w:tentative="1">
      <w:start w:val="1"/>
      <w:numFmt w:val="bullet"/>
      <w:lvlText w:val=""/>
      <w:lvlJc w:val="left"/>
      <w:pPr>
        <w:ind w:left="6210" w:hanging="360"/>
      </w:pPr>
      <w:rPr>
        <w:rFonts w:ascii="Wingdings" w:hAnsi="Wingdings" w:hint="default"/>
      </w:rPr>
    </w:lvl>
  </w:abstractNum>
  <w:abstractNum w:abstractNumId="37" w15:restartNumberingAfterBreak="0">
    <w:nsid w:val="42130675"/>
    <w:multiLevelType w:val="hybridMultilevel"/>
    <w:tmpl w:val="BB901B22"/>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43D05841"/>
    <w:multiLevelType w:val="hybridMultilevel"/>
    <w:tmpl w:val="E56AB4A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44E01A5F"/>
    <w:multiLevelType w:val="hybridMultilevel"/>
    <w:tmpl w:val="8DA6A93E"/>
    <w:lvl w:ilvl="0" w:tplc="59C08CB8">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5C25A4A"/>
    <w:multiLevelType w:val="hybridMultilevel"/>
    <w:tmpl w:val="2F9823F0"/>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1" w15:restartNumberingAfterBreak="0">
    <w:nsid w:val="45DA7EA5"/>
    <w:multiLevelType w:val="hybridMultilevel"/>
    <w:tmpl w:val="DC5AF316"/>
    <w:lvl w:ilvl="0" w:tplc="04090003">
      <w:start w:val="1"/>
      <w:numFmt w:val="bullet"/>
      <w:lvlText w:val="o"/>
      <w:lvlJc w:val="left"/>
      <w:pPr>
        <w:ind w:left="1875" w:hanging="360"/>
      </w:pPr>
      <w:rPr>
        <w:rFonts w:ascii="Courier New" w:hAnsi="Courier New" w:cs="Courier New"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42" w15:restartNumberingAfterBreak="0">
    <w:nsid w:val="48162928"/>
    <w:multiLevelType w:val="hybridMultilevel"/>
    <w:tmpl w:val="C81C96EA"/>
    <w:lvl w:ilvl="0" w:tplc="EE1C2A0A">
      <w:numFmt w:val="bullet"/>
      <w:pStyle w:val="Aufzhlung"/>
      <w:lvlText w:val="-"/>
      <w:lvlJc w:val="left"/>
      <w:pPr>
        <w:ind w:left="720" w:hanging="360"/>
      </w:pPr>
      <w:rPr>
        <w:rFonts w:ascii="Arial" w:eastAsia="Calibri" w:hAnsi="Arial" w:cs="Wingdings" w:hint="default"/>
      </w:rPr>
    </w:lvl>
    <w:lvl w:ilvl="1" w:tplc="EE1C2A0A">
      <w:numFmt w:val="bullet"/>
      <w:lvlText w:val="-"/>
      <w:lvlJc w:val="left"/>
      <w:pPr>
        <w:ind w:left="1440" w:hanging="360"/>
      </w:pPr>
      <w:rPr>
        <w:rFonts w:ascii="Arial" w:eastAsia="Calibri" w:hAnsi="Arial"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4E7BB4"/>
    <w:multiLevelType w:val="hybridMultilevel"/>
    <w:tmpl w:val="06DA1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99D4FC8"/>
    <w:multiLevelType w:val="hybridMultilevel"/>
    <w:tmpl w:val="CCBC06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49D47F45"/>
    <w:multiLevelType w:val="hybridMultilevel"/>
    <w:tmpl w:val="B96620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4A0E394E"/>
    <w:multiLevelType w:val="hybridMultilevel"/>
    <w:tmpl w:val="2C4E256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7" w15:restartNumberingAfterBreak="0">
    <w:nsid w:val="4A3D466B"/>
    <w:multiLevelType w:val="hybridMultilevel"/>
    <w:tmpl w:val="A96C4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6B3C25"/>
    <w:multiLevelType w:val="hybridMultilevel"/>
    <w:tmpl w:val="7956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9" w15:restartNumberingAfterBreak="0">
    <w:nsid w:val="4BE13A14"/>
    <w:multiLevelType w:val="hybridMultilevel"/>
    <w:tmpl w:val="E4CACC4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CB50913"/>
    <w:multiLevelType w:val="hybridMultilevel"/>
    <w:tmpl w:val="94EED3D4"/>
    <w:lvl w:ilvl="0" w:tplc="4B0214BC">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4DE76CA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03C5E4F"/>
    <w:multiLevelType w:val="hybridMultilevel"/>
    <w:tmpl w:val="93BAB71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3" w15:restartNumberingAfterBreak="0">
    <w:nsid w:val="50B7347A"/>
    <w:multiLevelType w:val="hybridMultilevel"/>
    <w:tmpl w:val="CF64AB1A"/>
    <w:lvl w:ilvl="0" w:tplc="04070001">
      <w:start w:val="1"/>
      <w:numFmt w:val="bullet"/>
      <w:lvlText w:val=""/>
      <w:lvlJc w:val="left"/>
      <w:pPr>
        <w:ind w:left="720" w:hanging="360"/>
      </w:pPr>
      <w:rPr>
        <w:rFonts w:ascii="Symbol" w:hAnsi="Symbol" w:hint="default"/>
        <w:sz w:val="22"/>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4" w15:restartNumberingAfterBreak="0">
    <w:nsid w:val="51ED319A"/>
    <w:multiLevelType w:val="hybridMultilevel"/>
    <w:tmpl w:val="E9C243B8"/>
    <w:lvl w:ilvl="0" w:tplc="61627AFA">
      <w:numFmt w:val="bullet"/>
      <w:pStyle w:val="AufzTabellentext"/>
      <w:lvlText w:val="-"/>
      <w:lvlJc w:val="left"/>
      <w:pPr>
        <w:ind w:left="2148" w:hanging="360"/>
      </w:pPr>
      <w:rPr>
        <w:rFonts w:ascii="Arial" w:eastAsia="Calibri" w:hAnsi="Arial" w:cs="Wingdings" w:hint="default"/>
      </w:rPr>
    </w:lvl>
    <w:lvl w:ilvl="1" w:tplc="EE1C2A0A">
      <w:numFmt w:val="bullet"/>
      <w:lvlText w:val="-"/>
      <w:lvlJc w:val="left"/>
      <w:pPr>
        <w:ind w:left="2868" w:hanging="360"/>
      </w:pPr>
      <w:rPr>
        <w:rFonts w:ascii="Arial" w:eastAsia="Calibri" w:hAnsi="Arial" w:cs="Wingdings" w:hint="default"/>
      </w:rPr>
    </w:lvl>
    <w:lvl w:ilvl="2" w:tplc="04070005" w:tentative="1">
      <w:start w:val="1"/>
      <w:numFmt w:val="bullet"/>
      <w:lvlText w:val=""/>
      <w:lvlJc w:val="left"/>
      <w:pPr>
        <w:ind w:left="3588" w:hanging="360"/>
      </w:pPr>
      <w:rPr>
        <w:rFonts w:ascii="Wingdings" w:hAnsi="Wingdings" w:hint="default"/>
      </w:rPr>
    </w:lvl>
    <w:lvl w:ilvl="3" w:tplc="04070001" w:tentative="1">
      <w:start w:val="1"/>
      <w:numFmt w:val="bullet"/>
      <w:lvlText w:val=""/>
      <w:lvlJc w:val="left"/>
      <w:pPr>
        <w:ind w:left="4308" w:hanging="360"/>
      </w:pPr>
      <w:rPr>
        <w:rFonts w:ascii="Symbol" w:hAnsi="Symbol" w:hint="default"/>
      </w:rPr>
    </w:lvl>
    <w:lvl w:ilvl="4" w:tplc="04070003" w:tentative="1">
      <w:start w:val="1"/>
      <w:numFmt w:val="bullet"/>
      <w:lvlText w:val="o"/>
      <w:lvlJc w:val="left"/>
      <w:pPr>
        <w:ind w:left="5028" w:hanging="360"/>
      </w:pPr>
      <w:rPr>
        <w:rFonts w:ascii="Courier New" w:hAnsi="Courier New" w:cs="Wingdings" w:hint="default"/>
      </w:rPr>
    </w:lvl>
    <w:lvl w:ilvl="5" w:tplc="04070005" w:tentative="1">
      <w:start w:val="1"/>
      <w:numFmt w:val="bullet"/>
      <w:lvlText w:val=""/>
      <w:lvlJc w:val="left"/>
      <w:pPr>
        <w:ind w:left="5748" w:hanging="360"/>
      </w:pPr>
      <w:rPr>
        <w:rFonts w:ascii="Wingdings" w:hAnsi="Wingdings" w:hint="default"/>
      </w:rPr>
    </w:lvl>
    <w:lvl w:ilvl="6" w:tplc="04070001" w:tentative="1">
      <w:start w:val="1"/>
      <w:numFmt w:val="bullet"/>
      <w:lvlText w:val=""/>
      <w:lvlJc w:val="left"/>
      <w:pPr>
        <w:ind w:left="6468" w:hanging="360"/>
      </w:pPr>
      <w:rPr>
        <w:rFonts w:ascii="Symbol" w:hAnsi="Symbol" w:hint="default"/>
      </w:rPr>
    </w:lvl>
    <w:lvl w:ilvl="7" w:tplc="04070003" w:tentative="1">
      <w:start w:val="1"/>
      <w:numFmt w:val="bullet"/>
      <w:lvlText w:val="o"/>
      <w:lvlJc w:val="left"/>
      <w:pPr>
        <w:ind w:left="7188" w:hanging="360"/>
      </w:pPr>
      <w:rPr>
        <w:rFonts w:ascii="Courier New" w:hAnsi="Courier New" w:cs="Wingdings" w:hint="default"/>
      </w:rPr>
    </w:lvl>
    <w:lvl w:ilvl="8" w:tplc="04070005" w:tentative="1">
      <w:start w:val="1"/>
      <w:numFmt w:val="bullet"/>
      <w:lvlText w:val=""/>
      <w:lvlJc w:val="left"/>
      <w:pPr>
        <w:ind w:left="7908" w:hanging="360"/>
      </w:pPr>
      <w:rPr>
        <w:rFonts w:ascii="Wingdings" w:hAnsi="Wingdings" w:hint="default"/>
      </w:rPr>
    </w:lvl>
  </w:abstractNum>
  <w:abstractNum w:abstractNumId="55" w15:restartNumberingAfterBreak="0">
    <w:nsid w:val="522172EC"/>
    <w:multiLevelType w:val="hybridMultilevel"/>
    <w:tmpl w:val="3D96F700"/>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6" w15:restartNumberingAfterBreak="0">
    <w:nsid w:val="56512D15"/>
    <w:multiLevelType w:val="hybridMultilevel"/>
    <w:tmpl w:val="5C0835E8"/>
    <w:lvl w:ilvl="0" w:tplc="4B0214B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56C63E37"/>
    <w:multiLevelType w:val="hybridMultilevel"/>
    <w:tmpl w:val="9C54C5E8"/>
    <w:lvl w:ilvl="0" w:tplc="79623982">
      <w:start w:val="3"/>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8" w15:restartNumberingAfterBreak="0">
    <w:nsid w:val="5825505B"/>
    <w:multiLevelType w:val="hybridMultilevel"/>
    <w:tmpl w:val="00C283B8"/>
    <w:lvl w:ilvl="0" w:tplc="08090003">
      <w:start w:val="1"/>
      <w:numFmt w:val="bullet"/>
      <w:lvlText w:val="o"/>
      <w:lvlJc w:val="left"/>
      <w:pPr>
        <w:ind w:left="1875" w:hanging="360"/>
      </w:pPr>
      <w:rPr>
        <w:rFonts w:ascii="Courier New" w:hAnsi="Courier New"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59" w15:restartNumberingAfterBreak="0">
    <w:nsid w:val="5AFC3009"/>
    <w:multiLevelType w:val="hybridMultilevel"/>
    <w:tmpl w:val="EB583B64"/>
    <w:lvl w:ilvl="0" w:tplc="9A2E6D5A">
      <w:numFmt w:val="bullet"/>
      <w:pStyle w:val="ListParagraph"/>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5C46457D"/>
    <w:multiLevelType w:val="hybridMultilevel"/>
    <w:tmpl w:val="8984EEF8"/>
    <w:lvl w:ilvl="0" w:tplc="04090003">
      <w:start w:val="1"/>
      <w:numFmt w:val="bullet"/>
      <w:lvlText w:val="o"/>
      <w:lvlJc w:val="left"/>
      <w:pPr>
        <w:ind w:left="1875" w:hanging="360"/>
      </w:pPr>
      <w:rPr>
        <w:rFonts w:ascii="Courier New" w:hAnsi="Courier New" w:cs="Courier New"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61" w15:restartNumberingAfterBreak="0">
    <w:nsid w:val="5D7E714D"/>
    <w:multiLevelType w:val="hybridMultilevel"/>
    <w:tmpl w:val="AF26F54C"/>
    <w:lvl w:ilvl="0" w:tplc="4B0214B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5D8A31DC"/>
    <w:multiLevelType w:val="hybridMultilevel"/>
    <w:tmpl w:val="1AD0F7EC"/>
    <w:lvl w:ilvl="0" w:tplc="0407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3" w15:restartNumberingAfterBreak="0">
    <w:nsid w:val="60CF414E"/>
    <w:multiLevelType w:val="hybridMultilevel"/>
    <w:tmpl w:val="351E26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60F5641D"/>
    <w:multiLevelType w:val="hybridMultilevel"/>
    <w:tmpl w:val="F3D249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41424B5"/>
    <w:multiLevelType w:val="multilevel"/>
    <w:tmpl w:val="C5D64FF0"/>
    <w:styleLink w:val="Style1"/>
    <w:lvl w:ilvl="0">
      <w:start w:val="1"/>
      <w:numFmt w:val="decimal"/>
      <w:lvlText w:val="%1"/>
      <w:lvlJc w:val="left"/>
      <w:pPr>
        <w:ind w:left="432" w:hanging="432"/>
      </w:pPr>
      <w:rPr>
        <w:rFonts w:hint="default"/>
      </w:rPr>
    </w:lvl>
    <w:lvl w:ilvl="1">
      <w:start w:val="1"/>
      <w:numFmt w:val="decimal"/>
      <w:lvlText w:val="%1.%2"/>
      <w:lvlJc w:val="left"/>
      <w:pPr>
        <w:ind w:left="66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15:restartNumberingAfterBreak="0">
    <w:nsid w:val="6611602A"/>
    <w:multiLevelType w:val="hybridMultilevel"/>
    <w:tmpl w:val="0B669A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667F69BA"/>
    <w:multiLevelType w:val="hybridMultilevel"/>
    <w:tmpl w:val="5846EB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7D4701B"/>
    <w:multiLevelType w:val="hybridMultilevel"/>
    <w:tmpl w:val="0FACBDF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9" w15:restartNumberingAfterBreak="0">
    <w:nsid w:val="6941262B"/>
    <w:multiLevelType w:val="hybridMultilevel"/>
    <w:tmpl w:val="EDDA53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698014E9"/>
    <w:multiLevelType w:val="hybridMultilevel"/>
    <w:tmpl w:val="BCDA9DF8"/>
    <w:lvl w:ilvl="0" w:tplc="04090017">
      <w:start w:val="1"/>
      <w:numFmt w:val="lowerLetter"/>
      <w:lvlText w:val="%1)"/>
      <w:lvlJc w:val="left"/>
      <w:pPr>
        <w:ind w:left="360" w:hanging="360"/>
      </w:pPr>
    </w:lvl>
    <w:lvl w:ilvl="1" w:tplc="D37E2E82">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1" w15:restartNumberingAfterBreak="0">
    <w:nsid w:val="6B7F3ECD"/>
    <w:multiLevelType w:val="hybridMultilevel"/>
    <w:tmpl w:val="FE386276"/>
    <w:lvl w:ilvl="0" w:tplc="C07CCE4A">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6F903384"/>
    <w:multiLevelType w:val="hybridMultilevel"/>
    <w:tmpl w:val="1398ECAC"/>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3" w15:restartNumberingAfterBreak="0">
    <w:nsid w:val="70205045"/>
    <w:multiLevelType w:val="hybridMultilevel"/>
    <w:tmpl w:val="764A7596"/>
    <w:lvl w:ilvl="0" w:tplc="04070001">
      <w:start w:val="1"/>
      <w:numFmt w:val="bullet"/>
      <w:lvlText w:val=""/>
      <w:lvlJc w:val="left"/>
      <w:pPr>
        <w:ind w:left="990" w:hanging="360"/>
      </w:pPr>
      <w:rPr>
        <w:rFonts w:ascii="Symbol" w:hAnsi="Symbol" w:hint="default"/>
      </w:rPr>
    </w:lvl>
    <w:lvl w:ilvl="1" w:tplc="04070003" w:tentative="1">
      <w:start w:val="1"/>
      <w:numFmt w:val="bullet"/>
      <w:lvlText w:val="o"/>
      <w:lvlJc w:val="left"/>
      <w:pPr>
        <w:ind w:left="1710" w:hanging="360"/>
      </w:pPr>
      <w:rPr>
        <w:rFonts w:ascii="Courier New" w:hAnsi="Courier New" w:cs="Courier New" w:hint="default"/>
      </w:rPr>
    </w:lvl>
    <w:lvl w:ilvl="2" w:tplc="04070005" w:tentative="1">
      <w:start w:val="1"/>
      <w:numFmt w:val="bullet"/>
      <w:lvlText w:val=""/>
      <w:lvlJc w:val="left"/>
      <w:pPr>
        <w:ind w:left="2430" w:hanging="360"/>
      </w:pPr>
      <w:rPr>
        <w:rFonts w:ascii="Wingdings" w:hAnsi="Wingdings" w:hint="default"/>
      </w:rPr>
    </w:lvl>
    <w:lvl w:ilvl="3" w:tplc="04070001" w:tentative="1">
      <w:start w:val="1"/>
      <w:numFmt w:val="bullet"/>
      <w:lvlText w:val=""/>
      <w:lvlJc w:val="left"/>
      <w:pPr>
        <w:ind w:left="3150" w:hanging="360"/>
      </w:pPr>
      <w:rPr>
        <w:rFonts w:ascii="Symbol" w:hAnsi="Symbol" w:hint="default"/>
      </w:rPr>
    </w:lvl>
    <w:lvl w:ilvl="4" w:tplc="04070003" w:tentative="1">
      <w:start w:val="1"/>
      <w:numFmt w:val="bullet"/>
      <w:lvlText w:val="o"/>
      <w:lvlJc w:val="left"/>
      <w:pPr>
        <w:ind w:left="3870" w:hanging="360"/>
      </w:pPr>
      <w:rPr>
        <w:rFonts w:ascii="Courier New" w:hAnsi="Courier New" w:cs="Courier New" w:hint="default"/>
      </w:rPr>
    </w:lvl>
    <w:lvl w:ilvl="5" w:tplc="04070005" w:tentative="1">
      <w:start w:val="1"/>
      <w:numFmt w:val="bullet"/>
      <w:lvlText w:val=""/>
      <w:lvlJc w:val="left"/>
      <w:pPr>
        <w:ind w:left="4590" w:hanging="360"/>
      </w:pPr>
      <w:rPr>
        <w:rFonts w:ascii="Wingdings" w:hAnsi="Wingdings" w:hint="default"/>
      </w:rPr>
    </w:lvl>
    <w:lvl w:ilvl="6" w:tplc="04070001" w:tentative="1">
      <w:start w:val="1"/>
      <w:numFmt w:val="bullet"/>
      <w:lvlText w:val=""/>
      <w:lvlJc w:val="left"/>
      <w:pPr>
        <w:ind w:left="5310" w:hanging="360"/>
      </w:pPr>
      <w:rPr>
        <w:rFonts w:ascii="Symbol" w:hAnsi="Symbol" w:hint="default"/>
      </w:rPr>
    </w:lvl>
    <w:lvl w:ilvl="7" w:tplc="04070003" w:tentative="1">
      <w:start w:val="1"/>
      <w:numFmt w:val="bullet"/>
      <w:lvlText w:val="o"/>
      <w:lvlJc w:val="left"/>
      <w:pPr>
        <w:ind w:left="6030" w:hanging="360"/>
      </w:pPr>
      <w:rPr>
        <w:rFonts w:ascii="Courier New" w:hAnsi="Courier New" w:cs="Courier New" w:hint="default"/>
      </w:rPr>
    </w:lvl>
    <w:lvl w:ilvl="8" w:tplc="04070005" w:tentative="1">
      <w:start w:val="1"/>
      <w:numFmt w:val="bullet"/>
      <w:lvlText w:val=""/>
      <w:lvlJc w:val="left"/>
      <w:pPr>
        <w:ind w:left="6750" w:hanging="360"/>
      </w:pPr>
      <w:rPr>
        <w:rFonts w:ascii="Wingdings" w:hAnsi="Wingdings" w:hint="default"/>
      </w:rPr>
    </w:lvl>
  </w:abstractNum>
  <w:abstractNum w:abstractNumId="74" w15:restartNumberingAfterBreak="0">
    <w:nsid w:val="72FC723C"/>
    <w:multiLevelType w:val="hybridMultilevel"/>
    <w:tmpl w:val="657A95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73560155"/>
    <w:multiLevelType w:val="hybridMultilevel"/>
    <w:tmpl w:val="E722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4B20FB5"/>
    <w:multiLevelType w:val="multilevel"/>
    <w:tmpl w:val="8736C6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5AA446E"/>
    <w:multiLevelType w:val="hybridMultilevel"/>
    <w:tmpl w:val="10FAC7AC"/>
    <w:lvl w:ilvl="0" w:tplc="0C07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76F42DA2"/>
    <w:multiLevelType w:val="hybridMultilevel"/>
    <w:tmpl w:val="54C0C504"/>
    <w:lvl w:ilvl="0" w:tplc="04070001">
      <w:start w:val="1"/>
      <w:numFmt w:val="bullet"/>
      <w:lvlText w:val=""/>
      <w:lvlJc w:val="left"/>
      <w:pPr>
        <w:ind w:left="990" w:hanging="360"/>
      </w:pPr>
      <w:rPr>
        <w:rFonts w:ascii="Symbol" w:hAnsi="Symbol" w:hint="default"/>
      </w:rPr>
    </w:lvl>
    <w:lvl w:ilvl="1" w:tplc="04070003" w:tentative="1">
      <w:start w:val="1"/>
      <w:numFmt w:val="bullet"/>
      <w:lvlText w:val="o"/>
      <w:lvlJc w:val="left"/>
      <w:pPr>
        <w:ind w:left="1710" w:hanging="360"/>
      </w:pPr>
      <w:rPr>
        <w:rFonts w:ascii="Courier New" w:hAnsi="Courier New" w:cs="Courier New" w:hint="default"/>
      </w:rPr>
    </w:lvl>
    <w:lvl w:ilvl="2" w:tplc="04070005" w:tentative="1">
      <w:start w:val="1"/>
      <w:numFmt w:val="bullet"/>
      <w:lvlText w:val=""/>
      <w:lvlJc w:val="left"/>
      <w:pPr>
        <w:ind w:left="2430" w:hanging="360"/>
      </w:pPr>
      <w:rPr>
        <w:rFonts w:ascii="Wingdings" w:hAnsi="Wingdings" w:hint="default"/>
      </w:rPr>
    </w:lvl>
    <w:lvl w:ilvl="3" w:tplc="04070001" w:tentative="1">
      <w:start w:val="1"/>
      <w:numFmt w:val="bullet"/>
      <w:lvlText w:val=""/>
      <w:lvlJc w:val="left"/>
      <w:pPr>
        <w:ind w:left="3150" w:hanging="360"/>
      </w:pPr>
      <w:rPr>
        <w:rFonts w:ascii="Symbol" w:hAnsi="Symbol" w:hint="default"/>
      </w:rPr>
    </w:lvl>
    <w:lvl w:ilvl="4" w:tplc="04070003" w:tentative="1">
      <w:start w:val="1"/>
      <w:numFmt w:val="bullet"/>
      <w:lvlText w:val="o"/>
      <w:lvlJc w:val="left"/>
      <w:pPr>
        <w:ind w:left="3870" w:hanging="360"/>
      </w:pPr>
      <w:rPr>
        <w:rFonts w:ascii="Courier New" w:hAnsi="Courier New" w:cs="Courier New" w:hint="default"/>
      </w:rPr>
    </w:lvl>
    <w:lvl w:ilvl="5" w:tplc="04070005" w:tentative="1">
      <w:start w:val="1"/>
      <w:numFmt w:val="bullet"/>
      <w:lvlText w:val=""/>
      <w:lvlJc w:val="left"/>
      <w:pPr>
        <w:ind w:left="4590" w:hanging="360"/>
      </w:pPr>
      <w:rPr>
        <w:rFonts w:ascii="Wingdings" w:hAnsi="Wingdings" w:hint="default"/>
      </w:rPr>
    </w:lvl>
    <w:lvl w:ilvl="6" w:tplc="04070001" w:tentative="1">
      <w:start w:val="1"/>
      <w:numFmt w:val="bullet"/>
      <w:lvlText w:val=""/>
      <w:lvlJc w:val="left"/>
      <w:pPr>
        <w:ind w:left="5310" w:hanging="360"/>
      </w:pPr>
      <w:rPr>
        <w:rFonts w:ascii="Symbol" w:hAnsi="Symbol" w:hint="default"/>
      </w:rPr>
    </w:lvl>
    <w:lvl w:ilvl="7" w:tplc="04070003" w:tentative="1">
      <w:start w:val="1"/>
      <w:numFmt w:val="bullet"/>
      <w:lvlText w:val="o"/>
      <w:lvlJc w:val="left"/>
      <w:pPr>
        <w:ind w:left="6030" w:hanging="360"/>
      </w:pPr>
      <w:rPr>
        <w:rFonts w:ascii="Courier New" w:hAnsi="Courier New" w:cs="Courier New" w:hint="default"/>
      </w:rPr>
    </w:lvl>
    <w:lvl w:ilvl="8" w:tplc="04070005" w:tentative="1">
      <w:start w:val="1"/>
      <w:numFmt w:val="bullet"/>
      <w:lvlText w:val=""/>
      <w:lvlJc w:val="left"/>
      <w:pPr>
        <w:ind w:left="6750" w:hanging="360"/>
      </w:pPr>
      <w:rPr>
        <w:rFonts w:ascii="Wingdings" w:hAnsi="Wingdings" w:hint="default"/>
      </w:rPr>
    </w:lvl>
  </w:abstractNum>
  <w:abstractNum w:abstractNumId="79" w15:restartNumberingAfterBreak="0">
    <w:nsid w:val="774977B9"/>
    <w:multiLevelType w:val="multilevel"/>
    <w:tmpl w:val="A224B4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791379B"/>
    <w:multiLevelType w:val="multilevel"/>
    <w:tmpl w:val="BFB62248"/>
    <w:lvl w:ilvl="0">
      <w:start w:val="1"/>
      <w:numFmt w:val="bullet"/>
      <w:pStyle w:val="ECABullets"/>
      <w:lvlText w:val=""/>
      <w:lvlJc w:val="left"/>
      <w:pPr>
        <w:tabs>
          <w:tab w:val="num" w:pos="1134"/>
        </w:tabs>
        <w:ind w:left="1134" w:hanging="567"/>
      </w:pPr>
      <w:rPr>
        <w:rFonts w:ascii="Monotype Sorts" w:hAnsi="Monotype Sorts" w:hint="default"/>
        <w:sz w:val="22"/>
      </w:rPr>
    </w:lvl>
    <w:lvl w:ilvl="1">
      <w:start w:val="1"/>
      <w:numFmt w:val="bullet"/>
      <w:pStyle w:val="ECABulletsSub"/>
      <w:lvlText w:val=""/>
      <w:lvlJc w:val="left"/>
      <w:pPr>
        <w:tabs>
          <w:tab w:val="num" w:pos="1701"/>
        </w:tabs>
        <w:ind w:left="1701" w:hanging="567"/>
      </w:pPr>
      <w:rPr>
        <w:rFonts w:ascii="Monotype Sorts" w:hAnsi="Monotype Sorts" w:hint="default"/>
        <w:sz w:val="16"/>
      </w:rPr>
    </w:lvl>
    <w:lvl w:ilvl="2">
      <w:start w:val="1"/>
      <w:numFmt w:val="bullet"/>
      <w:lvlRestart w:val="0"/>
      <w:pStyle w:val="ECABulletsSub-Sub"/>
      <w:lvlText w:val=""/>
      <w:lvlJc w:val="left"/>
      <w:pPr>
        <w:tabs>
          <w:tab w:val="num" w:pos="2268"/>
        </w:tabs>
        <w:ind w:left="2268" w:hanging="567"/>
      </w:pPr>
      <w:rPr>
        <w:rFonts w:ascii="Wingdings" w:hAnsi="Wingdings" w:hint="default"/>
        <w:sz w:val="16"/>
      </w:rPr>
    </w:lvl>
    <w:lvl w:ilvl="3">
      <w:start w:val="1"/>
      <w:numFmt w:val="none"/>
      <w:lvlText w:val=""/>
      <w:lvlJc w:val="left"/>
      <w:pPr>
        <w:tabs>
          <w:tab w:val="num" w:pos="0"/>
        </w:tabs>
        <w:ind w:left="2214" w:hanging="360"/>
      </w:pPr>
      <w:rPr>
        <w:rFonts w:ascii="Symbol" w:hAnsi="Symbol" w:hint="default"/>
      </w:rPr>
    </w:lvl>
    <w:lvl w:ilvl="4">
      <w:start w:val="1"/>
      <w:numFmt w:val="none"/>
      <w:lvlText w:val="o"/>
      <w:lvlJc w:val="left"/>
      <w:pPr>
        <w:tabs>
          <w:tab w:val="num" w:pos="0"/>
        </w:tabs>
        <w:ind w:left="2574" w:hanging="360"/>
      </w:pPr>
      <w:rPr>
        <w:rFonts w:ascii="Courier New" w:hAnsi="Courier New" w:cs="Times New Roman" w:hint="default"/>
      </w:rPr>
    </w:lvl>
    <w:lvl w:ilvl="5">
      <w:start w:val="1"/>
      <w:numFmt w:val="none"/>
      <w:lvlText w:val=""/>
      <w:lvlJc w:val="left"/>
      <w:pPr>
        <w:tabs>
          <w:tab w:val="num" w:pos="0"/>
        </w:tabs>
        <w:ind w:left="2934" w:hanging="360"/>
      </w:pPr>
      <w:rPr>
        <w:rFonts w:ascii="Wingdings" w:hAnsi="Wingdings" w:hint="default"/>
      </w:rPr>
    </w:lvl>
    <w:lvl w:ilvl="6">
      <w:start w:val="1"/>
      <w:numFmt w:val="none"/>
      <w:lvlText w:val=""/>
      <w:lvlJc w:val="left"/>
      <w:pPr>
        <w:tabs>
          <w:tab w:val="num" w:pos="0"/>
        </w:tabs>
        <w:ind w:left="3294" w:hanging="360"/>
      </w:pPr>
      <w:rPr>
        <w:rFonts w:ascii="Symbol" w:hAnsi="Symbol" w:hint="default"/>
      </w:rPr>
    </w:lvl>
    <w:lvl w:ilvl="7">
      <w:start w:val="1"/>
      <w:numFmt w:val="none"/>
      <w:lvlText w:val="o"/>
      <w:lvlJc w:val="left"/>
      <w:pPr>
        <w:tabs>
          <w:tab w:val="num" w:pos="0"/>
        </w:tabs>
        <w:ind w:left="3654" w:hanging="360"/>
      </w:pPr>
      <w:rPr>
        <w:rFonts w:ascii="Courier New" w:hAnsi="Courier New" w:cs="Times New Roman" w:hint="default"/>
      </w:rPr>
    </w:lvl>
    <w:lvl w:ilvl="8">
      <w:start w:val="1"/>
      <w:numFmt w:val="none"/>
      <w:lvlText w:val=""/>
      <w:lvlJc w:val="left"/>
      <w:pPr>
        <w:tabs>
          <w:tab w:val="num" w:pos="0"/>
        </w:tabs>
        <w:ind w:left="4014" w:hanging="360"/>
      </w:pPr>
      <w:rPr>
        <w:rFonts w:ascii="Wingdings" w:hAnsi="Wingdings" w:hint="default"/>
      </w:rPr>
    </w:lvl>
  </w:abstractNum>
  <w:abstractNum w:abstractNumId="81" w15:restartNumberingAfterBreak="0">
    <w:nsid w:val="78157EC0"/>
    <w:multiLevelType w:val="hybridMultilevel"/>
    <w:tmpl w:val="58BC8388"/>
    <w:lvl w:ilvl="0" w:tplc="0C07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797307E6"/>
    <w:multiLevelType w:val="hybridMultilevel"/>
    <w:tmpl w:val="BA9A328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83" w15:restartNumberingAfterBreak="0">
    <w:nsid w:val="79F041DB"/>
    <w:multiLevelType w:val="hybridMultilevel"/>
    <w:tmpl w:val="36EA30C0"/>
    <w:lvl w:ilvl="0" w:tplc="4870720E">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7B676B12"/>
    <w:multiLevelType w:val="multilevel"/>
    <w:tmpl w:val="ACC46AFC"/>
    <w:lvl w:ilvl="0">
      <w:start w:val="1"/>
      <w:numFmt w:val="bullet"/>
      <w:lvlText w:val="o"/>
      <w:lvlJc w:val="left"/>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9"/>
  </w:num>
  <w:num w:numId="2">
    <w:abstractNumId w:val="35"/>
  </w:num>
  <w:num w:numId="3">
    <w:abstractNumId w:val="83"/>
  </w:num>
  <w:num w:numId="4">
    <w:abstractNumId w:val="8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1"/>
  </w:num>
  <w:num w:numId="6">
    <w:abstractNumId w:val="65"/>
  </w:num>
  <w:num w:numId="7">
    <w:abstractNumId w:val="13"/>
  </w:num>
  <w:num w:numId="8">
    <w:abstractNumId w:val="33"/>
  </w:num>
  <w:num w:numId="9">
    <w:abstractNumId w:val="54"/>
  </w:num>
  <w:num w:numId="10">
    <w:abstractNumId w:val="42"/>
  </w:num>
  <w:num w:numId="11">
    <w:abstractNumId w:val="74"/>
  </w:num>
  <w:num w:numId="12">
    <w:abstractNumId w:val="69"/>
  </w:num>
  <w:num w:numId="13">
    <w:abstractNumId w:val="24"/>
  </w:num>
  <w:num w:numId="14">
    <w:abstractNumId w:val="30"/>
  </w:num>
  <w:num w:numId="15">
    <w:abstractNumId w:val="15"/>
  </w:num>
  <w:num w:numId="16">
    <w:abstractNumId w:val="68"/>
  </w:num>
  <w:num w:numId="17">
    <w:abstractNumId w:val="31"/>
  </w:num>
  <w:num w:numId="18">
    <w:abstractNumId w:val="21"/>
  </w:num>
  <w:num w:numId="19">
    <w:abstractNumId w:val="2"/>
  </w:num>
  <w:num w:numId="20">
    <w:abstractNumId w:val="39"/>
  </w:num>
  <w:num w:numId="21">
    <w:abstractNumId w:val="9"/>
  </w:num>
  <w:num w:numId="22">
    <w:abstractNumId w:val="36"/>
  </w:num>
  <w:num w:numId="23">
    <w:abstractNumId w:val="57"/>
  </w:num>
  <w:num w:numId="24">
    <w:abstractNumId w:val="26"/>
  </w:num>
  <w:num w:numId="25">
    <w:abstractNumId w:val="43"/>
  </w:num>
  <w:num w:numId="26">
    <w:abstractNumId w:val="49"/>
  </w:num>
  <w:num w:numId="27">
    <w:abstractNumId w:val="8"/>
  </w:num>
  <w:num w:numId="28">
    <w:abstractNumId w:val="1"/>
  </w:num>
  <w:num w:numId="29">
    <w:abstractNumId w:val="79"/>
  </w:num>
  <w:num w:numId="30">
    <w:abstractNumId w:val="11"/>
  </w:num>
  <w:num w:numId="31">
    <w:abstractNumId w:val="34"/>
  </w:num>
  <w:num w:numId="32">
    <w:abstractNumId w:val="6"/>
  </w:num>
  <w:num w:numId="33">
    <w:abstractNumId w:val="76"/>
  </w:num>
  <w:num w:numId="34">
    <w:abstractNumId w:val="82"/>
  </w:num>
  <w:num w:numId="35">
    <w:abstractNumId w:val="44"/>
  </w:num>
  <w:num w:numId="36">
    <w:abstractNumId w:val="75"/>
  </w:num>
  <w:num w:numId="37">
    <w:abstractNumId w:val="3"/>
  </w:num>
  <w:num w:numId="38">
    <w:abstractNumId w:val="66"/>
  </w:num>
  <w:num w:numId="39">
    <w:abstractNumId w:val="63"/>
  </w:num>
  <w:num w:numId="40">
    <w:abstractNumId w:val="53"/>
  </w:num>
  <w:num w:numId="41">
    <w:abstractNumId w:val="5"/>
  </w:num>
  <w:num w:numId="42">
    <w:abstractNumId w:val="78"/>
  </w:num>
  <w:num w:numId="43">
    <w:abstractNumId w:val="73"/>
  </w:num>
  <w:num w:numId="44">
    <w:abstractNumId w:val="25"/>
  </w:num>
  <w:num w:numId="45">
    <w:abstractNumId w:val="23"/>
  </w:num>
  <w:num w:numId="46">
    <w:abstractNumId w:val="29"/>
  </w:num>
  <w:num w:numId="47">
    <w:abstractNumId w:val="28"/>
  </w:num>
  <w:num w:numId="48">
    <w:abstractNumId w:val="47"/>
  </w:num>
  <w:num w:numId="49">
    <w:abstractNumId w:val="77"/>
  </w:num>
  <w:num w:numId="50">
    <w:abstractNumId w:val="81"/>
  </w:num>
  <w:num w:numId="51">
    <w:abstractNumId w:val="20"/>
  </w:num>
  <w:num w:numId="52">
    <w:abstractNumId w:val="64"/>
  </w:num>
  <w:num w:numId="53">
    <w:abstractNumId w:val="72"/>
  </w:num>
  <w:num w:numId="54">
    <w:abstractNumId w:val="10"/>
  </w:num>
  <w:num w:numId="55">
    <w:abstractNumId w:val="12"/>
  </w:num>
  <w:num w:numId="56">
    <w:abstractNumId w:val="55"/>
  </w:num>
  <w:num w:numId="57">
    <w:abstractNumId w:val="32"/>
  </w:num>
  <w:num w:numId="58">
    <w:abstractNumId w:val="7"/>
  </w:num>
  <w:num w:numId="59">
    <w:abstractNumId w:val="17"/>
  </w:num>
  <w:num w:numId="60">
    <w:abstractNumId w:val="37"/>
  </w:num>
  <w:num w:numId="61">
    <w:abstractNumId w:val="38"/>
  </w:num>
  <w:num w:numId="62">
    <w:abstractNumId w:val="62"/>
  </w:num>
  <w:num w:numId="63">
    <w:abstractNumId w:val="58"/>
  </w:num>
  <w:num w:numId="64">
    <w:abstractNumId w:val="18"/>
  </w:num>
  <w:num w:numId="65">
    <w:abstractNumId w:val="41"/>
  </w:num>
  <w:num w:numId="66">
    <w:abstractNumId w:val="40"/>
  </w:num>
  <w:num w:numId="67">
    <w:abstractNumId w:val="14"/>
  </w:num>
  <w:num w:numId="68">
    <w:abstractNumId w:val="60"/>
  </w:num>
  <w:num w:numId="69">
    <w:abstractNumId w:val="71"/>
  </w:num>
  <w:num w:numId="70">
    <w:abstractNumId w:val="22"/>
  </w:num>
  <w:num w:numId="71">
    <w:abstractNumId w:val="67"/>
  </w:num>
  <w:num w:numId="72">
    <w:abstractNumId w:val="16"/>
  </w:num>
  <w:num w:numId="73">
    <w:abstractNumId w:val="0"/>
  </w:num>
  <w:num w:numId="74">
    <w:abstractNumId w:val="84"/>
  </w:num>
  <w:num w:numId="75">
    <w:abstractNumId w:val="46"/>
  </w:num>
  <w:num w:numId="76">
    <w:abstractNumId w:val="52"/>
  </w:num>
  <w:num w:numId="77">
    <w:abstractNumId w:val="56"/>
  </w:num>
  <w:num w:numId="78">
    <w:abstractNumId w:val="48"/>
  </w:num>
  <w:num w:numId="79">
    <w:abstractNumId w:val="4"/>
  </w:num>
  <w:num w:numId="80">
    <w:abstractNumId w:val="27"/>
  </w:num>
  <w:num w:numId="81">
    <w:abstractNumId w:val="19"/>
  </w:num>
  <w:num w:numId="82">
    <w:abstractNumId w:val="70"/>
  </w:num>
  <w:num w:numId="83">
    <w:abstractNumId w:val="61"/>
  </w:num>
  <w:num w:numId="84">
    <w:abstractNumId w:val="50"/>
  </w:num>
  <w:num w:numId="85">
    <w:abstractNumId w:val="4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99B"/>
    <w:rsid w:val="00003AEC"/>
    <w:rsid w:val="0000517F"/>
    <w:rsid w:val="00011E79"/>
    <w:rsid w:val="00022F8B"/>
    <w:rsid w:val="000235FE"/>
    <w:rsid w:val="000327A8"/>
    <w:rsid w:val="00037830"/>
    <w:rsid w:val="0004342E"/>
    <w:rsid w:val="00043796"/>
    <w:rsid w:val="00046AD6"/>
    <w:rsid w:val="00056A3A"/>
    <w:rsid w:val="000641ED"/>
    <w:rsid w:val="00075C99"/>
    <w:rsid w:val="000914E2"/>
    <w:rsid w:val="000A2A01"/>
    <w:rsid w:val="000B5C70"/>
    <w:rsid w:val="000C4978"/>
    <w:rsid w:val="000D5D4E"/>
    <w:rsid w:val="000D7C65"/>
    <w:rsid w:val="000E345C"/>
    <w:rsid w:val="000E3890"/>
    <w:rsid w:val="000F1AD3"/>
    <w:rsid w:val="000F4610"/>
    <w:rsid w:val="000F7378"/>
    <w:rsid w:val="001147F6"/>
    <w:rsid w:val="00114B84"/>
    <w:rsid w:val="001206A9"/>
    <w:rsid w:val="001217F2"/>
    <w:rsid w:val="001259F3"/>
    <w:rsid w:val="001263E7"/>
    <w:rsid w:val="00145BD0"/>
    <w:rsid w:val="00147557"/>
    <w:rsid w:val="001617A3"/>
    <w:rsid w:val="001620F5"/>
    <w:rsid w:val="00163F78"/>
    <w:rsid w:val="00164B6B"/>
    <w:rsid w:val="00164D0C"/>
    <w:rsid w:val="00181ADC"/>
    <w:rsid w:val="0018372B"/>
    <w:rsid w:val="00186207"/>
    <w:rsid w:val="00191838"/>
    <w:rsid w:val="00193B62"/>
    <w:rsid w:val="001A6E2E"/>
    <w:rsid w:val="001B6A20"/>
    <w:rsid w:val="001C0484"/>
    <w:rsid w:val="001C15AC"/>
    <w:rsid w:val="001C3983"/>
    <w:rsid w:val="001C467C"/>
    <w:rsid w:val="001C47F0"/>
    <w:rsid w:val="001C6C5A"/>
    <w:rsid w:val="001E099B"/>
    <w:rsid w:val="001E0F8D"/>
    <w:rsid w:val="001E2A51"/>
    <w:rsid w:val="001E4452"/>
    <w:rsid w:val="001E65EC"/>
    <w:rsid w:val="001F4085"/>
    <w:rsid w:val="00203893"/>
    <w:rsid w:val="0020629D"/>
    <w:rsid w:val="00206985"/>
    <w:rsid w:val="00214466"/>
    <w:rsid w:val="00220111"/>
    <w:rsid w:val="00230F9E"/>
    <w:rsid w:val="00235937"/>
    <w:rsid w:val="00236635"/>
    <w:rsid w:val="00242009"/>
    <w:rsid w:val="00244CEF"/>
    <w:rsid w:val="00251462"/>
    <w:rsid w:val="0025723E"/>
    <w:rsid w:val="00264806"/>
    <w:rsid w:val="002665C8"/>
    <w:rsid w:val="00281778"/>
    <w:rsid w:val="00286663"/>
    <w:rsid w:val="00287004"/>
    <w:rsid w:val="0028717C"/>
    <w:rsid w:val="00291489"/>
    <w:rsid w:val="002A539C"/>
    <w:rsid w:val="002B1083"/>
    <w:rsid w:val="002B7452"/>
    <w:rsid w:val="002C011E"/>
    <w:rsid w:val="002C406F"/>
    <w:rsid w:val="002D0A53"/>
    <w:rsid w:val="002D174D"/>
    <w:rsid w:val="002E065A"/>
    <w:rsid w:val="002E116B"/>
    <w:rsid w:val="002E168C"/>
    <w:rsid w:val="002F042B"/>
    <w:rsid w:val="002F2257"/>
    <w:rsid w:val="002F3D92"/>
    <w:rsid w:val="002F4BDF"/>
    <w:rsid w:val="002F7E26"/>
    <w:rsid w:val="003227FF"/>
    <w:rsid w:val="003305AE"/>
    <w:rsid w:val="00330D80"/>
    <w:rsid w:val="00345C65"/>
    <w:rsid w:val="00351EAC"/>
    <w:rsid w:val="00353D0E"/>
    <w:rsid w:val="00362F59"/>
    <w:rsid w:val="00395EA8"/>
    <w:rsid w:val="00396573"/>
    <w:rsid w:val="003A6446"/>
    <w:rsid w:val="003B2017"/>
    <w:rsid w:val="003B683D"/>
    <w:rsid w:val="003C603D"/>
    <w:rsid w:val="003D24B4"/>
    <w:rsid w:val="003D2CB2"/>
    <w:rsid w:val="003E1E77"/>
    <w:rsid w:val="003E2A26"/>
    <w:rsid w:val="003F6198"/>
    <w:rsid w:val="003F649E"/>
    <w:rsid w:val="0040312C"/>
    <w:rsid w:val="0041140B"/>
    <w:rsid w:val="00413B91"/>
    <w:rsid w:val="00414BCD"/>
    <w:rsid w:val="00416FCE"/>
    <w:rsid w:val="00426EFC"/>
    <w:rsid w:val="00437702"/>
    <w:rsid w:val="00446CED"/>
    <w:rsid w:val="004504DC"/>
    <w:rsid w:val="00451076"/>
    <w:rsid w:val="00456B31"/>
    <w:rsid w:val="00467273"/>
    <w:rsid w:val="0046760C"/>
    <w:rsid w:val="00492051"/>
    <w:rsid w:val="00495DC2"/>
    <w:rsid w:val="004A4D86"/>
    <w:rsid w:val="004A5C35"/>
    <w:rsid w:val="004C1E86"/>
    <w:rsid w:val="004C7CD4"/>
    <w:rsid w:val="004E19CE"/>
    <w:rsid w:val="004F751E"/>
    <w:rsid w:val="00500FF7"/>
    <w:rsid w:val="00524E98"/>
    <w:rsid w:val="00527188"/>
    <w:rsid w:val="00527BA6"/>
    <w:rsid w:val="00527EF5"/>
    <w:rsid w:val="005351B0"/>
    <w:rsid w:val="005460C5"/>
    <w:rsid w:val="00547185"/>
    <w:rsid w:val="00574660"/>
    <w:rsid w:val="005810BB"/>
    <w:rsid w:val="00587E94"/>
    <w:rsid w:val="0059155A"/>
    <w:rsid w:val="005B0E74"/>
    <w:rsid w:val="005B1FF4"/>
    <w:rsid w:val="005B6402"/>
    <w:rsid w:val="005C50A5"/>
    <w:rsid w:val="005D20DB"/>
    <w:rsid w:val="005D299A"/>
    <w:rsid w:val="005D5DCB"/>
    <w:rsid w:val="005E1BF0"/>
    <w:rsid w:val="005E4EDF"/>
    <w:rsid w:val="005E7F0F"/>
    <w:rsid w:val="005F2324"/>
    <w:rsid w:val="005F61FA"/>
    <w:rsid w:val="005F7711"/>
    <w:rsid w:val="005F7E8B"/>
    <w:rsid w:val="00600B14"/>
    <w:rsid w:val="00617388"/>
    <w:rsid w:val="006213BC"/>
    <w:rsid w:val="006255F5"/>
    <w:rsid w:val="00637270"/>
    <w:rsid w:val="00646375"/>
    <w:rsid w:val="00655726"/>
    <w:rsid w:val="006565C1"/>
    <w:rsid w:val="00676CBC"/>
    <w:rsid w:val="00677294"/>
    <w:rsid w:val="00682064"/>
    <w:rsid w:val="00696EA4"/>
    <w:rsid w:val="006A01EE"/>
    <w:rsid w:val="006B6E5B"/>
    <w:rsid w:val="006C054A"/>
    <w:rsid w:val="006C3337"/>
    <w:rsid w:val="006D4EB5"/>
    <w:rsid w:val="006E213B"/>
    <w:rsid w:val="006E723E"/>
    <w:rsid w:val="006F4123"/>
    <w:rsid w:val="006F43E9"/>
    <w:rsid w:val="00701834"/>
    <w:rsid w:val="0071039D"/>
    <w:rsid w:val="007114AF"/>
    <w:rsid w:val="00714518"/>
    <w:rsid w:val="00714942"/>
    <w:rsid w:val="007208DB"/>
    <w:rsid w:val="00721B1B"/>
    <w:rsid w:val="00724369"/>
    <w:rsid w:val="00726AB9"/>
    <w:rsid w:val="0073297C"/>
    <w:rsid w:val="00733D2C"/>
    <w:rsid w:val="0073579B"/>
    <w:rsid w:val="00744280"/>
    <w:rsid w:val="0075001B"/>
    <w:rsid w:val="00754DD7"/>
    <w:rsid w:val="00755E38"/>
    <w:rsid w:val="00756337"/>
    <w:rsid w:val="00772BE7"/>
    <w:rsid w:val="00773485"/>
    <w:rsid w:val="00782894"/>
    <w:rsid w:val="007A256A"/>
    <w:rsid w:val="007A451F"/>
    <w:rsid w:val="007B519E"/>
    <w:rsid w:val="007C3B3B"/>
    <w:rsid w:val="00802AFF"/>
    <w:rsid w:val="00812F95"/>
    <w:rsid w:val="0082368C"/>
    <w:rsid w:val="00836B59"/>
    <w:rsid w:val="008371B3"/>
    <w:rsid w:val="008419C6"/>
    <w:rsid w:val="00847405"/>
    <w:rsid w:val="00854661"/>
    <w:rsid w:val="00860664"/>
    <w:rsid w:val="00861DB2"/>
    <w:rsid w:val="00862C8C"/>
    <w:rsid w:val="008669FE"/>
    <w:rsid w:val="00876C5D"/>
    <w:rsid w:val="008771B6"/>
    <w:rsid w:val="00881E70"/>
    <w:rsid w:val="008A0106"/>
    <w:rsid w:val="008A4207"/>
    <w:rsid w:val="008B66EE"/>
    <w:rsid w:val="008C3C5E"/>
    <w:rsid w:val="008D30FC"/>
    <w:rsid w:val="008D3B85"/>
    <w:rsid w:val="008D6C6A"/>
    <w:rsid w:val="008E1F53"/>
    <w:rsid w:val="008E3602"/>
    <w:rsid w:val="008F0E2C"/>
    <w:rsid w:val="008F17E8"/>
    <w:rsid w:val="008F3F1D"/>
    <w:rsid w:val="009160D5"/>
    <w:rsid w:val="009250F2"/>
    <w:rsid w:val="009344C8"/>
    <w:rsid w:val="00936091"/>
    <w:rsid w:val="00941E9F"/>
    <w:rsid w:val="009423A8"/>
    <w:rsid w:val="009432FE"/>
    <w:rsid w:val="009717A4"/>
    <w:rsid w:val="009740F7"/>
    <w:rsid w:val="00975179"/>
    <w:rsid w:val="00985E4C"/>
    <w:rsid w:val="009B0B46"/>
    <w:rsid w:val="009C0782"/>
    <w:rsid w:val="009C45FD"/>
    <w:rsid w:val="009C5CED"/>
    <w:rsid w:val="009C6C6D"/>
    <w:rsid w:val="009D1AC8"/>
    <w:rsid w:val="009E0D15"/>
    <w:rsid w:val="009E78A1"/>
    <w:rsid w:val="009F1ECD"/>
    <w:rsid w:val="009F3D0C"/>
    <w:rsid w:val="00A019D2"/>
    <w:rsid w:val="00A03821"/>
    <w:rsid w:val="00A043D6"/>
    <w:rsid w:val="00A055E5"/>
    <w:rsid w:val="00A10282"/>
    <w:rsid w:val="00A23D94"/>
    <w:rsid w:val="00A2579E"/>
    <w:rsid w:val="00A37E7C"/>
    <w:rsid w:val="00A40566"/>
    <w:rsid w:val="00A419A4"/>
    <w:rsid w:val="00A45C8C"/>
    <w:rsid w:val="00A518D9"/>
    <w:rsid w:val="00A67A6F"/>
    <w:rsid w:val="00A743D8"/>
    <w:rsid w:val="00A816F3"/>
    <w:rsid w:val="00A9766F"/>
    <w:rsid w:val="00A97D51"/>
    <w:rsid w:val="00AA2C6A"/>
    <w:rsid w:val="00AA35E8"/>
    <w:rsid w:val="00AA3BEF"/>
    <w:rsid w:val="00AB1F4E"/>
    <w:rsid w:val="00AB2B06"/>
    <w:rsid w:val="00AB4345"/>
    <w:rsid w:val="00AC0CE4"/>
    <w:rsid w:val="00AC399F"/>
    <w:rsid w:val="00AD378B"/>
    <w:rsid w:val="00AE5FB3"/>
    <w:rsid w:val="00AE747C"/>
    <w:rsid w:val="00AF51B6"/>
    <w:rsid w:val="00B04072"/>
    <w:rsid w:val="00B05BFA"/>
    <w:rsid w:val="00B06DCC"/>
    <w:rsid w:val="00B07DA2"/>
    <w:rsid w:val="00B117BF"/>
    <w:rsid w:val="00B31364"/>
    <w:rsid w:val="00B32784"/>
    <w:rsid w:val="00B410B7"/>
    <w:rsid w:val="00B74FC4"/>
    <w:rsid w:val="00B8345A"/>
    <w:rsid w:val="00B86BA1"/>
    <w:rsid w:val="00B90E24"/>
    <w:rsid w:val="00B92318"/>
    <w:rsid w:val="00B976ED"/>
    <w:rsid w:val="00BA14F8"/>
    <w:rsid w:val="00BB382B"/>
    <w:rsid w:val="00BB4743"/>
    <w:rsid w:val="00BC1DB5"/>
    <w:rsid w:val="00BC2BE4"/>
    <w:rsid w:val="00BC439D"/>
    <w:rsid w:val="00BC43B7"/>
    <w:rsid w:val="00BE0B41"/>
    <w:rsid w:val="00BE2BBE"/>
    <w:rsid w:val="00BE5F22"/>
    <w:rsid w:val="00BF7C55"/>
    <w:rsid w:val="00C056F9"/>
    <w:rsid w:val="00C065FF"/>
    <w:rsid w:val="00C136A5"/>
    <w:rsid w:val="00C15277"/>
    <w:rsid w:val="00C155D8"/>
    <w:rsid w:val="00C3034E"/>
    <w:rsid w:val="00C536F5"/>
    <w:rsid w:val="00C55AD3"/>
    <w:rsid w:val="00C6608F"/>
    <w:rsid w:val="00C7368B"/>
    <w:rsid w:val="00C8189C"/>
    <w:rsid w:val="00C81C76"/>
    <w:rsid w:val="00C94D03"/>
    <w:rsid w:val="00CA0B80"/>
    <w:rsid w:val="00CA77E2"/>
    <w:rsid w:val="00CB4F2D"/>
    <w:rsid w:val="00CE5F15"/>
    <w:rsid w:val="00CF00FE"/>
    <w:rsid w:val="00CF2A42"/>
    <w:rsid w:val="00D05F33"/>
    <w:rsid w:val="00D10DAB"/>
    <w:rsid w:val="00D25368"/>
    <w:rsid w:val="00D31C24"/>
    <w:rsid w:val="00D43DF3"/>
    <w:rsid w:val="00D450BA"/>
    <w:rsid w:val="00D53624"/>
    <w:rsid w:val="00D565A2"/>
    <w:rsid w:val="00D61ADB"/>
    <w:rsid w:val="00D64242"/>
    <w:rsid w:val="00D71436"/>
    <w:rsid w:val="00D71745"/>
    <w:rsid w:val="00D7430D"/>
    <w:rsid w:val="00D75679"/>
    <w:rsid w:val="00D774C2"/>
    <w:rsid w:val="00D8298D"/>
    <w:rsid w:val="00D82F76"/>
    <w:rsid w:val="00D83CDA"/>
    <w:rsid w:val="00D86DD8"/>
    <w:rsid w:val="00D9782D"/>
    <w:rsid w:val="00DA60B5"/>
    <w:rsid w:val="00DD7619"/>
    <w:rsid w:val="00E04B1B"/>
    <w:rsid w:val="00E0556A"/>
    <w:rsid w:val="00E05BAA"/>
    <w:rsid w:val="00E12123"/>
    <w:rsid w:val="00E132F0"/>
    <w:rsid w:val="00E20D71"/>
    <w:rsid w:val="00E24568"/>
    <w:rsid w:val="00E2665D"/>
    <w:rsid w:val="00E32157"/>
    <w:rsid w:val="00E35E23"/>
    <w:rsid w:val="00E45764"/>
    <w:rsid w:val="00E47E70"/>
    <w:rsid w:val="00E505D0"/>
    <w:rsid w:val="00E507DE"/>
    <w:rsid w:val="00E566BF"/>
    <w:rsid w:val="00E57D26"/>
    <w:rsid w:val="00E62997"/>
    <w:rsid w:val="00E64584"/>
    <w:rsid w:val="00E646DC"/>
    <w:rsid w:val="00E77013"/>
    <w:rsid w:val="00E8339F"/>
    <w:rsid w:val="00E85488"/>
    <w:rsid w:val="00E907B7"/>
    <w:rsid w:val="00E914BF"/>
    <w:rsid w:val="00EA0081"/>
    <w:rsid w:val="00EA6377"/>
    <w:rsid w:val="00EC0E56"/>
    <w:rsid w:val="00EC3C86"/>
    <w:rsid w:val="00ED4FAD"/>
    <w:rsid w:val="00EE091B"/>
    <w:rsid w:val="00EF480D"/>
    <w:rsid w:val="00EF517C"/>
    <w:rsid w:val="00F0008E"/>
    <w:rsid w:val="00F00D5F"/>
    <w:rsid w:val="00F05ACD"/>
    <w:rsid w:val="00F11685"/>
    <w:rsid w:val="00F14455"/>
    <w:rsid w:val="00F165B7"/>
    <w:rsid w:val="00F16CDF"/>
    <w:rsid w:val="00F2430D"/>
    <w:rsid w:val="00F32480"/>
    <w:rsid w:val="00F3633F"/>
    <w:rsid w:val="00F43BB1"/>
    <w:rsid w:val="00F6115B"/>
    <w:rsid w:val="00F72723"/>
    <w:rsid w:val="00F759BC"/>
    <w:rsid w:val="00F925D5"/>
    <w:rsid w:val="00F945A3"/>
    <w:rsid w:val="00F9476F"/>
    <w:rsid w:val="00FA1391"/>
    <w:rsid w:val="00FA1823"/>
    <w:rsid w:val="00FA3C19"/>
    <w:rsid w:val="00FB11EA"/>
    <w:rsid w:val="00FB584C"/>
    <w:rsid w:val="00FD5AD9"/>
    <w:rsid w:val="00FE05E1"/>
    <w:rsid w:val="00FE1E8F"/>
    <w:rsid w:val="00FE3179"/>
    <w:rsid w:val="00FF11ED"/>
    <w:rsid w:val="00FF3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DCF2EE"/>
  <w15:docId w15:val="{BE53B78B-E0E2-4DA9-A6A9-76A1120D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99B"/>
    <w:pPr>
      <w:spacing w:after="120"/>
      <w:jc w:val="both"/>
    </w:pPr>
    <w:rPr>
      <w:rFonts w:eastAsiaTheme="minorEastAsia"/>
      <w:lang w:val="sq-AL" w:eastAsia="it-IT"/>
    </w:rPr>
  </w:style>
  <w:style w:type="paragraph" w:styleId="Heading1">
    <w:name w:val="heading 1"/>
    <w:basedOn w:val="Normal"/>
    <w:next w:val="Normal"/>
    <w:link w:val="Heading1Char"/>
    <w:qFormat/>
    <w:rsid w:val="00395E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ubchapter 1.1"/>
    <w:basedOn w:val="Normal"/>
    <w:next w:val="Normal"/>
    <w:link w:val="Heading2Char"/>
    <w:qFormat/>
    <w:rsid w:val="00E20D71"/>
    <w:pPr>
      <w:keepNext/>
      <w:spacing w:before="240" w:after="240" w:line="240" w:lineRule="auto"/>
      <w:outlineLvl w:val="1"/>
    </w:pPr>
    <w:rPr>
      <w:rFonts w:ascii="Calibri" w:eastAsia="Times New Roman" w:hAnsi="Calibri" w:cs="Times New Roman"/>
      <w:b/>
      <w:color w:val="365F91" w:themeColor="accent1" w:themeShade="BF"/>
      <w:sz w:val="24"/>
      <w:szCs w:val="24"/>
    </w:rPr>
  </w:style>
  <w:style w:type="paragraph" w:styleId="Heading3">
    <w:name w:val="heading 3"/>
    <w:basedOn w:val="Normal"/>
    <w:next w:val="Normal"/>
    <w:link w:val="Heading3Char"/>
    <w:uiPriority w:val="9"/>
    <w:unhideWhenUsed/>
    <w:qFormat/>
    <w:rsid w:val="00E20D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20D71"/>
    <w:pPr>
      <w:keepNext/>
      <w:keepLines/>
      <w:spacing w:before="40" w:after="0" w:line="259" w:lineRule="auto"/>
      <w:outlineLvl w:val="3"/>
    </w:pPr>
    <w:rPr>
      <w:rFonts w:ascii="Cambria" w:eastAsia="Times New Roman" w:hAnsi="Cambria" w:cs="Times New Roman"/>
      <w:i/>
      <w:iCs/>
      <w:color w:val="365F91"/>
      <w:lang w:eastAsia="en-US"/>
    </w:rPr>
  </w:style>
  <w:style w:type="paragraph" w:styleId="Heading5">
    <w:name w:val="heading 5"/>
    <w:basedOn w:val="Normal"/>
    <w:next w:val="Normal"/>
    <w:link w:val="Heading5Char"/>
    <w:uiPriority w:val="9"/>
    <w:unhideWhenUsed/>
    <w:qFormat/>
    <w:rsid w:val="00E20D71"/>
    <w:pPr>
      <w:spacing w:before="240" w:after="60"/>
      <w:outlineLvl w:val="4"/>
    </w:pPr>
    <w:rPr>
      <w:rFonts w:ascii="Calibri" w:eastAsia="Times New Roman" w:hAnsi="Calibri" w:cs="Arial"/>
      <w:b/>
      <w:bCs/>
      <w:i/>
      <w:iCs/>
      <w:sz w:val="26"/>
      <w:szCs w:val="26"/>
      <w:lang w:val="en-GB" w:eastAsia="en-US"/>
    </w:rPr>
  </w:style>
  <w:style w:type="paragraph" w:styleId="Heading6">
    <w:name w:val="heading 6"/>
    <w:basedOn w:val="Normal"/>
    <w:next w:val="Normal"/>
    <w:link w:val="Heading6Char"/>
    <w:uiPriority w:val="9"/>
    <w:unhideWhenUsed/>
    <w:qFormat/>
    <w:rsid w:val="00E20D71"/>
    <w:pPr>
      <w:spacing w:before="240" w:after="60"/>
      <w:outlineLvl w:val="5"/>
    </w:pPr>
    <w:rPr>
      <w:rFonts w:ascii="Arial" w:eastAsia="Times New Roman" w:hAnsi="Arial" w:cs="Arial"/>
      <w:b/>
      <w:bCs/>
      <w:lang w:val="en-GB" w:eastAsia="en-US"/>
    </w:rPr>
  </w:style>
  <w:style w:type="paragraph" w:styleId="Heading7">
    <w:name w:val="heading 7"/>
    <w:basedOn w:val="Normal"/>
    <w:next w:val="Normal"/>
    <w:link w:val="Heading7Char"/>
    <w:unhideWhenUsed/>
    <w:qFormat/>
    <w:rsid w:val="00E20D71"/>
    <w:pPr>
      <w:spacing w:before="240" w:after="60"/>
      <w:outlineLvl w:val="6"/>
    </w:pPr>
    <w:rPr>
      <w:rFonts w:ascii="Calibri" w:eastAsia="Times New Roman" w:hAnsi="Calibri" w:cs="Arial"/>
      <w:sz w:val="24"/>
      <w:szCs w:val="24"/>
      <w:lang w:val="en-GB" w:eastAsia="en-US"/>
    </w:rPr>
  </w:style>
  <w:style w:type="paragraph" w:styleId="Heading8">
    <w:name w:val="heading 8"/>
    <w:basedOn w:val="Normal"/>
    <w:next w:val="Normal"/>
    <w:link w:val="Heading8Char"/>
    <w:uiPriority w:val="9"/>
    <w:semiHidden/>
    <w:unhideWhenUsed/>
    <w:qFormat/>
    <w:rsid w:val="00E20D71"/>
    <w:pPr>
      <w:spacing w:before="240" w:after="60"/>
      <w:outlineLvl w:val="7"/>
    </w:pPr>
    <w:rPr>
      <w:rFonts w:ascii="Calibri" w:eastAsia="Times New Roman" w:hAnsi="Calibri" w:cs="Arial"/>
      <w:i/>
      <w:iCs/>
      <w:sz w:val="24"/>
      <w:szCs w:val="24"/>
      <w:lang w:val="en-GB" w:eastAsia="en-US"/>
    </w:rPr>
  </w:style>
  <w:style w:type="paragraph" w:styleId="Heading9">
    <w:name w:val="heading 9"/>
    <w:basedOn w:val="Normal"/>
    <w:next w:val="Normal"/>
    <w:link w:val="Heading9Char"/>
    <w:uiPriority w:val="9"/>
    <w:semiHidden/>
    <w:unhideWhenUsed/>
    <w:qFormat/>
    <w:rsid w:val="00E20D71"/>
    <w:pPr>
      <w:spacing w:before="240" w:after="60"/>
      <w:outlineLvl w:val="8"/>
    </w:pPr>
    <w:rPr>
      <w:rFonts w:ascii="Cambria" w:eastAsia="Times New Roman" w:hAnsi="Cambria"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Figure Heading,Annex"/>
    <w:basedOn w:val="Normal"/>
    <w:link w:val="ListParagraphChar"/>
    <w:uiPriority w:val="34"/>
    <w:qFormat/>
    <w:rsid w:val="001E099B"/>
    <w:pPr>
      <w:numPr>
        <w:numId w:val="1"/>
      </w:numPr>
      <w:spacing w:before="120" w:line="240" w:lineRule="auto"/>
      <w:contextualSpacing/>
    </w:pPr>
    <w:rPr>
      <w:rFonts w:ascii="Calibri" w:eastAsia="Times New Roman" w:hAnsi="Calibri" w:cs="Times New Roman"/>
      <w:lang w:eastAsia="en-US"/>
    </w:rPr>
  </w:style>
  <w:style w:type="character" w:customStyle="1" w:styleId="ListParagraphChar">
    <w:name w:val="List Paragraph Char"/>
    <w:aliases w:val="Table/Figure Heading Char,Annex Char"/>
    <w:link w:val="ListParagraph"/>
    <w:uiPriority w:val="34"/>
    <w:locked/>
    <w:rsid w:val="001E099B"/>
    <w:rPr>
      <w:rFonts w:ascii="Calibri" w:eastAsia="Times New Roman" w:hAnsi="Calibri" w:cs="Times New Roman"/>
      <w:lang w:val="sq-AL"/>
    </w:rPr>
  </w:style>
  <w:style w:type="paragraph" w:customStyle="1" w:styleId="ALB-LawPreamble">
    <w:name w:val="ALB-Law Preamble"/>
    <w:rsid w:val="001E099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character" w:styleId="Hyperlink">
    <w:name w:val="Hyperlink"/>
    <w:basedOn w:val="DefaultParagraphFont"/>
    <w:uiPriority w:val="99"/>
    <w:rsid w:val="00395EA8"/>
    <w:rPr>
      <w:rFonts w:cs="Times New Roman"/>
      <w:color w:val="0000FF"/>
      <w:u w:val="single"/>
    </w:rPr>
  </w:style>
  <w:style w:type="paragraph" w:styleId="TOC1">
    <w:name w:val="toc 1"/>
    <w:basedOn w:val="Normal"/>
    <w:next w:val="Normal"/>
    <w:autoRedefine/>
    <w:uiPriority w:val="39"/>
    <w:qFormat/>
    <w:rsid w:val="00395EA8"/>
    <w:pPr>
      <w:tabs>
        <w:tab w:val="left" w:pos="480"/>
        <w:tab w:val="right" w:leader="dot" w:pos="9639"/>
      </w:tabs>
      <w:spacing w:after="0" w:line="240" w:lineRule="auto"/>
    </w:pPr>
    <w:rPr>
      <w:rFonts w:ascii="Calibri" w:eastAsia="Times New Roman" w:hAnsi="Calibri" w:cs="Times New Roman"/>
      <w:b/>
      <w:noProof/>
      <w:sz w:val="24"/>
      <w:szCs w:val="24"/>
    </w:rPr>
  </w:style>
  <w:style w:type="paragraph" w:styleId="TOC2">
    <w:name w:val="toc 2"/>
    <w:basedOn w:val="Normal"/>
    <w:next w:val="Normal"/>
    <w:autoRedefine/>
    <w:uiPriority w:val="39"/>
    <w:qFormat/>
    <w:rsid w:val="00395EA8"/>
    <w:pPr>
      <w:spacing w:before="120" w:line="240" w:lineRule="auto"/>
      <w:ind w:left="240"/>
    </w:pPr>
    <w:rPr>
      <w:rFonts w:ascii="Calibri" w:eastAsia="Times New Roman" w:hAnsi="Calibri" w:cs="Times New Roman"/>
      <w:sz w:val="24"/>
      <w:szCs w:val="24"/>
    </w:rPr>
  </w:style>
  <w:style w:type="paragraph" w:styleId="TOC3">
    <w:name w:val="toc 3"/>
    <w:basedOn w:val="Normal"/>
    <w:next w:val="Normal"/>
    <w:autoRedefine/>
    <w:uiPriority w:val="39"/>
    <w:qFormat/>
    <w:rsid w:val="00395EA8"/>
    <w:pPr>
      <w:spacing w:before="120" w:line="240" w:lineRule="auto"/>
      <w:ind w:left="480"/>
    </w:pPr>
    <w:rPr>
      <w:rFonts w:ascii="Calibri" w:eastAsia="Times New Roman" w:hAnsi="Calibri" w:cs="Times New Roman"/>
      <w:sz w:val="24"/>
      <w:szCs w:val="24"/>
    </w:rPr>
  </w:style>
  <w:style w:type="character" w:customStyle="1" w:styleId="Heading1Char">
    <w:name w:val="Heading 1 Char"/>
    <w:basedOn w:val="DefaultParagraphFont"/>
    <w:link w:val="Heading1"/>
    <w:rsid w:val="00395EA8"/>
    <w:rPr>
      <w:rFonts w:asciiTheme="majorHAnsi" w:eastAsiaTheme="majorEastAsia" w:hAnsiTheme="majorHAnsi" w:cstheme="majorBidi"/>
      <w:b/>
      <w:bCs/>
      <w:color w:val="365F91" w:themeColor="accent1" w:themeShade="BF"/>
      <w:sz w:val="28"/>
      <w:szCs w:val="28"/>
      <w:lang w:val="sq-AL" w:eastAsia="it-IT"/>
    </w:rPr>
  </w:style>
  <w:style w:type="paragraph" w:styleId="TOCHeading">
    <w:name w:val="TOC Heading"/>
    <w:basedOn w:val="Heading1"/>
    <w:next w:val="Normal"/>
    <w:uiPriority w:val="39"/>
    <w:unhideWhenUsed/>
    <w:qFormat/>
    <w:rsid w:val="00395EA8"/>
    <w:pPr>
      <w:spacing w:line="240" w:lineRule="auto"/>
      <w:outlineLvl w:val="9"/>
    </w:pPr>
    <w:rPr>
      <w:sz w:val="32"/>
      <w:szCs w:val="32"/>
    </w:rPr>
  </w:style>
  <w:style w:type="paragraph" w:styleId="BalloonText">
    <w:name w:val="Balloon Text"/>
    <w:basedOn w:val="Normal"/>
    <w:link w:val="BalloonTextChar"/>
    <w:uiPriority w:val="99"/>
    <w:semiHidden/>
    <w:unhideWhenUsed/>
    <w:rsid w:val="00395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EA8"/>
    <w:rPr>
      <w:rFonts w:ascii="Tahoma" w:eastAsiaTheme="minorEastAsia" w:hAnsi="Tahoma" w:cs="Tahoma"/>
      <w:sz w:val="16"/>
      <w:szCs w:val="16"/>
      <w:lang w:val="sq-AL" w:eastAsia="it-IT"/>
    </w:rPr>
  </w:style>
  <w:style w:type="table" w:styleId="TableGrid">
    <w:name w:val="Table Grid"/>
    <w:aliases w:val="Tabellengitternetz"/>
    <w:basedOn w:val="TableNormal"/>
    <w:uiPriority w:val="39"/>
    <w:rsid w:val="00395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24568"/>
    <w:pPr>
      <w:spacing w:after="0" w:line="240" w:lineRule="auto"/>
      <w:jc w:val="both"/>
    </w:pPr>
    <w:rPr>
      <w:rFonts w:ascii="Calibri" w:eastAsia="Times New Roman" w:hAnsi="Calibri" w:cs="Times New Roman"/>
      <w:sz w:val="24"/>
      <w:szCs w:val="24"/>
      <w:lang w:val="it-IT" w:eastAsia="it-IT"/>
    </w:rPr>
  </w:style>
  <w:style w:type="character" w:customStyle="1" w:styleId="NoSpacingChar">
    <w:name w:val="No Spacing Char"/>
    <w:basedOn w:val="DefaultParagraphFont"/>
    <w:link w:val="NoSpacing"/>
    <w:uiPriority w:val="1"/>
    <w:rsid w:val="00E24568"/>
    <w:rPr>
      <w:rFonts w:ascii="Calibri" w:eastAsia="Times New Roman" w:hAnsi="Calibri" w:cs="Times New Roman"/>
      <w:sz w:val="24"/>
      <w:szCs w:val="24"/>
      <w:lang w:val="it-IT" w:eastAsia="it-IT"/>
    </w:rPr>
  </w:style>
  <w:style w:type="paragraph" w:styleId="FootnoteText">
    <w:name w:val="footnote text"/>
    <w:aliases w:val="Fußnotentext Char1,Fußnotentext Char Char,Fußnotentext Char1 Char Char,Fußnotentext Char Char Char Char,Fußnotentext Char1 Char Char Char Char,Fußnotentext Char Char Char Char Char Char,Fußnotentext Char Char1 Char Char,f"/>
    <w:basedOn w:val="Normal"/>
    <w:link w:val="FootnoteTextChar"/>
    <w:uiPriority w:val="99"/>
    <w:qFormat/>
    <w:rsid w:val="001C6C5A"/>
    <w:pPr>
      <w:spacing w:before="120" w:line="240" w:lineRule="auto"/>
    </w:pPr>
    <w:rPr>
      <w:rFonts w:ascii="Calibri" w:eastAsia="Times New Roman" w:hAnsi="Calibri" w:cs="Times New Roman"/>
      <w:sz w:val="20"/>
      <w:szCs w:val="20"/>
    </w:rPr>
  </w:style>
  <w:style w:type="character" w:customStyle="1" w:styleId="FootnoteTextChar">
    <w:name w:val="Footnote Text Char"/>
    <w:aliases w:val="Fußnotentext Char1 Char,Fußnotentext Char Char Char,Fußnotentext Char1 Char Char Char,Fußnotentext Char Char Char Char Char,Fußnotentext Char1 Char Char Char Char Char,Fußnotentext Char Char Char Char Char Char Char,f Char"/>
    <w:basedOn w:val="DefaultParagraphFont"/>
    <w:link w:val="FootnoteText"/>
    <w:uiPriority w:val="99"/>
    <w:rsid w:val="001C6C5A"/>
    <w:rPr>
      <w:rFonts w:ascii="Calibri" w:eastAsia="Times New Roman" w:hAnsi="Calibri" w:cs="Times New Roman"/>
      <w:sz w:val="20"/>
      <w:szCs w:val="20"/>
      <w:lang w:val="sq-AL" w:eastAsia="it-IT"/>
    </w:rPr>
  </w:style>
  <w:style w:type="character" w:styleId="FootnoteReference">
    <w:name w:val="footnote reference"/>
    <w:aliases w:val="4_G,ftref,BVI fnr,16 Point,Superscript 6 Point,Fußnotenzeichen DISS,Footnote,Footnote symbol,Char1 Char Char Char Char, Char1 Char Char Char Char,number,SUPERS,Footnote Reference Superscript,-E Fuﬂnotenzeichen,fr,BVI fnr Car Car"/>
    <w:basedOn w:val="DefaultParagraphFont"/>
    <w:link w:val="BVIfnrCarCarCarCarChar"/>
    <w:uiPriority w:val="99"/>
    <w:qFormat/>
    <w:rsid w:val="001C6C5A"/>
    <w:rPr>
      <w:rFonts w:cs="Times New Roman"/>
      <w:vertAlign w:val="superscript"/>
    </w:rPr>
  </w:style>
  <w:style w:type="paragraph" w:customStyle="1" w:styleId="BVIfnrCarCarCarCarChar">
    <w:name w:val="BVI fnr Car Car Car Car Char"/>
    <w:basedOn w:val="Normal"/>
    <w:link w:val="FootnoteReference"/>
    <w:uiPriority w:val="99"/>
    <w:rsid w:val="001C6C5A"/>
    <w:pPr>
      <w:spacing w:after="160" w:line="240" w:lineRule="exact"/>
    </w:pPr>
    <w:rPr>
      <w:rFonts w:eastAsiaTheme="minorHAnsi" w:cs="Times New Roman"/>
      <w:vertAlign w:val="superscript"/>
      <w:lang w:val="en-US" w:eastAsia="en-US"/>
    </w:rPr>
  </w:style>
  <w:style w:type="paragraph" w:styleId="Caption">
    <w:name w:val="caption"/>
    <w:aliases w:val="Beschriftung Char1,Beschriftung Char Char,Beschriftung Char Char Char,Beschriftung Char Char Char Char Char,Beschriftung2,Beschriftung Char Char2,Beschriftung Char,Beschriftung Char Char Char Char Char Char Char Char"/>
    <w:basedOn w:val="Normal"/>
    <w:next w:val="Normal"/>
    <w:link w:val="CaptionChar"/>
    <w:qFormat/>
    <w:rsid w:val="001C6C5A"/>
    <w:pPr>
      <w:spacing w:before="120" w:line="240" w:lineRule="auto"/>
    </w:pPr>
    <w:rPr>
      <w:rFonts w:ascii="Calibri" w:eastAsia="Times New Roman" w:hAnsi="Calibri" w:cs="Times New Roman"/>
      <w:b/>
      <w:bCs/>
      <w:sz w:val="20"/>
      <w:szCs w:val="20"/>
    </w:rPr>
  </w:style>
  <w:style w:type="character" w:customStyle="1" w:styleId="CaptionChar">
    <w:name w:val="Caption Char"/>
    <w:aliases w:val="Beschriftung Char1 Char,Beschriftung Char Char Char1,Beschriftung Char Char Char Char,Beschriftung Char Char Char Char Char Char,Beschriftung2 Char,Beschriftung Char Char2 Char,Beschriftung Char Char1"/>
    <w:link w:val="Caption"/>
    <w:uiPriority w:val="35"/>
    <w:rsid w:val="001C6C5A"/>
    <w:rPr>
      <w:rFonts w:ascii="Calibri" w:eastAsia="Times New Roman" w:hAnsi="Calibri" w:cs="Times New Roman"/>
      <w:b/>
      <w:bCs/>
      <w:sz w:val="20"/>
      <w:szCs w:val="20"/>
      <w:lang w:val="sq-AL" w:eastAsia="it-IT"/>
    </w:rPr>
  </w:style>
  <w:style w:type="table" w:customStyle="1" w:styleId="GridTable1Light-Accent11">
    <w:name w:val="Grid Table 1 Light - Accent 11"/>
    <w:basedOn w:val="TableNormal"/>
    <w:uiPriority w:val="46"/>
    <w:rsid w:val="001C6C5A"/>
    <w:pPr>
      <w:spacing w:after="0" w:line="240" w:lineRule="auto"/>
    </w:pPr>
    <w:rPr>
      <w:rFonts w:eastAsiaTheme="minorEastAsia"/>
      <w:lang w:val="it-IT" w:eastAsia="it-I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3A6446"/>
    <w:pPr>
      <w:autoSpaceDE w:val="0"/>
      <w:autoSpaceDN w:val="0"/>
      <w:adjustRightInd w:val="0"/>
      <w:spacing w:after="0" w:line="240" w:lineRule="auto"/>
    </w:pPr>
    <w:rPr>
      <w:rFonts w:ascii="Times New Roman" w:eastAsia="Times New Roman" w:hAnsi="Times New Roman" w:cs="Times New Roman"/>
      <w:color w:val="000000"/>
      <w:sz w:val="24"/>
      <w:szCs w:val="24"/>
      <w:lang w:val="it-IT" w:eastAsia="it-IT"/>
    </w:rPr>
  </w:style>
  <w:style w:type="paragraph" w:customStyle="1" w:styleId="Paragrafoelenco1">
    <w:name w:val="Paragrafo elenco1"/>
    <w:aliases w:val="List Paragraph (numbered (a))"/>
    <w:basedOn w:val="Normal"/>
    <w:link w:val="Paragrafoelenco1Carattere"/>
    <w:qFormat/>
    <w:rsid w:val="003A6446"/>
    <w:pPr>
      <w:numPr>
        <w:numId w:val="2"/>
      </w:numPr>
      <w:spacing w:before="120" w:line="240" w:lineRule="auto"/>
      <w:ind w:left="567" w:hanging="284"/>
    </w:pPr>
    <w:rPr>
      <w:rFonts w:eastAsia="Times New Roman" w:cs="Times New Roman"/>
      <w:lang w:val="en-GB" w:eastAsia="en-US"/>
    </w:rPr>
  </w:style>
  <w:style w:type="character" w:customStyle="1" w:styleId="Paragrafoelenco1Carattere">
    <w:name w:val="Paragrafo elenco1 Carattere"/>
    <w:aliases w:val="List Paragraph (numbered (a)) Carattere"/>
    <w:link w:val="Paragrafoelenco1"/>
    <w:locked/>
    <w:rsid w:val="003A6446"/>
    <w:rPr>
      <w:rFonts w:eastAsia="Times New Roman" w:cs="Times New Roman"/>
      <w:lang w:val="en-GB"/>
    </w:rPr>
  </w:style>
  <w:style w:type="character" w:customStyle="1" w:styleId="Caratteredellanota">
    <w:name w:val="Carattere della nota"/>
    <w:rsid w:val="003A6446"/>
    <w:rPr>
      <w:vertAlign w:val="superscript"/>
    </w:rPr>
  </w:style>
  <w:style w:type="character" w:customStyle="1" w:styleId="StandardtextbodyZchn">
    <w:name w:val="Standardtext_body Zchn"/>
    <w:link w:val="Standardtextbody"/>
    <w:locked/>
    <w:rsid w:val="003A6446"/>
    <w:rPr>
      <w:rFonts w:ascii="Arial" w:hAnsi="Arial" w:cs="Arial"/>
      <w:bCs/>
      <w:iCs/>
    </w:rPr>
  </w:style>
  <w:style w:type="paragraph" w:customStyle="1" w:styleId="Standardtextbody">
    <w:name w:val="Standardtext_body"/>
    <w:basedOn w:val="Normal"/>
    <w:link w:val="StandardtextbodyZchn"/>
    <w:qFormat/>
    <w:rsid w:val="003A6446"/>
    <w:pPr>
      <w:spacing w:line="280" w:lineRule="exact"/>
      <w:jc w:val="left"/>
    </w:pPr>
    <w:rPr>
      <w:rFonts w:ascii="Arial" w:eastAsiaTheme="minorHAnsi" w:hAnsi="Arial" w:cs="Arial"/>
      <w:bCs/>
      <w:iCs/>
      <w:lang w:val="en-US" w:eastAsia="en-US"/>
    </w:rPr>
  </w:style>
  <w:style w:type="paragraph" w:customStyle="1" w:styleId="Funote">
    <w:name w:val="Fußnote"/>
    <w:basedOn w:val="FootnoteText"/>
    <w:link w:val="FunoteZchn"/>
    <w:qFormat/>
    <w:rsid w:val="003A6446"/>
    <w:pPr>
      <w:spacing w:before="0" w:after="0"/>
      <w:jc w:val="left"/>
    </w:pPr>
    <w:rPr>
      <w:rFonts w:ascii="Arial" w:hAnsi="Arial" w:cs="Arial"/>
      <w:sz w:val="16"/>
      <w:szCs w:val="16"/>
      <w:lang w:val="en-GB" w:eastAsia="zh-CN"/>
    </w:rPr>
  </w:style>
  <w:style w:type="character" w:customStyle="1" w:styleId="FunoteZchn">
    <w:name w:val="Fußnote Zchn"/>
    <w:link w:val="Funote"/>
    <w:rsid w:val="003A6446"/>
    <w:rPr>
      <w:rFonts w:ascii="Arial" w:eastAsia="Times New Roman" w:hAnsi="Arial" w:cs="Arial"/>
      <w:sz w:val="16"/>
      <w:szCs w:val="16"/>
      <w:lang w:val="en-GB" w:eastAsia="zh-CN"/>
    </w:rPr>
  </w:style>
  <w:style w:type="paragraph" w:styleId="NormalWeb">
    <w:name w:val="Normal (Web)"/>
    <w:basedOn w:val="Normal"/>
    <w:uiPriority w:val="99"/>
    <w:rsid w:val="00D86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20D71"/>
    <w:rPr>
      <w:rFonts w:asciiTheme="majorHAnsi" w:eastAsiaTheme="majorEastAsia" w:hAnsiTheme="majorHAnsi" w:cstheme="majorBidi"/>
      <w:b/>
      <w:bCs/>
      <w:color w:val="4F81BD" w:themeColor="accent1"/>
      <w:lang w:val="sq-AL" w:eastAsia="it-IT"/>
    </w:rPr>
  </w:style>
  <w:style w:type="character" w:customStyle="1" w:styleId="Heading2Char">
    <w:name w:val="Heading 2 Char"/>
    <w:aliases w:val="Subchapter 1.1 Char"/>
    <w:basedOn w:val="DefaultParagraphFont"/>
    <w:link w:val="Heading2"/>
    <w:rsid w:val="00E20D71"/>
    <w:rPr>
      <w:rFonts w:ascii="Calibri" w:eastAsia="Times New Roman" w:hAnsi="Calibri" w:cs="Times New Roman"/>
      <w:b/>
      <w:color w:val="365F91" w:themeColor="accent1" w:themeShade="BF"/>
      <w:sz w:val="24"/>
      <w:szCs w:val="24"/>
      <w:lang w:val="sq-AL" w:eastAsia="it-IT"/>
    </w:rPr>
  </w:style>
  <w:style w:type="character" w:customStyle="1" w:styleId="Heading4Char">
    <w:name w:val="Heading 4 Char"/>
    <w:basedOn w:val="DefaultParagraphFont"/>
    <w:link w:val="Heading4"/>
    <w:uiPriority w:val="9"/>
    <w:rsid w:val="00E20D71"/>
    <w:rPr>
      <w:rFonts w:ascii="Cambria" w:eastAsia="Times New Roman" w:hAnsi="Cambria" w:cs="Times New Roman"/>
      <w:i/>
      <w:iCs/>
      <w:color w:val="365F91"/>
      <w:lang w:val="sq-AL"/>
    </w:rPr>
  </w:style>
  <w:style w:type="character" w:customStyle="1" w:styleId="Heading5Char">
    <w:name w:val="Heading 5 Char"/>
    <w:basedOn w:val="DefaultParagraphFont"/>
    <w:link w:val="Heading5"/>
    <w:uiPriority w:val="9"/>
    <w:rsid w:val="00E20D71"/>
    <w:rPr>
      <w:rFonts w:ascii="Calibri" w:eastAsia="Times New Roman" w:hAnsi="Calibri" w:cs="Arial"/>
      <w:b/>
      <w:bCs/>
      <w:i/>
      <w:iCs/>
      <w:sz w:val="26"/>
      <w:szCs w:val="26"/>
      <w:lang w:val="en-GB"/>
    </w:rPr>
  </w:style>
  <w:style w:type="character" w:customStyle="1" w:styleId="Heading6Char">
    <w:name w:val="Heading 6 Char"/>
    <w:basedOn w:val="DefaultParagraphFont"/>
    <w:link w:val="Heading6"/>
    <w:uiPriority w:val="9"/>
    <w:rsid w:val="00E20D71"/>
    <w:rPr>
      <w:rFonts w:ascii="Arial" w:eastAsia="Times New Roman" w:hAnsi="Arial" w:cs="Arial"/>
      <w:b/>
      <w:bCs/>
      <w:lang w:val="en-GB"/>
    </w:rPr>
  </w:style>
  <w:style w:type="character" w:customStyle="1" w:styleId="Heading7Char">
    <w:name w:val="Heading 7 Char"/>
    <w:basedOn w:val="DefaultParagraphFont"/>
    <w:link w:val="Heading7"/>
    <w:rsid w:val="00E20D71"/>
    <w:rPr>
      <w:rFonts w:ascii="Calibri" w:eastAsia="Times New Roman" w:hAnsi="Calibri" w:cs="Arial"/>
      <w:sz w:val="24"/>
      <w:szCs w:val="24"/>
      <w:lang w:val="en-GB"/>
    </w:rPr>
  </w:style>
  <w:style w:type="character" w:customStyle="1" w:styleId="Heading8Char">
    <w:name w:val="Heading 8 Char"/>
    <w:basedOn w:val="DefaultParagraphFont"/>
    <w:link w:val="Heading8"/>
    <w:uiPriority w:val="9"/>
    <w:semiHidden/>
    <w:rsid w:val="00E20D71"/>
    <w:rPr>
      <w:rFonts w:ascii="Calibri" w:eastAsia="Times New Roman" w:hAnsi="Calibri" w:cs="Arial"/>
      <w:i/>
      <w:iCs/>
      <w:sz w:val="24"/>
      <w:szCs w:val="24"/>
      <w:lang w:val="en-GB"/>
    </w:rPr>
  </w:style>
  <w:style w:type="character" w:customStyle="1" w:styleId="Heading9Char">
    <w:name w:val="Heading 9 Char"/>
    <w:basedOn w:val="DefaultParagraphFont"/>
    <w:link w:val="Heading9"/>
    <w:uiPriority w:val="9"/>
    <w:semiHidden/>
    <w:rsid w:val="00E20D71"/>
    <w:rPr>
      <w:rFonts w:ascii="Cambria" w:eastAsia="Times New Roman" w:hAnsi="Cambria" w:cs="Arial"/>
      <w:lang w:val="en-GB"/>
    </w:rPr>
  </w:style>
  <w:style w:type="paragraph" w:styleId="Header">
    <w:name w:val="header"/>
    <w:basedOn w:val="Normal"/>
    <w:link w:val="HeaderChar"/>
    <w:uiPriority w:val="99"/>
    <w:unhideWhenUsed/>
    <w:rsid w:val="00E20D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D71"/>
    <w:rPr>
      <w:rFonts w:eastAsiaTheme="minorEastAsia"/>
      <w:lang w:val="sq-AL" w:eastAsia="it-IT"/>
    </w:rPr>
  </w:style>
  <w:style w:type="paragraph" w:styleId="Footer">
    <w:name w:val="footer"/>
    <w:basedOn w:val="Normal"/>
    <w:link w:val="FooterChar"/>
    <w:uiPriority w:val="99"/>
    <w:unhideWhenUsed/>
    <w:rsid w:val="00E20D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D71"/>
    <w:rPr>
      <w:rFonts w:eastAsiaTheme="minorEastAsia"/>
      <w:lang w:val="sq-AL" w:eastAsia="it-IT"/>
    </w:rPr>
  </w:style>
  <w:style w:type="character" w:styleId="CommentReference">
    <w:name w:val="annotation reference"/>
    <w:basedOn w:val="DefaultParagraphFont"/>
    <w:uiPriority w:val="99"/>
    <w:unhideWhenUsed/>
    <w:rsid w:val="00E20D71"/>
    <w:rPr>
      <w:sz w:val="16"/>
      <w:szCs w:val="16"/>
    </w:rPr>
  </w:style>
  <w:style w:type="paragraph" w:styleId="CommentText">
    <w:name w:val="annotation text"/>
    <w:basedOn w:val="Normal"/>
    <w:link w:val="CommentTextChar"/>
    <w:uiPriority w:val="99"/>
    <w:unhideWhenUsed/>
    <w:rsid w:val="00E20D71"/>
    <w:pPr>
      <w:spacing w:line="240" w:lineRule="auto"/>
    </w:pPr>
    <w:rPr>
      <w:sz w:val="20"/>
      <w:szCs w:val="20"/>
    </w:rPr>
  </w:style>
  <w:style w:type="character" w:customStyle="1" w:styleId="CommentTextChar">
    <w:name w:val="Comment Text Char"/>
    <w:basedOn w:val="DefaultParagraphFont"/>
    <w:link w:val="CommentText"/>
    <w:uiPriority w:val="99"/>
    <w:rsid w:val="00E20D71"/>
    <w:rPr>
      <w:rFonts w:eastAsiaTheme="minorEastAsia"/>
      <w:sz w:val="20"/>
      <w:szCs w:val="20"/>
      <w:lang w:val="sq-AL" w:eastAsia="it-IT"/>
    </w:rPr>
  </w:style>
  <w:style w:type="paragraph" w:styleId="CommentSubject">
    <w:name w:val="annotation subject"/>
    <w:basedOn w:val="CommentText"/>
    <w:next w:val="CommentText"/>
    <w:link w:val="CommentSubjectChar"/>
    <w:uiPriority w:val="99"/>
    <w:semiHidden/>
    <w:unhideWhenUsed/>
    <w:rsid w:val="00E20D71"/>
    <w:rPr>
      <w:b/>
      <w:bCs/>
    </w:rPr>
  </w:style>
  <w:style w:type="character" w:customStyle="1" w:styleId="CommentSubjectChar">
    <w:name w:val="Comment Subject Char"/>
    <w:basedOn w:val="CommentTextChar"/>
    <w:link w:val="CommentSubject"/>
    <w:uiPriority w:val="99"/>
    <w:semiHidden/>
    <w:rsid w:val="00E20D71"/>
    <w:rPr>
      <w:rFonts w:eastAsiaTheme="minorEastAsia"/>
      <w:b/>
      <w:bCs/>
      <w:sz w:val="20"/>
      <w:szCs w:val="20"/>
      <w:lang w:val="sq-AL" w:eastAsia="it-IT"/>
    </w:rPr>
  </w:style>
  <w:style w:type="character" w:styleId="PageNumber">
    <w:name w:val="page number"/>
    <w:basedOn w:val="DefaultParagraphFont"/>
    <w:rsid w:val="00E20D71"/>
    <w:rPr>
      <w:rFonts w:cs="Times New Roman"/>
    </w:rPr>
  </w:style>
  <w:style w:type="paragraph" w:styleId="BodyTextIndent2">
    <w:name w:val="Body Text Indent 2"/>
    <w:basedOn w:val="Normal"/>
    <w:link w:val="BodyTextIndent2Char"/>
    <w:uiPriority w:val="99"/>
    <w:rsid w:val="00E20D71"/>
    <w:pPr>
      <w:widowControl w:val="0"/>
      <w:autoSpaceDE w:val="0"/>
      <w:autoSpaceDN w:val="0"/>
      <w:spacing w:before="120" w:line="240" w:lineRule="auto"/>
      <w:ind w:left="1700"/>
    </w:pPr>
    <w:rPr>
      <w:rFonts w:ascii="Times New Roman" w:eastAsia="Times New Roman" w:hAnsi="Times New Roman" w:cs="Times New Roman"/>
      <w:color w:val="000000"/>
      <w:sz w:val="24"/>
      <w:szCs w:val="24"/>
    </w:rPr>
  </w:style>
  <w:style w:type="character" w:customStyle="1" w:styleId="BodyTextIndent2Char">
    <w:name w:val="Body Text Indent 2 Char"/>
    <w:basedOn w:val="DefaultParagraphFont"/>
    <w:link w:val="BodyTextIndent2"/>
    <w:uiPriority w:val="99"/>
    <w:rsid w:val="00E20D71"/>
    <w:rPr>
      <w:rFonts w:ascii="Times New Roman" w:eastAsia="Times New Roman" w:hAnsi="Times New Roman" w:cs="Times New Roman"/>
      <w:color w:val="000000"/>
      <w:sz w:val="24"/>
      <w:szCs w:val="24"/>
      <w:lang w:val="sq-AL" w:eastAsia="it-IT"/>
    </w:rPr>
  </w:style>
  <w:style w:type="paragraph" w:customStyle="1" w:styleId="default0">
    <w:name w:val="default"/>
    <w:basedOn w:val="Normal"/>
    <w:uiPriority w:val="99"/>
    <w:rsid w:val="00E20D71"/>
    <w:pPr>
      <w:autoSpaceDE w:val="0"/>
      <w:autoSpaceDN w:val="0"/>
      <w:spacing w:before="12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rsid w:val="00E20D71"/>
    <w:pPr>
      <w:spacing w:before="120" w:line="240" w:lineRule="auto"/>
    </w:pPr>
    <w:rPr>
      <w:rFonts w:ascii="Calibri" w:eastAsia="Times New Roman" w:hAnsi="Calibri" w:cs="Times New Roman"/>
      <w:sz w:val="24"/>
      <w:szCs w:val="24"/>
    </w:rPr>
  </w:style>
  <w:style w:type="character" w:customStyle="1" w:styleId="BodyTextChar">
    <w:name w:val="Body Text Char"/>
    <w:basedOn w:val="DefaultParagraphFont"/>
    <w:link w:val="BodyText"/>
    <w:rsid w:val="00E20D71"/>
    <w:rPr>
      <w:rFonts w:ascii="Calibri" w:eastAsia="Times New Roman" w:hAnsi="Calibri" w:cs="Times New Roman"/>
      <w:sz w:val="24"/>
      <w:szCs w:val="24"/>
      <w:lang w:val="sq-AL" w:eastAsia="it-IT"/>
    </w:rPr>
  </w:style>
  <w:style w:type="paragraph" w:styleId="BodyText2">
    <w:name w:val="Body Text 2"/>
    <w:basedOn w:val="Normal"/>
    <w:link w:val="BodyText2Char"/>
    <w:uiPriority w:val="99"/>
    <w:rsid w:val="00E20D71"/>
    <w:pPr>
      <w:spacing w:before="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uiPriority w:val="99"/>
    <w:rsid w:val="00E20D71"/>
    <w:rPr>
      <w:rFonts w:ascii="Calibri" w:eastAsia="Times New Roman" w:hAnsi="Calibri" w:cs="Times New Roman"/>
      <w:sz w:val="24"/>
      <w:szCs w:val="24"/>
      <w:lang w:val="sq-AL" w:eastAsia="it-IT"/>
    </w:rPr>
  </w:style>
  <w:style w:type="paragraph" w:styleId="BodyText3">
    <w:name w:val="Body Text 3"/>
    <w:basedOn w:val="Normal"/>
    <w:link w:val="BodyText3Char"/>
    <w:uiPriority w:val="99"/>
    <w:rsid w:val="00E20D71"/>
    <w:pPr>
      <w:spacing w:before="120" w:line="240" w:lineRule="auto"/>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E20D71"/>
    <w:rPr>
      <w:rFonts w:ascii="Calibri" w:eastAsia="Times New Roman" w:hAnsi="Calibri" w:cs="Times New Roman"/>
      <w:sz w:val="16"/>
      <w:szCs w:val="16"/>
      <w:lang w:val="sq-AL" w:eastAsia="it-IT"/>
    </w:rPr>
  </w:style>
  <w:style w:type="paragraph" w:styleId="Title">
    <w:name w:val="Title"/>
    <w:basedOn w:val="Normal"/>
    <w:link w:val="TitleChar"/>
    <w:qFormat/>
    <w:rsid w:val="00E20D71"/>
    <w:pPr>
      <w:spacing w:before="120" w:line="240" w:lineRule="auto"/>
      <w:jc w:val="center"/>
    </w:pPr>
    <w:rPr>
      <w:rFonts w:ascii="Calibri" w:eastAsia="Times New Roman" w:hAnsi="Calibri" w:cs="Times New Roman"/>
      <w:b/>
      <w:sz w:val="36"/>
      <w:szCs w:val="20"/>
    </w:rPr>
  </w:style>
  <w:style w:type="character" w:customStyle="1" w:styleId="TitleChar">
    <w:name w:val="Title Char"/>
    <w:basedOn w:val="DefaultParagraphFont"/>
    <w:link w:val="Title"/>
    <w:rsid w:val="00E20D71"/>
    <w:rPr>
      <w:rFonts w:ascii="Calibri" w:eastAsia="Times New Roman" w:hAnsi="Calibri" w:cs="Times New Roman"/>
      <w:b/>
      <w:sz w:val="36"/>
      <w:szCs w:val="20"/>
      <w:lang w:val="sq-AL" w:eastAsia="it-IT"/>
    </w:rPr>
  </w:style>
  <w:style w:type="paragraph" w:customStyle="1" w:styleId="ReportAuthor">
    <w:name w:val="ReportAuthor"/>
    <w:basedOn w:val="Normal"/>
    <w:uiPriority w:val="99"/>
    <w:rsid w:val="00E20D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0" w:line="320" w:lineRule="atLeast"/>
      <w:ind w:right="1800"/>
    </w:pPr>
    <w:rPr>
      <w:rFonts w:ascii="Times New Roman" w:eastAsia="Times New Roman" w:hAnsi="Times New Roman" w:cs="Times New Roman"/>
      <w:b/>
      <w:color w:val="000000"/>
      <w:sz w:val="24"/>
      <w:szCs w:val="20"/>
    </w:rPr>
  </w:style>
  <w:style w:type="paragraph" w:customStyle="1" w:styleId="Grigliamedia1-Colore21">
    <w:name w:val="Griglia media 1 - Colore 21"/>
    <w:basedOn w:val="Normal"/>
    <w:uiPriority w:val="99"/>
    <w:rsid w:val="00E20D71"/>
    <w:pPr>
      <w:spacing w:before="120" w:line="240" w:lineRule="auto"/>
      <w:ind w:left="720"/>
      <w:contextualSpacing/>
    </w:pPr>
    <w:rPr>
      <w:rFonts w:ascii="Cambria" w:eastAsia="Times New Roman" w:hAnsi="Cambria" w:cs="Times New Roman"/>
      <w:sz w:val="24"/>
      <w:szCs w:val="24"/>
      <w:lang w:val="en-GB" w:eastAsia="en-US"/>
    </w:rPr>
  </w:style>
  <w:style w:type="character" w:styleId="Strong">
    <w:name w:val="Strong"/>
    <w:basedOn w:val="DefaultParagraphFont"/>
    <w:qFormat/>
    <w:rsid w:val="00E20D71"/>
    <w:rPr>
      <w:rFonts w:cs="Times New Roman"/>
      <w:b/>
    </w:rPr>
  </w:style>
  <w:style w:type="paragraph" w:styleId="Subtitle">
    <w:name w:val="Subtitle"/>
    <w:basedOn w:val="Normal"/>
    <w:next w:val="Normal"/>
    <w:link w:val="SubtitleChar"/>
    <w:uiPriority w:val="99"/>
    <w:qFormat/>
    <w:rsid w:val="00E20D71"/>
    <w:pPr>
      <w:numPr>
        <w:ilvl w:val="1"/>
      </w:numPr>
      <w:spacing w:before="120" w:line="240" w:lineRule="auto"/>
    </w:pPr>
    <w:rPr>
      <w:rFonts w:ascii="Calibri" w:eastAsia="Times New Roman" w:hAnsi="Calibri" w:cs="Times New Roman"/>
      <w:i/>
      <w:iCs/>
      <w:color w:val="4F81BD"/>
      <w:spacing w:val="15"/>
      <w:sz w:val="24"/>
      <w:szCs w:val="24"/>
      <w:lang w:eastAsia="en-US"/>
    </w:rPr>
  </w:style>
  <w:style w:type="character" w:customStyle="1" w:styleId="SubtitleChar">
    <w:name w:val="Subtitle Char"/>
    <w:basedOn w:val="DefaultParagraphFont"/>
    <w:link w:val="Subtitle"/>
    <w:uiPriority w:val="99"/>
    <w:rsid w:val="00E20D71"/>
    <w:rPr>
      <w:rFonts w:ascii="Calibri" w:eastAsia="Times New Roman" w:hAnsi="Calibri" w:cs="Times New Roman"/>
      <w:i/>
      <w:iCs/>
      <w:color w:val="4F81BD"/>
      <w:spacing w:val="15"/>
      <w:sz w:val="24"/>
      <w:szCs w:val="24"/>
      <w:lang w:val="sq-AL"/>
    </w:rPr>
  </w:style>
  <w:style w:type="paragraph" w:customStyle="1" w:styleId="Box">
    <w:name w:val="Box"/>
    <w:basedOn w:val="Normal"/>
    <w:rsid w:val="00E20D71"/>
    <w:pPr>
      <w:spacing w:after="0" w:line="240" w:lineRule="auto"/>
    </w:pPr>
    <w:rPr>
      <w:rFonts w:ascii="Calibri" w:eastAsia="Times New Roman" w:hAnsi="Calibri" w:cs="Times New Roman"/>
      <w:sz w:val="20"/>
      <w:szCs w:val="24"/>
      <w:lang w:val="en-GB"/>
    </w:rPr>
  </w:style>
  <w:style w:type="paragraph" w:customStyle="1" w:styleId="bibliografia">
    <w:name w:val="bibliografia"/>
    <w:basedOn w:val="Normal"/>
    <w:uiPriority w:val="99"/>
    <w:rsid w:val="00E20D71"/>
    <w:pPr>
      <w:tabs>
        <w:tab w:val="left" w:pos="1428"/>
      </w:tabs>
      <w:spacing w:before="120" w:line="240" w:lineRule="auto"/>
      <w:ind w:left="567" w:hanging="567"/>
    </w:pPr>
    <w:rPr>
      <w:rFonts w:ascii="Calibri" w:eastAsia="Times New Roman" w:hAnsi="Calibri" w:cs="Times New Roman"/>
      <w:szCs w:val="24"/>
      <w:lang w:val="en-GB"/>
    </w:rPr>
  </w:style>
  <w:style w:type="character" w:customStyle="1" w:styleId="mb">
    <w:name w:val="mb"/>
    <w:uiPriority w:val="99"/>
    <w:rsid w:val="00E20D71"/>
    <w:rPr>
      <w:rFonts w:ascii="Arial Unicode MS" w:eastAsia="Arial Unicode MS" w:hAnsi="Arial Unicode MS"/>
      <w:shd w:val="clear" w:color="auto" w:fill="auto"/>
    </w:rPr>
  </w:style>
  <w:style w:type="character" w:styleId="FollowedHyperlink">
    <w:name w:val="FollowedHyperlink"/>
    <w:basedOn w:val="DefaultParagraphFont"/>
    <w:uiPriority w:val="99"/>
    <w:rsid w:val="00E20D71"/>
    <w:rPr>
      <w:rFonts w:cs="Times New Roman"/>
      <w:color w:val="800080"/>
      <w:u w:val="single"/>
    </w:rPr>
  </w:style>
  <w:style w:type="paragraph" w:styleId="Bibliography">
    <w:name w:val="Bibliography"/>
    <w:basedOn w:val="Normal"/>
    <w:next w:val="Normal"/>
    <w:uiPriority w:val="99"/>
    <w:rsid w:val="00E20D71"/>
    <w:pPr>
      <w:spacing w:before="120" w:line="240" w:lineRule="auto"/>
    </w:pPr>
    <w:rPr>
      <w:rFonts w:ascii="Calibri" w:eastAsia="Times New Roman" w:hAnsi="Calibri" w:cs="Times New Roman"/>
      <w:sz w:val="24"/>
      <w:szCs w:val="24"/>
    </w:rPr>
  </w:style>
  <w:style w:type="character" w:styleId="HTMLAcronym">
    <w:name w:val="HTML Acronym"/>
    <w:basedOn w:val="DefaultParagraphFont"/>
    <w:uiPriority w:val="99"/>
    <w:semiHidden/>
    <w:rsid w:val="00E20D71"/>
    <w:rPr>
      <w:rFonts w:cs="Times New Roman"/>
      <w:u w:val="none"/>
      <w:effect w:val="none"/>
      <w:bdr w:val="none" w:sz="0" w:space="0" w:color="auto" w:frame="1"/>
    </w:rPr>
  </w:style>
  <w:style w:type="character" w:customStyle="1" w:styleId="hps">
    <w:name w:val="hps"/>
    <w:rsid w:val="00E20D71"/>
  </w:style>
  <w:style w:type="character" w:styleId="Emphasis">
    <w:name w:val="Emphasis"/>
    <w:basedOn w:val="DefaultParagraphFont"/>
    <w:uiPriority w:val="20"/>
    <w:qFormat/>
    <w:rsid w:val="00E20D71"/>
    <w:rPr>
      <w:rFonts w:cs="Times New Roman"/>
      <w:i/>
      <w:iCs/>
    </w:rPr>
  </w:style>
  <w:style w:type="table" w:customStyle="1" w:styleId="Sfondomedio1-Colore11">
    <w:name w:val="Sfondo medio 1 - Colore 11"/>
    <w:uiPriority w:val="63"/>
    <w:rsid w:val="00E20D71"/>
    <w:pPr>
      <w:spacing w:after="0" w:line="240" w:lineRule="auto"/>
    </w:pPr>
    <w:rPr>
      <w:rFonts w:ascii="Times New Roman" w:eastAsia="Times New Roman" w:hAnsi="Times New Roman" w:cs="Times New Roman"/>
      <w:sz w:val="20"/>
      <w:szCs w:val="20"/>
      <w:lang w:val="it-IT" w:eastAsia="it-IT"/>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t1">
    <w:name w:val="st1"/>
    <w:basedOn w:val="DefaultParagraphFont"/>
    <w:uiPriority w:val="99"/>
    <w:rsid w:val="00E20D71"/>
    <w:rPr>
      <w:rFonts w:cs="Times New Roman"/>
    </w:rPr>
  </w:style>
  <w:style w:type="character" w:customStyle="1" w:styleId="pane-title">
    <w:name w:val="pane-title"/>
    <w:basedOn w:val="DefaultParagraphFont"/>
    <w:uiPriority w:val="99"/>
    <w:rsid w:val="00E20D71"/>
    <w:rPr>
      <w:rFonts w:cs="Times New Roman"/>
    </w:rPr>
  </w:style>
  <w:style w:type="character" w:customStyle="1" w:styleId="pane-content">
    <w:name w:val="pane-content"/>
    <w:basedOn w:val="DefaultParagraphFont"/>
    <w:uiPriority w:val="99"/>
    <w:rsid w:val="00E20D71"/>
    <w:rPr>
      <w:rFonts w:cs="Times New Roman"/>
    </w:rPr>
  </w:style>
  <w:style w:type="character" w:customStyle="1" w:styleId="hpsatn">
    <w:name w:val="hps atn"/>
    <w:basedOn w:val="DefaultParagraphFont"/>
    <w:uiPriority w:val="99"/>
    <w:rsid w:val="00E20D71"/>
    <w:rPr>
      <w:rFonts w:cs="Times New Roman"/>
    </w:rPr>
  </w:style>
  <w:style w:type="table" w:customStyle="1" w:styleId="LightShading-Accent11">
    <w:name w:val="Light Shading - Accent 11"/>
    <w:basedOn w:val="TableNormal"/>
    <w:uiPriority w:val="60"/>
    <w:rsid w:val="00E20D71"/>
    <w:pPr>
      <w:spacing w:after="0" w:line="240" w:lineRule="auto"/>
    </w:pPr>
    <w:rPr>
      <w:rFonts w:ascii="Times New Roman" w:eastAsia="Times New Roman" w:hAnsi="Times New Roman" w:cs="Times New Roman"/>
      <w:color w:val="365F91" w:themeColor="accent1" w:themeShade="BF"/>
      <w:lang w:val="it-IT" w:eastAsia="it-IT"/>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converted-space">
    <w:name w:val="apple-converted-space"/>
    <w:basedOn w:val="DefaultParagraphFont"/>
    <w:rsid w:val="00E20D71"/>
  </w:style>
  <w:style w:type="paragraph" w:customStyle="1" w:styleId="Tabletext1">
    <w:name w:val="Table text 1"/>
    <w:basedOn w:val="BodyText"/>
    <w:qFormat/>
    <w:rsid w:val="00E20D71"/>
    <w:pPr>
      <w:spacing w:before="0" w:after="0" w:line="180" w:lineRule="exact"/>
      <w:jc w:val="left"/>
    </w:pPr>
    <w:rPr>
      <w:rFonts w:ascii="Arial Narrow" w:eastAsia="MS PGothic" w:hAnsi="Arial Narrow"/>
      <w:color w:val="000000"/>
      <w:sz w:val="16"/>
      <w:szCs w:val="20"/>
      <w:lang w:val="en-GB" w:eastAsia="en-US"/>
    </w:rPr>
  </w:style>
  <w:style w:type="paragraph" w:customStyle="1" w:styleId="SignatureName">
    <w:name w:val="Signature Name"/>
    <w:basedOn w:val="Normal"/>
    <w:next w:val="BodyText"/>
    <w:rsid w:val="00E20D71"/>
    <w:pPr>
      <w:keepLines/>
      <w:tabs>
        <w:tab w:val="right" w:pos="9214"/>
      </w:tabs>
      <w:spacing w:after="240" w:line="240" w:lineRule="auto"/>
    </w:pPr>
    <w:rPr>
      <w:rFonts w:ascii="Arial" w:eastAsia="Times New Roman" w:hAnsi="Arial" w:cs="Times New Roman"/>
      <w:b/>
      <w:sz w:val="36"/>
      <w:szCs w:val="20"/>
      <w:lang w:val="en-GB" w:eastAsia="en-US"/>
    </w:rPr>
  </w:style>
  <w:style w:type="character" w:customStyle="1" w:styleId="Rimandonotaapidipagina1">
    <w:name w:val="Rimando nota a piè di pagina1"/>
    <w:rsid w:val="00E20D71"/>
    <w:rPr>
      <w:vertAlign w:val="superscript"/>
    </w:rPr>
  </w:style>
  <w:style w:type="paragraph" w:customStyle="1" w:styleId="Didascalia1">
    <w:name w:val="Didascalia1"/>
    <w:basedOn w:val="Normal"/>
    <w:next w:val="Normal"/>
    <w:rsid w:val="00E20D71"/>
    <w:pPr>
      <w:suppressAutoHyphens/>
      <w:spacing w:line="240" w:lineRule="auto"/>
    </w:pPr>
    <w:rPr>
      <w:rFonts w:ascii="Cambria" w:eastAsia="Calibri" w:hAnsi="Cambria" w:cs="Cambria"/>
      <w:b/>
      <w:bCs/>
      <w:sz w:val="20"/>
      <w:szCs w:val="20"/>
      <w:lang w:eastAsia="ar-SA"/>
    </w:rPr>
  </w:style>
  <w:style w:type="character" w:customStyle="1" w:styleId="TestocommentoCarattere1">
    <w:name w:val="Testo commento Carattere1"/>
    <w:uiPriority w:val="99"/>
    <w:semiHidden/>
    <w:rsid w:val="00E20D71"/>
    <w:rPr>
      <w:rFonts w:ascii="Cambria" w:eastAsia="Calibri" w:hAnsi="Cambria" w:cs="Cambria"/>
      <w:lang w:eastAsia="ar-SA"/>
    </w:rPr>
  </w:style>
  <w:style w:type="table" w:styleId="LightList-Accent2">
    <w:name w:val="Light List Accent 2"/>
    <w:basedOn w:val="TableNormal"/>
    <w:uiPriority w:val="61"/>
    <w:rsid w:val="00E20D71"/>
    <w:pPr>
      <w:spacing w:after="0" w:line="240" w:lineRule="auto"/>
    </w:pPr>
    <w:rPr>
      <w:rFonts w:ascii="Times New Roman" w:eastAsia="Times New Roman" w:hAnsi="Times New Roman" w:cs="Times New Roman"/>
      <w:lang w:val="it-IT" w:eastAsia="it-I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ainbidtable">
    <w:name w:val="main bid table"/>
    <w:basedOn w:val="TableNormal"/>
    <w:uiPriority w:val="99"/>
    <w:rsid w:val="00E20D71"/>
    <w:pPr>
      <w:spacing w:before="60" w:after="0" w:line="240" w:lineRule="auto"/>
    </w:pPr>
    <w:rPr>
      <w:rFonts w:ascii="Arial" w:eastAsia="Times New Roman" w:hAnsi="Arial" w:cs="Times New Roman"/>
      <w:sz w:val="20"/>
      <w:szCs w:val="20"/>
      <w:lang w:val="en-GB" w:eastAsia="en-GB"/>
    </w:rPr>
    <w:tblPr>
      <w:tblStyleRowBandSize w:val="1"/>
      <w:tblStyleColBandSize w:val="1"/>
      <w:tblBorders>
        <w:left w:val="single" w:sz="4" w:space="0" w:color="0055A0"/>
        <w:bottom w:val="single" w:sz="4" w:space="0" w:color="0055A0"/>
        <w:right w:val="single" w:sz="4" w:space="0" w:color="0055A0"/>
        <w:insideV w:val="single" w:sz="4" w:space="0" w:color="0055A0"/>
      </w:tblBorders>
    </w:tblPr>
    <w:tcPr>
      <w:vAlign w:val="center"/>
    </w:tcPr>
    <w:tblStylePr w:type="firstRow">
      <w:rPr>
        <w:color w:val="FFFFFF"/>
      </w:rPr>
      <w:tblPr/>
      <w:tcPr>
        <w:tcBorders>
          <w:top w:val="nil"/>
          <w:left w:val="single" w:sz="4" w:space="0" w:color="0055A0"/>
          <w:bottom w:val="nil"/>
          <w:right w:val="single" w:sz="4" w:space="0" w:color="0055A0"/>
          <w:insideH w:val="nil"/>
          <w:insideV w:val="nil"/>
          <w:tl2br w:val="nil"/>
          <w:tr2bl w:val="nil"/>
        </w:tcBorders>
        <w:shd w:val="clear" w:color="auto" w:fill="006BB7"/>
      </w:tcPr>
    </w:tblStylePr>
    <w:tblStylePr w:type="band1Vert">
      <w:pPr>
        <w:jc w:val="left"/>
      </w:pPr>
      <w:tblPr/>
      <w:tcPr>
        <w:shd w:val="clear" w:color="auto" w:fill="F5F9FC"/>
      </w:tcPr>
    </w:tblStylePr>
    <w:tblStylePr w:type="band1Horz">
      <w:tblPr/>
      <w:tcPr>
        <w:shd w:val="clear" w:color="auto" w:fill="EDF3F7"/>
      </w:tcPr>
    </w:tblStylePr>
    <w:tblStylePr w:type="band2Horz">
      <w:tblPr/>
      <w:tcPr>
        <w:tcBorders>
          <w:insideV w:val="single" w:sz="4" w:space="0" w:color="0055A0"/>
        </w:tcBorders>
        <w:shd w:val="clear" w:color="auto" w:fill="FFFFFF"/>
      </w:tcPr>
    </w:tblStylePr>
  </w:style>
  <w:style w:type="paragraph" w:customStyle="1" w:styleId="NoSpacing2">
    <w:name w:val="No Spacing2"/>
    <w:uiPriority w:val="1"/>
    <w:qFormat/>
    <w:rsid w:val="00E20D71"/>
    <w:rPr>
      <w:rFonts w:ascii="Times New Roman" w:eastAsia="Times New Roman" w:hAnsi="Times New Roman" w:cs="Times New Roman"/>
      <w:sz w:val="24"/>
      <w:szCs w:val="24"/>
      <w:lang w:val="it-IT" w:eastAsia="it-IT"/>
    </w:rPr>
  </w:style>
  <w:style w:type="paragraph" w:customStyle="1" w:styleId="ListNumberLevel2">
    <w:name w:val="List Number (Level 2)"/>
    <w:basedOn w:val="Normal"/>
    <w:rsid w:val="00E20D71"/>
    <w:pPr>
      <w:tabs>
        <w:tab w:val="num" w:pos="1080"/>
        <w:tab w:val="num" w:pos="1440"/>
      </w:tabs>
      <w:spacing w:before="120" w:line="240" w:lineRule="auto"/>
      <w:ind w:left="1080" w:hanging="360"/>
    </w:pPr>
    <w:rPr>
      <w:rFonts w:ascii="Times New Roman" w:eastAsia="Times New Roman" w:hAnsi="Times New Roman" w:cs="Times New Roman"/>
      <w:sz w:val="24"/>
      <w:szCs w:val="24"/>
      <w:lang w:val="en-GB" w:eastAsia="zh-CN"/>
    </w:rPr>
  </w:style>
  <w:style w:type="paragraph" w:styleId="EndnoteText">
    <w:name w:val="endnote text"/>
    <w:basedOn w:val="Normal"/>
    <w:link w:val="EndnoteTextChar"/>
    <w:uiPriority w:val="99"/>
    <w:unhideWhenUsed/>
    <w:rsid w:val="00E20D71"/>
    <w:pPr>
      <w:spacing w:after="0" w:line="240" w:lineRule="auto"/>
    </w:pPr>
    <w:rPr>
      <w:sz w:val="20"/>
      <w:szCs w:val="20"/>
    </w:rPr>
  </w:style>
  <w:style w:type="character" w:customStyle="1" w:styleId="EndnoteTextChar">
    <w:name w:val="Endnote Text Char"/>
    <w:basedOn w:val="DefaultParagraphFont"/>
    <w:link w:val="EndnoteText"/>
    <w:uiPriority w:val="99"/>
    <w:rsid w:val="00E20D71"/>
    <w:rPr>
      <w:rFonts w:eastAsiaTheme="minorEastAsia"/>
      <w:sz w:val="20"/>
      <w:szCs w:val="20"/>
      <w:lang w:val="sq-AL" w:eastAsia="it-IT"/>
    </w:rPr>
  </w:style>
  <w:style w:type="character" w:styleId="EndnoteReference">
    <w:name w:val="endnote reference"/>
    <w:basedOn w:val="DefaultParagraphFont"/>
    <w:uiPriority w:val="99"/>
    <w:unhideWhenUsed/>
    <w:rsid w:val="00E20D71"/>
    <w:rPr>
      <w:vertAlign w:val="superscript"/>
    </w:rPr>
  </w:style>
  <w:style w:type="paragraph" w:styleId="HTMLPreformatted">
    <w:name w:val="HTML Preformatted"/>
    <w:basedOn w:val="Normal"/>
    <w:link w:val="HTMLPreformattedChar"/>
    <w:uiPriority w:val="99"/>
    <w:semiHidden/>
    <w:unhideWhenUsed/>
    <w:rsid w:val="00E20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E20D71"/>
    <w:rPr>
      <w:rFonts w:ascii="Courier New" w:eastAsia="Times New Roman" w:hAnsi="Courier New" w:cs="Courier New"/>
      <w:color w:val="000000"/>
      <w:sz w:val="20"/>
      <w:szCs w:val="20"/>
      <w:lang w:val="sq-AL" w:eastAsia="it-IT"/>
    </w:rPr>
  </w:style>
  <w:style w:type="paragraph" w:styleId="Revision">
    <w:name w:val="Revision"/>
    <w:hidden/>
    <w:uiPriority w:val="99"/>
    <w:semiHidden/>
    <w:rsid w:val="00E20D71"/>
    <w:pPr>
      <w:spacing w:after="0" w:line="240" w:lineRule="auto"/>
    </w:pPr>
    <w:rPr>
      <w:rFonts w:eastAsiaTheme="minorEastAsia"/>
      <w:lang w:val="it-IT" w:eastAsia="it-IT"/>
    </w:rPr>
  </w:style>
  <w:style w:type="table" w:customStyle="1" w:styleId="GridTable2-Accent11">
    <w:name w:val="Grid Table 2 - Accent 11"/>
    <w:basedOn w:val="TableNormal"/>
    <w:uiPriority w:val="47"/>
    <w:rsid w:val="00E20D71"/>
    <w:pPr>
      <w:spacing w:after="0" w:line="240" w:lineRule="auto"/>
    </w:pPr>
    <w:rPr>
      <w:rFonts w:eastAsiaTheme="minorEastAsia"/>
      <w:lang w:val="it-IT" w:eastAsia="it-IT"/>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Shading-Accent5">
    <w:name w:val="Light Shading Accent 5"/>
    <w:basedOn w:val="TableNormal"/>
    <w:uiPriority w:val="60"/>
    <w:rsid w:val="00E20D71"/>
    <w:pPr>
      <w:spacing w:after="0" w:line="240" w:lineRule="auto"/>
    </w:pPr>
    <w:rPr>
      <w:rFonts w:eastAsiaTheme="minorEastAsia"/>
      <w:color w:val="31849B" w:themeColor="accent5" w:themeShade="BF"/>
      <w:lang w:val="it-IT" w:eastAsia="it-IT"/>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FootnoteTextChar2">
    <w:name w:val="Footnote Text Char2"/>
    <w:aliases w:val="Geneva 9 Char2,Font: Geneva 9 Char2,Boston 10 Char2,f Char2,single space Char3,fn Char3,FOOTNOTES Char3,Fußnotentext Char Char3,ADB Char3,Footnote text Char3,ft Char3,Footnote Text Char1 Char3,Footnote Text Char2 Char Char3"/>
    <w:basedOn w:val="DefaultParagraphFont"/>
    <w:locked/>
    <w:rsid w:val="00E20D71"/>
    <w:rPr>
      <w:rFonts w:ascii="Times New Roman" w:eastAsia="Times New Roman" w:hAnsi="Times New Roman" w:cs="Times New Roman"/>
      <w:sz w:val="20"/>
      <w:szCs w:val="20"/>
      <w:lang w:val="en-GB" w:eastAsia="en-GB"/>
    </w:rPr>
  </w:style>
  <w:style w:type="character" w:customStyle="1" w:styleId="ECABodyTextChar">
    <w:name w:val="ECA Body Text Char"/>
    <w:basedOn w:val="DefaultParagraphFont"/>
    <w:link w:val="ECABodyText"/>
    <w:uiPriority w:val="99"/>
    <w:locked/>
    <w:rsid w:val="00E20D71"/>
    <w:rPr>
      <w:rFonts w:ascii="Book Antiqua" w:hAnsi="Book Antiqua"/>
    </w:rPr>
  </w:style>
  <w:style w:type="paragraph" w:customStyle="1" w:styleId="ECABodyText">
    <w:name w:val="ECA Body Text"/>
    <w:link w:val="ECABodyTextChar"/>
    <w:uiPriority w:val="99"/>
    <w:qFormat/>
    <w:rsid w:val="00E20D71"/>
    <w:pPr>
      <w:spacing w:after="240" w:line="240" w:lineRule="auto"/>
    </w:pPr>
    <w:rPr>
      <w:rFonts w:ascii="Book Antiqua" w:hAnsi="Book Antiqua"/>
    </w:rPr>
  </w:style>
  <w:style w:type="paragraph" w:customStyle="1" w:styleId="ECACaption">
    <w:name w:val="ECA Caption"/>
    <w:basedOn w:val="ECABodyText"/>
    <w:next w:val="ECABodyText"/>
    <w:qFormat/>
    <w:rsid w:val="00E20D71"/>
    <w:pPr>
      <w:keepNext/>
      <w:keepLines/>
      <w:pBdr>
        <w:top w:val="single" w:sz="4" w:space="1" w:color="auto" w:shadow="1"/>
        <w:left w:val="single" w:sz="4" w:space="4" w:color="auto" w:shadow="1"/>
        <w:bottom w:val="single" w:sz="4" w:space="1" w:color="auto" w:shadow="1"/>
        <w:right w:val="single" w:sz="4" w:space="4" w:color="auto" w:shadow="1"/>
      </w:pBdr>
      <w:shd w:val="clear" w:color="auto" w:fill="9BBB59" w:themeFill="accent3"/>
      <w:spacing w:before="120" w:after="120"/>
      <w:jc w:val="center"/>
    </w:pPr>
    <w:rPr>
      <w:rFonts w:eastAsia="Times New Roman" w:cs="Times New Roman"/>
      <w:b/>
      <w:szCs w:val="20"/>
      <w:lang w:val="en-GB"/>
    </w:rPr>
  </w:style>
  <w:style w:type="paragraph" w:customStyle="1" w:styleId="BodyText1">
    <w:name w:val="Body Text1"/>
    <w:rsid w:val="00E20D71"/>
    <w:pPr>
      <w:spacing w:after="120" w:line="360" w:lineRule="auto"/>
    </w:pPr>
    <w:rPr>
      <w:rFonts w:ascii="Times New Roman" w:eastAsia="Times New Roman" w:hAnsi="Times New Roman" w:cs="Times New Roman"/>
      <w:szCs w:val="20"/>
      <w:lang w:val="en-GB"/>
    </w:rPr>
  </w:style>
  <w:style w:type="table" w:customStyle="1" w:styleId="GridTable1Light1">
    <w:name w:val="Grid Table 1 Light1"/>
    <w:basedOn w:val="TableNormal"/>
    <w:uiPriority w:val="46"/>
    <w:rsid w:val="00E20D71"/>
    <w:pPr>
      <w:spacing w:after="0" w:line="240" w:lineRule="auto"/>
    </w:pPr>
    <w:rPr>
      <w:rFonts w:eastAsia="MS Mincho"/>
      <w:lang w:val="it-I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CABulletsSub-Sub">
    <w:name w:val="ECA Bullets Sub-Sub"/>
    <w:basedOn w:val="ECABodyText"/>
    <w:autoRedefine/>
    <w:uiPriority w:val="99"/>
    <w:qFormat/>
    <w:rsid w:val="00E20D71"/>
    <w:pPr>
      <w:numPr>
        <w:ilvl w:val="2"/>
        <w:numId w:val="4"/>
      </w:numPr>
      <w:tabs>
        <w:tab w:val="clear" w:pos="2268"/>
        <w:tab w:val="num" w:pos="360"/>
      </w:tabs>
      <w:ind w:left="0" w:firstLine="0"/>
    </w:pPr>
    <w:rPr>
      <w:lang w:val="en-IE"/>
    </w:rPr>
  </w:style>
  <w:style w:type="paragraph" w:customStyle="1" w:styleId="ECABulletsSub">
    <w:name w:val="ECA Bullets Sub"/>
    <w:basedOn w:val="ECABodyText"/>
    <w:uiPriority w:val="99"/>
    <w:qFormat/>
    <w:rsid w:val="00E20D71"/>
    <w:pPr>
      <w:numPr>
        <w:ilvl w:val="1"/>
        <w:numId w:val="4"/>
      </w:numPr>
      <w:tabs>
        <w:tab w:val="clear" w:pos="1701"/>
        <w:tab w:val="num" w:pos="360"/>
      </w:tabs>
      <w:spacing w:before="240"/>
      <w:ind w:left="0" w:firstLine="0"/>
    </w:pPr>
    <w:rPr>
      <w:lang w:val="en-IE"/>
    </w:rPr>
  </w:style>
  <w:style w:type="paragraph" w:customStyle="1" w:styleId="ECABullets">
    <w:name w:val="ECA Bullets"/>
    <w:basedOn w:val="ECABodyText"/>
    <w:uiPriority w:val="99"/>
    <w:qFormat/>
    <w:rsid w:val="00E20D71"/>
    <w:pPr>
      <w:numPr>
        <w:numId w:val="4"/>
      </w:numPr>
      <w:tabs>
        <w:tab w:val="clear" w:pos="1134"/>
        <w:tab w:val="num" w:pos="360"/>
      </w:tabs>
      <w:spacing w:before="240"/>
      <w:ind w:left="0" w:firstLine="0"/>
    </w:pPr>
    <w:rPr>
      <w:lang w:val="en-IE"/>
    </w:rPr>
  </w:style>
  <w:style w:type="paragraph" w:customStyle="1" w:styleId="ECAHeading2">
    <w:name w:val="ECA Heading 2"/>
    <w:basedOn w:val="Heading2"/>
    <w:next w:val="ECABodyText"/>
    <w:qFormat/>
    <w:rsid w:val="00E20D71"/>
    <w:pPr>
      <w:tabs>
        <w:tab w:val="num" w:pos="680"/>
        <w:tab w:val="left" w:pos="1134"/>
      </w:tabs>
      <w:spacing w:before="480" w:after="480"/>
      <w:ind w:left="680" w:hanging="680"/>
      <w:jc w:val="left"/>
    </w:pPr>
    <w:rPr>
      <w:rFonts w:ascii="Futura Md BT" w:hAnsi="Futura Md BT"/>
      <w:color w:val="auto"/>
      <w:spacing w:val="10"/>
      <w:sz w:val="28"/>
      <w:szCs w:val="20"/>
      <w:lang w:val="en-GB" w:eastAsia="en-US"/>
    </w:rPr>
  </w:style>
  <w:style w:type="character" w:customStyle="1" w:styleId="ECAHeading4Char">
    <w:name w:val="ECA Heading 4 Char"/>
    <w:basedOn w:val="DefaultParagraphFont"/>
    <w:link w:val="ECAHeading4"/>
    <w:semiHidden/>
    <w:locked/>
    <w:rsid w:val="00E20D71"/>
    <w:rPr>
      <w:rFonts w:ascii="Futura Md BT" w:hAnsi="Futura Md BT"/>
      <w:b/>
      <w:color w:val="000000"/>
      <w:spacing w:val="10"/>
    </w:rPr>
  </w:style>
  <w:style w:type="paragraph" w:customStyle="1" w:styleId="ECAHeading4">
    <w:name w:val="ECA Heading 4"/>
    <w:basedOn w:val="Heading4"/>
    <w:next w:val="ECABodyText"/>
    <w:link w:val="ECAHeading4Char"/>
    <w:semiHidden/>
    <w:qFormat/>
    <w:rsid w:val="00E20D71"/>
    <w:pPr>
      <w:keepLines w:val="0"/>
      <w:tabs>
        <w:tab w:val="left" w:pos="1701"/>
      </w:tabs>
      <w:spacing w:before="360" w:after="360" w:line="240" w:lineRule="auto"/>
      <w:jc w:val="left"/>
    </w:pPr>
    <w:rPr>
      <w:rFonts w:ascii="Futura Md BT" w:eastAsiaTheme="minorHAnsi" w:hAnsi="Futura Md BT" w:cstheme="minorBidi"/>
      <w:b/>
      <w:i w:val="0"/>
      <w:iCs w:val="0"/>
      <w:color w:val="000000"/>
      <w:spacing w:val="10"/>
      <w:lang w:val="en-US"/>
    </w:rPr>
  </w:style>
  <w:style w:type="table" w:customStyle="1" w:styleId="GridTable6Colorful-Accent11">
    <w:name w:val="Grid Table 6 Colorful - Accent 11"/>
    <w:basedOn w:val="TableNormal"/>
    <w:uiPriority w:val="51"/>
    <w:rsid w:val="00E20D71"/>
    <w:pPr>
      <w:spacing w:after="0" w:line="240" w:lineRule="auto"/>
    </w:pPr>
    <w:rPr>
      <w:rFonts w:eastAsiaTheme="minorEastAsia"/>
      <w:lang w:val="it-IT" w:eastAsia="it-IT"/>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TableNormal"/>
    <w:uiPriority w:val="40"/>
    <w:rsid w:val="00E20D71"/>
    <w:pPr>
      <w:spacing w:after="0" w:line="240" w:lineRule="auto"/>
    </w:pPr>
    <w:rPr>
      <w:rFonts w:eastAsiaTheme="minorEastAsia"/>
      <w:lang w:val="it-IT"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Normal"/>
    <w:rsid w:val="00E20D71"/>
    <w:pPr>
      <w:spacing w:before="100" w:beforeAutospacing="1" w:after="100" w:afterAutospacing="1" w:line="240" w:lineRule="auto"/>
      <w:jc w:val="left"/>
    </w:pPr>
    <w:rPr>
      <w:rFonts w:ascii="Tahoma" w:eastAsia="Times New Roman" w:hAnsi="Tahoma" w:cs="Tahoma"/>
      <w:color w:val="000000"/>
      <w:sz w:val="16"/>
      <w:szCs w:val="16"/>
      <w:lang w:val="it-IT"/>
    </w:rPr>
  </w:style>
  <w:style w:type="paragraph" w:customStyle="1" w:styleId="font6">
    <w:name w:val="font6"/>
    <w:basedOn w:val="Normal"/>
    <w:rsid w:val="00E20D71"/>
    <w:pPr>
      <w:spacing w:before="100" w:beforeAutospacing="1" w:after="100" w:afterAutospacing="1" w:line="240" w:lineRule="auto"/>
      <w:jc w:val="left"/>
    </w:pPr>
    <w:rPr>
      <w:rFonts w:ascii="Tahoma" w:eastAsia="Times New Roman" w:hAnsi="Tahoma" w:cs="Tahoma"/>
      <w:b/>
      <w:bCs/>
      <w:color w:val="000000"/>
      <w:sz w:val="16"/>
      <w:szCs w:val="16"/>
      <w:lang w:val="it-IT"/>
    </w:rPr>
  </w:style>
  <w:style w:type="paragraph" w:customStyle="1" w:styleId="font7">
    <w:name w:val="font7"/>
    <w:basedOn w:val="Normal"/>
    <w:rsid w:val="00E20D71"/>
    <w:pPr>
      <w:spacing w:before="100" w:beforeAutospacing="1" w:after="100" w:afterAutospacing="1" w:line="240" w:lineRule="auto"/>
      <w:jc w:val="left"/>
    </w:pPr>
    <w:rPr>
      <w:rFonts w:ascii="Calibri" w:eastAsia="Times New Roman" w:hAnsi="Calibri" w:cs="Times New Roman"/>
      <w:sz w:val="18"/>
      <w:szCs w:val="18"/>
      <w:lang w:val="it-IT"/>
    </w:rPr>
  </w:style>
  <w:style w:type="paragraph" w:customStyle="1" w:styleId="font8">
    <w:name w:val="font8"/>
    <w:basedOn w:val="Normal"/>
    <w:rsid w:val="00E20D71"/>
    <w:pPr>
      <w:spacing w:before="100" w:beforeAutospacing="1" w:after="100" w:afterAutospacing="1" w:line="240" w:lineRule="auto"/>
      <w:jc w:val="left"/>
    </w:pPr>
    <w:rPr>
      <w:rFonts w:ascii="Tahoma" w:eastAsia="Times New Roman" w:hAnsi="Tahoma" w:cs="Tahoma"/>
      <w:color w:val="000000"/>
      <w:sz w:val="18"/>
      <w:szCs w:val="18"/>
      <w:lang w:val="it-IT"/>
    </w:rPr>
  </w:style>
  <w:style w:type="paragraph" w:customStyle="1" w:styleId="font9">
    <w:name w:val="font9"/>
    <w:basedOn w:val="Normal"/>
    <w:rsid w:val="00E20D71"/>
    <w:pPr>
      <w:spacing w:before="100" w:beforeAutospacing="1" w:after="100" w:afterAutospacing="1" w:line="240" w:lineRule="auto"/>
      <w:jc w:val="left"/>
    </w:pPr>
    <w:rPr>
      <w:rFonts w:ascii="Tahoma" w:eastAsia="Times New Roman" w:hAnsi="Tahoma" w:cs="Tahoma"/>
      <w:b/>
      <w:bCs/>
      <w:color w:val="000000"/>
      <w:sz w:val="18"/>
      <w:szCs w:val="18"/>
      <w:lang w:val="it-IT"/>
    </w:rPr>
  </w:style>
  <w:style w:type="paragraph" w:customStyle="1" w:styleId="font10">
    <w:name w:val="font10"/>
    <w:basedOn w:val="Normal"/>
    <w:rsid w:val="00E20D71"/>
    <w:pPr>
      <w:spacing w:before="100" w:beforeAutospacing="1" w:after="100" w:afterAutospacing="1" w:line="240" w:lineRule="auto"/>
      <w:jc w:val="left"/>
    </w:pPr>
    <w:rPr>
      <w:rFonts w:ascii="Calibri" w:eastAsia="Times New Roman" w:hAnsi="Calibri" w:cs="Times New Roman"/>
      <w:sz w:val="18"/>
      <w:szCs w:val="18"/>
      <w:lang w:val="it-IT"/>
    </w:rPr>
  </w:style>
  <w:style w:type="paragraph" w:customStyle="1" w:styleId="xl83">
    <w:name w:val="xl83"/>
    <w:basedOn w:val="Normal"/>
    <w:rsid w:val="00E20D71"/>
    <w:pPr>
      <w:pBdr>
        <w:top w:val="single" w:sz="8" w:space="0" w:color="B8CCE4"/>
        <w:left w:val="single" w:sz="8" w:space="0" w:color="B8CCE4"/>
        <w:bottom w:val="single" w:sz="12" w:space="0" w:color="95B3D7"/>
        <w:right w:val="single" w:sz="8" w:space="0" w:color="B8CCE4"/>
      </w:pBdr>
      <w:shd w:val="clear" w:color="000000" w:fill="FFFFFF"/>
      <w:spacing w:before="100" w:beforeAutospacing="1" w:after="100" w:afterAutospacing="1" w:line="240" w:lineRule="auto"/>
      <w:jc w:val="left"/>
      <w:textAlignment w:val="top"/>
    </w:pPr>
    <w:rPr>
      <w:rFonts w:ascii="Times New Roman" w:eastAsia="Times New Roman" w:hAnsi="Times New Roman" w:cs="Times New Roman"/>
      <w:b/>
      <w:bCs/>
      <w:sz w:val="18"/>
      <w:szCs w:val="18"/>
      <w:lang w:val="it-IT"/>
    </w:rPr>
  </w:style>
  <w:style w:type="paragraph" w:customStyle="1" w:styleId="xl84">
    <w:name w:val="xl84"/>
    <w:basedOn w:val="Normal"/>
    <w:rsid w:val="00E20D71"/>
    <w:pPr>
      <w:pBdr>
        <w:top w:val="single" w:sz="8" w:space="0" w:color="B8CCE4"/>
        <w:bottom w:val="single" w:sz="12" w:space="0" w:color="95B3D7"/>
        <w:right w:val="single" w:sz="8" w:space="0" w:color="B8CCE4"/>
      </w:pBdr>
      <w:shd w:val="clear" w:color="000000" w:fill="FFFFFF"/>
      <w:spacing w:before="100" w:beforeAutospacing="1" w:after="100" w:afterAutospacing="1" w:line="240" w:lineRule="auto"/>
      <w:jc w:val="left"/>
      <w:textAlignment w:val="top"/>
    </w:pPr>
    <w:rPr>
      <w:rFonts w:ascii="Times New Roman" w:eastAsia="Times New Roman" w:hAnsi="Times New Roman" w:cs="Times New Roman"/>
      <w:b/>
      <w:bCs/>
      <w:sz w:val="18"/>
      <w:szCs w:val="18"/>
      <w:lang w:val="it-IT"/>
    </w:rPr>
  </w:style>
  <w:style w:type="paragraph" w:customStyle="1" w:styleId="xl85">
    <w:name w:val="xl85"/>
    <w:basedOn w:val="Normal"/>
    <w:rsid w:val="00E20D71"/>
    <w:pPr>
      <w:pBdr>
        <w:top w:val="single" w:sz="8" w:space="0" w:color="B8CCE4"/>
        <w:bottom w:val="single" w:sz="12" w:space="0" w:color="95B3D7"/>
        <w:right w:val="single" w:sz="8" w:space="0" w:color="B8CCE4"/>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lang w:val="it-IT"/>
    </w:rPr>
  </w:style>
  <w:style w:type="paragraph" w:customStyle="1" w:styleId="xl86">
    <w:name w:val="xl86"/>
    <w:basedOn w:val="Normal"/>
    <w:rsid w:val="00E20D71"/>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it-IT"/>
    </w:rPr>
  </w:style>
  <w:style w:type="paragraph" w:customStyle="1" w:styleId="xl87">
    <w:name w:val="xl87"/>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b/>
      <w:bCs/>
      <w:sz w:val="18"/>
      <w:szCs w:val="18"/>
      <w:lang w:val="it-IT"/>
    </w:rPr>
  </w:style>
  <w:style w:type="paragraph" w:customStyle="1" w:styleId="xl88">
    <w:name w:val="xl88"/>
    <w:basedOn w:val="Normal"/>
    <w:rsid w:val="00E20D71"/>
    <w:pPr>
      <w:pBdr>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89">
    <w:name w:val="xl89"/>
    <w:basedOn w:val="Normal"/>
    <w:rsid w:val="00E20D71"/>
    <w:pPr>
      <w:pBdr>
        <w:bottom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90">
    <w:name w:val="xl90"/>
    <w:basedOn w:val="Normal"/>
    <w:rsid w:val="00E20D71"/>
    <w:pPr>
      <w:pBdr>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91">
    <w:name w:val="xl91"/>
    <w:basedOn w:val="Normal"/>
    <w:rsid w:val="00E20D71"/>
    <w:pPr>
      <w:pBdr>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92">
    <w:name w:val="xl92"/>
    <w:basedOn w:val="Normal"/>
    <w:rsid w:val="00E20D71"/>
    <w:pPr>
      <w:pBdr>
        <w:bottom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93">
    <w:name w:val="xl93"/>
    <w:basedOn w:val="Normal"/>
    <w:rsid w:val="00E20D71"/>
    <w:pPr>
      <w:pBdr>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94">
    <w:name w:val="xl94"/>
    <w:basedOn w:val="Normal"/>
    <w:rsid w:val="00E20D71"/>
    <w:pPr>
      <w:pBdr>
        <w:top w:val="single" w:sz="8" w:space="0" w:color="B8CCE4"/>
        <w:left w:val="single" w:sz="8" w:space="0" w:color="B8CCE4"/>
        <w:bottom w:val="single" w:sz="12" w:space="0" w:color="95B3D7"/>
        <w:right w:val="single" w:sz="8" w:space="0" w:color="B8CCE4"/>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18"/>
      <w:szCs w:val="18"/>
      <w:lang w:val="it-IT"/>
    </w:rPr>
  </w:style>
  <w:style w:type="paragraph" w:customStyle="1" w:styleId="xl95">
    <w:name w:val="xl95"/>
    <w:basedOn w:val="Normal"/>
    <w:rsid w:val="00E20D71"/>
    <w:pPr>
      <w:pBdr>
        <w:top w:val="single" w:sz="8" w:space="0" w:color="B8CCE4"/>
        <w:bottom w:val="single" w:sz="12" w:space="0" w:color="95B3D7"/>
        <w:right w:val="single" w:sz="8" w:space="0" w:color="B8CCE4"/>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18"/>
      <w:szCs w:val="18"/>
      <w:lang w:val="it-IT"/>
    </w:rPr>
  </w:style>
  <w:style w:type="paragraph" w:customStyle="1" w:styleId="xl96">
    <w:name w:val="xl96"/>
    <w:basedOn w:val="Normal"/>
    <w:rsid w:val="00E20D71"/>
    <w:pPr>
      <w:pBdr>
        <w:bottom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97">
    <w:name w:val="xl97"/>
    <w:basedOn w:val="Normal"/>
    <w:rsid w:val="00E20D71"/>
    <w:pP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98">
    <w:name w:val="xl98"/>
    <w:basedOn w:val="Normal"/>
    <w:rsid w:val="00E20D71"/>
    <w:pP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99">
    <w:name w:val="xl99"/>
    <w:basedOn w:val="Normal"/>
    <w:rsid w:val="00E20D71"/>
    <w:pPr>
      <w:pBdr>
        <w:bottom w:val="single" w:sz="8" w:space="0" w:color="B8CCE4"/>
        <w:right w:val="single" w:sz="8" w:space="0" w:color="B8CCE4"/>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18"/>
      <w:szCs w:val="18"/>
      <w:lang w:val="it-IT"/>
    </w:rPr>
  </w:style>
  <w:style w:type="paragraph" w:customStyle="1" w:styleId="xl100">
    <w:name w:val="xl100"/>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b/>
      <w:bCs/>
      <w:sz w:val="18"/>
      <w:szCs w:val="18"/>
      <w:lang w:val="it-IT"/>
    </w:rPr>
  </w:style>
  <w:style w:type="paragraph" w:customStyle="1" w:styleId="xl101">
    <w:name w:val="xl101"/>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02">
    <w:name w:val="xl102"/>
    <w:basedOn w:val="Normal"/>
    <w:rsid w:val="00E20D71"/>
    <w:pPr>
      <w:pBdr>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03">
    <w:name w:val="xl103"/>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104">
    <w:name w:val="xl104"/>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105">
    <w:name w:val="xl105"/>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06">
    <w:name w:val="xl106"/>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07">
    <w:name w:val="xl107"/>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108">
    <w:name w:val="xl108"/>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109">
    <w:name w:val="xl109"/>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10">
    <w:name w:val="xl110"/>
    <w:basedOn w:val="Normal"/>
    <w:rsid w:val="00E20D71"/>
    <w:pP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11">
    <w:name w:val="xl111"/>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left"/>
      <w:textAlignment w:val="top"/>
    </w:pPr>
    <w:rPr>
      <w:rFonts w:ascii="Times New Roman" w:eastAsia="Times New Roman" w:hAnsi="Times New Roman" w:cs="Times New Roman"/>
      <w:sz w:val="18"/>
      <w:szCs w:val="18"/>
      <w:lang w:val="it-IT"/>
    </w:rPr>
  </w:style>
  <w:style w:type="paragraph" w:customStyle="1" w:styleId="xl112">
    <w:name w:val="xl112"/>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left"/>
      <w:textAlignment w:val="top"/>
    </w:pPr>
    <w:rPr>
      <w:rFonts w:ascii="Times New Roman" w:eastAsia="Times New Roman" w:hAnsi="Times New Roman" w:cs="Times New Roman"/>
      <w:sz w:val="18"/>
      <w:szCs w:val="18"/>
      <w:lang w:val="it-IT"/>
    </w:rPr>
  </w:style>
  <w:style w:type="paragraph" w:customStyle="1" w:styleId="xl113">
    <w:name w:val="xl113"/>
    <w:basedOn w:val="Normal"/>
    <w:rsid w:val="00E20D71"/>
    <w:pPr>
      <w:pBdr>
        <w:left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b/>
      <w:bCs/>
      <w:sz w:val="18"/>
      <w:szCs w:val="18"/>
      <w:lang w:val="it-IT"/>
    </w:rPr>
  </w:style>
  <w:style w:type="paragraph" w:customStyle="1" w:styleId="xl114">
    <w:name w:val="xl114"/>
    <w:basedOn w:val="Normal"/>
    <w:rsid w:val="00E20D71"/>
    <w:pPr>
      <w:pBdr>
        <w:left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15">
    <w:name w:val="xl115"/>
    <w:basedOn w:val="Normal"/>
    <w:rsid w:val="00E20D71"/>
    <w:pPr>
      <w:pBdr>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it-IT"/>
    </w:rPr>
  </w:style>
  <w:style w:type="paragraph" w:customStyle="1" w:styleId="xl116">
    <w:name w:val="xl116"/>
    <w:basedOn w:val="Normal"/>
    <w:rsid w:val="00E20D71"/>
    <w:pPr>
      <w:pBdr>
        <w:left w:val="single" w:sz="8" w:space="0" w:color="B8CCE4"/>
        <w:right w:val="single" w:sz="8" w:space="0" w:color="B8CCE4"/>
      </w:pBdr>
      <w:shd w:val="clear" w:color="000000" w:fill="FFFFFF"/>
      <w:spacing w:before="100" w:beforeAutospacing="1" w:after="100" w:afterAutospacing="1" w:line="240" w:lineRule="auto"/>
      <w:jc w:val="left"/>
      <w:textAlignment w:val="top"/>
    </w:pPr>
    <w:rPr>
      <w:rFonts w:ascii="Times New Roman" w:eastAsia="Times New Roman" w:hAnsi="Times New Roman" w:cs="Times New Roman"/>
      <w:sz w:val="18"/>
      <w:szCs w:val="18"/>
      <w:lang w:val="it-IT"/>
    </w:rPr>
  </w:style>
  <w:style w:type="paragraph" w:customStyle="1" w:styleId="xl117">
    <w:name w:val="xl117"/>
    <w:basedOn w:val="Normal"/>
    <w:rsid w:val="00E20D71"/>
    <w:pPr>
      <w:pBdr>
        <w:left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18">
    <w:name w:val="xl118"/>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left"/>
      <w:textAlignment w:val="top"/>
    </w:pPr>
    <w:rPr>
      <w:rFonts w:ascii="Times New Roman" w:eastAsia="Times New Roman" w:hAnsi="Times New Roman" w:cs="Times New Roman"/>
      <w:sz w:val="18"/>
      <w:szCs w:val="18"/>
      <w:lang w:val="it-IT"/>
    </w:rPr>
  </w:style>
  <w:style w:type="paragraph" w:customStyle="1" w:styleId="xl119">
    <w:name w:val="xl119"/>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val="it-IT"/>
    </w:rPr>
  </w:style>
  <w:style w:type="paragraph" w:customStyle="1" w:styleId="xl120">
    <w:name w:val="xl120"/>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val="it-IT"/>
    </w:rPr>
  </w:style>
  <w:style w:type="paragraph" w:customStyle="1" w:styleId="xl121">
    <w:name w:val="xl121"/>
    <w:basedOn w:val="Normal"/>
    <w:rsid w:val="00E20D71"/>
    <w:pPr>
      <w:pBdr>
        <w:left w:val="single" w:sz="8" w:space="0" w:color="B8CCE4"/>
        <w:right w:val="single" w:sz="8" w:space="0" w:color="B8CCE4"/>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val="it-IT"/>
    </w:rPr>
  </w:style>
  <w:style w:type="paragraph" w:customStyle="1" w:styleId="xl122">
    <w:name w:val="xl122"/>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val="it-IT"/>
    </w:rPr>
  </w:style>
  <w:style w:type="paragraph" w:customStyle="1" w:styleId="xl123">
    <w:name w:val="xl123"/>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124">
    <w:name w:val="xl124"/>
    <w:basedOn w:val="Normal"/>
    <w:rsid w:val="00E20D71"/>
    <w:pPr>
      <w:pBdr>
        <w:left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125">
    <w:name w:val="xl125"/>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126">
    <w:name w:val="xl126"/>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val="it-IT"/>
    </w:rPr>
  </w:style>
  <w:style w:type="paragraph" w:customStyle="1" w:styleId="xl127">
    <w:name w:val="xl127"/>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28">
    <w:name w:val="xl128"/>
    <w:basedOn w:val="Normal"/>
    <w:rsid w:val="00E20D71"/>
    <w:pPr>
      <w:pBdr>
        <w:left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29">
    <w:name w:val="xl129"/>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30">
    <w:name w:val="xl130"/>
    <w:basedOn w:val="Normal"/>
    <w:rsid w:val="00E20D71"/>
    <w:pPr>
      <w:pBdr>
        <w:top w:val="single" w:sz="8" w:space="0" w:color="B8CCE4"/>
        <w:left w:val="single" w:sz="8" w:space="0" w:color="B8CCE4"/>
        <w:right w:val="single" w:sz="8" w:space="0" w:color="B8CCE4"/>
      </w:pBdr>
      <w:shd w:val="clear" w:color="000000" w:fill="FFFFFF"/>
      <w:spacing w:before="100" w:beforeAutospacing="1" w:after="100" w:afterAutospacing="1" w:line="240" w:lineRule="auto"/>
      <w:jc w:val="left"/>
      <w:textAlignment w:val="top"/>
    </w:pPr>
    <w:rPr>
      <w:rFonts w:ascii="Times New Roman" w:eastAsia="Times New Roman" w:hAnsi="Times New Roman" w:cs="Times New Roman"/>
      <w:b/>
      <w:bCs/>
      <w:sz w:val="18"/>
      <w:szCs w:val="18"/>
      <w:lang w:val="it-IT"/>
    </w:rPr>
  </w:style>
  <w:style w:type="paragraph" w:customStyle="1" w:styleId="xl131">
    <w:name w:val="xl131"/>
    <w:basedOn w:val="Normal"/>
    <w:rsid w:val="00E20D71"/>
    <w:pPr>
      <w:pBdr>
        <w:left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132">
    <w:name w:val="xl132"/>
    <w:basedOn w:val="Normal"/>
    <w:rsid w:val="00E20D71"/>
    <w:pPr>
      <w:pBdr>
        <w:left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it-IT"/>
    </w:rPr>
  </w:style>
  <w:style w:type="paragraph" w:customStyle="1" w:styleId="xl133">
    <w:name w:val="xl133"/>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it-IT"/>
    </w:rPr>
  </w:style>
  <w:style w:type="paragraph" w:customStyle="1" w:styleId="xl134">
    <w:name w:val="xl134"/>
    <w:basedOn w:val="Normal"/>
    <w:rsid w:val="00E20D71"/>
    <w:pPr>
      <w:pBdr>
        <w:bottom w:val="single" w:sz="8" w:space="0" w:color="B8CCE4"/>
        <w:right w:val="single" w:sz="8" w:space="0" w:color="B8CCE4"/>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val="it-IT"/>
    </w:rPr>
  </w:style>
  <w:style w:type="paragraph" w:customStyle="1" w:styleId="xl135">
    <w:name w:val="xl135"/>
    <w:basedOn w:val="Normal"/>
    <w:rsid w:val="00E20D71"/>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val="it-IT"/>
    </w:rPr>
  </w:style>
  <w:style w:type="paragraph" w:customStyle="1" w:styleId="xl136">
    <w:name w:val="xl136"/>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val="it-IT"/>
    </w:rPr>
  </w:style>
  <w:style w:type="paragraph" w:customStyle="1" w:styleId="xl137">
    <w:name w:val="xl137"/>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it-IT"/>
    </w:rPr>
  </w:style>
  <w:style w:type="paragraph" w:customStyle="1" w:styleId="xl138">
    <w:name w:val="xl138"/>
    <w:basedOn w:val="Normal"/>
    <w:rsid w:val="00E20D71"/>
    <w:pPr>
      <w:pBdr>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39">
    <w:name w:val="xl139"/>
    <w:basedOn w:val="Normal"/>
    <w:rsid w:val="00E20D71"/>
    <w:pPr>
      <w:shd w:val="clear" w:color="000000" w:fill="FFFFFF"/>
      <w:spacing w:before="100" w:beforeAutospacing="1" w:after="100" w:afterAutospacing="1" w:line="240" w:lineRule="auto"/>
    </w:pPr>
    <w:rPr>
      <w:rFonts w:ascii="Times New Roman" w:eastAsia="Times New Roman" w:hAnsi="Times New Roman" w:cs="Times New Roman"/>
      <w:sz w:val="24"/>
      <w:szCs w:val="24"/>
      <w:lang w:val="it-IT"/>
    </w:rPr>
  </w:style>
  <w:style w:type="paragraph" w:customStyle="1" w:styleId="xl140">
    <w:name w:val="xl140"/>
    <w:basedOn w:val="Normal"/>
    <w:rsid w:val="00E20D71"/>
    <w:pPr>
      <w:shd w:val="clear" w:color="000000" w:fill="FFFFFF"/>
      <w:spacing w:before="100" w:beforeAutospacing="1" w:after="100" w:afterAutospacing="1" w:line="240" w:lineRule="auto"/>
      <w:jc w:val="left"/>
    </w:pPr>
    <w:rPr>
      <w:rFonts w:ascii="Times New Roman" w:eastAsia="Times New Roman" w:hAnsi="Times New Roman" w:cs="Times New Roman"/>
      <w:b/>
      <w:bCs/>
      <w:sz w:val="24"/>
      <w:szCs w:val="24"/>
      <w:lang w:val="it-IT"/>
    </w:rPr>
  </w:style>
  <w:style w:type="paragraph" w:customStyle="1" w:styleId="xl141">
    <w:name w:val="xl141"/>
    <w:basedOn w:val="Normal"/>
    <w:rsid w:val="00E20D71"/>
    <w:pPr>
      <w:shd w:val="clear" w:color="000000" w:fill="FFFFFF"/>
      <w:spacing w:before="100" w:beforeAutospacing="1" w:after="100" w:afterAutospacing="1" w:line="240" w:lineRule="auto"/>
      <w:jc w:val="left"/>
    </w:pPr>
    <w:rPr>
      <w:rFonts w:ascii="Times New Roman" w:eastAsia="Times New Roman" w:hAnsi="Times New Roman" w:cs="Times New Roman"/>
      <w:b/>
      <w:bCs/>
      <w:sz w:val="24"/>
      <w:szCs w:val="24"/>
      <w:lang w:val="it-IT"/>
    </w:rPr>
  </w:style>
  <w:style w:type="paragraph" w:customStyle="1" w:styleId="xl142">
    <w:name w:val="xl142"/>
    <w:basedOn w:val="Normal"/>
    <w:rsid w:val="00E20D71"/>
    <w:pPr>
      <w:pBdr>
        <w:bottom w:val="single" w:sz="8" w:space="0" w:color="B8CCE4"/>
        <w:right w:val="single" w:sz="8" w:space="0" w:color="B8CCE4"/>
      </w:pBdr>
      <w:spacing w:before="100" w:beforeAutospacing="1" w:after="100" w:afterAutospacing="1" w:line="240" w:lineRule="auto"/>
      <w:jc w:val="left"/>
      <w:textAlignment w:val="center"/>
    </w:pPr>
    <w:rPr>
      <w:rFonts w:ascii="Times New Roman" w:eastAsia="Times New Roman" w:hAnsi="Times New Roman" w:cs="Times New Roman"/>
      <w:sz w:val="18"/>
      <w:szCs w:val="18"/>
      <w:lang w:val="it-IT"/>
    </w:rPr>
  </w:style>
  <w:style w:type="paragraph" w:customStyle="1" w:styleId="xl143">
    <w:name w:val="xl143"/>
    <w:basedOn w:val="Normal"/>
    <w:rsid w:val="00E20D71"/>
    <w:pPr>
      <w:pBdr>
        <w:left w:val="single" w:sz="8" w:space="0" w:color="B8CCE4"/>
        <w:bottom w:val="single" w:sz="8" w:space="0" w:color="B8CCE4"/>
        <w:right w:val="single" w:sz="8" w:space="0" w:color="B8CCE4"/>
      </w:pBdr>
      <w:shd w:val="clear" w:color="000000" w:fill="FFFFFF"/>
      <w:spacing w:before="100" w:beforeAutospacing="1" w:after="100" w:afterAutospacing="1" w:line="240" w:lineRule="auto"/>
      <w:jc w:val="left"/>
    </w:pPr>
    <w:rPr>
      <w:rFonts w:ascii="Times New Roman" w:eastAsia="Times New Roman" w:hAnsi="Times New Roman" w:cs="Times New Roman"/>
      <w:sz w:val="18"/>
      <w:szCs w:val="18"/>
      <w:lang w:val="it-IT"/>
    </w:rPr>
  </w:style>
  <w:style w:type="paragraph" w:customStyle="1" w:styleId="xl144">
    <w:name w:val="xl144"/>
    <w:basedOn w:val="Normal"/>
    <w:rsid w:val="00E20D71"/>
    <w:pPr>
      <w:pBdr>
        <w:top w:val="single" w:sz="8" w:space="0" w:color="B8CCE4"/>
        <w:left w:val="single" w:sz="8" w:space="0" w:color="B8CCE4"/>
        <w:bottom w:val="single" w:sz="12" w:space="0" w:color="95B3D7"/>
        <w:right w:val="single" w:sz="8" w:space="0" w:color="B8CCE4"/>
      </w:pBdr>
      <w:spacing w:before="100" w:beforeAutospacing="1" w:after="100" w:afterAutospacing="1" w:line="240" w:lineRule="auto"/>
      <w:jc w:val="left"/>
      <w:textAlignment w:val="center"/>
    </w:pPr>
    <w:rPr>
      <w:rFonts w:ascii="Times New Roman" w:eastAsia="Times New Roman" w:hAnsi="Times New Roman" w:cs="Times New Roman"/>
      <w:sz w:val="18"/>
      <w:szCs w:val="18"/>
      <w:lang w:val="it-IT"/>
    </w:rPr>
  </w:style>
  <w:style w:type="paragraph" w:customStyle="1" w:styleId="xl145">
    <w:name w:val="xl145"/>
    <w:basedOn w:val="Normal"/>
    <w:rsid w:val="00E20D71"/>
    <w:pPr>
      <w:pBdr>
        <w:top w:val="single" w:sz="8" w:space="0" w:color="B8CCE4"/>
        <w:bottom w:val="single" w:sz="12" w:space="0" w:color="95B3D7"/>
        <w:right w:val="single" w:sz="8" w:space="0" w:color="B8CCE4"/>
      </w:pBdr>
      <w:spacing w:before="100" w:beforeAutospacing="1" w:after="100" w:afterAutospacing="1" w:line="240" w:lineRule="auto"/>
      <w:jc w:val="left"/>
      <w:textAlignment w:val="center"/>
    </w:pPr>
    <w:rPr>
      <w:rFonts w:ascii="Times New Roman" w:eastAsia="Times New Roman" w:hAnsi="Times New Roman" w:cs="Times New Roman"/>
      <w:sz w:val="18"/>
      <w:szCs w:val="18"/>
      <w:lang w:val="it-IT"/>
    </w:rPr>
  </w:style>
  <w:style w:type="paragraph" w:customStyle="1" w:styleId="xl146">
    <w:name w:val="xl146"/>
    <w:basedOn w:val="Normal"/>
    <w:rsid w:val="00E20D71"/>
    <w:pPr>
      <w:pBdr>
        <w:left w:val="single" w:sz="8" w:space="0" w:color="B8CCE4"/>
        <w:bottom w:val="single" w:sz="8" w:space="0" w:color="B8CCE4"/>
        <w:right w:val="single" w:sz="8" w:space="0" w:color="B8CCE4"/>
      </w:pBdr>
      <w:spacing w:before="100" w:beforeAutospacing="1" w:after="100" w:afterAutospacing="1" w:line="240" w:lineRule="auto"/>
      <w:jc w:val="left"/>
      <w:textAlignment w:val="center"/>
    </w:pPr>
    <w:rPr>
      <w:rFonts w:ascii="Times New Roman" w:eastAsia="Times New Roman" w:hAnsi="Times New Roman" w:cs="Times New Roman"/>
      <w:sz w:val="18"/>
      <w:szCs w:val="18"/>
      <w:lang w:val="it-IT"/>
    </w:rPr>
  </w:style>
  <w:style w:type="numbering" w:customStyle="1" w:styleId="Style1">
    <w:name w:val="Style1"/>
    <w:uiPriority w:val="99"/>
    <w:rsid w:val="00E20D71"/>
    <w:pPr>
      <w:numPr>
        <w:numId w:val="6"/>
      </w:numPr>
    </w:pPr>
  </w:style>
  <w:style w:type="numbering" w:styleId="111111">
    <w:name w:val="Outline List 2"/>
    <w:basedOn w:val="NoList"/>
    <w:uiPriority w:val="99"/>
    <w:semiHidden/>
    <w:unhideWhenUsed/>
    <w:rsid w:val="00E20D71"/>
    <w:pPr>
      <w:numPr>
        <w:numId w:val="5"/>
      </w:numPr>
    </w:pPr>
  </w:style>
  <w:style w:type="numbering" w:customStyle="1" w:styleId="Style2">
    <w:name w:val="Style2"/>
    <w:uiPriority w:val="99"/>
    <w:rsid w:val="00E20D71"/>
    <w:pPr>
      <w:numPr>
        <w:numId w:val="7"/>
      </w:numPr>
    </w:pPr>
  </w:style>
  <w:style w:type="character" w:customStyle="1" w:styleId="1stBulletlistZchn">
    <w:name w:val="1st Bullet list Zchn"/>
    <w:link w:val="1stBulletlist"/>
    <w:locked/>
    <w:rsid w:val="00E20D71"/>
    <w:rPr>
      <w:rFonts w:ascii="Arial" w:eastAsia="Calibri" w:hAnsi="Arial" w:cs="Arial"/>
    </w:rPr>
  </w:style>
  <w:style w:type="paragraph" w:customStyle="1" w:styleId="1stBulletlist">
    <w:name w:val="1st Bullet list"/>
    <w:basedOn w:val="ListParagraph"/>
    <w:link w:val="1stBulletlistZchn"/>
    <w:qFormat/>
    <w:rsid w:val="00E20D71"/>
    <w:pPr>
      <w:numPr>
        <w:numId w:val="8"/>
      </w:numPr>
      <w:tabs>
        <w:tab w:val="left" w:pos="567"/>
      </w:tabs>
      <w:spacing w:before="0" w:after="0" w:line="276" w:lineRule="auto"/>
      <w:jc w:val="left"/>
    </w:pPr>
    <w:rPr>
      <w:rFonts w:ascii="Arial" w:eastAsia="Calibri" w:hAnsi="Arial" w:cs="Arial"/>
      <w:lang w:val="en-US"/>
    </w:rPr>
  </w:style>
  <w:style w:type="table" w:customStyle="1" w:styleId="LightShading-Accent12">
    <w:name w:val="Light Shading - Accent 12"/>
    <w:basedOn w:val="TableNormal"/>
    <w:uiPriority w:val="60"/>
    <w:rsid w:val="00E20D71"/>
    <w:pPr>
      <w:spacing w:after="0" w:line="240" w:lineRule="auto"/>
    </w:pPr>
    <w:rPr>
      <w:rFonts w:ascii="Times New Roman" w:eastAsia="Times New Roman" w:hAnsi="Times New Roman" w:cs="Times New Roman"/>
      <w:color w:val="365F91" w:themeColor="accent1" w:themeShade="BF"/>
      <w:lang w:val="it-IT" w:eastAsia="it-IT"/>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APHeadline2Zchn">
    <w:name w:val="NAP Headline 2 Zchn"/>
    <w:link w:val="NAPHeadline2"/>
    <w:locked/>
    <w:rsid w:val="00E20D71"/>
    <w:rPr>
      <w:rFonts w:ascii="Arial" w:hAnsi="Arial" w:cs="Arial"/>
      <w:b/>
      <w:bCs/>
      <w:color w:val="008AB5"/>
      <w:sz w:val="24"/>
      <w:szCs w:val="26"/>
      <w:lang w:val="en-GB"/>
    </w:rPr>
  </w:style>
  <w:style w:type="paragraph" w:customStyle="1" w:styleId="NAPHeadline2">
    <w:name w:val="NAP Headline 2"/>
    <w:basedOn w:val="Heading2"/>
    <w:link w:val="NAPHeadline2Zchn"/>
    <w:qFormat/>
    <w:rsid w:val="00E20D71"/>
    <w:pPr>
      <w:keepLines/>
      <w:spacing w:line="276" w:lineRule="auto"/>
      <w:ind w:left="567" w:hanging="567"/>
      <w:jc w:val="left"/>
    </w:pPr>
    <w:rPr>
      <w:rFonts w:ascii="Arial" w:eastAsiaTheme="minorHAnsi" w:hAnsi="Arial" w:cs="Arial"/>
      <w:bCs/>
      <w:color w:val="008AB5"/>
      <w:szCs w:val="26"/>
      <w:lang w:val="en-GB" w:eastAsia="en-US"/>
    </w:rPr>
  </w:style>
  <w:style w:type="character" w:customStyle="1" w:styleId="berschriftzwischentextbodyZchn">
    <w:name w:val="Überschrift zwischen textbody Zchn"/>
    <w:link w:val="berschriftzwischentextbody"/>
    <w:locked/>
    <w:rsid w:val="00E20D71"/>
    <w:rPr>
      <w:rFonts w:ascii="Arial" w:hAnsi="Arial" w:cs="Arial"/>
      <w:b/>
      <w:sz w:val="24"/>
      <w:szCs w:val="24"/>
    </w:rPr>
  </w:style>
  <w:style w:type="paragraph" w:customStyle="1" w:styleId="berschriftzwischentextbody">
    <w:name w:val="Überschrift zwischen textbody"/>
    <w:basedOn w:val="Normal"/>
    <w:next w:val="Standardtextbody"/>
    <w:link w:val="berschriftzwischentextbodyZchn"/>
    <w:qFormat/>
    <w:rsid w:val="00E20D71"/>
    <w:pPr>
      <w:keepNext/>
      <w:spacing w:before="360" w:line="280" w:lineRule="exact"/>
      <w:jc w:val="left"/>
    </w:pPr>
    <w:rPr>
      <w:rFonts w:ascii="Arial" w:eastAsiaTheme="minorHAnsi" w:hAnsi="Arial" w:cs="Arial"/>
      <w:b/>
      <w:sz w:val="24"/>
      <w:szCs w:val="24"/>
      <w:lang w:val="en-US" w:eastAsia="en-US"/>
    </w:rPr>
  </w:style>
  <w:style w:type="paragraph" w:customStyle="1" w:styleId="NAPHeadline1">
    <w:name w:val="NAP Headline 1"/>
    <w:basedOn w:val="Normal"/>
    <w:qFormat/>
    <w:rsid w:val="00E20D71"/>
    <w:pPr>
      <w:keepNext/>
      <w:keepLines/>
      <w:spacing w:before="240" w:after="240"/>
      <w:jc w:val="left"/>
    </w:pPr>
    <w:rPr>
      <w:rFonts w:ascii="Arial" w:eastAsia="Times New Roman" w:hAnsi="Arial" w:cs="Times New Roman"/>
      <w:b/>
      <w:bCs/>
      <w:color w:val="008AB5"/>
      <w:sz w:val="28"/>
      <w:szCs w:val="28"/>
      <w:lang w:val="en-GB" w:eastAsia="en-US"/>
    </w:rPr>
  </w:style>
  <w:style w:type="paragraph" w:customStyle="1" w:styleId="Inhaltsverzeichnis">
    <w:name w:val="Inhaltsverzeichnis"/>
    <w:basedOn w:val="Normal"/>
    <w:rsid w:val="00E20D71"/>
    <w:pPr>
      <w:tabs>
        <w:tab w:val="left" w:pos="907"/>
      </w:tabs>
      <w:spacing w:after="480" w:line="240" w:lineRule="auto"/>
      <w:ind w:left="510"/>
      <w:jc w:val="left"/>
    </w:pPr>
    <w:rPr>
      <w:rFonts w:ascii="Arial" w:eastAsia="Times New Roman" w:hAnsi="Arial" w:cs="Times New Roman"/>
      <w:b/>
      <w:sz w:val="34"/>
      <w:szCs w:val="24"/>
      <w:lang w:val="de-DE" w:eastAsia="de-DE"/>
    </w:rPr>
  </w:style>
  <w:style w:type="paragraph" w:customStyle="1" w:styleId="Subheadline">
    <w:name w:val="Subheadline"/>
    <w:rsid w:val="00E20D71"/>
    <w:pPr>
      <w:spacing w:after="0" w:line="347" w:lineRule="exact"/>
    </w:pPr>
    <w:rPr>
      <w:rFonts w:ascii="Arial" w:eastAsia="Times New Roman" w:hAnsi="Arial" w:cs="Times New Roman"/>
      <w:sz w:val="28"/>
      <w:szCs w:val="24"/>
      <w:lang w:val="de-DE" w:eastAsia="de-DE"/>
    </w:rPr>
  </w:style>
  <w:style w:type="paragraph" w:customStyle="1" w:styleId="Mengentext">
    <w:name w:val="Mengentext"/>
    <w:rsid w:val="00E20D71"/>
    <w:pPr>
      <w:spacing w:after="0" w:line="240" w:lineRule="auto"/>
    </w:pPr>
    <w:rPr>
      <w:rFonts w:ascii="Garamond" w:eastAsia="Times New Roman" w:hAnsi="Garamond" w:cs="Times New Roman"/>
      <w:sz w:val="23"/>
      <w:szCs w:val="24"/>
      <w:lang w:val="de-DE" w:eastAsia="de-DE"/>
    </w:rPr>
  </w:style>
  <w:style w:type="paragraph" w:customStyle="1" w:styleId="Headline">
    <w:name w:val="Headline"/>
    <w:rsid w:val="00E20D71"/>
    <w:pPr>
      <w:spacing w:after="113" w:line="460" w:lineRule="exact"/>
    </w:pPr>
    <w:rPr>
      <w:rFonts w:ascii="Arial" w:eastAsia="Times New Roman" w:hAnsi="Arial" w:cs="Times New Roman"/>
      <w:b/>
      <w:sz w:val="42"/>
      <w:szCs w:val="24"/>
      <w:lang w:val="de-DE" w:eastAsia="de-DE"/>
    </w:rPr>
  </w:style>
  <w:style w:type="paragraph" w:customStyle="1" w:styleId="Num-DocParagraph">
    <w:name w:val="Num-Doc Paragraph"/>
    <w:basedOn w:val="BodyText"/>
    <w:rsid w:val="00E20D71"/>
    <w:pPr>
      <w:tabs>
        <w:tab w:val="left" w:pos="850"/>
        <w:tab w:val="left" w:pos="1191"/>
        <w:tab w:val="left" w:pos="1531"/>
      </w:tabs>
      <w:spacing w:before="0" w:after="240"/>
    </w:pPr>
    <w:rPr>
      <w:rFonts w:ascii="Times New Roman" w:hAnsi="Times New Roman"/>
      <w:sz w:val="22"/>
      <w:szCs w:val="22"/>
      <w:lang w:val="en-GB" w:eastAsia="zh-CN"/>
    </w:rPr>
  </w:style>
  <w:style w:type="paragraph" w:customStyle="1" w:styleId="BoxBodyText">
    <w:name w:val="Box Body Text"/>
    <w:basedOn w:val="Normal"/>
    <w:rsid w:val="00E20D71"/>
    <w:pPr>
      <w:tabs>
        <w:tab w:val="left" w:pos="850"/>
        <w:tab w:val="left" w:pos="1191"/>
        <w:tab w:val="left" w:pos="1531"/>
      </w:tabs>
      <w:spacing w:after="240" w:line="240" w:lineRule="auto"/>
      <w:ind w:firstLine="442"/>
    </w:pPr>
    <w:rPr>
      <w:rFonts w:ascii="Arial" w:eastAsia="Times New Roman" w:hAnsi="Arial" w:cs="Arial"/>
      <w:sz w:val="18"/>
      <w:lang w:val="en-US" w:eastAsia="zh-CN"/>
    </w:rPr>
  </w:style>
  <w:style w:type="character" w:customStyle="1" w:styleId="text">
    <w:name w:val="text"/>
    <w:rsid w:val="00E20D71"/>
    <w:rPr>
      <w:rFonts w:cs="Times New Roman"/>
    </w:rPr>
  </w:style>
  <w:style w:type="paragraph" w:customStyle="1" w:styleId="Textkrper1">
    <w:name w:val="Textkörper1"/>
    <w:basedOn w:val="Normal"/>
    <w:rsid w:val="00E20D71"/>
    <w:pPr>
      <w:widowControl w:val="0"/>
      <w:spacing w:before="120" w:after="0" w:line="260" w:lineRule="atLeast"/>
      <w:jc w:val="left"/>
    </w:pPr>
    <w:rPr>
      <w:rFonts w:ascii="Palatino" w:eastAsia="MS Mincho" w:hAnsi="Palatino" w:cs="Times New Roman"/>
      <w:sz w:val="20"/>
      <w:szCs w:val="20"/>
      <w:lang w:val="en-AU" w:eastAsia="de-DE"/>
    </w:rPr>
  </w:style>
  <w:style w:type="paragraph" w:customStyle="1" w:styleId="DefaultText">
    <w:name w:val="Default Text"/>
    <w:basedOn w:val="Normal"/>
    <w:rsid w:val="00E20D71"/>
    <w:pPr>
      <w:tabs>
        <w:tab w:val="left" w:pos="0"/>
      </w:tabs>
      <w:overflowPunct w:val="0"/>
      <w:autoSpaceDE w:val="0"/>
      <w:autoSpaceDN w:val="0"/>
      <w:adjustRightInd w:val="0"/>
      <w:spacing w:after="0" w:line="240" w:lineRule="auto"/>
      <w:jc w:val="left"/>
      <w:textAlignment w:val="baseline"/>
    </w:pPr>
    <w:rPr>
      <w:rFonts w:ascii="Book Antiqua" w:eastAsia="Times New Roman" w:hAnsi="Book Antiqua" w:cs="Times New Roman"/>
      <w:sz w:val="24"/>
      <w:szCs w:val="24"/>
      <w:lang w:val="de-DE" w:eastAsia="de-DE"/>
    </w:rPr>
  </w:style>
  <w:style w:type="paragraph" w:customStyle="1" w:styleId="Formatvorlage1">
    <w:name w:val="Formatvorlage1"/>
    <w:basedOn w:val="Headline"/>
    <w:rsid w:val="00E20D71"/>
    <w:pPr>
      <w:jc w:val="center"/>
    </w:pPr>
    <w:rPr>
      <w:lang w:val="en-GB"/>
    </w:rPr>
  </w:style>
  <w:style w:type="paragraph" w:customStyle="1" w:styleId="berschrift1SEA">
    <w:name w:val="Überschrift 1 SEA"/>
    <w:basedOn w:val="Headline"/>
    <w:next w:val="Heading1"/>
    <w:autoRedefine/>
    <w:rsid w:val="00E20D71"/>
    <w:rPr>
      <w:rFonts w:ascii="Times New Roman" w:hAnsi="Times New Roman"/>
      <w:sz w:val="32"/>
      <w:szCs w:val="32"/>
    </w:rPr>
  </w:style>
  <w:style w:type="paragraph" w:customStyle="1" w:styleId="Formatvorlage2">
    <w:name w:val="Formatvorlage2"/>
    <w:basedOn w:val="Headline"/>
    <w:rsid w:val="00E20D71"/>
    <w:pPr>
      <w:jc w:val="center"/>
    </w:pPr>
    <w:rPr>
      <w:lang w:val="en-GB"/>
    </w:rPr>
  </w:style>
  <w:style w:type="paragraph" w:styleId="TOC4">
    <w:name w:val="toc 4"/>
    <w:basedOn w:val="Normal"/>
    <w:next w:val="Normal"/>
    <w:autoRedefine/>
    <w:uiPriority w:val="39"/>
    <w:rsid w:val="00E20D71"/>
    <w:pPr>
      <w:spacing w:after="0" w:line="240" w:lineRule="auto"/>
      <w:ind w:left="720"/>
      <w:jc w:val="left"/>
    </w:pPr>
    <w:rPr>
      <w:rFonts w:ascii="Times New Roman" w:eastAsia="Times New Roman" w:hAnsi="Times New Roman" w:cs="Times New Roman"/>
      <w:sz w:val="24"/>
      <w:szCs w:val="24"/>
      <w:lang w:val="de-DE" w:eastAsia="de-DE"/>
    </w:rPr>
  </w:style>
  <w:style w:type="paragraph" w:styleId="TOC5">
    <w:name w:val="toc 5"/>
    <w:basedOn w:val="Normal"/>
    <w:next w:val="Normal"/>
    <w:autoRedefine/>
    <w:uiPriority w:val="39"/>
    <w:rsid w:val="00E20D71"/>
    <w:pPr>
      <w:spacing w:after="0" w:line="240" w:lineRule="auto"/>
      <w:ind w:left="960"/>
      <w:jc w:val="left"/>
    </w:pPr>
    <w:rPr>
      <w:rFonts w:ascii="Times New Roman" w:eastAsia="Times New Roman" w:hAnsi="Times New Roman" w:cs="Times New Roman"/>
      <w:sz w:val="24"/>
      <w:szCs w:val="24"/>
      <w:lang w:val="de-DE" w:eastAsia="de-DE"/>
    </w:rPr>
  </w:style>
  <w:style w:type="paragraph" w:styleId="TOC6">
    <w:name w:val="toc 6"/>
    <w:basedOn w:val="Normal"/>
    <w:next w:val="Normal"/>
    <w:autoRedefine/>
    <w:uiPriority w:val="39"/>
    <w:rsid w:val="00E20D71"/>
    <w:pPr>
      <w:spacing w:after="0" w:line="240" w:lineRule="auto"/>
      <w:ind w:left="1200"/>
      <w:jc w:val="left"/>
    </w:pPr>
    <w:rPr>
      <w:rFonts w:ascii="Times New Roman" w:eastAsia="Times New Roman" w:hAnsi="Times New Roman" w:cs="Times New Roman"/>
      <w:sz w:val="24"/>
      <w:szCs w:val="24"/>
      <w:lang w:val="de-DE" w:eastAsia="de-DE"/>
    </w:rPr>
  </w:style>
  <w:style w:type="paragraph" w:styleId="TOC7">
    <w:name w:val="toc 7"/>
    <w:basedOn w:val="Normal"/>
    <w:next w:val="Normal"/>
    <w:autoRedefine/>
    <w:uiPriority w:val="39"/>
    <w:rsid w:val="00E20D71"/>
    <w:pPr>
      <w:spacing w:after="0" w:line="240" w:lineRule="auto"/>
      <w:ind w:left="1440"/>
      <w:jc w:val="left"/>
    </w:pPr>
    <w:rPr>
      <w:rFonts w:ascii="Times New Roman" w:eastAsia="Times New Roman" w:hAnsi="Times New Roman" w:cs="Times New Roman"/>
      <w:sz w:val="24"/>
      <w:szCs w:val="24"/>
      <w:lang w:val="de-DE" w:eastAsia="de-DE"/>
    </w:rPr>
  </w:style>
  <w:style w:type="paragraph" w:styleId="TOC8">
    <w:name w:val="toc 8"/>
    <w:basedOn w:val="Normal"/>
    <w:next w:val="Normal"/>
    <w:autoRedefine/>
    <w:uiPriority w:val="39"/>
    <w:rsid w:val="00E20D71"/>
    <w:pPr>
      <w:spacing w:after="0" w:line="240" w:lineRule="auto"/>
      <w:ind w:left="1680"/>
      <w:jc w:val="left"/>
    </w:pPr>
    <w:rPr>
      <w:rFonts w:ascii="Times New Roman" w:eastAsia="Times New Roman" w:hAnsi="Times New Roman" w:cs="Times New Roman"/>
      <w:sz w:val="24"/>
      <w:szCs w:val="24"/>
      <w:lang w:val="de-DE" w:eastAsia="de-DE"/>
    </w:rPr>
  </w:style>
  <w:style w:type="paragraph" w:styleId="TOC9">
    <w:name w:val="toc 9"/>
    <w:basedOn w:val="Normal"/>
    <w:next w:val="Normal"/>
    <w:autoRedefine/>
    <w:uiPriority w:val="39"/>
    <w:rsid w:val="00E20D71"/>
    <w:pPr>
      <w:spacing w:after="0" w:line="240" w:lineRule="auto"/>
      <w:ind w:left="1920"/>
      <w:jc w:val="left"/>
    </w:pPr>
    <w:rPr>
      <w:rFonts w:ascii="Times New Roman" w:eastAsia="Times New Roman" w:hAnsi="Times New Roman" w:cs="Times New Roman"/>
      <w:sz w:val="24"/>
      <w:szCs w:val="24"/>
      <w:lang w:val="de-DE" w:eastAsia="de-DE"/>
    </w:rPr>
  </w:style>
  <w:style w:type="paragraph" w:customStyle="1" w:styleId="berschrift2SEA">
    <w:name w:val="Überschrift 2 SEA"/>
    <w:autoRedefine/>
    <w:rsid w:val="00E20D71"/>
    <w:pPr>
      <w:spacing w:after="0" w:line="240" w:lineRule="auto"/>
      <w:jc w:val="center"/>
      <w:outlineLvl w:val="1"/>
    </w:pPr>
    <w:rPr>
      <w:rFonts w:ascii="Arial" w:eastAsia="Times New Roman" w:hAnsi="Arial" w:cs="Arial"/>
      <w:b/>
      <w:bCs/>
      <w:iCs/>
      <w:sz w:val="28"/>
      <w:szCs w:val="28"/>
      <w:lang w:val="en-GB" w:eastAsia="de-DE"/>
    </w:rPr>
  </w:style>
  <w:style w:type="paragraph" w:customStyle="1" w:styleId="Inhaltsverzeichnisberschrift1">
    <w:name w:val="Inhaltsverzeichnisüberschrift1"/>
    <w:basedOn w:val="Heading1"/>
    <w:next w:val="Normal"/>
    <w:semiHidden/>
    <w:rsid w:val="00E20D71"/>
    <w:pPr>
      <w:jc w:val="center"/>
      <w:outlineLvl w:val="9"/>
    </w:pPr>
    <w:rPr>
      <w:rFonts w:ascii="Cambria" w:eastAsia="Times New Roman" w:hAnsi="Cambria" w:cs="Times New Roman"/>
      <w:color w:val="365F91"/>
      <w:lang w:val="en-US" w:eastAsia="en-US"/>
    </w:rPr>
  </w:style>
  <w:style w:type="paragraph" w:customStyle="1" w:styleId="Listenabsatz1">
    <w:name w:val="Listenabsatz1"/>
    <w:basedOn w:val="Normal"/>
    <w:rsid w:val="00E20D71"/>
    <w:pPr>
      <w:spacing w:after="0" w:line="240" w:lineRule="auto"/>
      <w:ind w:left="720"/>
      <w:contextualSpacing/>
      <w:jc w:val="left"/>
    </w:pPr>
    <w:rPr>
      <w:rFonts w:ascii="Times New Roman" w:eastAsia="Times New Roman" w:hAnsi="Times New Roman" w:cs="Times New Roman"/>
      <w:sz w:val="24"/>
      <w:szCs w:val="24"/>
      <w:lang w:val="de-DE" w:eastAsia="de-DE"/>
    </w:rPr>
  </w:style>
  <w:style w:type="paragraph" w:customStyle="1" w:styleId="Head1">
    <w:name w:val="Head 1"/>
    <w:basedOn w:val="Normal"/>
    <w:next w:val="Normal"/>
    <w:rsid w:val="00E20D71"/>
    <w:pPr>
      <w:adjustRightInd w:val="0"/>
      <w:snapToGrid w:val="0"/>
      <w:spacing w:after="0" w:line="240" w:lineRule="auto"/>
      <w:jc w:val="left"/>
    </w:pPr>
    <w:rPr>
      <w:rFonts w:ascii="Arial" w:eastAsia="Times New Roman" w:hAnsi="Arial" w:cs="Tahoma"/>
      <w:b/>
      <w:sz w:val="24"/>
      <w:szCs w:val="24"/>
      <w:lang w:val="en-US" w:eastAsia="en-US"/>
    </w:rPr>
  </w:style>
  <w:style w:type="paragraph" w:customStyle="1" w:styleId="Head2">
    <w:name w:val="Head 2"/>
    <w:basedOn w:val="Normal"/>
    <w:next w:val="Normal"/>
    <w:rsid w:val="00E20D71"/>
    <w:pPr>
      <w:adjustRightInd w:val="0"/>
      <w:snapToGrid w:val="0"/>
      <w:spacing w:after="0" w:line="240" w:lineRule="auto"/>
      <w:jc w:val="left"/>
    </w:pPr>
    <w:rPr>
      <w:rFonts w:ascii="Arial" w:eastAsia="Times New Roman" w:hAnsi="Arial" w:cs="Tahoma"/>
      <w:szCs w:val="24"/>
      <w:lang w:val="en-US" w:eastAsia="en-US"/>
    </w:rPr>
  </w:style>
  <w:style w:type="paragraph" w:customStyle="1" w:styleId="TOCHeading1">
    <w:name w:val="TOC Heading1"/>
    <w:basedOn w:val="Heading1"/>
    <w:next w:val="Normal"/>
    <w:semiHidden/>
    <w:rsid w:val="00E20D71"/>
    <w:pPr>
      <w:jc w:val="center"/>
      <w:outlineLvl w:val="9"/>
    </w:pPr>
    <w:rPr>
      <w:rFonts w:ascii="Cambria" w:eastAsia="Times New Roman" w:hAnsi="Cambria" w:cs="Times New Roman"/>
      <w:color w:val="365F91"/>
      <w:lang w:val="en-US" w:eastAsia="en-US"/>
    </w:rPr>
  </w:style>
  <w:style w:type="paragraph" w:customStyle="1" w:styleId="ListParagraph1">
    <w:name w:val="List Paragraph1"/>
    <w:basedOn w:val="Normal"/>
    <w:rsid w:val="00E20D71"/>
    <w:pPr>
      <w:spacing w:after="0" w:line="240" w:lineRule="auto"/>
      <w:ind w:left="720"/>
      <w:contextualSpacing/>
      <w:jc w:val="left"/>
    </w:pPr>
    <w:rPr>
      <w:rFonts w:ascii="Times New Roman" w:eastAsia="Times New Roman" w:hAnsi="Times New Roman" w:cs="Times New Roman"/>
      <w:sz w:val="24"/>
      <w:szCs w:val="24"/>
      <w:lang w:val="de-DE" w:eastAsia="de-DE"/>
    </w:rPr>
  </w:style>
  <w:style w:type="paragraph" w:customStyle="1" w:styleId="Revision1">
    <w:name w:val="Revision1"/>
    <w:hidden/>
    <w:semiHidden/>
    <w:rsid w:val="00E20D71"/>
    <w:pPr>
      <w:spacing w:after="0" w:line="240" w:lineRule="auto"/>
    </w:pPr>
    <w:rPr>
      <w:rFonts w:ascii="Times New Roman" w:eastAsia="Times New Roman" w:hAnsi="Times New Roman" w:cs="Times New Roman"/>
      <w:sz w:val="24"/>
      <w:szCs w:val="24"/>
      <w:lang w:val="de-DE" w:eastAsia="de-DE"/>
    </w:rPr>
  </w:style>
  <w:style w:type="paragraph" w:customStyle="1" w:styleId="FarbigeListe-Akzent11">
    <w:name w:val="Farbige Liste - Akzent 11"/>
    <w:basedOn w:val="Normal"/>
    <w:rsid w:val="00E20D71"/>
    <w:pPr>
      <w:spacing w:after="0" w:line="240" w:lineRule="auto"/>
      <w:ind w:left="708"/>
      <w:jc w:val="left"/>
    </w:pPr>
    <w:rPr>
      <w:rFonts w:ascii="Times New Roman" w:eastAsia="Times New Roman" w:hAnsi="Times New Roman" w:cs="Times New Roman"/>
      <w:sz w:val="24"/>
      <w:szCs w:val="24"/>
      <w:lang w:val="de-DE" w:eastAsia="de-DE"/>
    </w:rPr>
  </w:style>
  <w:style w:type="paragraph" w:customStyle="1" w:styleId="msonormalcxspmiddle">
    <w:name w:val="msonormalcxspmiddle"/>
    <w:basedOn w:val="Normal"/>
    <w:rsid w:val="00E20D71"/>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character" w:customStyle="1" w:styleId="apple-style-span">
    <w:name w:val="apple-style-span"/>
    <w:basedOn w:val="DefaultParagraphFont"/>
    <w:rsid w:val="00E20D71"/>
  </w:style>
  <w:style w:type="paragraph" w:customStyle="1" w:styleId="FarbigeSchattierung-Akzent11">
    <w:name w:val="Farbige Schattierung - Akzent 11"/>
    <w:hidden/>
    <w:uiPriority w:val="99"/>
    <w:semiHidden/>
    <w:rsid w:val="00E20D71"/>
    <w:pPr>
      <w:spacing w:after="0" w:line="240" w:lineRule="auto"/>
    </w:pPr>
    <w:rPr>
      <w:rFonts w:ascii="Times New Roman" w:eastAsia="Times New Roman" w:hAnsi="Times New Roman" w:cs="Times New Roman"/>
      <w:sz w:val="24"/>
      <w:szCs w:val="24"/>
      <w:lang w:val="de-DE" w:eastAsia="de-DE"/>
    </w:rPr>
  </w:style>
  <w:style w:type="paragraph" w:customStyle="1" w:styleId="TOCHeading2">
    <w:name w:val="TOC Heading2"/>
    <w:basedOn w:val="Heading1"/>
    <w:next w:val="Normal"/>
    <w:uiPriority w:val="39"/>
    <w:semiHidden/>
    <w:unhideWhenUsed/>
    <w:qFormat/>
    <w:rsid w:val="00E20D71"/>
    <w:pPr>
      <w:jc w:val="center"/>
      <w:outlineLvl w:val="9"/>
    </w:pPr>
    <w:rPr>
      <w:rFonts w:ascii="Cambria" w:eastAsia="Times New Roman" w:hAnsi="Cambria" w:cs="Times New Roman"/>
      <w:color w:val="365F91"/>
      <w:lang w:val="en-US" w:eastAsia="en-US"/>
    </w:rPr>
  </w:style>
  <w:style w:type="paragraph" w:customStyle="1" w:styleId="Aufzhlung">
    <w:name w:val="Aufzählung"/>
    <w:basedOn w:val="Normal"/>
    <w:link w:val="AufzhlungZchn"/>
    <w:qFormat/>
    <w:rsid w:val="00E20D71"/>
    <w:pPr>
      <w:numPr>
        <w:numId w:val="10"/>
      </w:numPr>
      <w:spacing w:after="60" w:line="240" w:lineRule="auto"/>
      <w:jc w:val="left"/>
    </w:pPr>
    <w:rPr>
      <w:rFonts w:ascii="Arial" w:eastAsia="Times New Roman" w:hAnsi="Arial" w:cs="Arial"/>
      <w:lang w:val="en-US" w:eastAsia="de-DE"/>
    </w:rPr>
  </w:style>
  <w:style w:type="character" w:customStyle="1" w:styleId="AufzhlungZchn">
    <w:name w:val="Aufzählung Zchn"/>
    <w:link w:val="Aufzhlung"/>
    <w:rsid w:val="00E20D71"/>
    <w:rPr>
      <w:rFonts w:ascii="Arial" w:eastAsia="Times New Roman" w:hAnsi="Arial" w:cs="Arial"/>
      <w:lang w:eastAsia="de-DE"/>
    </w:rPr>
  </w:style>
  <w:style w:type="paragraph" w:customStyle="1" w:styleId="Textbox">
    <w:name w:val="Textbox"/>
    <w:basedOn w:val="Normal"/>
    <w:link w:val="TextboxZchn"/>
    <w:qFormat/>
    <w:rsid w:val="00E20D71"/>
    <w:pPr>
      <w:spacing w:after="60" w:line="240" w:lineRule="auto"/>
      <w:jc w:val="left"/>
    </w:pPr>
    <w:rPr>
      <w:rFonts w:ascii="Arial" w:eastAsia="Times New Roman" w:hAnsi="Arial" w:cs="Arial"/>
      <w:bCs/>
      <w:i/>
      <w:iCs/>
      <w:szCs w:val="24"/>
      <w:lang w:val="en-US" w:eastAsia="de-DE"/>
    </w:rPr>
  </w:style>
  <w:style w:type="character" w:customStyle="1" w:styleId="TextboxZchn">
    <w:name w:val="Textbox Zchn"/>
    <w:link w:val="Textbox"/>
    <w:rsid w:val="00E20D71"/>
    <w:rPr>
      <w:rFonts w:ascii="Arial" w:eastAsia="Times New Roman" w:hAnsi="Arial" w:cs="Arial"/>
      <w:bCs/>
      <w:i/>
      <w:iCs/>
      <w:szCs w:val="24"/>
      <w:lang w:eastAsia="de-DE"/>
    </w:rPr>
  </w:style>
  <w:style w:type="paragraph" w:customStyle="1" w:styleId="Tabellenberschrift">
    <w:name w:val="Tabellenüberschrift"/>
    <w:basedOn w:val="Normal"/>
    <w:link w:val="TabellenberschriftZchn"/>
    <w:qFormat/>
    <w:rsid w:val="00E20D71"/>
    <w:pPr>
      <w:spacing w:after="0" w:line="240" w:lineRule="auto"/>
      <w:jc w:val="left"/>
    </w:pPr>
    <w:rPr>
      <w:rFonts w:ascii="Arial" w:eastAsia="Times New Roman" w:hAnsi="Arial" w:cs="Arial"/>
      <w:b/>
      <w:sz w:val="20"/>
      <w:szCs w:val="24"/>
      <w:lang w:val="en-US" w:eastAsia="de-DE"/>
    </w:rPr>
  </w:style>
  <w:style w:type="character" w:customStyle="1" w:styleId="TabellenberschriftZchn">
    <w:name w:val="Tabellenüberschrift Zchn"/>
    <w:link w:val="Tabellenberschrift"/>
    <w:rsid w:val="00E20D71"/>
    <w:rPr>
      <w:rFonts w:ascii="Arial" w:eastAsia="Times New Roman" w:hAnsi="Arial" w:cs="Arial"/>
      <w:b/>
      <w:sz w:val="20"/>
      <w:szCs w:val="24"/>
      <w:lang w:eastAsia="de-DE"/>
    </w:rPr>
  </w:style>
  <w:style w:type="paragraph" w:customStyle="1" w:styleId="Nummerierung">
    <w:name w:val="Nummerierung"/>
    <w:basedOn w:val="Aufzhlung"/>
    <w:link w:val="NummerierungZchn"/>
    <w:qFormat/>
    <w:rsid w:val="00E20D71"/>
    <w:pPr>
      <w:numPr>
        <w:numId w:val="0"/>
      </w:numPr>
    </w:pPr>
  </w:style>
  <w:style w:type="character" w:customStyle="1" w:styleId="NummerierungZchn">
    <w:name w:val="Nummerierung Zchn"/>
    <w:link w:val="Nummerierung"/>
    <w:rsid w:val="00E20D71"/>
    <w:rPr>
      <w:rFonts w:ascii="Arial" w:eastAsia="Times New Roman" w:hAnsi="Arial" w:cs="Arial"/>
      <w:lang w:eastAsia="de-DE"/>
    </w:rPr>
  </w:style>
  <w:style w:type="paragraph" w:customStyle="1" w:styleId="Zwischenberschrift2">
    <w:name w:val="Zwischenüberschrift2"/>
    <w:basedOn w:val="Standardtextbody"/>
    <w:link w:val="Zwischenberschrift2Zchn"/>
    <w:qFormat/>
    <w:rsid w:val="00E20D71"/>
    <w:pPr>
      <w:spacing w:before="240" w:after="60"/>
    </w:pPr>
    <w:rPr>
      <w:rFonts w:eastAsia="Times New Roman"/>
      <w:lang w:eastAsia="de-DE"/>
    </w:rPr>
  </w:style>
  <w:style w:type="character" w:customStyle="1" w:styleId="Zwischenberschrift2Zchn">
    <w:name w:val="Zwischenüberschrift2 Zchn"/>
    <w:link w:val="Zwischenberschrift2"/>
    <w:rsid w:val="00E20D71"/>
    <w:rPr>
      <w:rFonts w:ascii="Arial" w:eastAsia="Times New Roman" w:hAnsi="Arial" w:cs="Arial"/>
      <w:bCs/>
      <w:iCs/>
      <w:lang w:eastAsia="de-DE"/>
    </w:rPr>
  </w:style>
  <w:style w:type="paragraph" w:customStyle="1" w:styleId="zustzlinfo">
    <w:name w:val="zusätzl info"/>
    <w:basedOn w:val="Standardtextbody"/>
    <w:link w:val="zustzlinfoZchn"/>
    <w:qFormat/>
    <w:rsid w:val="00E20D71"/>
    <w:pPr>
      <w:shd w:val="clear" w:color="auto" w:fill="F2F2F2"/>
    </w:pPr>
    <w:rPr>
      <w:rFonts w:eastAsia="Times New Roman"/>
      <w:i/>
      <w:lang w:eastAsia="de-DE"/>
    </w:rPr>
  </w:style>
  <w:style w:type="character" w:customStyle="1" w:styleId="zustzlinfoZchn">
    <w:name w:val="zusätzl info Zchn"/>
    <w:link w:val="zustzlinfo"/>
    <w:rsid w:val="00E20D71"/>
    <w:rPr>
      <w:rFonts w:ascii="Arial" w:eastAsia="Times New Roman" w:hAnsi="Arial" w:cs="Arial"/>
      <w:bCs/>
      <w:i/>
      <w:iCs/>
      <w:shd w:val="clear" w:color="auto" w:fill="F2F2F2"/>
      <w:lang w:eastAsia="de-DE"/>
    </w:rPr>
  </w:style>
  <w:style w:type="paragraph" w:customStyle="1" w:styleId="Tabellentext">
    <w:name w:val="Tabellentext"/>
    <w:basedOn w:val="Standardtextbody"/>
    <w:link w:val="TabellentextZchn"/>
    <w:qFormat/>
    <w:rsid w:val="00E20D71"/>
    <w:pPr>
      <w:spacing w:after="0" w:line="240" w:lineRule="auto"/>
    </w:pPr>
    <w:rPr>
      <w:rFonts w:eastAsia="Times New Roman"/>
      <w:sz w:val="20"/>
      <w:lang w:eastAsia="de-DE"/>
    </w:rPr>
  </w:style>
  <w:style w:type="character" w:customStyle="1" w:styleId="TabellentextZchn">
    <w:name w:val="Tabellentext Zchn"/>
    <w:link w:val="Tabellentext"/>
    <w:rsid w:val="00E20D71"/>
    <w:rPr>
      <w:rFonts w:ascii="Arial" w:eastAsia="Times New Roman" w:hAnsi="Arial" w:cs="Arial"/>
      <w:bCs/>
      <w:iCs/>
      <w:sz w:val="20"/>
      <w:lang w:eastAsia="de-DE"/>
    </w:rPr>
  </w:style>
  <w:style w:type="paragraph" w:customStyle="1" w:styleId="Zwischenberschrift3">
    <w:name w:val="Zwischenüberschrift3"/>
    <w:basedOn w:val="Zwischenberschrift2"/>
    <w:link w:val="Zwischenberschrift3Zchn"/>
    <w:qFormat/>
    <w:rsid w:val="00E20D71"/>
    <w:rPr>
      <w:u w:val="single"/>
    </w:rPr>
  </w:style>
  <w:style w:type="character" w:customStyle="1" w:styleId="Zwischenberschrift3Zchn">
    <w:name w:val="Zwischenüberschrift3 Zchn"/>
    <w:link w:val="Zwischenberschrift3"/>
    <w:rsid w:val="00E20D71"/>
    <w:rPr>
      <w:rFonts w:ascii="Arial" w:eastAsia="Times New Roman" w:hAnsi="Arial" w:cs="Arial"/>
      <w:bCs/>
      <w:iCs/>
      <w:u w:val="single"/>
      <w:lang w:eastAsia="de-DE"/>
    </w:rPr>
  </w:style>
  <w:style w:type="paragraph" w:styleId="TableofFigures">
    <w:name w:val="table of figures"/>
    <w:basedOn w:val="Normal"/>
    <w:next w:val="Normal"/>
    <w:uiPriority w:val="99"/>
    <w:rsid w:val="00E20D71"/>
    <w:pPr>
      <w:spacing w:after="0" w:line="240" w:lineRule="auto"/>
      <w:jc w:val="left"/>
    </w:pPr>
    <w:rPr>
      <w:rFonts w:ascii="Calibri" w:eastAsia="Times New Roman" w:hAnsi="Calibri" w:cs="Times New Roman"/>
      <w:i/>
      <w:iCs/>
      <w:sz w:val="20"/>
      <w:szCs w:val="20"/>
      <w:lang w:val="de-DE" w:eastAsia="de-DE"/>
    </w:rPr>
  </w:style>
  <w:style w:type="paragraph" w:customStyle="1" w:styleId="AufzTabellentext">
    <w:name w:val="Aufz_Tabellentext"/>
    <w:basedOn w:val="Standardtextbody"/>
    <w:link w:val="AufzTabellentextZchn"/>
    <w:qFormat/>
    <w:rsid w:val="00E20D71"/>
    <w:pPr>
      <w:numPr>
        <w:numId w:val="9"/>
      </w:numPr>
      <w:spacing w:after="60" w:line="240" w:lineRule="auto"/>
      <w:ind w:left="357" w:hanging="357"/>
    </w:pPr>
    <w:rPr>
      <w:rFonts w:eastAsia="Times New Roman"/>
      <w:sz w:val="20"/>
      <w:lang w:eastAsia="de-DE"/>
    </w:rPr>
  </w:style>
  <w:style w:type="character" w:customStyle="1" w:styleId="AufzTabellentextZchn">
    <w:name w:val="Aufz_Tabellentext Zchn"/>
    <w:link w:val="AufzTabellentext"/>
    <w:rsid w:val="00E20D71"/>
    <w:rPr>
      <w:rFonts w:ascii="Arial" w:eastAsia="Times New Roman" w:hAnsi="Arial" w:cs="Arial"/>
      <w:bCs/>
      <w:iCs/>
      <w:sz w:val="20"/>
      <w:lang w:eastAsia="de-DE"/>
    </w:rPr>
  </w:style>
  <w:style w:type="paragraph" w:customStyle="1" w:styleId="Sprechblasentext1">
    <w:name w:val="Sprechblasentext1"/>
    <w:basedOn w:val="Normal"/>
    <w:semiHidden/>
    <w:rsid w:val="00E20D71"/>
    <w:pPr>
      <w:spacing w:after="0" w:line="240" w:lineRule="auto"/>
      <w:jc w:val="left"/>
    </w:pPr>
    <w:rPr>
      <w:rFonts w:ascii="Tahoma" w:eastAsia="Times New Roman" w:hAnsi="Tahoma" w:cs="Tahoma"/>
      <w:sz w:val="16"/>
      <w:szCs w:val="16"/>
      <w:lang w:val="de-DE" w:eastAsia="de-DE"/>
    </w:rPr>
  </w:style>
  <w:style w:type="paragraph" w:customStyle="1" w:styleId="standardtextbody0">
    <w:name w:val="standardtextbody"/>
    <w:basedOn w:val="Normal"/>
    <w:rsid w:val="00E20D71"/>
    <w:pPr>
      <w:spacing w:line="280" w:lineRule="atLeast"/>
      <w:jc w:val="left"/>
    </w:pPr>
    <w:rPr>
      <w:rFonts w:ascii="Arial" w:eastAsia="Calibri" w:hAnsi="Arial" w:cs="Arial"/>
      <w:lang w:val="de-DE" w:eastAsia="de-DE"/>
    </w:rPr>
  </w:style>
  <w:style w:type="paragraph" w:customStyle="1" w:styleId="berschriftzwischentextbody0">
    <w:name w:val="berschriftzwischentextbody"/>
    <w:basedOn w:val="Normal"/>
    <w:rsid w:val="00E20D71"/>
    <w:pPr>
      <w:keepNext/>
      <w:spacing w:before="360" w:line="280" w:lineRule="atLeast"/>
      <w:jc w:val="left"/>
    </w:pPr>
    <w:rPr>
      <w:rFonts w:ascii="Arial" w:eastAsia="Calibri" w:hAnsi="Arial" w:cs="Arial"/>
      <w:b/>
      <w:bCs/>
      <w:sz w:val="24"/>
      <w:szCs w:val="24"/>
      <w:lang w:val="de-DE" w:eastAsia="de-DE"/>
    </w:rPr>
  </w:style>
  <w:style w:type="paragraph" w:customStyle="1" w:styleId="ITinstructiontext">
    <w:name w:val="IT instruction text"/>
    <w:basedOn w:val="Normal"/>
    <w:link w:val="ITinstructiontextChar"/>
    <w:rsid w:val="00E20D71"/>
    <w:pPr>
      <w:tabs>
        <w:tab w:val="left" w:pos="340"/>
      </w:tabs>
      <w:spacing w:before="80" w:after="40" w:line="280" w:lineRule="atLeast"/>
      <w:jc w:val="left"/>
    </w:pPr>
    <w:rPr>
      <w:rFonts w:ascii="Arial" w:eastAsia="Times" w:hAnsi="Arial" w:cs="Times New Roman"/>
      <w:kern w:val="28"/>
      <w:sz w:val="28"/>
      <w:szCs w:val="20"/>
      <w:lang w:val="en-GB" w:eastAsia="en-US"/>
    </w:rPr>
  </w:style>
  <w:style w:type="character" w:customStyle="1" w:styleId="ITinstructiontextChar">
    <w:name w:val="IT instruction text Char"/>
    <w:link w:val="ITinstructiontext"/>
    <w:rsid w:val="00E20D71"/>
    <w:rPr>
      <w:rFonts w:ascii="Arial" w:eastAsia="Times" w:hAnsi="Arial" w:cs="Times New Roman"/>
      <w:kern w:val="28"/>
      <w:sz w:val="28"/>
      <w:szCs w:val="20"/>
      <w:lang w:val="en-GB"/>
    </w:rPr>
  </w:style>
  <w:style w:type="character" w:customStyle="1" w:styleId="shorttext">
    <w:name w:val="short_text"/>
    <w:rsid w:val="00E20D71"/>
  </w:style>
  <w:style w:type="paragraph" w:styleId="BodyTextIndent">
    <w:name w:val="Body Text Indent"/>
    <w:basedOn w:val="Normal"/>
    <w:link w:val="BodyTextIndentChar"/>
    <w:rsid w:val="00E20D71"/>
    <w:pPr>
      <w:spacing w:line="240" w:lineRule="auto"/>
      <w:ind w:left="283"/>
      <w:jc w:val="left"/>
    </w:pPr>
    <w:rPr>
      <w:rFonts w:ascii="Times New Roman" w:eastAsia="Times New Roman" w:hAnsi="Times New Roman" w:cs="Times New Roman"/>
      <w:sz w:val="24"/>
      <w:szCs w:val="24"/>
      <w:lang w:val="de-DE" w:eastAsia="de-DE"/>
    </w:rPr>
  </w:style>
  <w:style w:type="character" w:customStyle="1" w:styleId="BodyTextIndentChar">
    <w:name w:val="Body Text Indent Char"/>
    <w:basedOn w:val="DefaultParagraphFont"/>
    <w:link w:val="BodyTextIndent"/>
    <w:rsid w:val="00E20D71"/>
    <w:rPr>
      <w:rFonts w:ascii="Times New Roman" w:eastAsia="Times New Roman" w:hAnsi="Times New Roman" w:cs="Times New Roman"/>
      <w:sz w:val="24"/>
      <w:szCs w:val="24"/>
      <w:lang w:val="de-DE" w:eastAsia="de-DE"/>
    </w:rPr>
  </w:style>
  <w:style w:type="paragraph" w:customStyle="1" w:styleId="p">
    <w:name w:val="p"/>
    <w:basedOn w:val="Normal"/>
    <w:rsid w:val="00E20D71"/>
    <w:pPr>
      <w:spacing w:before="100" w:beforeAutospacing="1" w:after="100" w:afterAutospacing="1" w:line="240" w:lineRule="auto"/>
      <w:jc w:val="left"/>
    </w:pPr>
    <w:rPr>
      <w:rFonts w:ascii="Times New Roman" w:eastAsiaTheme="minorHAnsi" w:hAnsi="Times New Roman" w:cs="Times New Roman"/>
      <w:sz w:val="24"/>
      <w:szCs w:val="24"/>
      <w:lang w:val="en-US" w:eastAsia="en-US"/>
    </w:rPr>
  </w:style>
  <w:style w:type="paragraph" w:customStyle="1" w:styleId="Blockabsatz">
    <w:name w:val="Blockabsatz"/>
    <w:basedOn w:val="Normal"/>
    <w:rsid w:val="00E20D71"/>
    <w:pPr>
      <w:spacing w:before="240" w:after="0" w:line="260" w:lineRule="exact"/>
    </w:pPr>
    <w:rPr>
      <w:rFonts w:ascii="Frutiger 55 Roman" w:eastAsia="Times New Roman" w:hAnsi="Frutiger 55 Roman" w:cs="Times New Roman"/>
      <w:sz w:val="20"/>
      <w:szCs w:val="20"/>
      <w:lang w:val="de-DE" w:eastAsia="de-DE"/>
    </w:rPr>
  </w:style>
  <w:style w:type="table" w:customStyle="1" w:styleId="LightGrid-Accent11">
    <w:name w:val="Light Grid - Accent 11"/>
    <w:basedOn w:val="TableNormal"/>
    <w:uiPriority w:val="62"/>
    <w:rsid w:val="00E20D71"/>
    <w:pPr>
      <w:spacing w:after="0" w:line="240" w:lineRule="auto"/>
    </w:pPr>
    <w:rPr>
      <w:rFonts w:eastAsiaTheme="minorEastAsia"/>
      <w:lang w:val="it-IT" w:eastAsia="it-I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PlainTable41">
    <w:name w:val="Plain Table 41"/>
    <w:basedOn w:val="TableNormal"/>
    <w:uiPriority w:val="44"/>
    <w:rsid w:val="00E20D71"/>
    <w:pPr>
      <w:spacing w:after="0" w:line="240" w:lineRule="auto"/>
    </w:pPr>
    <w:rPr>
      <w:rFonts w:eastAsia="MS Mincho"/>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E20D71"/>
  </w:style>
  <w:style w:type="table" w:customStyle="1" w:styleId="Tabellengitternetz1">
    <w:name w:val="Tabellengitternetz1"/>
    <w:basedOn w:val="TableNormal"/>
    <w:next w:val="TableGrid"/>
    <w:uiPriority w:val="39"/>
    <w:rsid w:val="00E20D71"/>
    <w:pPr>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medio1-Colore111">
    <w:name w:val="Sfondo medio 1 - Colore 111"/>
    <w:uiPriority w:val="63"/>
    <w:rsid w:val="00E20D71"/>
    <w:pPr>
      <w:spacing w:after="0" w:line="240" w:lineRule="auto"/>
    </w:pPr>
    <w:rPr>
      <w:rFonts w:ascii="Times New Roman" w:eastAsia="Times New Roman" w:hAnsi="Times New Roman" w:cs="Times New Roman"/>
      <w:sz w:val="20"/>
      <w:szCs w:val="20"/>
      <w:lang w:val="it-IT" w:eastAsia="it-IT"/>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121">
    <w:name w:val="Light Shading - Accent 121"/>
    <w:basedOn w:val="TableNormal"/>
    <w:next w:val="LightShading-Accent12"/>
    <w:uiPriority w:val="60"/>
    <w:rsid w:val="00E20D71"/>
    <w:pPr>
      <w:spacing w:after="0" w:line="240" w:lineRule="auto"/>
    </w:pPr>
    <w:rPr>
      <w:rFonts w:ascii="Times New Roman" w:eastAsia="Times New Roman" w:hAnsi="Times New Roman" w:cs="Times New Roman"/>
      <w:color w:val="365F91" w:themeColor="accent1" w:themeShade="BF"/>
      <w:lang w:val="it-IT" w:eastAsia="it-IT"/>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21">
    <w:name w:val="Light List - Accent 21"/>
    <w:basedOn w:val="TableNormal"/>
    <w:next w:val="LightList-Accent2"/>
    <w:uiPriority w:val="61"/>
    <w:rsid w:val="00E20D71"/>
    <w:pPr>
      <w:spacing w:after="0" w:line="240" w:lineRule="auto"/>
    </w:pPr>
    <w:rPr>
      <w:rFonts w:ascii="Times New Roman" w:eastAsia="Times New Roman" w:hAnsi="Times New Roman" w:cs="Times New Roman"/>
      <w:lang w:val="it-IT" w:eastAsia="it-I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ainbidtable1">
    <w:name w:val="main bid table1"/>
    <w:basedOn w:val="TableNormal"/>
    <w:uiPriority w:val="99"/>
    <w:rsid w:val="00E20D71"/>
    <w:pPr>
      <w:spacing w:before="60" w:after="0" w:line="240" w:lineRule="auto"/>
    </w:pPr>
    <w:rPr>
      <w:rFonts w:ascii="Arial" w:eastAsia="Times New Roman" w:hAnsi="Arial" w:cs="Times New Roman"/>
      <w:sz w:val="20"/>
      <w:szCs w:val="20"/>
      <w:lang w:val="en-GB" w:eastAsia="en-GB"/>
    </w:rPr>
    <w:tblPr>
      <w:tblStyleRowBandSize w:val="1"/>
      <w:tblStyleColBandSize w:val="1"/>
      <w:tblBorders>
        <w:left w:val="single" w:sz="4" w:space="0" w:color="0055A0"/>
        <w:bottom w:val="single" w:sz="4" w:space="0" w:color="0055A0"/>
        <w:right w:val="single" w:sz="4" w:space="0" w:color="0055A0"/>
        <w:insideV w:val="single" w:sz="4" w:space="0" w:color="0055A0"/>
      </w:tblBorders>
    </w:tblPr>
    <w:tcPr>
      <w:vAlign w:val="center"/>
    </w:tcPr>
    <w:tblStylePr w:type="firstRow">
      <w:rPr>
        <w:color w:val="FFFFFF"/>
      </w:rPr>
      <w:tblPr/>
      <w:tcPr>
        <w:tcBorders>
          <w:top w:val="nil"/>
          <w:left w:val="single" w:sz="4" w:space="0" w:color="0055A0"/>
          <w:bottom w:val="nil"/>
          <w:right w:val="single" w:sz="4" w:space="0" w:color="0055A0"/>
          <w:insideH w:val="nil"/>
          <w:insideV w:val="nil"/>
          <w:tl2br w:val="nil"/>
          <w:tr2bl w:val="nil"/>
        </w:tcBorders>
        <w:shd w:val="clear" w:color="auto" w:fill="006BB7"/>
      </w:tcPr>
    </w:tblStylePr>
    <w:tblStylePr w:type="band1Vert">
      <w:pPr>
        <w:jc w:val="left"/>
      </w:pPr>
      <w:tblPr/>
      <w:tcPr>
        <w:shd w:val="clear" w:color="auto" w:fill="F5F9FC"/>
      </w:tcPr>
    </w:tblStylePr>
    <w:tblStylePr w:type="band1Horz">
      <w:tblPr/>
      <w:tcPr>
        <w:shd w:val="clear" w:color="auto" w:fill="EDF3F7"/>
      </w:tcPr>
    </w:tblStylePr>
    <w:tblStylePr w:type="band2Horz">
      <w:tblPr/>
      <w:tcPr>
        <w:tcBorders>
          <w:insideV w:val="single" w:sz="4" w:space="0" w:color="0055A0"/>
        </w:tcBorders>
        <w:shd w:val="clear" w:color="auto" w:fill="FFFFFF"/>
      </w:tcPr>
    </w:tblStylePr>
  </w:style>
  <w:style w:type="table" w:customStyle="1" w:styleId="GridTable1Light-Accent111">
    <w:name w:val="Grid Table 1 Light - Accent 111"/>
    <w:basedOn w:val="TableNormal"/>
    <w:uiPriority w:val="46"/>
    <w:rsid w:val="00E20D71"/>
    <w:pPr>
      <w:spacing w:after="0" w:line="240" w:lineRule="auto"/>
    </w:pPr>
    <w:rPr>
      <w:rFonts w:eastAsiaTheme="minorEastAsia"/>
      <w:lang w:val="it-IT" w:eastAsia="it-I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E20D71"/>
    <w:pPr>
      <w:spacing w:after="0" w:line="240" w:lineRule="auto"/>
    </w:pPr>
    <w:rPr>
      <w:rFonts w:eastAsiaTheme="minorEastAsia"/>
      <w:lang w:val="it-IT" w:eastAsia="it-IT"/>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51">
    <w:name w:val="Light Shading - Accent 51"/>
    <w:basedOn w:val="TableNormal"/>
    <w:next w:val="LightShading-Accent5"/>
    <w:uiPriority w:val="60"/>
    <w:rsid w:val="00E20D71"/>
    <w:pPr>
      <w:spacing w:after="0" w:line="240" w:lineRule="auto"/>
    </w:pPr>
    <w:rPr>
      <w:rFonts w:eastAsiaTheme="minorEastAsia"/>
      <w:color w:val="31849B" w:themeColor="accent5" w:themeShade="BF"/>
      <w:lang w:val="it-IT" w:eastAsia="it-IT"/>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GridTable1Light11">
    <w:name w:val="Grid Table 1 Light11"/>
    <w:basedOn w:val="TableNormal"/>
    <w:uiPriority w:val="46"/>
    <w:rsid w:val="00E20D71"/>
    <w:pPr>
      <w:spacing w:after="0" w:line="240" w:lineRule="auto"/>
    </w:pPr>
    <w:rPr>
      <w:rFonts w:eastAsia="MS Mincho"/>
      <w:lang w:val="it-I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Accent111">
    <w:name w:val="Grid Table 6 Colorful - Accent 111"/>
    <w:basedOn w:val="TableNormal"/>
    <w:uiPriority w:val="51"/>
    <w:rsid w:val="00E20D71"/>
    <w:pPr>
      <w:spacing w:after="0" w:line="240" w:lineRule="auto"/>
    </w:pPr>
    <w:rPr>
      <w:rFonts w:eastAsiaTheme="minorEastAsia"/>
      <w:lang w:val="it-IT" w:eastAsia="it-IT"/>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1">
    <w:name w:val="Table Grid Light11"/>
    <w:basedOn w:val="TableNormal"/>
    <w:uiPriority w:val="40"/>
    <w:rsid w:val="00E20D71"/>
    <w:pPr>
      <w:spacing w:after="0" w:line="240" w:lineRule="auto"/>
    </w:pPr>
    <w:rPr>
      <w:rFonts w:eastAsiaTheme="minorEastAsia"/>
      <w:lang w:val="it-IT"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Grid-Accent111">
    <w:name w:val="Light Grid - Accent 111"/>
    <w:basedOn w:val="TableNormal"/>
    <w:next w:val="LightGrid-Accent11"/>
    <w:uiPriority w:val="62"/>
    <w:rsid w:val="00E20D71"/>
    <w:pPr>
      <w:spacing w:after="0" w:line="240" w:lineRule="auto"/>
    </w:pPr>
    <w:rPr>
      <w:rFonts w:eastAsiaTheme="minorEastAsia"/>
      <w:lang w:val="it-IT" w:eastAsia="it-I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PlainTable411">
    <w:name w:val="Plain Table 411"/>
    <w:basedOn w:val="TableNormal"/>
    <w:uiPriority w:val="44"/>
    <w:rsid w:val="00E20D71"/>
    <w:pPr>
      <w:spacing w:after="0" w:line="240" w:lineRule="auto"/>
    </w:pPr>
    <w:rPr>
      <w:rFonts w:eastAsia="MS Mincho"/>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ocumentMap">
    <w:name w:val="Document Map"/>
    <w:basedOn w:val="Normal"/>
    <w:link w:val="DocumentMapChar"/>
    <w:uiPriority w:val="99"/>
    <w:semiHidden/>
    <w:unhideWhenUsed/>
    <w:rsid w:val="00E20D7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20D71"/>
    <w:rPr>
      <w:rFonts w:ascii="Tahoma" w:eastAsiaTheme="minorEastAsia" w:hAnsi="Tahoma" w:cs="Tahoma"/>
      <w:sz w:val="16"/>
      <w:szCs w:val="16"/>
      <w:lang w:val="sq-AL" w:eastAsia="it-IT"/>
    </w:rPr>
  </w:style>
  <w:style w:type="paragraph" w:customStyle="1" w:styleId="TEKSTI">
    <w:name w:val="TEKSTI"/>
    <w:basedOn w:val="Normal"/>
    <w:qFormat/>
    <w:rsid w:val="00B410B7"/>
    <w:pPr>
      <w:tabs>
        <w:tab w:val="left" w:pos="7200"/>
      </w:tabs>
      <w:spacing w:after="0" w:line="240" w:lineRule="auto"/>
      <w:ind w:firstLine="284"/>
    </w:pPr>
    <w:rPr>
      <w:rFonts w:ascii="Garamond" w:hAnsi="Garamond"/>
      <w:sz w:val="24"/>
      <w:szCs w:val="24"/>
    </w:rPr>
  </w:style>
  <w:style w:type="paragraph" w:customStyle="1" w:styleId="FIGURA">
    <w:name w:val="FIGURA"/>
    <w:basedOn w:val="TEKSTI"/>
    <w:qFormat/>
    <w:rsid w:val="00495DC2"/>
    <w:pPr>
      <w:ind w:firstLine="0"/>
      <w:jc w:val="center"/>
    </w:pPr>
    <w:rPr>
      <w:b/>
    </w:rPr>
  </w:style>
  <w:style w:type="numbering" w:customStyle="1" w:styleId="NoList2">
    <w:name w:val="No List2"/>
    <w:next w:val="NoList"/>
    <w:uiPriority w:val="99"/>
    <w:semiHidden/>
    <w:unhideWhenUsed/>
    <w:rsid w:val="002F4BDF"/>
  </w:style>
  <w:style w:type="paragraph" w:customStyle="1" w:styleId="teksti0">
    <w:name w:val="teksti"/>
    <w:basedOn w:val="Normal"/>
    <w:qFormat/>
    <w:rsid w:val="002F4BDF"/>
    <w:pPr>
      <w:spacing w:after="0" w:line="240" w:lineRule="auto"/>
      <w:ind w:firstLine="284"/>
    </w:pPr>
    <w:rPr>
      <w:rFonts w:ascii="Garamond" w:eastAsiaTheme="minorHAnsi" w:hAnsi="Garamond"/>
      <w:b/>
      <w: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image" Target="media/image9.jpeg"/><Relationship Id="rId42" Type="http://schemas.openxmlformats.org/officeDocument/2006/relationships/chart" Target="charts/chart5.xml"/><Relationship Id="rId47" Type="http://schemas.openxmlformats.org/officeDocument/2006/relationships/chart" Target="charts/chart8.xml"/><Relationship Id="rId63" Type="http://schemas.openxmlformats.org/officeDocument/2006/relationships/header" Target="header2.xml"/><Relationship Id="rId68" Type="http://schemas.openxmlformats.org/officeDocument/2006/relationships/image" Target="media/image35.png"/><Relationship Id="rId7" Type="http://schemas.openxmlformats.org/officeDocument/2006/relationships/numbering" Target="numbering.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4.jpeg"/><Relationship Id="rId11" Type="http://schemas.openxmlformats.org/officeDocument/2006/relationships/footnotes" Target="footnotes.xml"/><Relationship Id="rId24" Type="http://schemas.openxmlformats.org/officeDocument/2006/relationships/image" Target="media/image12.emf"/><Relationship Id="rId32" Type="http://schemas.openxmlformats.org/officeDocument/2006/relationships/image" Target="media/image16.emf"/><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7.png"/><Relationship Id="rId53" Type="http://schemas.openxmlformats.org/officeDocument/2006/relationships/chart" Target="charts/chart9.xml"/><Relationship Id="rId58" Type="http://schemas.openxmlformats.org/officeDocument/2006/relationships/hyperlink" Target="https://www.e3g.org/docs/E3G_Strategic_national_approaches_to_climate_finance_FINAL.pdf" TargetMode="External"/><Relationship Id="rId66" Type="http://schemas.openxmlformats.org/officeDocument/2006/relationships/image" Target="media/image34.emf"/><Relationship Id="rId5" Type="http://schemas.openxmlformats.org/officeDocument/2006/relationships/customXml" Target="../customXml/item5.xml"/><Relationship Id="rId61" Type="http://schemas.openxmlformats.org/officeDocument/2006/relationships/hyperlink" Target="http://apply07.grants.gov/apply/opportunities/instructions/oppAPS-182-16-000001-instructions.pdf" TargetMode="External"/><Relationship Id="rId19" Type="http://schemas.openxmlformats.org/officeDocument/2006/relationships/image" Target="media/image7.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chart" Target="charts/chart3.xml"/><Relationship Id="rId30" Type="http://schemas.openxmlformats.org/officeDocument/2006/relationships/image" Target="media/image15.jpeg"/><Relationship Id="rId35" Type="http://schemas.openxmlformats.org/officeDocument/2006/relationships/image" Target="media/image19.png"/><Relationship Id="rId43" Type="http://schemas.openxmlformats.org/officeDocument/2006/relationships/chart" Target="charts/chart6.xml"/><Relationship Id="rId48" Type="http://schemas.openxmlformats.org/officeDocument/2006/relationships/image" Target="media/image28.png"/><Relationship Id="rId56" Type="http://schemas.openxmlformats.org/officeDocument/2006/relationships/hyperlink" Target="http://climatefinancelab.org/" TargetMode="External"/><Relationship Id="rId64" Type="http://schemas.openxmlformats.org/officeDocument/2006/relationships/footer" Target="footer1.xml"/><Relationship Id="rId69" Type="http://schemas.openxmlformats.org/officeDocument/2006/relationships/image" Target="media/image36.png"/><Relationship Id="rId8" Type="http://schemas.openxmlformats.org/officeDocument/2006/relationships/styles" Target="style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chart" Target="charts/chart1.xml"/><Relationship Id="rId33" Type="http://schemas.openxmlformats.org/officeDocument/2006/relationships/image" Target="media/image17.emf"/><Relationship Id="rId38" Type="http://schemas.openxmlformats.org/officeDocument/2006/relationships/image" Target="media/image22.png"/><Relationship Id="rId46" Type="http://schemas.openxmlformats.org/officeDocument/2006/relationships/chart" Target="charts/chart7.xml"/><Relationship Id="rId59" Type="http://schemas.openxmlformats.org/officeDocument/2006/relationships/hyperlink" Target="https://unfccc.int/files/adaptation/groups_committees/ldc_expert_group/application/pdf/mainstreaming_climate_change_into_planning.pdf" TargetMode="External"/><Relationship Id="rId67" Type="http://schemas.openxmlformats.org/officeDocument/2006/relationships/oleObject" Target="embeddings/oleObject4.bin"/><Relationship Id="rId20" Type="http://schemas.openxmlformats.org/officeDocument/2006/relationships/image" Target="media/image8.jpeg"/><Relationship Id="rId41" Type="http://schemas.openxmlformats.org/officeDocument/2006/relationships/image" Target="media/image25.jpeg"/><Relationship Id="rId54" Type="http://schemas.openxmlformats.org/officeDocument/2006/relationships/hyperlink" Target="http://climate-l.iisd.org/ne&#235;s/stakeholders-reflect-on-innovative-finance-health-sdgs-climate-progress-data/" TargetMode="External"/><Relationship Id="rId62" Type="http://schemas.openxmlformats.org/officeDocument/2006/relationships/header" Target="header1.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3.jpeg"/><Relationship Id="rId36" Type="http://schemas.openxmlformats.org/officeDocument/2006/relationships/image" Target="media/image20.png"/><Relationship Id="rId49" Type="http://schemas.openxmlformats.org/officeDocument/2006/relationships/image" Target="media/image29.jpg"/><Relationship Id="rId57" Type="http://schemas.openxmlformats.org/officeDocument/2006/relationships/image" Target="media/image33.png"/><Relationship Id="rId10" Type="http://schemas.openxmlformats.org/officeDocument/2006/relationships/webSettings" Target="webSettings.xml"/><Relationship Id="rId31" Type="http://schemas.openxmlformats.org/officeDocument/2006/relationships/chart" Target="charts/chart4.xml"/><Relationship Id="rId44" Type="http://schemas.openxmlformats.org/officeDocument/2006/relationships/image" Target="media/image26.png"/><Relationship Id="rId52" Type="http://schemas.openxmlformats.org/officeDocument/2006/relationships/image" Target="media/image32.png"/><Relationship Id="rId60" Type="http://schemas.openxmlformats.org/officeDocument/2006/relationships/hyperlink" Target="http://apply07.grants.gov/apply/opportunities/instructions/oppAPS-182-16-000001-instructions.pdf" TargetMode="External"/><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3.png"/><Relationship Id="rId34" Type="http://schemas.openxmlformats.org/officeDocument/2006/relationships/image" Target="media/image18.emf"/><Relationship Id="rId50" Type="http://schemas.openxmlformats.org/officeDocument/2006/relationships/image" Target="media/image30.png"/><Relationship Id="rId55" Type="http://schemas.openxmlformats.org/officeDocument/2006/relationships/hyperlink" Target="http://www.climatefinanceideas.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bd.int/sp/targets/" TargetMode="External"/><Relationship Id="rId3" Type="http://schemas.openxmlformats.org/officeDocument/2006/relationships/hyperlink" Target="http://ec.europa.eu/energy/en/topics/energy-strategy/2030-energy-strategy" TargetMode="External"/><Relationship Id="rId7" Type="http://schemas.openxmlformats.org/officeDocument/2006/relationships/hyperlink" Target="http://sled.rec.org/building.html" TargetMode="External"/><Relationship Id="rId2" Type="http://schemas.openxmlformats.org/officeDocument/2006/relationships/hyperlink" Target="http://ec.europa.eu/clima/news/docs/2015030601_eu_indc_en.pdf" TargetMode="External"/><Relationship Id="rId1" Type="http://schemas.openxmlformats.org/officeDocument/2006/relationships/hyperlink" Target="http://eur-lex.europa.eu/resource.html?uri=cellar:5db26ecc-ba4e-4de2-ae08-dba649109d18.0002.03/DOC_2&amp;format=PDF" TargetMode="External"/><Relationship Id="rId6" Type="http://schemas.openxmlformats.org/officeDocument/2006/relationships/hyperlink" Target="http://hdl.handle.net/10986/16198" TargetMode="External"/><Relationship Id="rId5" Type="http://schemas.openxmlformats.org/officeDocument/2006/relationships/hyperlink" Target="http://www.al.undp.org/content/albania/en/home/library/environment_energy/" TargetMode="External"/><Relationship Id="rId4" Type="http://schemas.openxmlformats.org/officeDocument/2006/relationships/hyperlink" Target="http://www.worldbank.org/en/country/albania/overview" TargetMode="External"/><Relationship Id="rId9" Type="http://schemas.openxmlformats.org/officeDocument/2006/relationships/hyperlink" Target="http://www.qarkushkoder.gov.al/sq"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F:\Other_things\Dr\Shkrimet\Te%20dhenat%20kadastral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F:\Other_things\Dr\Shkrimet\Te%20dhenat%20kadastrale.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F:\Other_things\Dr\Shkrimet\Te%20dhenat%20kadastrale.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Cinzia\Documents\A_CINZIA_WORK\ALBANIA\cap%202\dati%20GHG%20trends.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1" Type="http://schemas.openxmlformats.org/officeDocument/2006/relationships/oleObject" Target="file:///C:\Users\merita.meksi\Documents\Second%20phase\CCA%20policy%20support\final%20docs\NAP%20budge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erita.meksi\Documents\Second%20phase\CCA%20policy%20support\final%20docs\NAP%20budget.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sq-AL" sz="1200" b="1" i="0" u="none" strike="noStrike" baseline="0"/>
              <a:t>Sipërfaqja pyjore gjatë </a:t>
            </a:r>
            <a:r>
              <a:rPr lang="sq-AL" sz="1200"/>
              <a:t>2000-2013, </a:t>
            </a:r>
            <a:r>
              <a:rPr lang="en-US" sz="1200"/>
              <a:t>në</a:t>
            </a:r>
            <a:r>
              <a:rPr lang="sq-AL" sz="1200"/>
              <a:t> </a:t>
            </a:r>
            <a:r>
              <a:rPr lang="en-GB" sz="1200"/>
              <a:t>1000</a:t>
            </a:r>
            <a:r>
              <a:rPr lang="sq-AL" sz="1200"/>
              <a:t> ha</a:t>
            </a:r>
            <a:endParaRPr lang="en-US" sz="1200"/>
          </a:p>
        </c:rich>
      </c:tx>
      <c:layout/>
      <c:overlay val="0"/>
    </c:title>
    <c:autoTitleDeleted val="0"/>
    <c:plotArea>
      <c:layout/>
      <c:areaChart>
        <c:grouping val="stacked"/>
        <c:varyColors val="0"/>
        <c:ser>
          <c:idx val="0"/>
          <c:order val="0"/>
          <c:spPr>
            <a:solidFill>
              <a:srgbClr val="92D050"/>
            </a:solidFill>
          </c:spPr>
          <c:cat>
            <c:strRef>
              <c:f>Sheet1!$A$27:$A$40</c:f>
              <c:strCache>
                <c:ptCount val="14"/>
                <c:pt idx="0">
                  <c:v>Y.2000</c:v>
                </c:pt>
                <c:pt idx="1">
                  <c:v>Y.2001</c:v>
                </c:pt>
                <c:pt idx="2">
                  <c:v>Y.2002</c:v>
                </c:pt>
                <c:pt idx="3">
                  <c:v>Y.2003</c:v>
                </c:pt>
                <c:pt idx="4">
                  <c:v>Y.2004</c:v>
                </c:pt>
                <c:pt idx="5">
                  <c:v>Y.2005</c:v>
                </c:pt>
                <c:pt idx="6">
                  <c:v>Y.2006</c:v>
                </c:pt>
                <c:pt idx="7">
                  <c:v>Y.2007</c:v>
                </c:pt>
                <c:pt idx="8">
                  <c:v>Y.2008</c:v>
                </c:pt>
                <c:pt idx="9">
                  <c:v>Y.2009</c:v>
                </c:pt>
                <c:pt idx="10">
                  <c:v>Y.2010</c:v>
                </c:pt>
                <c:pt idx="11">
                  <c:v>Y.2011</c:v>
                </c:pt>
                <c:pt idx="12">
                  <c:v>Y.2012</c:v>
                </c:pt>
                <c:pt idx="13">
                  <c:v>Y.2013</c:v>
                </c:pt>
              </c:strCache>
            </c:strRef>
          </c:cat>
          <c:val>
            <c:numRef>
              <c:f>Sheet1!$C$27:$C$40</c:f>
              <c:numCache>
                <c:formatCode>0</c:formatCode>
                <c:ptCount val="14"/>
                <c:pt idx="0">
                  <c:v>1030.76</c:v>
                </c:pt>
                <c:pt idx="1">
                  <c:v>1030.1699999999998</c:v>
                </c:pt>
                <c:pt idx="2">
                  <c:v>1036.1599999999999</c:v>
                </c:pt>
                <c:pt idx="3">
                  <c:v>1039.8599999999999</c:v>
                </c:pt>
                <c:pt idx="4">
                  <c:v>1043.07</c:v>
                </c:pt>
                <c:pt idx="5">
                  <c:v>1043.1579999999999</c:v>
                </c:pt>
                <c:pt idx="6">
                  <c:v>1044.99</c:v>
                </c:pt>
                <c:pt idx="7">
                  <c:v>1043.7170000000001</c:v>
                </c:pt>
                <c:pt idx="8">
                  <c:v>1044.5999999999999</c:v>
                </c:pt>
                <c:pt idx="9">
                  <c:v>1042.79</c:v>
                </c:pt>
                <c:pt idx="10">
                  <c:v>1041.6899999999998</c:v>
                </c:pt>
                <c:pt idx="11">
                  <c:v>1041.45</c:v>
                </c:pt>
                <c:pt idx="12">
                  <c:v>1041.3899999999999</c:v>
                </c:pt>
                <c:pt idx="13">
                  <c:v>1040.8809999999999</c:v>
                </c:pt>
              </c:numCache>
            </c:numRef>
          </c:val>
          <c:extLst xmlns:c16r2="http://schemas.microsoft.com/office/drawing/2015/06/chart">
            <c:ext xmlns:c16="http://schemas.microsoft.com/office/drawing/2014/chart" uri="{C3380CC4-5D6E-409C-BE32-E72D297353CC}">
              <c16:uniqueId val="{00000000-4669-4372-81FB-D1FB2DD08C2C}"/>
            </c:ext>
          </c:extLst>
        </c:ser>
        <c:dLbls>
          <c:showLegendKey val="0"/>
          <c:showVal val="0"/>
          <c:showCatName val="0"/>
          <c:showSerName val="0"/>
          <c:showPercent val="0"/>
          <c:showBubbleSize val="0"/>
        </c:dLbls>
        <c:axId val="-494004272"/>
        <c:axId val="-494006448"/>
      </c:areaChart>
      <c:catAx>
        <c:axId val="-494004272"/>
        <c:scaling>
          <c:orientation val="minMax"/>
        </c:scaling>
        <c:delete val="0"/>
        <c:axPos val="b"/>
        <c:numFmt formatCode="#,##0.00" sourceLinked="0"/>
        <c:majorTickMark val="none"/>
        <c:minorTickMark val="none"/>
        <c:tickLblPos val="nextTo"/>
        <c:crossAx val="-494006448"/>
        <c:crosses val="autoZero"/>
        <c:auto val="1"/>
        <c:lblAlgn val="ctr"/>
        <c:lblOffset val="100"/>
        <c:noMultiLvlLbl val="0"/>
      </c:catAx>
      <c:valAx>
        <c:axId val="-494006448"/>
        <c:scaling>
          <c:orientation val="minMax"/>
        </c:scaling>
        <c:delete val="0"/>
        <c:axPos val="l"/>
        <c:majorGridlines>
          <c:spPr>
            <a:ln>
              <a:solidFill>
                <a:srgbClr val="9BBB59">
                  <a:shade val="95000"/>
                  <a:satMod val="105000"/>
                  <a:alpha val="49000"/>
                </a:srgbClr>
              </a:solidFill>
            </a:ln>
          </c:spPr>
        </c:majorGridlines>
        <c:numFmt formatCode="0" sourceLinked="0"/>
        <c:majorTickMark val="none"/>
        <c:minorTickMark val="none"/>
        <c:tickLblPos val="nextTo"/>
        <c:crossAx val="-494004272"/>
        <c:crosses val="autoZero"/>
        <c:crossBetween val="midCat"/>
      </c:valAx>
    </c:plotArea>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sq-AL" sz="1200"/>
              <a:t>Volum</a:t>
            </a:r>
            <a:r>
              <a:rPr lang="en-US" sz="1200"/>
              <a:t>i</a:t>
            </a:r>
            <a:r>
              <a:rPr lang="sq-AL" sz="1200"/>
              <a:t> stok </a:t>
            </a:r>
            <a:r>
              <a:rPr lang="en-US" sz="1200"/>
              <a:t>gjatë periudhës </a:t>
            </a:r>
            <a:r>
              <a:rPr lang="sq-AL" sz="1200" baseline="0"/>
              <a:t>2000-2013, </a:t>
            </a:r>
            <a:r>
              <a:rPr lang="en-US" sz="1200" baseline="0"/>
              <a:t>në</a:t>
            </a:r>
            <a:r>
              <a:rPr lang="sq-AL" sz="1200" baseline="0"/>
              <a:t> </a:t>
            </a:r>
            <a:r>
              <a:rPr lang="it-IT" sz="1200" baseline="0"/>
              <a:t>1</a:t>
            </a:r>
            <a:r>
              <a:rPr lang="sq-AL" sz="1200" baseline="0"/>
              <a:t>000 m</a:t>
            </a:r>
            <a:r>
              <a:rPr lang="sq-AL" sz="1200" baseline="30000"/>
              <a:t>3</a:t>
            </a:r>
            <a:endParaRPr lang="en-US" sz="1200" baseline="30000"/>
          </a:p>
        </c:rich>
      </c:tx>
      <c:layout>
        <c:manualLayout>
          <c:xMode val="edge"/>
          <c:yMode val="edge"/>
          <c:x val="0.15652983628882441"/>
          <c:y val="2.9041626331074499E-2"/>
        </c:manualLayout>
      </c:layout>
      <c:overlay val="0"/>
    </c:title>
    <c:autoTitleDeleted val="0"/>
    <c:plotArea>
      <c:layout/>
      <c:barChart>
        <c:barDir val="col"/>
        <c:grouping val="clustered"/>
        <c:varyColors val="0"/>
        <c:ser>
          <c:idx val="0"/>
          <c:order val="0"/>
          <c:spPr>
            <a:solidFill>
              <a:srgbClr val="92D050"/>
            </a:solidFill>
          </c:spPr>
          <c:invertIfNegative val="0"/>
          <c:trendline>
            <c:spPr>
              <a:ln w="19050">
                <a:solidFill>
                  <a:srgbClr val="FF0000"/>
                </a:solidFill>
              </a:ln>
            </c:spPr>
            <c:trendlineType val="poly"/>
            <c:order val="2"/>
            <c:dispRSqr val="1"/>
            <c:dispEq val="1"/>
            <c:trendlineLbl>
              <c:layout>
                <c:manualLayout>
                  <c:x val="7.0728558930133814E-2"/>
                  <c:y val="-0.24256051326917497"/>
                </c:manualLayout>
              </c:layout>
              <c:numFmt formatCode="General" sourceLinked="0"/>
              <c:txPr>
                <a:bodyPr/>
                <a:lstStyle/>
                <a:p>
                  <a:pPr>
                    <a:defRPr sz="800">
                      <a:solidFill>
                        <a:sysClr val="windowText" lastClr="000000"/>
                      </a:solidFill>
                    </a:defRPr>
                  </a:pPr>
                  <a:endParaRPr lang="en-US"/>
                </a:p>
              </c:txPr>
            </c:trendlineLbl>
          </c:trendline>
          <c:cat>
            <c:strRef>
              <c:f>Sheet1!$A$27:$A$40</c:f>
              <c:strCache>
                <c:ptCount val="14"/>
                <c:pt idx="0">
                  <c:v>Y.2000</c:v>
                </c:pt>
                <c:pt idx="1">
                  <c:v>Y.2001</c:v>
                </c:pt>
                <c:pt idx="2">
                  <c:v>Y.2002</c:v>
                </c:pt>
                <c:pt idx="3">
                  <c:v>Y.2003</c:v>
                </c:pt>
                <c:pt idx="4">
                  <c:v>Y.2004</c:v>
                </c:pt>
                <c:pt idx="5">
                  <c:v>Y.2005</c:v>
                </c:pt>
                <c:pt idx="6">
                  <c:v>Y.2006</c:v>
                </c:pt>
                <c:pt idx="7">
                  <c:v>Y.2007</c:v>
                </c:pt>
                <c:pt idx="8">
                  <c:v>Y.2008</c:v>
                </c:pt>
                <c:pt idx="9">
                  <c:v>Y.2009</c:v>
                </c:pt>
                <c:pt idx="10">
                  <c:v>Y.2010</c:v>
                </c:pt>
                <c:pt idx="11">
                  <c:v>Y.2011</c:v>
                </c:pt>
                <c:pt idx="12">
                  <c:v>Y.2012</c:v>
                </c:pt>
                <c:pt idx="13">
                  <c:v>Y.2013</c:v>
                </c:pt>
              </c:strCache>
            </c:strRef>
          </c:cat>
          <c:val>
            <c:numRef>
              <c:f>Sheet1!$D$27:$D$40</c:f>
              <c:numCache>
                <c:formatCode>General</c:formatCode>
                <c:ptCount val="14"/>
                <c:pt idx="0" formatCode="0">
                  <c:v>83295</c:v>
                </c:pt>
                <c:pt idx="1">
                  <c:v>84390</c:v>
                </c:pt>
                <c:pt idx="2">
                  <c:v>85583</c:v>
                </c:pt>
                <c:pt idx="3" formatCode="0">
                  <c:v>85435</c:v>
                </c:pt>
                <c:pt idx="4" formatCode="0">
                  <c:v>82667</c:v>
                </c:pt>
                <c:pt idx="5" formatCode="0">
                  <c:v>81334.600000000006</c:v>
                </c:pt>
                <c:pt idx="6" formatCode="0">
                  <c:v>80867.8</c:v>
                </c:pt>
                <c:pt idx="7" formatCode="0">
                  <c:v>81662.7</c:v>
                </c:pt>
                <c:pt idx="8" formatCode="0">
                  <c:v>74834.399999999994</c:v>
                </c:pt>
                <c:pt idx="9" formatCode="0">
                  <c:v>75726.100000000006</c:v>
                </c:pt>
                <c:pt idx="10" formatCode="0">
                  <c:v>76503.899999999994</c:v>
                </c:pt>
                <c:pt idx="11">
                  <c:v>76495</c:v>
                </c:pt>
                <c:pt idx="12" formatCode="#,##0">
                  <c:v>76483.399999999994</c:v>
                </c:pt>
                <c:pt idx="13" formatCode="#,##0">
                  <c:v>76243.600000000006</c:v>
                </c:pt>
              </c:numCache>
            </c:numRef>
          </c:val>
          <c:extLst xmlns:c16r2="http://schemas.microsoft.com/office/drawing/2015/06/chart">
            <c:ext xmlns:c16="http://schemas.microsoft.com/office/drawing/2014/chart" uri="{C3380CC4-5D6E-409C-BE32-E72D297353CC}">
              <c16:uniqueId val="{00000000-D78C-41A7-9608-FFD7446B8F03}"/>
            </c:ext>
          </c:extLst>
        </c:ser>
        <c:dLbls>
          <c:showLegendKey val="0"/>
          <c:showVal val="0"/>
          <c:showCatName val="0"/>
          <c:showSerName val="0"/>
          <c:showPercent val="0"/>
          <c:showBubbleSize val="0"/>
        </c:dLbls>
        <c:gapWidth val="150"/>
        <c:axId val="-493996112"/>
        <c:axId val="-494005904"/>
      </c:barChart>
      <c:catAx>
        <c:axId val="-493996112"/>
        <c:scaling>
          <c:orientation val="minMax"/>
        </c:scaling>
        <c:delete val="0"/>
        <c:axPos val="b"/>
        <c:title>
          <c:tx>
            <c:rich>
              <a:bodyPr/>
              <a:lstStyle/>
              <a:p>
                <a:pPr>
                  <a:defRPr/>
                </a:pPr>
                <a:r>
                  <a:rPr lang="sq-AL"/>
                  <a:t>Years</a:t>
                </a:r>
                <a:endParaRPr lang="en-US"/>
              </a:p>
            </c:rich>
          </c:tx>
          <c:layout/>
          <c:overlay val="0"/>
        </c:title>
        <c:numFmt formatCode="General" sourceLinked="0"/>
        <c:majorTickMark val="none"/>
        <c:minorTickMark val="none"/>
        <c:tickLblPos val="nextTo"/>
        <c:crossAx val="-494005904"/>
        <c:crosses val="autoZero"/>
        <c:auto val="1"/>
        <c:lblAlgn val="ctr"/>
        <c:lblOffset val="100"/>
        <c:noMultiLvlLbl val="0"/>
      </c:catAx>
      <c:valAx>
        <c:axId val="-494005904"/>
        <c:scaling>
          <c:orientation val="minMax"/>
        </c:scaling>
        <c:delete val="0"/>
        <c:axPos val="l"/>
        <c:majorGridlines>
          <c:spPr>
            <a:ln>
              <a:solidFill>
                <a:schemeClr val="accent3">
                  <a:lumMod val="20000"/>
                  <a:lumOff val="80000"/>
                </a:schemeClr>
              </a:solidFill>
            </a:ln>
          </c:spPr>
        </c:majorGridlines>
        <c:numFmt formatCode="0" sourceLinked="0"/>
        <c:majorTickMark val="out"/>
        <c:minorTickMark val="none"/>
        <c:tickLblPos val="nextTo"/>
        <c:crossAx val="-493996112"/>
        <c:crosses val="autoZero"/>
        <c:crossBetween val="between"/>
      </c:valAx>
    </c:plotArea>
    <c:plotVisOnly val="1"/>
    <c:dispBlanksAs val="gap"/>
    <c:showDLblsOverMax val="0"/>
  </c:chart>
  <c:spPr>
    <a:ln>
      <a:solidFill>
        <a:srgbClr val="00B05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t>Rritja e</a:t>
            </a:r>
            <a:r>
              <a:rPr lang="en-US" sz="1100" baseline="0"/>
              <a:t> Pyjeve dhe konsumi i druve gjatë periudhës </a:t>
            </a:r>
            <a:r>
              <a:rPr lang="sq-AL" sz="1100" baseline="0"/>
              <a:t>2000-2013, </a:t>
            </a:r>
            <a:r>
              <a:rPr lang="en-US" sz="1100" baseline="0"/>
              <a:t>në</a:t>
            </a:r>
            <a:r>
              <a:rPr lang="sq-AL" sz="1100" baseline="0"/>
              <a:t> m</a:t>
            </a:r>
            <a:r>
              <a:rPr lang="sq-AL" sz="1100" baseline="30000"/>
              <a:t>3</a:t>
            </a:r>
            <a:endParaRPr lang="en-US" sz="1100" baseline="30000"/>
          </a:p>
        </c:rich>
      </c:tx>
      <c:layout/>
      <c:overlay val="0"/>
    </c:title>
    <c:autoTitleDeleted val="0"/>
    <c:plotArea>
      <c:layout/>
      <c:lineChart>
        <c:grouping val="standard"/>
        <c:varyColors val="0"/>
        <c:ser>
          <c:idx val="0"/>
          <c:order val="0"/>
          <c:tx>
            <c:v>Annual growth of forests</c:v>
          </c:tx>
          <c:spPr>
            <a:ln>
              <a:solidFill>
                <a:srgbClr val="00B050"/>
              </a:solidFill>
            </a:ln>
          </c:spPr>
          <c:marker>
            <c:symbol val="circle"/>
            <c:size val="3"/>
            <c:spPr>
              <a:solidFill>
                <a:srgbClr val="FFC000"/>
              </a:solidFill>
            </c:spPr>
          </c:marker>
          <c:cat>
            <c:strRef>
              <c:f>Humbja_Pyje!$B$5:$B$18</c:f>
              <c:strCache>
                <c:ptCount val="14"/>
                <c:pt idx="0">
                  <c:v>Y.2000</c:v>
                </c:pt>
                <c:pt idx="1">
                  <c:v>Y.2001</c:v>
                </c:pt>
                <c:pt idx="2">
                  <c:v>Y.2002</c:v>
                </c:pt>
                <c:pt idx="3">
                  <c:v>Y.2003</c:v>
                </c:pt>
                <c:pt idx="4">
                  <c:v>Y.2004</c:v>
                </c:pt>
                <c:pt idx="5">
                  <c:v>Y.2005</c:v>
                </c:pt>
                <c:pt idx="6">
                  <c:v>Y.2006</c:v>
                </c:pt>
                <c:pt idx="7">
                  <c:v>Y.2007</c:v>
                </c:pt>
                <c:pt idx="8">
                  <c:v>Y.2008</c:v>
                </c:pt>
                <c:pt idx="9">
                  <c:v>Y.2009</c:v>
                </c:pt>
                <c:pt idx="10">
                  <c:v>Y.2010</c:v>
                </c:pt>
                <c:pt idx="11">
                  <c:v>Y.2011</c:v>
                </c:pt>
                <c:pt idx="12">
                  <c:v>Y.2012</c:v>
                </c:pt>
                <c:pt idx="13">
                  <c:v>Y.2013</c:v>
                </c:pt>
              </c:strCache>
            </c:strRef>
          </c:cat>
          <c:val>
            <c:numRef>
              <c:f>Humbja_Pyje!$F$5:$F$18</c:f>
              <c:numCache>
                <c:formatCode>#,##0</c:formatCode>
                <c:ptCount val="14"/>
                <c:pt idx="0">
                  <c:v>1236912</c:v>
                </c:pt>
                <c:pt idx="1">
                  <c:v>1339221</c:v>
                </c:pt>
                <c:pt idx="2">
                  <c:v>1761472</c:v>
                </c:pt>
                <c:pt idx="3">
                  <c:v>1247832</c:v>
                </c:pt>
                <c:pt idx="4">
                  <c:v>1355991</c:v>
                </c:pt>
                <c:pt idx="5">
                  <c:v>1460421.2</c:v>
                </c:pt>
                <c:pt idx="6">
                  <c:v>1567485</c:v>
                </c:pt>
                <c:pt idx="7">
                  <c:v>1774318.9</c:v>
                </c:pt>
                <c:pt idx="8">
                  <c:v>1357980</c:v>
                </c:pt>
                <c:pt idx="9">
                  <c:v>1355627</c:v>
                </c:pt>
                <c:pt idx="10">
                  <c:v>1354197</c:v>
                </c:pt>
                <c:pt idx="11">
                  <c:v>1249740</c:v>
                </c:pt>
                <c:pt idx="12">
                  <c:v>1145529</c:v>
                </c:pt>
                <c:pt idx="13">
                  <c:v>1144969.1000000001</c:v>
                </c:pt>
              </c:numCache>
            </c:numRef>
          </c:val>
          <c:smooth val="0"/>
          <c:extLst xmlns:c16r2="http://schemas.microsoft.com/office/drawing/2015/06/chart">
            <c:ext xmlns:c16="http://schemas.microsoft.com/office/drawing/2014/chart" uri="{C3380CC4-5D6E-409C-BE32-E72D297353CC}">
              <c16:uniqueId val="{00000000-BDBF-4A6A-A671-8418F4CAC962}"/>
            </c:ext>
          </c:extLst>
        </c:ser>
        <c:ser>
          <c:idx val="1"/>
          <c:order val="1"/>
          <c:tx>
            <c:v>Annual reduction of forest volume</c:v>
          </c:tx>
          <c:marker>
            <c:symbol val="circle"/>
            <c:size val="3"/>
            <c:spPr>
              <a:solidFill>
                <a:srgbClr val="FFC000"/>
              </a:solidFill>
            </c:spPr>
          </c:marker>
          <c:cat>
            <c:strRef>
              <c:f>Humbja_Pyje!$B$5:$B$18</c:f>
              <c:strCache>
                <c:ptCount val="14"/>
                <c:pt idx="0">
                  <c:v>Y.2000</c:v>
                </c:pt>
                <c:pt idx="1">
                  <c:v>Y.2001</c:v>
                </c:pt>
                <c:pt idx="2">
                  <c:v>Y.2002</c:v>
                </c:pt>
                <c:pt idx="3">
                  <c:v>Y.2003</c:v>
                </c:pt>
                <c:pt idx="4">
                  <c:v>Y.2004</c:v>
                </c:pt>
                <c:pt idx="5">
                  <c:v>Y.2005</c:v>
                </c:pt>
                <c:pt idx="6">
                  <c:v>Y.2006</c:v>
                </c:pt>
                <c:pt idx="7">
                  <c:v>Y.2007</c:v>
                </c:pt>
                <c:pt idx="8">
                  <c:v>Y.2008</c:v>
                </c:pt>
                <c:pt idx="9">
                  <c:v>Y.2009</c:v>
                </c:pt>
                <c:pt idx="10">
                  <c:v>Y.2010</c:v>
                </c:pt>
                <c:pt idx="11">
                  <c:v>Y.2011</c:v>
                </c:pt>
                <c:pt idx="12">
                  <c:v>Y.2012</c:v>
                </c:pt>
                <c:pt idx="13">
                  <c:v>Y.2013</c:v>
                </c:pt>
              </c:strCache>
            </c:strRef>
          </c:cat>
          <c:val>
            <c:numRef>
              <c:f>Humbja_Pyje!$J$5:$J$18</c:f>
              <c:numCache>
                <c:formatCode>General</c:formatCode>
                <c:ptCount val="14"/>
                <c:pt idx="0">
                  <c:v>1740912</c:v>
                </c:pt>
                <c:pt idx="1">
                  <c:v>1843221</c:v>
                </c:pt>
                <c:pt idx="2">
                  <c:v>2265472</c:v>
                </c:pt>
                <c:pt idx="3">
                  <c:v>1751832</c:v>
                </c:pt>
                <c:pt idx="4">
                  <c:v>1859991</c:v>
                </c:pt>
                <c:pt idx="5" formatCode="0">
                  <c:v>1964421.2</c:v>
                </c:pt>
                <c:pt idx="6">
                  <c:v>2071485</c:v>
                </c:pt>
                <c:pt idx="7" formatCode="0">
                  <c:v>2278318.9</c:v>
                </c:pt>
                <c:pt idx="8">
                  <c:v>1861980</c:v>
                </c:pt>
                <c:pt idx="9">
                  <c:v>1859627</c:v>
                </c:pt>
                <c:pt idx="10">
                  <c:v>1858197</c:v>
                </c:pt>
                <c:pt idx="11">
                  <c:v>1753740</c:v>
                </c:pt>
                <c:pt idx="12">
                  <c:v>1649529</c:v>
                </c:pt>
                <c:pt idx="13" formatCode="0">
                  <c:v>1648969.1</c:v>
                </c:pt>
              </c:numCache>
            </c:numRef>
          </c:val>
          <c:smooth val="0"/>
          <c:extLst xmlns:c16r2="http://schemas.microsoft.com/office/drawing/2015/06/chart">
            <c:ext xmlns:c16="http://schemas.microsoft.com/office/drawing/2014/chart" uri="{C3380CC4-5D6E-409C-BE32-E72D297353CC}">
              <c16:uniqueId val="{00000001-BDBF-4A6A-A671-8418F4CAC962}"/>
            </c:ext>
          </c:extLst>
        </c:ser>
        <c:dLbls>
          <c:showLegendKey val="0"/>
          <c:showVal val="0"/>
          <c:showCatName val="0"/>
          <c:showSerName val="0"/>
          <c:showPercent val="0"/>
          <c:showBubbleSize val="0"/>
        </c:dLbls>
        <c:marker val="1"/>
        <c:smooth val="0"/>
        <c:axId val="-494003728"/>
        <c:axId val="-494009712"/>
      </c:lineChart>
      <c:catAx>
        <c:axId val="-494003728"/>
        <c:scaling>
          <c:orientation val="minMax"/>
        </c:scaling>
        <c:delete val="0"/>
        <c:axPos val="b"/>
        <c:numFmt formatCode="General" sourceLinked="1"/>
        <c:majorTickMark val="none"/>
        <c:minorTickMark val="none"/>
        <c:tickLblPos val="nextTo"/>
        <c:crossAx val="-494009712"/>
        <c:crosses val="autoZero"/>
        <c:auto val="1"/>
        <c:lblAlgn val="ctr"/>
        <c:lblOffset val="100"/>
        <c:noMultiLvlLbl val="0"/>
      </c:catAx>
      <c:valAx>
        <c:axId val="-494009712"/>
        <c:scaling>
          <c:orientation val="minMax"/>
        </c:scaling>
        <c:delete val="0"/>
        <c:axPos val="l"/>
        <c:majorGridlines>
          <c:spPr>
            <a:ln>
              <a:solidFill>
                <a:srgbClr val="4F81BD">
                  <a:alpha val="41000"/>
                </a:srgbClr>
              </a:solidFill>
            </a:ln>
          </c:spPr>
        </c:majorGridlines>
        <c:numFmt formatCode="0" sourceLinked="0"/>
        <c:majorTickMark val="none"/>
        <c:minorTickMark val="none"/>
        <c:tickLblPos val="nextTo"/>
        <c:spPr>
          <a:ln w="9525">
            <a:noFill/>
          </a:ln>
        </c:spPr>
        <c:crossAx val="-494003728"/>
        <c:crosses val="autoZero"/>
        <c:crossBetween val="between"/>
        <c:majorUnit val="500000"/>
      </c:valAx>
    </c:plotArea>
    <c:legend>
      <c:legendPos val="b"/>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Foglio1!$A$5</c:f>
              <c:strCache>
                <c:ptCount val="1"/>
                <c:pt idx="0">
                  <c:v>Energy Industries: ALL </c:v>
                </c:pt>
              </c:strCache>
            </c:strRef>
          </c:tx>
          <c:invertIfNegative val="0"/>
          <c:cat>
            <c:numRef>
              <c:f>Foglio1!$B$3:$K$3</c:f>
              <c:numCache>
                <c:formatCode>General</c:formatCode>
                <c:ptCount val="10"/>
                <c:pt idx="0">
                  <c:v>2000</c:v>
                </c:pt>
                <c:pt idx="1">
                  <c:v>2001</c:v>
                </c:pt>
                <c:pt idx="2">
                  <c:v>2002</c:v>
                </c:pt>
                <c:pt idx="3">
                  <c:v>2003</c:v>
                </c:pt>
                <c:pt idx="4">
                  <c:v>2004</c:v>
                </c:pt>
                <c:pt idx="5">
                  <c:v>2005</c:v>
                </c:pt>
                <c:pt idx="6">
                  <c:v>2006</c:v>
                </c:pt>
                <c:pt idx="7">
                  <c:v>2007</c:v>
                </c:pt>
                <c:pt idx="8">
                  <c:v>2008</c:v>
                </c:pt>
                <c:pt idx="9">
                  <c:v>2009</c:v>
                </c:pt>
              </c:numCache>
            </c:numRef>
          </c:cat>
          <c:val>
            <c:numRef>
              <c:f>Foglio1!$B$5:$K$5</c:f>
              <c:numCache>
                <c:formatCode>General</c:formatCode>
                <c:ptCount val="10"/>
                <c:pt idx="0">
                  <c:v>246.29</c:v>
                </c:pt>
                <c:pt idx="1">
                  <c:v>248.28</c:v>
                </c:pt>
                <c:pt idx="2">
                  <c:v>257.85000000000002</c:v>
                </c:pt>
                <c:pt idx="3">
                  <c:v>270.8</c:v>
                </c:pt>
                <c:pt idx="4">
                  <c:v>286.83999999999929</c:v>
                </c:pt>
                <c:pt idx="5">
                  <c:v>282.89</c:v>
                </c:pt>
                <c:pt idx="6">
                  <c:v>285.22000000000003</c:v>
                </c:pt>
                <c:pt idx="7">
                  <c:v>288.13</c:v>
                </c:pt>
                <c:pt idx="8">
                  <c:v>291.62</c:v>
                </c:pt>
                <c:pt idx="9">
                  <c:v>312.82</c:v>
                </c:pt>
              </c:numCache>
            </c:numRef>
          </c:val>
          <c:extLst xmlns:c16r2="http://schemas.microsoft.com/office/drawing/2015/06/chart">
            <c:ext xmlns:c16="http://schemas.microsoft.com/office/drawing/2014/chart" uri="{C3380CC4-5D6E-409C-BE32-E72D297353CC}">
              <c16:uniqueId val="{00000000-C757-4295-80A7-B2E3C78C3EB9}"/>
            </c:ext>
          </c:extLst>
        </c:ser>
        <c:ser>
          <c:idx val="1"/>
          <c:order val="1"/>
          <c:tx>
            <c:strRef>
              <c:f>Foglio1!$A$6</c:f>
              <c:strCache>
                <c:ptCount val="1"/>
                <c:pt idx="0">
                  <c:v>Energy Industries: ONLY Fugitive Emission </c:v>
                </c:pt>
              </c:strCache>
            </c:strRef>
          </c:tx>
          <c:invertIfNegative val="0"/>
          <c:cat>
            <c:numRef>
              <c:f>Foglio1!$B$3:$K$3</c:f>
              <c:numCache>
                <c:formatCode>General</c:formatCode>
                <c:ptCount val="10"/>
                <c:pt idx="0">
                  <c:v>2000</c:v>
                </c:pt>
                <c:pt idx="1">
                  <c:v>2001</c:v>
                </c:pt>
                <c:pt idx="2">
                  <c:v>2002</c:v>
                </c:pt>
                <c:pt idx="3">
                  <c:v>2003</c:v>
                </c:pt>
                <c:pt idx="4">
                  <c:v>2004</c:v>
                </c:pt>
                <c:pt idx="5">
                  <c:v>2005</c:v>
                </c:pt>
                <c:pt idx="6">
                  <c:v>2006</c:v>
                </c:pt>
                <c:pt idx="7">
                  <c:v>2007</c:v>
                </c:pt>
                <c:pt idx="8">
                  <c:v>2008</c:v>
                </c:pt>
                <c:pt idx="9">
                  <c:v>2009</c:v>
                </c:pt>
              </c:numCache>
            </c:numRef>
          </c:cat>
          <c:val>
            <c:numRef>
              <c:f>Foglio1!$B$6:$K$6</c:f>
              <c:numCache>
                <c:formatCode>General</c:formatCode>
                <c:ptCount val="10"/>
                <c:pt idx="0">
                  <c:v>7.46</c:v>
                </c:pt>
                <c:pt idx="1">
                  <c:v>7.48</c:v>
                </c:pt>
                <c:pt idx="2">
                  <c:v>7.5</c:v>
                </c:pt>
                <c:pt idx="3">
                  <c:v>7.52</c:v>
                </c:pt>
                <c:pt idx="4">
                  <c:v>7.54</c:v>
                </c:pt>
                <c:pt idx="5">
                  <c:v>7.56</c:v>
                </c:pt>
                <c:pt idx="6">
                  <c:v>7.58</c:v>
                </c:pt>
                <c:pt idx="7">
                  <c:v>7.6</c:v>
                </c:pt>
                <c:pt idx="8">
                  <c:v>7.6199999999999957</c:v>
                </c:pt>
                <c:pt idx="9">
                  <c:v>7.6499999999999977</c:v>
                </c:pt>
              </c:numCache>
            </c:numRef>
          </c:val>
          <c:extLst xmlns:c16r2="http://schemas.microsoft.com/office/drawing/2015/06/chart">
            <c:ext xmlns:c16="http://schemas.microsoft.com/office/drawing/2014/chart" uri="{C3380CC4-5D6E-409C-BE32-E72D297353CC}">
              <c16:uniqueId val="{00000001-C757-4295-80A7-B2E3C78C3EB9}"/>
            </c:ext>
          </c:extLst>
        </c:ser>
        <c:ser>
          <c:idx val="2"/>
          <c:order val="2"/>
          <c:tx>
            <c:strRef>
              <c:f>Foglio1!$A$7</c:f>
              <c:strCache>
                <c:ptCount val="1"/>
                <c:pt idx="0">
                  <c:v>Manufacturing and Construction </c:v>
                </c:pt>
              </c:strCache>
            </c:strRef>
          </c:tx>
          <c:invertIfNegative val="0"/>
          <c:cat>
            <c:numRef>
              <c:f>Foglio1!$B$3:$K$3</c:f>
              <c:numCache>
                <c:formatCode>General</c:formatCode>
                <c:ptCount val="10"/>
                <c:pt idx="0">
                  <c:v>2000</c:v>
                </c:pt>
                <c:pt idx="1">
                  <c:v>2001</c:v>
                </c:pt>
                <c:pt idx="2">
                  <c:v>2002</c:v>
                </c:pt>
                <c:pt idx="3">
                  <c:v>2003</c:v>
                </c:pt>
                <c:pt idx="4">
                  <c:v>2004</c:v>
                </c:pt>
                <c:pt idx="5">
                  <c:v>2005</c:v>
                </c:pt>
                <c:pt idx="6">
                  <c:v>2006</c:v>
                </c:pt>
                <c:pt idx="7">
                  <c:v>2007</c:v>
                </c:pt>
                <c:pt idx="8">
                  <c:v>2008</c:v>
                </c:pt>
                <c:pt idx="9">
                  <c:v>2009</c:v>
                </c:pt>
              </c:numCache>
            </c:numRef>
          </c:cat>
          <c:val>
            <c:numRef>
              <c:f>Foglio1!$B$7:$K$7</c:f>
              <c:numCache>
                <c:formatCode>General</c:formatCode>
                <c:ptCount val="10"/>
                <c:pt idx="0">
                  <c:v>612.64</c:v>
                </c:pt>
                <c:pt idx="1">
                  <c:v>617.52</c:v>
                </c:pt>
                <c:pt idx="2">
                  <c:v>617.59</c:v>
                </c:pt>
                <c:pt idx="3">
                  <c:v>617.88</c:v>
                </c:pt>
                <c:pt idx="4">
                  <c:v>653.70000000000005</c:v>
                </c:pt>
                <c:pt idx="5">
                  <c:v>644.71</c:v>
                </c:pt>
                <c:pt idx="6">
                  <c:v>649.94999999999936</c:v>
                </c:pt>
                <c:pt idx="7">
                  <c:v>656.82999999999936</c:v>
                </c:pt>
                <c:pt idx="8">
                  <c:v>664.58</c:v>
                </c:pt>
                <c:pt idx="9">
                  <c:v>712.28000000000054</c:v>
                </c:pt>
              </c:numCache>
            </c:numRef>
          </c:val>
          <c:extLst xmlns:c16r2="http://schemas.microsoft.com/office/drawing/2015/06/chart">
            <c:ext xmlns:c16="http://schemas.microsoft.com/office/drawing/2014/chart" uri="{C3380CC4-5D6E-409C-BE32-E72D297353CC}">
              <c16:uniqueId val="{00000002-C757-4295-80A7-B2E3C78C3EB9}"/>
            </c:ext>
          </c:extLst>
        </c:ser>
        <c:ser>
          <c:idx val="3"/>
          <c:order val="3"/>
          <c:tx>
            <c:strRef>
              <c:f>Foglio1!$A$8</c:f>
              <c:strCache>
                <c:ptCount val="1"/>
                <c:pt idx="0">
                  <c:v>Transport </c:v>
                </c:pt>
              </c:strCache>
            </c:strRef>
          </c:tx>
          <c:invertIfNegative val="0"/>
          <c:cat>
            <c:numRef>
              <c:f>Foglio1!$B$3:$K$3</c:f>
              <c:numCache>
                <c:formatCode>General</c:formatCode>
                <c:ptCount val="10"/>
                <c:pt idx="0">
                  <c:v>2000</c:v>
                </c:pt>
                <c:pt idx="1">
                  <c:v>2001</c:v>
                </c:pt>
                <c:pt idx="2">
                  <c:v>2002</c:v>
                </c:pt>
                <c:pt idx="3">
                  <c:v>2003</c:v>
                </c:pt>
                <c:pt idx="4">
                  <c:v>2004</c:v>
                </c:pt>
                <c:pt idx="5">
                  <c:v>2005</c:v>
                </c:pt>
                <c:pt idx="6">
                  <c:v>2006</c:v>
                </c:pt>
                <c:pt idx="7">
                  <c:v>2007</c:v>
                </c:pt>
                <c:pt idx="8">
                  <c:v>2008</c:v>
                </c:pt>
                <c:pt idx="9">
                  <c:v>2009</c:v>
                </c:pt>
              </c:numCache>
            </c:numRef>
          </c:cat>
          <c:val>
            <c:numRef>
              <c:f>Foglio1!$B$8:$K$8</c:f>
              <c:numCache>
                <c:formatCode>General</c:formatCode>
                <c:ptCount val="10"/>
                <c:pt idx="0">
                  <c:v>1817.61</c:v>
                </c:pt>
                <c:pt idx="1">
                  <c:v>1835.36</c:v>
                </c:pt>
                <c:pt idx="2">
                  <c:v>1906.07</c:v>
                </c:pt>
                <c:pt idx="3">
                  <c:v>1996.71</c:v>
                </c:pt>
                <c:pt idx="4">
                  <c:v>2115.09</c:v>
                </c:pt>
                <c:pt idx="5">
                  <c:v>2085.9499999999998</c:v>
                </c:pt>
                <c:pt idx="6">
                  <c:v>2103.11</c:v>
                </c:pt>
                <c:pt idx="7">
                  <c:v>2124.5700000000002</c:v>
                </c:pt>
                <c:pt idx="8">
                  <c:v>2150.3100000000022</c:v>
                </c:pt>
                <c:pt idx="9">
                  <c:v>2306.46</c:v>
                </c:pt>
              </c:numCache>
            </c:numRef>
          </c:val>
          <c:extLst xmlns:c16r2="http://schemas.microsoft.com/office/drawing/2015/06/chart">
            <c:ext xmlns:c16="http://schemas.microsoft.com/office/drawing/2014/chart" uri="{C3380CC4-5D6E-409C-BE32-E72D297353CC}">
              <c16:uniqueId val="{00000003-C757-4295-80A7-B2E3C78C3EB9}"/>
            </c:ext>
          </c:extLst>
        </c:ser>
        <c:ser>
          <c:idx val="4"/>
          <c:order val="4"/>
          <c:tx>
            <c:strRef>
              <c:f>Foglio1!$A$9</c:f>
              <c:strCache>
                <c:ptCount val="1"/>
                <c:pt idx="0">
                  <c:v>Residential </c:v>
                </c:pt>
              </c:strCache>
            </c:strRef>
          </c:tx>
          <c:invertIfNegative val="0"/>
          <c:cat>
            <c:numRef>
              <c:f>Foglio1!$B$3:$K$3</c:f>
              <c:numCache>
                <c:formatCode>General</c:formatCode>
                <c:ptCount val="10"/>
                <c:pt idx="0">
                  <c:v>2000</c:v>
                </c:pt>
                <c:pt idx="1">
                  <c:v>2001</c:v>
                </c:pt>
                <c:pt idx="2">
                  <c:v>2002</c:v>
                </c:pt>
                <c:pt idx="3">
                  <c:v>2003</c:v>
                </c:pt>
                <c:pt idx="4">
                  <c:v>2004</c:v>
                </c:pt>
                <c:pt idx="5">
                  <c:v>2005</c:v>
                </c:pt>
                <c:pt idx="6">
                  <c:v>2006</c:v>
                </c:pt>
                <c:pt idx="7">
                  <c:v>2007</c:v>
                </c:pt>
                <c:pt idx="8">
                  <c:v>2008</c:v>
                </c:pt>
                <c:pt idx="9">
                  <c:v>2009</c:v>
                </c:pt>
              </c:numCache>
            </c:numRef>
          </c:cat>
          <c:val>
            <c:numRef>
              <c:f>Foglio1!$B$9:$K$9</c:f>
              <c:numCache>
                <c:formatCode>General</c:formatCode>
                <c:ptCount val="10"/>
                <c:pt idx="0">
                  <c:v>944.01</c:v>
                </c:pt>
                <c:pt idx="1">
                  <c:v>951.25</c:v>
                </c:pt>
                <c:pt idx="2">
                  <c:v>980.72</c:v>
                </c:pt>
                <c:pt idx="3">
                  <c:v>1026.2</c:v>
                </c:pt>
                <c:pt idx="4">
                  <c:v>1075.4000000000001</c:v>
                </c:pt>
                <c:pt idx="5">
                  <c:v>1060.6499999999999</c:v>
                </c:pt>
                <c:pt idx="6">
                  <c:v>1069.2</c:v>
                </c:pt>
                <c:pt idx="7">
                  <c:v>1082.4000000000001</c:v>
                </c:pt>
                <c:pt idx="8">
                  <c:v>1096.02</c:v>
                </c:pt>
                <c:pt idx="9">
                  <c:v>1168.1799999999998</c:v>
                </c:pt>
              </c:numCache>
            </c:numRef>
          </c:val>
          <c:extLst xmlns:c16r2="http://schemas.microsoft.com/office/drawing/2015/06/chart">
            <c:ext xmlns:c16="http://schemas.microsoft.com/office/drawing/2014/chart" uri="{C3380CC4-5D6E-409C-BE32-E72D297353CC}">
              <c16:uniqueId val="{00000004-C757-4295-80A7-B2E3C78C3EB9}"/>
            </c:ext>
          </c:extLst>
        </c:ser>
        <c:ser>
          <c:idx val="5"/>
          <c:order val="5"/>
          <c:tx>
            <c:strRef>
              <c:f>Foglio1!$A$10</c:f>
              <c:strCache>
                <c:ptCount val="1"/>
                <c:pt idx="0">
                  <c:v>Service </c:v>
                </c:pt>
              </c:strCache>
            </c:strRef>
          </c:tx>
          <c:invertIfNegative val="0"/>
          <c:cat>
            <c:numRef>
              <c:f>Foglio1!$B$3:$K$3</c:f>
              <c:numCache>
                <c:formatCode>General</c:formatCode>
                <c:ptCount val="10"/>
                <c:pt idx="0">
                  <c:v>2000</c:v>
                </c:pt>
                <c:pt idx="1">
                  <c:v>2001</c:v>
                </c:pt>
                <c:pt idx="2">
                  <c:v>2002</c:v>
                </c:pt>
                <c:pt idx="3">
                  <c:v>2003</c:v>
                </c:pt>
                <c:pt idx="4">
                  <c:v>2004</c:v>
                </c:pt>
                <c:pt idx="5">
                  <c:v>2005</c:v>
                </c:pt>
                <c:pt idx="6">
                  <c:v>2006</c:v>
                </c:pt>
                <c:pt idx="7">
                  <c:v>2007</c:v>
                </c:pt>
                <c:pt idx="8">
                  <c:v>2008</c:v>
                </c:pt>
                <c:pt idx="9">
                  <c:v>2009</c:v>
                </c:pt>
              </c:numCache>
            </c:numRef>
          </c:cat>
          <c:val>
            <c:numRef>
              <c:f>Foglio1!$B$10:$K$10</c:f>
              <c:numCache>
                <c:formatCode>General</c:formatCode>
                <c:ptCount val="10"/>
                <c:pt idx="0">
                  <c:v>193.87</c:v>
                </c:pt>
                <c:pt idx="1">
                  <c:v>194.35000000000107</c:v>
                </c:pt>
                <c:pt idx="2">
                  <c:v>201.82000000000087</c:v>
                </c:pt>
                <c:pt idx="3">
                  <c:v>211.23999999999998</c:v>
                </c:pt>
                <c:pt idx="4">
                  <c:v>223.73999999999998</c:v>
                </c:pt>
                <c:pt idx="5">
                  <c:v>220.5</c:v>
                </c:pt>
                <c:pt idx="6">
                  <c:v>222.37</c:v>
                </c:pt>
                <c:pt idx="7">
                  <c:v>224.66</c:v>
                </c:pt>
                <c:pt idx="8">
                  <c:v>227.37</c:v>
                </c:pt>
                <c:pt idx="9">
                  <c:v>242.5</c:v>
                </c:pt>
              </c:numCache>
            </c:numRef>
          </c:val>
          <c:extLst xmlns:c16r2="http://schemas.microsoft.com/office/drawing/2015/06/chart">
            <c:ext xmlns:c16="http://schemas.microsoft.com/office/drawing/2014/chart" uri="{C3380CC4-5D6E-409C-BE32-E72D297353CC}">
              <c16:uniqueId val="{00000005-C757-4295-80A7-B2E3C78C3EB9}"/>
            </c:ext>
          </c:extLst>
        </c:ser>
        <c:ser>
          <c:idx val="6"/>
          <c:order val="6"/>
          <c:tx>
            <c:strRef>
              <c:f>Foglio1!$A$11</c:f>
              <c:strCache>
                <c:ptCount val="1"/>
                <c:pt idx="0">
                  <c:v>Agriculture </c:v>
                </c:pt>
              </c:strCache>
            </c:strRef>
          </c:tx>
          <c:invertIfNegative val="0"/>
          <c:cat>
            <c:numRef>
              <c:f>Foglio1!$B$3:$K$3</c:f>
              <c:numCache>
                <c:formatCode>General</c:formatCode>
                <c:ptCount val="10"/>
                <c:pt idx="0">
                  <c:v>2000</c:v>
                </c:pt>
                <c:pt idx="1">
                  <c:v>2001</c:v>
                </c:pt>
                <c:pt idx="2">
                  <c:v>2002</c:v>
                </c:pt>
                <c:pt idx="3">
                  <c:v>2003</c:v>
                </c:pt>
                <c:pt idx="4">
                  <c:v>2004</c:v>
                </c:pt>
                <c:pt idx="5">
                  <c:v>2005</c:v>
                </c:pt>
                <c:pt idx="6">
                  <c:v>2006</c:v>
                </c:pt>
                <c:pt idx="7">
                  <c:v>2007</c:v>
                </c:pt>
                <c:pt idx="8">
                  <c:v>2008</c:v>
                </c:pt>
                <c:pt idx="9">
                  <c:v>2009</c:v>
                </c:pt>
              </c:numCache>
            </c:numRef>
          </c:cat>
          <c:val>
            <c:numRef>
              <c:f>Foglio1!$B$11:$K$11</c:f>
              <c:numCache>
                <c:formatCode>General</c:formatCode>
                <c:ptCount val="10"/>
                <c:pt idx="0">
                  <c:v>295.05</c:v>
                </c:pt>
                <c:pt idx="1">
                  <c:v>297.42999999999893</c:v>
                </c:pt>
                <c:pt idx="2">
                  <c:v>302.56</c:v>
                </c:pt>
                <c:pt idx="3">
                  <c:v>316.95999999999924</c:v>
                </c:pt>
                <c:pt idx="4">
                  <c:v>335.72999999999894</c:v>
                </c:pt>
                <c:pt idx="5">
                  <c:v>331.11</c:v>
                </c:pt>
                <c:pt idx="6">
                  <c:v>333.83</c:v>
                </c:pt>
                <c:pt idx="7">
                  <c:v>337.24</c:v>
                </c:pt>
                <c:pt idx="8">
                  <c:v>341.34000000000032</c:v>
                </c:pt>
                <c:pt idx="9">
                  <c:v>366.15000000000032</c:v>
                </c:pt>
              </c:numCache>
            </c:numRef>
          </c:val>
          <c:extLst xmlns:c16r2="http://schemas.microsoft.com/office/drawing/2015/06/chart">
            <c:ext xmlns:c16="http://schemas.microsoft.com/office/drawing/2014/chart" uri="{C3380CC4-5D6E-409C-BE32-E72D297353CC}">
              <c16:uniqueId val="{00000006-C757-4295-80A7-B2E3C78C3EB9}"/>
            </c:ext>
          </c:extLst>
        </c:ser>
        <c:dLbls>
          <c:showLegendKey val="0"/>
          <c:showVal val="0"/>
          <c:showCatName val="0"/>
          <c:showSerName val="0"/>
          <c:showPercent val="0"/>
          <c:showBubbleSize val="0"/>
        </c:dLbls>
        <c:gapWidth val="150"/>
        <c:overlap val="100"/>
        <c:axId val="-494008080"/>
        <c:axId val="-494005360"/>
      </c:barChart>
      <c:catAx>
        <c:axId val="-494008080"/>
        <c:scaling>
          <c:orientation val="minMax"/>
        </c:scaling>
        <c:delete val="0"/>
        <c:axPos val="b"/>
        <c:numFmt formatCode="General" sourceLinked="1"/>
        <c:majorTickMark val="out"/>
        <c:minorTickMark val="none"/>
        <c:tickLblPos val="nextTo"/>
        <c:crossAx val="-494005360"/>
        <c:crosses val="autoZero"/>
        <c:auto val="1"/>
        <c:lblAlgn val="ctr"/>
        <c:lblOffset val="100"/>
        <c:noMultiLvlLbl val="0"/>
      </c:catAx>
      <c:valAx>
        <c:axId val="-494005360"/>
        <c:scaling>
          <c:orientation val="minMax"/>
        </c:scaling>
        <c:delete val="0"/>
        <c:axPos val="l"/>
        <c:majorGridlines/>
        <c:title>
          <c:tx>
            <c:rich>
              <a:bodyPr rot="-5400000" vert="horz"/>
              <a:lstStyle/>
              <a:p>
                <a:pPr>
                  <a:defRPr/>
                </a:pPr>
                <a:r>
                  <a:rPr lang="en-US"/>
                  <a:t>Gg CO2 eq</a:t>
                </a:r>
              </a:p>
            </c:rich>
          </c:tx>
          <c:layout/>
          <c:overlay val="0"/>
        </c:title>
        <c:numFmt formatCode="#,##0" sourceLinked="0"/>
        <c:majorTickMark val="out"/>
        <c:minorTickMark val="none"/>
        <c:tickLblPos val="nextTo"/>
        <c:crossAx val="-494008080"/>
        <c:crosses val="autoZero"/>
        <c:crossBetween val="between"/>
        <c:majorUnit val="500"/>
      </c:valAx>
    </c:plotArea>
    <c:legend>
      <c:legendPos val="r"/>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Calibri"/>
                <a:ea typeface="Calibri"/>
                <a:cs typeface="Calibri"/>
              </a:defRPr>
            </a:pPr>
            <a:r>
              <a:rPr lang="en-US"/>
              <a:t>Burimet e financimit sipas fushave</a:t>
            </a:r>
          </a:p>
        </c:rich>
      </c:tx>
      <c:layout/>
      <c:overlay val="0"/>
    </c:title>
    <c:autoTitleDeleted val="0"/>
    <c:plotArea>
      <c:layout/>
      <c:pieChart>
        <c:varyColors val="1"/>
        <c:ser>
          <c:idx val="0"/>
          <c:order val="0"/>
          <c:tx>
            <c:strRef>
              <c:f>'[Strategjia NAP costing (002).xls]Summary Tables'!$D$3</c:f>
              <c:strCache>
                <c:ptCount val="1"/>
                <c:pt idx="0">
                  <c:v>Total</c:v>
                </c:pt>
              </c:strCache>
            </c:strRef>
          </c:tx>
          <c:explosion val="25"/>
          <c:dPt>
            <c:idx val="0"/>
            <c:bubble3D val="0"/>
            <c:extLst xmlns:c16r2="http://schemas.microsoft.com/office/drawing/2015/06/chart">
              <c:ext xmlns:c16="http://schemas.microsoft.com/office/drawing/2014/chart" uri="{C3380CC4-5D6E-409C-BE32-E72D297353CC}">
                <c16:uniqueId val="{00000000-A2C2-4447-8B26-E812BC849EB7}"/>
              </c:ext>
            </c:extLst>
          </c:dPt>
          <c:dPt>
            <c:idx val="1"/>
            <c:bubble3D val="0"/>
            <c:extLst xmlns:c16r2="http://schemas.microsoft.com/office/drawing/2015/06/chart">
              <c:ext xmlns:c16="http://schemas.microsoft.com/office/drawing/2014/chart" uri="{C3380CC4-5D6E-409C-BE32-E72D297353CC}">
                <c16:uniqueId val="{00000001-A2C2-4447-8B26-E812BC849EB7}"/>
              </c:ext>
            </c:extLst>
          </c:dPt>
          <c:dPt>
            <c:idx val="2"/>
            <c:bubble3D val="0"/>
            <c:extLst xmlns:c16r2="http://schemas.microsoft.com/office/drawing/2015/06/chart">
              <c:ext xmlns:c16="http://schemas.microsoft.com/office/drawing/2014/chart" uri="{C3380CC4-5D6E-409C-BE32-E72D297353CC}">
                <c16:uniqueId val="{00000002-A2C2-4447-8B26-E812BC849EB7}"/>
              </c:ext>
            </c:extLst>
          </c:dPt>
          <c:dPt>
            <c:idx val="3"/>
            <c:bubble3D val="0"/>
            <c:extLst xmlns:c16r2="http://schemas.microsoft.com/office/drawing/2015/06/chart">
              <c:ext xmlns:c16="http://schemas.microsoft.com/office/drawing/2014/chart" uri="{C3380CC4-5D6E-409C-BE32-E72D297353CC}">
                <c16:uniqueId val="{00000003-A2C2-4447-8B26-E812BC849EB7}"/>
              </c:ext>
            </c:extLst>
          </c:dPt>
          <c:dLbls>
            <c:spPr>
              <a:noFill/>
              <a:ln w="25400">
                <a:noFill/>
              </a:ln>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'[Strategjia NAP costing (002).xls]Summary Tables'!$B$4:$B$7</c:f>
              <c:strCache>
                <c:ptCount val="4"/>
                <c:pt idx="0">
                  <c:v>Total Energjia</c:v>
                </c:pt>
                <c:pt idx="1">
                  <c:v>Total Transporti</c:v>
                </c:pt>
                <c:pt idx="2">
                  <c:v>Total Bujqesia</c:v>
                </c:pt>
                <c:pt idx="3">
                  <c:v>Total Toka+Pyjet</c:v>
                </c:pt>
              </c:strCache>
            </c:strRef>
          </c:cat>
          <c:val>
            <c:numRef>
              <c:f>'[Strategjia NAP costing (002).xls]Summary Tables'!$D$4:$D$7</c:f>
              <c:numCache>
                <c:formatCode>_(* #,##0_);_(* \(#,##0\);_(* "-"??_);_(@_)</c:formatCode>
                <c:ptCount val="4"/>
                <c:pt idx="0">
                  <c:v>29974227</c:v>
                </c:pt>
                <c:pt idx="1">
                  <c:v>45428160</c:v>
                </c:pt>
                <c:pt idx="2">
                  <c:v>10727564</c:v>
                </c:pt>
                <c:pt idx="3">
                  <c:v>1471226</c:v>
                </c:pt>
              </c:numCache>
            </c:numRef>
          </c:val>
          <c:extLst xmlns:c16r2="http://schemas.microsoft.com/office/drawing/2015/06/chart">
            <c:ext xmlns:c16="http://schemas.microsoft.com/office/drawing/2014/chart" uri="{C3380CC4-5D6E-409C-BE32-E72D297353CC}">
              <c16:uniqueId val="{00000004-A2C2-4447-8B26-E812BC849EB7}"/>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9947669978992766"/>
          <c:y val="0.35919563448739017"/>
          <c:w val="0.27141153194973755"/>
          <c:h val="0.42450393166691563"/>
        </c:manualLayout>
      </c:layout>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US"/>
              <a:t>Burimet totale të financimit në %</a:t>
            </a:r>
          </a:p>
        </c:rich>
      </c:tx>
      <c:layout/>
      <c:overlay val="0"/>
    </c:title>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'[Strategjia NAP costing (002).xls]Summary Tables'!$C$15</c:f>
              <c:strCache>
                <c:ptCount val="1"/>
                <c:pt idx="0">
                  <c:v>Government budget</c:v>
                </c:pt>
              </c:strCache>
            </c:strRef>
          </c:tx>
          <c:invertIfNegative val="0"/>
          <c:dLbls>
            <c:dLbl>
              <c:idx val="0"/>
              <c:layout/>
              <c:spPr>
                <a:noFill/>
                <a:ln w="25400">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DDE-4FA7-B6C6-0CF988BE7E40}"/>
                </c:ext>
                <c:ext xmlns:c15="http://schemas.microsoft.com/office/drawing/2012/chart" uri="{CE6537A1-D6FC-4f65-9D91-7224C49458BB}">
                  <c15:layout/>
                </c:ext>
              </c:extLst>
            </c:dLbl>
            <c:dLbl>
              <c:idx val="1"/>
              <c:layout/>
              <c:spPr>
                <a:noFill/>
                <a:ln w="25400">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DDE-4FA7-B6C6-0CF988BE7E40}"/>
                </c:ext>
                <c:ext xmlns:c15="http://schemas.microsoft.com/office/drawing/2012/chart" uri="{CE6537A1-D6FC-4f65-9D91-7224C49458BB}">
                  <c15:layout/>
                </c:ext>
              </c:extLst>
            </c:dLbl>
            <c:dLbl>
              <c:idx val="2"/>
              <c:layout/>
              <c:spPr>
                <a:noFill/>
                <a:ln w="25400">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DDE-4FA7-B6C6-0CF988BE7E40}"/>
                </c:ex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'[Strategjia NAP costing (002).xls]Summary Tables'!$B$16:$B$20</c:f>
              <c:strCache>
                <c:ptCount val="5"/>
                <c:pt idx="0">
                  <c:v>Energjia</c:v>
                </c:pt>
                <c:pt idx="1">
                  <c:v>Transporti</c:v>
                </c:pt>
                <c:pt idx="2">
                  <c:v>Bujqesia</c:v>
                </c:pt>
                <c:pt idx="3">
                  <c:v>Toka+Pyjet</c:v>
                </c:pt>
                <c:pt idx="4">
                  <c:v>Ndersektoriale</c:v>
                </c:pt>
              </c:strCache>
            </c:strRef>
          </c:cat>
          <c:val>
            <c:numRef>
              <c:f>'[Strategjia NAP costing (002).xls]Summary Tables'!$C$16:$C$20</c:f>
              <c:numCache>
                <c:formatCode>_(* #,##0_);_(* \(#,##0\);_(* "-"??_);_(@_)</c:formatCode>
                <c:ptCount val="5"/>
                <c:pt idx="0">
                  <c:v>23422408</c:v>
                </c:pt>
                <c:pt idx="1">
                  <c:v>38354551</c:v>
                </c:pt>
                <c:pt idx="2">
                  <c:v>9663350</c:v>
                </c:pt>
                <c:pt idx="3">
                  <c:v>1471226</c:v>
                </c:pt>
                <c:pt idx="4">
                  <c:v>0</c:v>
                </c:pt>
              </c:numCache>
            </c:numRef>
          </c:val>
          <c:extLst xmlns:c16r2="http://schemas.microsoft.com/office/drawing/2015/06/chart">
            <c:ext xmlns:c16="http://schemas.microsoft.com/office/drawing/2014/chart" uri="{C3380CC4-5D6E-409C-BE32-E72D297353CC}">
              <c16:uniqueId val="{00000003-CDDE-4FA7-B6C6-0CF988BE7E40}"/>
            </c:ext>
          </c:extLst>
        </c:ser>
        <c:ser>
          <c:idx val="1"/>
          <c:order val="1"/>
          <c:tx>
            <c:strRef>
              <c:f>'[Strategjia NAP costing (002).xls]Summary Tables'!$D$15</c:f>
              <c:strCache>
                <c:ptCount val="1"/>
                <c:pt idx="0">
                  <c:v>EU</c:v>
                </c:pt>
              </c:strCache>
            </c:strRef>
          </c:tx>
          <c:invertIfNegative val="0"/>
          <c:cat>
            <c:strRef>
              <c:f>'[Strategjia NAP costing (002).xls]Summary Tables'!$B$16:$B$20</c:f>
              <c:strCache>
                <c:ptCount val="5"/>
                <c:pt idx="0">
                  <c:v>Energjia</c:v>
                </c:pt>
                <c:pt idx="1">
                  <c:v>Transporti</c:v>
                </c:pt>
                <c:pt idx="2">
                  <c:v>Bujqesia</c:v>
                </c:pt>
                <c:pt idx="3">
                  <c:v>Toka+Pyjet</c:v>
                </c:pt>
                <c:pt idx="4">
                  <c:v>Ndersektoriale</c:v>
                </c:pt>
              </c:strCache>
            </c:strRef>
          </c:cat>
          <c:val>
            <c:numRef>
              <c:f>'[Strategjia NAP costing (002).xls]Summary Tables'!$D$16:$D$20</c:f>
              <c:numCache>
                <c:formatCode>_(* #,##0_);_(* \(#,##0\);_(* "-"??_);_(@_)</c:formatCode>
                <c:ptCount val="5"/>
                <c:pt idx="0">
                  <c:v>0</c:v>
                </c:pt>
                <c:pt idx="1">
                  <c:v>262320</c:v>
                </c:pt>
                <c:pt idx="2">
                  <c:v>0</c:v>
                </c:pt>
                <c:pt idx="3">
                  <c:v>0</c:v>
                </c:pt>
                <c:pt idx="4">
                  <c:v>0</c:v>
                </c:pt>
              </c:numCache>
            </c:numRef>
          </c:val>
          <c:extLst xmlns:c16r2="http://schemas.microsoft.com/office/drawing/2015/06/chart">
            <c:ext xmlns:c16="http://schemas.microsoft.com/office/drawing/2014/chart" uri="{C3380CC4-5D6E-409C-BE32-E72D297353CC}">
              <c16:uniqueId val="{00000004-CDDE-4FA7-B6C6-0CF988BE7E40}"/>
            </c:ext>
          </c:extLst>
        </c:ser>
        <c:ser>
          <c:idx val="2"/>
          <c:order val="2"/>
          <c:tx>
            <c:strRef>
              <c:f>'[Strategjia NAP costing (002).xls]Summary Tables'!$E$15</c:f>
              <c:strCache>
                <c:ptCount val="1"/>
                <c:pt idx="0">
                  <c:v>Other donors
   </c:v>
                </c:pt>
              </c:strCache>
            </c:strRef>
          </c:tx>
          <c:invertIfNegative val="0"/>
          <c:cat>
            <c:strRef>
              <c:f>'[Strategjia NAP costing (002).xls]Summary Tables'!$B$16:$B$20</c:f>
              <c:strCache>
                <c:ptCount val="5"/>
                <c:pt idx="0">
                  <c:v>Energjia</c:v>
                </c:pt>
                <c:pt idx="1">
                  <c:v>Transporti</c:v>
                </c:pt>
                <c:pt idx="2">
                  <c:v>Bujqesia</c:v>
                </c:pt>
                <c:pt idx="3">
                  <c:v>Toka+Pyjet</c:v>
                </c:pt>
                <c:pt idx="4">
                  <c:v>Ndersektoriale</c:v>
                </c:pt>
              </c:strCache>
            </c:strRef>
          </c:cat>
          <c:val>
            <c:numRef>
              <c:f>'[Strategjia NAP costing (002).xls]Summary Tables'!$E$16:$E$20</c:f>
              <c:numCache>
                <c:formatCode>_(* #,##0_);_(* \(#,##0\);_(* "-"??_);_(@_)</c:formatCode>
                <c:ptCount val="5"/>
                <c:pt idx="0">
                  <c:v>6551819</c:v>
                </c:pt>
                <c:pt idx="1">
                  <c:v>6811289</c:v>
                </c:pt>
                <c:pt idx="2">
                  <c:v>1064214</c:v>
                </c:pt>
                <c:pt idx="3">
                  <c:v>0</c:v>
                </c:pt>
                <c:pt idx="4">
                  <c:v>15000</c:v>
                </c:pt>
              </c:numCache>
            </c:numRef>
          </c:val>
          <c:extLst xmlns:c16r2="http://schemas.microsoft.com/office/drawing/2015/06/chart">
            <c:ext xmlns:c16="http://schemas.microsoft.com/office/drawing/2014/chart" uri="{C3380CC4-5D6E-409C-BE32-E72D297353CC}">
              <c16:uniqueId val="{00000005-CDDE-4FA7-B6C6-0CF988BE7E40}"/>
            </c:ext>
          </c:extLst>
        </c:ser>
        <c:ser>
          <c:idx val="3"/>
          <c:order val="3"/>
          <c:tx>
            <c:strRef>
              <c:f>'[Strategjia NAP costing (002).xls]Summary Tables'!$F$15</c:f>
              <c:strCache>
                <c:ptCount val="1"/>
                <c:pt idx="0">
                  <c:v>Financial gap</c:v>
                </c:pt>
              </c:strCache>
            </c:strRef>
          </c:tx>
          <c:invertIfNegative val="0"/>
          <c:dLbls>
            <c:spPr>
              <a:noFill/>
              <a:ln w="2540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'[Strategjia NAP costing (002).xls]Summary Tables'!$B$16:$B$20</c:f>
              <c:strCache>
                <c:ptCount val="5"/>
                <c:pt idx="0">
                  <c:v>Energjia</c:v>
                </c:pt>
                <c:pt idx="1">
                  <c:v>Transporti</c:v>
                </c:pt>
                <c:pt idx="2">
                  <c:v>Bujqesia</c:v>
                </c:pt>
                <c:pt idx="3">
                  <c:v>Toka+Pyjet</c:v>
                </c:pt>
                <c:pt idx="4">
                  <c:v>Ndersektoriale</c:v>
                </c:pt>
              </c:strCache>
            </c:strRef>
          </c:cat>
          <c:val>
            <c:numRef>
              <c:f>'[Strategjia NAP costing (002).xls]Summary Tables'!$F$16:$F$20</c:f>
              <c:numCache>
                <c:formatCode>_(* #,##0_);_(* \(#,##0\);_(* "-"??_);_(@_)</c:formatCode>
                <c:ptCount val="5"/>
                <c:pt idx="0">
                  <c:v>6906638</c:v>
                </c:pt>
                <c:pt idx="1">
                  <c:v>5270346</c:v>
                </c:pt>
                <c:pt idx="2">
                  <c:v>0</c:v>
                </c:pt>
                <c:pt idx="3">
                  <c:v>4480</c:v>
                </c:pt>
                <c:pt idx="4">
                  <c:v>15000</c:v>
                </c:pt>
              </c:numCache>
            </c:numRef>
          </c:val>
          <c:extLst xmlns:c16r2="http://schemas.microsoft.com/office/drawing/2015/06/chart">
            <c:ext xmlns:c16="http://schemas.microsoft.com/office/drawing/2014/chart" uri="{C3380CC4-5D6E-409C-BE32-E72D297353CC}">
              <c16:uniqueId val="{00000006-CDDE-4FA7-B6C6-0CF988BE7E40}"/>
            </c:ext>
          </c:extLst>
        </c:ser>
        <c:dLbls>
          <c:showLegendKey val="0"/>
          <c:showVal val="0"/>
          <c:showCatName val="0"/>
          <c:showSerName val="0"/>
          <c:showPercent val="0"/>
          <c:showBubbleSize val="0"/>
        </c:dLbls>
        <c:gapWidth val="55"/>
        <c:gapDepth val="55"/>
        <c:shape val="box"/>
        <c:axId val="-493995024"/>
        <c:axId val="-493994480"/>
        <c:axId val="0"/>
      </c:bar3DChart>
      <c:catAx>
        <c:axId val="-49399502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93994480"/>
        <c:crosses val="autoZero"/>
        <c:auto val="1"/>
        <c:lblAlgn val="ctr"/>
        <c:lblOffset val="100"/>
        <c:noMultiLvlLbl val="0"/>
      </c:catAx>
      <c:valAx>
        <c:axId val="-493994480"/>
        <c:scaling>
          <c:orientation val="minMax"/>
        </c:scaling>
        <c:delete val="0"/>
        <c:axPos val="l"/>
        <c:majorGridlines/>
        <c:numFmt formatCode="_(* #,##0_);_(* \(#,##0\);_(* &quot;-&quot;??_);_(@_)"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93995024"/>
        <c:crosses val="autoZero"/>
        <c:crossBetween val="between"/>
      </c:valAx>
      <c:spPr>
        <a:noFill/>
        <a:ln w="25400">
          <a:noFill/>
        </a:ln>
      </c:spPr>
    </c:plotArea>
    <c:legend>
      <c:legendPos val="r"/>
      <c:layout>
        <c:manualLayout>
          <c:xMode val="edge"/>
          <c:yMode val="edge"/>
          <c:x val="0.74868759241253424"/>
          <c:y val="0.16957106727633162"/>
          <c:w val="0.23530181475822506"/>
          <c:h val="0.76524379078549654"/>
        </c:manualLayout>
      </c:layout>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Al!$D$25</c:f>
              <c:strCache>
                <c:ptCount val="1"/>
                <c:pt idx="0">
                  <c:v>Buxheti totali</c:v>
                </c:pt>
              </c:strCache>
            </c:strRef>
          </c:tx>
          <c:explosion val="25"/>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Al!$B$26:$C$27</c:f>
              <c:strCache>
                <c:ptCount val="2"/>
                <c:pt idx="0">
                  <c:v>Veprimet gjithëpërfshirëse / kuadri zbatues</c:v>
                </c:pt>
                <c:pt idx="1">
                  <c:v>Veptimet sektoriale dhe ndërsektoriale</c:v>
                </c:pt>
              </c:strCache>
            </c:strRef>
          </c:cat>
          <c:val>
            <c:numRef>
              <c:f>Al!$D$26:$D$27</c:f>
              <c:numCache>
                <c:formatCode>_(* #,##0.00_);_(* \(#,##0.00\);_(* "-"??_);_(@_)</c:formatCode>
                <c:ptCount val="2"/>
                <c:pt idx="0">
                  <c:v>1204550</c:v>
                </c:pt>
                <c:pt idx="1">
                  <c:v>9831700</c:v>
                </c:pt>
              </c:numCache>
            </c:numRef>
          </c:val>
          <c:extLst xmlns:c16r2="http://schemas.microsoft.com/office/drawing/2015/06/chart">
            <c:ext xmlns:c16="http://schemas.microsoft.com/office/drawing/2014/chart" uri="{C3380CC4-5D6E-409C-BE32-E72D297353CC}">
              <c16:uniqueId val="{00000000-25AB-4CD1-8D30-E8EA74A30463}"/>
            </c:ext>
          </c:extLst>
        </c:ser>
        <c:dLbls>
          <c:showLegendKey val="0"/>
          <c:showVal val="0"/>
          <c:showCatName val="0"/>
          <c:showSerName val="0"/>
          <c:showPercent val="1"/>
          <c:showBubbleSize val="0"/>
          <c:showLeaderLines val="0"/>
        </c:dLbls>
      </c:pie3DChart>
    </c:plotArea>
    <c:legend>
      <c:legendPos val="t"/>
      <c:layout/>
      <c:overlay val="0"/>
      <c:txPr>
        <a:bodyPr/>
        <a:lstStyle/>
        <a:p>
          <a:pPr>
            <a:defRPr>
              <a:solidFill>
                <a:srgbClr val="FF0000"/>
              </a:solidFill>
            </a:defRPr>
          </a:pPr>
          <a:endParaRPr lang="en-US"/>
        </a:p>
      </c:txPr>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7.5155114894396483E-2"/>
          <c:y val="0.17485880663310238"/>
          <c:w val="0.75227424993031455"/>
          <c:h val="0.74056314369149467"/>
        </c:manualLayout>
      </c:layout>
      <c:pie3DChart>
        <c:varyColors val="1"/>
        <c:ser>
          <c:idx val="0"/>
          <c:order val="0"/>
          <c:tx>
            <c:strRef>
              <c:f>Al!$N$4</c:f>
              <c:strCache>
                <c:ptCount val="1"/>
                <c:pt idx="0">
                  <c:v>Ndarja e buxhetit/Veprime prioritare </c:v>
                </c:pt>
              </c:strCache>
            </c:strRef>
          </c:tx>
          <c:explosion val="25"/>
          <c:dLbls>
            <c:dLbl>
              <c:idx val="0"/>
              <c:layout>
                <c:manualLayout>
                  <c:x val="5.3938195926860853E-3"/>
                  <c:y val="-6.8348196057752705E-2"/>
                </c:manualLayout>
              </c:layout>
              <c:tx>
                <c:rich>
                  <a:bodyPr/>
                  <a:lstStyle/>
                  <a:p>
                    <a:endParaRPr lang="en-US"/>
                  </a:p>
                  <a:p>
                    <a:endParaRPr lang="en-US"/>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F329-4711-B69B-1CFBE8071D19}"/>
                </c:ext>
                <c:ext xmlns:c15="http://schemas.microsoft.com/office/drawing/2012/chart" uri="{CE6537A1-D6FC-4f65-9D91-7224C49458BB}">
                  <c15:layout/>
                </c:ext>
              </c:extLst>
            </c:dLbl>
            <c:dLbl>
              <c:idx val="1"/>
              <c:delete val="1"/>
              <c:extLst xmlns:c16r2="http://schemas.microsoft.com/office/drawing/2015/06/chart">
                <c:ext xmlns:c16="http://schemas.microsoft.com/office/drawing/2014/chart" uri="{C3380CC4-5D6E-409C-BE32-E72D297353CC}">
                  <c16:uniqueId val="{00000001-F329-4711-B69B-1CFBE8071D19}"/>
                </c:ext>
                <c:ext xmlns:c15="http://schemas.microsoft.com/office/drawing/2012/chart" uri="{CE6537A1-D6FC-4f65-9D91-7224C49458BB}"/>
              </c:extLst>
            </c:dLbl>
            <c:numFmt formatCode="General" sourceLinked="0"/>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Al!$M$5:$M$19</c:f>
              <c:strCache>
                <c:ptCount val="15"/>
                <c:pt idx="0">
                  <c:v>PA 1</c:v>
                </c:pt>
                <c:pt idx="1">
                  <c:v>PA 2</c:v>
                </c:pt>
                <c:pt idx="2">
                  <c:v>PA 3</c:v>
                </c:pt>
                <c:pt idx="3">
                  <c:v>PA 4</c:v>
                </c:pt>
                <c:pt idx="4">
                  <c:v>PA 5</c:v>
                </c:pt>
                <c:pt idx="5">
                  <c:v>PA 6</c:v>
                </c:pt>
                <c:pt idx="6">
                  <c:v>PA7 </c:v>
                </c:pt>
                <c:pt idx="7">
                  <c:v>PA8</c:v>
                </c:pt>
                <c:pt idx="8">
                  <c:v>PA9</c:v>
                </c:pt>
                <c:pt idx="9">
                  <c:v>PA10</c:v>
                </c:pt>
                <c:pt idx="10">
                  <c:v>PA11</c:v>
                </c:pt>
                <c:pt idx="11">
                  <c:v>PA12</c:v>
                </c:pt>
                <c:pt idx="12">
                  <c:v>PA13</c:v>
                </c:pt>
                <c:pt idx="13">
                  <c:v>PA14</c:v>
                </c:pt>
                <c:pt idx="14">
                  <c:v>PA15</c:v>
                </c:pt>
              </c:strCache>
            </c:strRef>
          </c:cat>
          <c:val>
            <c:numRef>
              <c:f>Al!$N$5:$N$19</c:f>
              <c:numCache>
                <c:formatCode>_(* #,##0.00_);_(* \(#,##0.00\);_(* "-"??_);_(@_)</c:formatCode>
                <c:ptCount val="15"/>
                <c:pt idx="0">
                  <c:v>10800</c:v>
                </c:pt>
                <c:pt idx="1">
                  <c:v>16000</c:v>
                </c:pt>
                <c:pt idx="2">
                  <c:v>150000</c:v>
                </c:pt>
                <c:pt idx="3">
                  <c:v>688000</c:v>
                </c:pt>
                <c:pt idx="4">
                  <c:v>93750</c:v>
                </c:pt>
                <c:pt idx="5">
                  <c:v>246000</c:v>
                </c:pt>
                <c:pt idx="6">
                  <c:v>1841500</c:v>
                </c:pt>
                <c:pt idx="7">
                  <c:v>1044500</c:v>
                </c:pt>
                <c:pt idx="8">
                  <c:v>4925000</c:v>
                </c:pt>
                <c:pt idx="9">
                  <c:v>145000</c:v>
                </c:pt>
                <c:pt idx="10">
                  <c:v>148500</c:v>
                </c:pt>
                <c:pt idx="11">
                  <c:v>202500</c:v>
                </c:pt>
                <c:pt idx="12">
                  <c:v>81200</c:v>
                </c:pt>
                <c:pt idx="13">
                  <c:v>1201500</c:v>
                </c:pt>
                <c:pt idx="14">
                  <c:v>242000</c:v>
                </c:pt>
              </c:numCache>
            </c:numRef>
          </c:val>
          <c:extLst xmlns:c16r2="http://schemas.microsoft.com/office/drawing/2015/06/chart">
            <c:ext xmlns:c16="http://schemas.microsoft.com/office/drawing/2014/chart" uri="{C3380CC4-5D6E-409C-BE32-E72D297353CC}">
              <c16:uniqueId val="{00000002-F329-4711-B69B-1CFBE8071D19}"/>
            </c:ext>
          </c:extLst>
        </c:ser>
        <c:dLbls>
          <c:showLegendKey val="0"/>
          <c:showVal val="0"/>
          <c:showCatName val="0"/>
          <c:showSerName val="0"/>
          <c:showPercent val="1"/>
          <c:showBubbleSize val="0"/>
          <c:showLeaderLines val="0"/>
        </c:dLbls>
      </c:pie3DChart>
    </c:plotArea>
    <c:legend>
      <c:legendPos val="r"/>
      <c:layout/>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Sheet1!$C$3</c:f>
              <c:strCache>
                <c:ptCount val="1"/>
                <c:pt idx="0">
                  <c:v>Percentage</c:v>
                </c:pt>
              </c:strCache>
            </c:strRef>
          </c:tx>
          <c:dLbls>
            <c:spPr>
              <a:noFill/>
              <a:ln>
                <a:noFill/>
              </a:ln>
              <a:effectLst/>
            </c:sp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layout/>
              </c:ext>
            </c:extLst>
          </c:dLbls>
          <c:cat>
            <c:strRef>
              <c:f>Sheet1!$B$4:$B$9</c:f>
              <c:strCache>
                <c:ptCount val="6"/>
                <c:pt idx="0">
                  <c:v>Blegtori</c:v>
                </c:pt>
                <c:pt idx="1">
                  <c:v>Bujqësi</c:v>
                </c:pt>
                <c:pt idx="2">
                  <c:v>Prodhimtari</c:v>
                </c:pt>
                <c:pt idx="3">
                  <c:v>Tregëti</c:v>
                </c:pt>
                <c:pt idx="4">
                  <c:v>Shërbime</c:v>
                </c:pt>
                <c:pt idx="5">
                  <c:v>Të Tjera</c:v>
                </c:pt>
              </c:strCache>
            </c:strRef>
          </c:cat>
          <c:val>
            <c:numRef>
              <c:f>Sheet1!$C$4:$C$9</c:f>
              <c:numCache>
                <c:formatCode>0%</c:formatCode>
                <c:ptCount val="6"/>
                <c:pt idx="0">
                  <c:v>0.28000000000000008</c:v>
                </c:pt>
                <c:pt idx="1">
                  <c:v>0.31000000000000238</c:v>
                </c:pt>
                <c:pt idx="2">
                  <c:v>2.0000000000000011E-2</c:v>
                </c:pt>
                <c:pt idx="3">
                  <c:v>0.14000000000000001</c:v>
                </c:pt>
                <c:pt idx="4">
                  <c:v>0.24000000000000021</c:v>
                </c:pt>
                <c:pt idx="5">
                  <c:v>1.0000000000000005E-2</c:v>
                </c:pt>
              </c:numCache>
            </c:numRef>
          </c:val>
          <c:extLst xmlns:c16r2="http://schemas.microsoft.com/office/drawing/2015/06/chart">
            <c:ext xmlns:c16="http://schemas.microsoft.com/office/drawing/2014/chart" uri="{C3380CC4-5D6E-409C-BE32-E72D297353CC}">
              <c16:uniqueId val="{00000000-B2C1-45E1-A88C-8F9459A2F9CA}"/>
            </c:ext>
          </c:extLst>
        </c:ser>
        <c:dLbls>
          <c:showLegendKey val="0"/>
          <c:showVal val="1"/>
          <c:showCatName val="1"/>
          <c:showSerName val="0"/>
          <c:showPercent val="0"/>
          <c:showBubbleSize val="0"/>
          <c:showLeaderLines val="0"/>
        </c:dLbls>
        <c:firstSliceAng val="0"/>
      </c:pieChart>
    </c:plotArea>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466</Nr_x002e__x0020_akti>
    <Data_x0020_e_x0020_Krijimit xmlns="0e656187-b300-4fb0-8bf4-3a50f872073c">2019-07-08T13:10:32Z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2019-07-03T22:00:00Z</Date_x0020_protokolli>
    <Titulli xmlns="0e656187-b300-4fb0-8bf4-3a50f872073c">Për miratimin e dokumentit strategjik dhe të planeve kombëtare për zbutjen e gazeve me efekt serrë dhe për përshtatjen ndaj ndryshimeve klimatike</Titulli>
    <Modifikuesi xmlns="0e656187-b300-4fb0-8bf4-3a50f872073c">jorina.kryeziu</Modifikuesi>
    <Nr_x002e__x0020_prot_x0020_QBZ xmlns="0e656187-b300-4fb0-8bf4-3a50f872073c">1023</Nr_x002e__x0020_prot_x0020_QBZ>
    <Data_x0020_e_x0020_Modifikimit xmlns="0e656187-b300-4fb0-8bf4-3a50f872073c">2019-07-10T12:43:41Z</Data_x0020_e_x0020_Modifikimit>
    <Dekretuar xmlns="0e656187-b300-4fb0-8bf4-3a50f872073c">false</Dekretuar>
    <Data xmlns="0e656187-b300-4fb0-8bf4-3a50f872073c">2019-07-02T22:00:00Z</Data>
    <Nr_x002e__x0020_protokolli_x0020_i_x0020_aktit xmlns="0e656187-b300-4fb0-8bf4-3a50f872073c">3525/1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93BCF3CB8F014315837EE219C135862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3BCF3CB8F014315837EE219C135862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93092-7FC5-4814-847A-D9E0777FF8DF}">
  <ds:schemaRefs>
    <ds:schemaRef ds:uri="http://schemas.microsoft.com/sharepoint/v3/contenttype/forms"/>
  </ds:schemaRefs>
</ds:datastoreItem>
</file>

<file path=customXml/itemProps2.xml><?xml version="1.0" encoding="utf-8"?>
<ds:datastoreItem xmlns:ds="http://schemas.openxmlformats.org/officeDocument/2006/customXml" ds:itemID="{312A7684-6F83-4226-AFB3-EEE9A85BE649}">
  <ds:schemaRefs>
    <ds:schemaRef ds:uri="http://schemas.microsoft.com/office/2006/metadata/properties"/>
    <ds:schemaRef ds:uri="http://purl.org/dc/elements/1.1/"/>
    <ds:schemaRef ds:uri="http://purl.org/dc/terms/"/>
    <ds:schemaRef ds:uri="0e656187-b300-4fb0-8bf4-3a50f872073c"/>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FB14719-F46F-41AB-9422-805DBC94C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F57550B-E581-4469-88B1-E9073C1F1A72}">
  <ds:schemaRefs>
    <ds:schemaRef ds:uri="http://schemas.microsoft.com/sharepoint/v3/contenttype/forms"/>
  </ds:schemaRefs>
</ds:datastoreItem>
</file>

<file path=customXml/itemProps5.xml><?xml version="1.0" encoding="utf-8"?>
<ds:datastoreItem xmlns:ds="http://schemas.openxmlformats.org/officeDocument/2006/customXml" ds:itemID="{CA1574C3-CD13-4E71-8B1B-113469F97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7809AB5-6218-4032-A0F9-F9737FC9E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222</Pages>
  <Words>99776</Words>
  <Characters>568725</Characters>
  <Application>Microsoft Office Word</Application>
  <DocSecurity>0</DocSecurity>
  <Lines>4739</Lines>
  <Paragraphs>1334</Paragraphs>
  <ScaleCrop>false</ScaleCrop>
  <HeadingPairs>
    <vt:vector size="2" baseType="variant">
      <vt:variant>
        <vt:lpstr>Title</vt:lpstr>
      </vt:variant>
      <vt:variant>
        <vt:i4>1</vt:i4>
      </vt:variant>
    </vt:vector>
  </HeadingPairs>
  <TitlesOfParts>
    <vt:vector size="1" baseType="lpstr">
      <vt:lpstr>Për miratimin e dokumentit strategjik dhe të planeve kombëtare për zbutjen e gazeve me efekt serrë dhe për përshtatjen ndaj ndryshimeve klimatike</vt:lpstr>
    </vt:vector>
  </TitlesOfParts>
  <Company/>
  <LinksUpToDate>false</LinksUpToDate>
  <CharactersWithSpaces>667167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dokumentit strategjik dhe të planeve kombëtare për zbutjen e gazeve me efekt serrë dhe për përshtatjen ndaj ndryshimeve klimatike</dc:title>
  <dc:creator>Vjollca Pacrami</dc:creator>
  <cp:lastModifiedBy>Entela Suli</cp:lastModifiedBy>
  <cp:revision>374</cp:revision>
  <dcterms:created xsi:type="dcterms:W3CDTF">2019-07-05T10:03:00Z</dcterms:created>
  <dcterms:modified xsi:type="dcterms:W3CDTF">2019-07-11T08:41:00Z</dcterms:modified>
</cp:coreProperties>
</file>